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18B7C" w14:textId="728F238F" w:rsidR="008B7EAD" w:rsidRDefault="009420B2" w:rsidP="00FB1568">
      <w:pPr>
        <w:spacing w:line="480" w:lineRule="auto"/>
        <w:rPr>
          <w:rFonts w:ascii="Aptos" w:eastAsia="Aptos" w:hAnsi="Aptos" w:cs="Aptos"/>
          <w:b/>
          <w:color w:val="000000"/>
        </w:rPr>
      </w:pPr>
      <w:r>
        <w:rPr>
          <w:rFonts w:ascii="Aptos" w:eastAsia="Aptos" w:hAnsi="Aptos" w:cs="Aptos"/>
          <w:b/>
          <w:color w:val="000000"/>
        </w:rPr>
        <w:t>Appendices with supplementary materials</w:t>
      </w:r>
      <w:r w:rsidR="001F01A0">
        <w:rPr>
          <w:rFonts w:ascii="Aptos" w:eastAsia="Aptos" w:hAnsi="Aptos" w:cs="Aptos"/>
          <w:b/>
          <w:color w:val="000000"/>
        </w:rPr>
        <w:t xml:space="preserve"> for research article titled “</w:t>
      </w:r>
      <w:r w:rsidR="00FB1568">
        <w:rPr>
          <w:rFonts w:ascii="Aptos" w:eastAsia="Aptos" w:hAnsi="Aptos" w:cs="Aptos"/>
          <w:b/>
        </w:rPr>
        <w:t>The impact of decomposer size classes and litter quality on litter decomposition in food forests</w:t>
      </w:r>
      <w:r w:rsidR="001F01A0">
        <w:rPr>
          <w:rFonts w:ascii="Aptos" w:eastAsia="Aptos" w:hAnsi="Aptos" w:cs="Aptos"/>
          <w:b/>
          <w:color w:val="000000"/>
        </w:rPr>
        <w:t>”</w:t>
      </w:r>
    </w:p>
    <w:p w14:paraId="0D3D0EDB" w14:textId="77777777" w:rsidR="00181424" w:rsidRPr="00604EF1" w:rsidRDefault="00181424" w:rsidP="00181424">
      <w:pPr>
        <w:spacing w:line="480" w:lineRule="auto"/>
        <w:rPr>
          <w:rFonts w:ascii="Aptos" w:eastAsia="Aptos" w:hAnsi="Aptos" w:cs="Aptos"/>
          <w:lang w:val="nl-NL"/>
        </w:rPr>
      </w:pPr>
      <w:r w:rsidRPr="00604EF1">
        <w:rPr>
          <w:rFonts w:ascii="Aptos" w:eastAsia="Aptos" w:hAnsi="Aptos" w:cs="Aptos"/>
          <w:lang w:val="nl-NL"/>
        </w:rPr>
        <w:t>Isabelle van der Zanden</w:t>
      </w:r>
      <w:r w:rsidRPr="00604EF1">
        <w:rPr>
          <w:rFonts w:ascii="Aptos" w:eastAsia="Aptos" w:hAnsi="Aptos" w:cs="Aptos"/>
          <w:vertAlign w:val="superscript"/>
          <w:lang w:val="nl-NL"/>
        </w:rPr>
        <w:t>1,a*</w:t>
      </w:r>
      <w:r w:rsidRPr="00604EF1">
        <w:rPr>
          <w:rFonts w:ascii="Aptos" w:eastAsia="Aptos" w:hAnsi="Aptos" w:cs="Aptos"/>
          <w:lang w:val="nl-NL"/>
        </w:rPr>
        <w:t>, Gelieke G.T. Steeghs</w:t>
      </w:r>
      <w:r w:rsidRPr="00604EF1">
        <w:rPr>
          <w:rFonts w:ascii="Aptos" w:eastAsia="Aptos" w:hAnsi="Aptos" w:cs="Aptos"/>
          <w:vertAlign w:val="superscript"/>
          <w:lang w:val="nl-NL"/>
        </w:rPr>
        <w:t>1*</w:t>
      </w:r>
      <w:r w:rsidRPr="00604EF1">
        <w:rPr>
          <w:rFonts w:ascii="Aptos" w:eastAsia="Aptos" w:hAnsi="Aptos" w:cs="Aptos"/>
          <w:lang w:val="nl-NL"/>
        </w:rPr>
        <w:t>, Lieke Moereels</w:t>
      </w:r>
      <w:r w:rsidRPr="00604EF1">
        <w:rPr>
          <w:rFonts w:ascii="Aptos" w:eastAsia="Aptos" w:hAnsi="Aptos" w:cs="Aptos"/>
          <w:vertAlign w:val="superscript"/>
          <w:lang w:val="nl-NL"/>
        </w:rPr>
        <w:t>2</w:t>
      </w:r>
      <w:r>
        <w:rPr>
          <w:rFonts w:ascii="Aptos" w:eastAsia="Aptos" w:hAnsi="Aptos" w:cs="Aptos"/>
          <w:vertAlign w:val="superscript"/>
          <w:lang w:val="nl-NL"/>
        </w:rPr>
        <w:t>,3</w:t>
      </w:r>
      <w:r w:rsidRPr="00604EF1">
        <w:rPr>
          <w:rFonts w:ascii="Aptos" w:eastAsia="Aptos" w:hAnsi="Aptos" w:cs="Aptos"/>
          <w:lang w:val="nl-NL"/>
        </w:rPr>
        <w:t xml:space="preserve"> &amp; G.F. (Ciska) Veen</w:t>
      </w:r>
      <w:r w:rsidRPr="00604EF1">
        <w:rPr>
          <w:rFonts w:ascii="Aptos" w:eastAsia="Aptos" w:hAnsi="Aptos" w:cs="Aptos"/>
          <w:vertAlign w:val="superscript"/>
          <w:lang w:val="nl-NL"/>
        </w:rPr>
        <w:t>1</w:t>
      </w:r>
      <w:r w:rsidRPr="00604EF1">
        <w:rPr>
          <w:rFonts w:ascii="Aptos" w:eastAsia="Aptos" w:hAnsi="Aptos" w:cs="Aptos"/>
          <w:lang w:val="nl-NL"/>
        </w:rPr>
        <w:t> </w:t>
      </w:r>
    </w:p>
    <w:p w14:paraId="7A6FB1BC" w14:textId="77777777" w:rsidR="00181424" w:rsidRDefault="00181424" w:rsidP="00181424">
      <w:pPr>
        <w:spacing w:line="480" w:lineRule="auto"/>
        <w:rPr>
          <w:rFonts w:ascii="Aptos" w:eastAsia="Aptos" w:hAnsi="Aptos" w:cs="Aptos"/>
        </w:rPr>
      </w:pPr>
      <w:r>
        <w:rPr>
          <w:rFonts w:ascii="Aptos" w:eastAsia="Aptos" w:hAnsi="Aptos" w:cs="Aptos"/>
          <w:i/>
          <w:vertAlign w:val="superscript"/>
        </w:rPr>
        <w:t xml:space="preserve">1 </w:t>
      </w:r>
      <w:r>
        <w:rPr>
          <w:rFonts w:ascii="Aptos" w:eastAsia="Aptos" w:hAnsi="Aptos" w:cs="Aptos"/>
          <w:i/>
        </w:rPr>
        <w:t>Department of Terrestrial Ecology, Netherlands Institute of Ecology (NIOO-KNAW), Droevendaalsesteeg 10, 6708 PB Wageningen, Netherlands</w:t>
      </w:r>
    </w:p>
    <w:p w14:paraId="2A0272C2" w14:textId="77777777" w:rsidR="00181424" w:rsidRDefault="00181424" w:rsidP="00181424">
      <w:pPr>
        <w:spacing w:line="480" w:lineRule="auto"/>
        <w:rPr>
          <w:rFonts w:ascii="Aptos" w:eastAsia="Aptos" w:hAnsi="Aptos" w:cs="Aptos"/>
        </w:rPr>
      </w:pPr>
      <w:r>
        <w:rPr>
          <w:rFonts w:ascii="Aptos" w:eastAsia="Aptos" w:hAnsi="Aptos" w:cs="Aptos"/>
          <w:vertAlign w:val="superscript"/>
        </w:rPr>
        <w:t xml:space="preserve">2 </w:t>
      </w:r>
      <w:r>
        <w:rPr>
          <w:rFonts w:ascii="Aptos" w:eastAsia="Aptos" w:hAnsi="Aptos" w:cs="Aptos"/>
          <w:i/>
        </w:rPr>
        <w:t>Forest &amp; Nature Lab, Department of Environment, Ghent University; Geraardsbergsesteenweg 267, 9090 Melle, Gontrode, Belgium</w:t>
      </w:r>
      <w:r>
        <w:rPr>
          <w:rFonts w:ascii="Aptos" w:eastAsia="Aptos" w:hAnsi="Aptos" w:cs="Aptos"/>
        </w:rPr>
        <w:t> </w:t>
      </w:r>
    </w:p>
    <w:p w14:paraId="3AF940E3" w14:textId="77777777" w:rsidR="00181424" w:rsidRPr="00487F5B" w:rsidRDefault="00181424" w:rsidP="00181424">
      <w:pPr>
        <w:spacing w:line="480" w:lineRule="auto"/>
        <w:rPr>
          <w:rFonts w:ascii="Aptos" w:eastAsia="Aptos" w:hAnsi="Aptos" w:cs="Aptos"/>
          <w:bCs/>
        </w:rPr>
      </w:pPr>
      <w:r w:rsidRPr="00487F5B">
        <w:rPr>
          <w:rFonts w:ascii="Aptos" w:eastAsia="Aptos" w:hAnsi="Aptos" w:cs="Aptos"/>
          <w:bCs/>
          <w:vertAlign w:val="superscript"/>
        </w:rPr>
        <w:t>3</w:t>
      </w:r>
      <w:r w:rsidRPr="00487F5B">
        <w:rPr>
          <w:rFonts w:ascii="Aptos" w:eastAsia="Aptos" w:hAnsi="Aptos" w:cs="Aptos"/>
          <w:bCs/>
        </w:rPr>
        <w:t>Flanders Research Institute for Agriculture, Fisheries and Food (ILVO), Plant Sciences, Caritasstraat 39, 9820 Merelbeke, Belgium</w:t>
      </w:r>
    </w:p>
    <w:p w14:paraId="073B1817" w14:textId="77777777" w:rsidR="00181424" w:rsidRDefault="00181424" w:rsidP="00181424">
      <w:pPr>
        <w:spacing w:line="480" w:lineRule="auto"/>
        <w:rPr>
          <w:rFonts w:ascii="Aptos" w:eastAsia="Aptos" w:hAnsi="Aptos" w:cs="Aptos"/>
        </w:rPr>
      </w:pPr>
      <w:r>
        <w:rPr>
          <w:rFonts w:ascii="Aptos" w:eastAsia="Aptos" w:hAnsi="Aptos" w:cs="Aptos"/>
          <w:vertAlign w:val="superscript"/>
        </w:rPr>
        <w:t>a</w:t>
      </w:r>
      <w:r>
        <w:rPr>
          <w:rFonts w:ascii="Aptos" w:eastAsia="Aptos" w:hAnsi="Aptos" w:cs="Aptos"/>
        </w:rPr>
        <w:t xml:space="preserve"> Corresponding author. </w:t>
      </w:r>
    </w:p>
    <w:p w14:paraId="0117D2BF" w14:textId="77777777" w:rsidR="00181424" w:rsidRPr="00F45195" w:rsidRDefault="00181424" w:rsidP="00181424">
      <w:pPr>
        <w:spacing w:line="480" w:lineRule="auto"/>
        <w:rPr>
          <w:rFonts w:ascii="Aptos" w:eastAsia="Aptos" w:hAnsi="Aptos" w:cs="Aptos"/>
          <w:lang w:val="en-GB"/>
        </w:rPr>
      </w:pPr>
      <w:r w:rsidRPr="00F45195">
        <w:rPr>
          <w:rFonts w:ascii="Aptos" w:eastAsia="Aptos" w:hAnsi="Aptos" w:cs="Aptos"/>
          <w:i/>
          <w:lang w:val="en-GB"/>
        </w:rPr>
        <w:t>E-mail address:</w:t>
      </w:r>
      <w:r w:rsidRPr="00F45195">
        <w:rPr>
          <w:rFonts w:ascii="Aptos" w:eastAsia="Aptos" w:hAnsi="Aptos" w:cs="Aptos"/>
          <w:lang w:val="en-GB"/>
        </w:rPr>
        <w:t xml:space="preserve"> </w:t>
      </w:r>
      <w:hyperlink r:id="rId5">
        <w:r w:rsidRPr="00F45195">
          <w:rPr>
            <w:rFonts w:ascii="Aptos" w:eastAsia="Aptos" w:hAnsi="Aptos" w:cs="Aptos"/>
            <w:color w:val="000000"/>
            <w:u w:val="single"/>
            <w:lang w:val="en-GB"/>
          </w:rPr>
          <w:t>i.vanderzanden@nioo.knaw.nl</w:t>
        </w:r>
      </w:hyperlink>
      <w:r w:rsidRPr="00F45195">
        <w:rPr>
          <w:rFonts w:ascii="Aptos" w:eastAsia="Aptos" w:hAnsi="Aptos" w:cs="Aptos"/>
          <w:lang w:val="en-GB"/>
        </w:rPr>
        <w:t xml:space="preserve"> (I. van der Zanden). </w:t>
      </w:r>
    </w:p>
    <w:p w14:paraId="09FC9932" w14:textId="77777777" w:rsidR="00181424" w:rsidRDefault="00181424" w:rsidP="00181424">
      <w:pPr>
        <w:spacing w:line="480" w:lineRule="auto"/>
        <w:rPr>
          <w:rFonts w:ascii="Aptos" w:eastAsia="Aptos" w:hAnsi="Aptos" w:cs="Aptos"/>
        </w:rPr>
      </w:pPr>
      <w:r>
        <w:rPr>
          <w:rFonts w:ascii="Aptos" w:eastAsia="Aptos" w:hAnsi="Aptos" w:cs="Aptos"/>
        </w:rPr>
        <w:t>* Shared first authorship.</w:t>
      </w:r>
    </w:p>
    <w:p w14:paraId="66518B7D" w14:textId="77777777" w:rsidR="008B7EAD" w:rsidRDefault="009420B2" w:rsidP="00D94A2A">
      <w:pPr>
        <w:numPr>
          <w:ilvl w:val="0"/>
          <w:numId w:val="1"/>
        </w:numPr>
        <w:pBdr>
          <w:top w:val="nil"/>
          <w:left w:val="nil"/>
          <w:bottom w:val="nil"/>
          <w:right w:val="nil"/>
          <w:between w:val="nil"/>
        </w:pBdr>
        <w:spacing w:after="0" w:line="480" w:lineRule="auto"/>
        <w:jc w:val="both"/>
        <w:rPr>
          <w:rFonts w:ascii="Aptos" w:eastAsia="Aptos" w:hAnsi="Aptos" w:cs="Aptos"/>
          <w:b/>
          <w:color w:val="000000"/>
        </w:rPr>
      </w:pPr>
      <w:r>
        <w:rPr>
          <w:rFonts w:ascii="Aptos" w:eastAsia="Aptos" w:hAnsi="Aptos" w:cs="Aptos"/>
          <w:b/>
          <w:color w:val="000000"/>
        </w:rPr>
        <w:t>Methods abiotic and biotic soil properties</w:t>
      </w:r>
    </w:p>
    <w:p w14:paraId="66518B7E" w14:textId="77777777" w:rsidR="008B7EAD" w:rsidRDefault="009420B2" w:rsidP="00D94A2A">
      <w:pPr>
        <w:numPr>
          <w:ilvl w:val="1"/>
          <w:numId w:val="1"/>
        </w:numPr>
        <w:pBdr>
          <w:top w:val="nil"/>
          <w:left w:val="nil"/>
          <w:bottom w:val="nil"/>
          <w:right w:val="nil"/>
          <w:between w:val="nil"/>
        </w:pBdr>
        <w:spacing w:after="0" w:line="480" w:lineRule="auto"/>
        <w:jc w:val="both"/>
        <w:rPr>
          <w:rFonts w:ascii="Aptos" w:eastAsia="Aptos" w:hAnsi="Aptos" w:cs="Aptos"/>
          <w:b/>
          <w:color w:val="000000"/>
        </w:rPr>
      </w:pPr>
      <w:r>
        <w:rPr>
          <w:rFonts w:ascii="Aptos" w:eastAsia="Aptos" w:hAnsi="Aptos" w:cs="Aptos"/>
          <w:b/>
          <w:color w:val="000000"/>
        </w:rPr>
        <w:t>Abiotic properties</w:t>
      </w:r>
    </w:p>
    <w:p w14:paraId="66518B7F" w14:textId="77777777" w:rsidR="008B7EAD" w:rsidRDefault="009420B2" w:rsidP="00D94A2A">
      <w:pPr>
        <w:numPr>
          <w:ilvl w:val="1"/>
          <w:numId w:val="1"/>
        </w:numPr>
        <w:pBdr>
          <w:top w:val="nil"/>
          <w:left w:val="nil"/>
          <w:bottom w:val="nil"/>
          <w:right w:val="nil"/>
          <w:between w:val="nil"/>
        </w:pBdr>
        <w:spacing w:after="0" w:line="480" w:lineRule="auto"/>
        <w:jc w:val="both"/>
        <w:rPr>
          <w:rFonts w:ascii="Aptos" w:eastAsia="Aptos" w:hAnsi="Aptos" w:cs="Aptos"/>
          <w:b/>
          <w:color w:val="000000"/>
        </w:rPr>
      </w:pPr>
      <w:r>
        <w:rPr>
          <w:rFonts w:ascii="Aptos" w:eastAsia="Aptos" w:hAnsi="Aptos" w:cs="Aptos"/>
          <w:b/>
          <w:color w:val="000000"/>
        </w:rPr>
        <w:t xml:space="preserve">Soil microbial biomass </w:t>
      </w:r>
    </w:p>
    <w:p w14:paraId="60663C1D" w14:textId="3D219F62" w:rsidR="004D612A" w:rsidRPr="004D612A" w:rsidRDefault="009420B2" w:rsidP="00D94A2A">
      <w:pPr>
        <w:numPr>
          <w:ilvl w:val="1"/>
          <w:numId w:val="1"/>
        </w:numPr>
        <w:pBdr>
          <w:top w:val="nil"/>
          <w:left w:val="nil"/>
          <w:bottom w:val="nil"/>
          <w:right w:val="nil"/>
          <w:between w:val="nil"/>
        </w:pBdr>
        <w:spacing w:after="0" w:line="480" w:lineRule="auto"/>
        <w:jc w:val="both"/>
        <w:rPr>
          <w:rFonts w:ascii="Aptos" w:eastAsia="Aptos" w:hAnsi="Aptos" w:cs="Aptos"/>
          <w:b/>
          <w:color w:val="000000"/>
        </w:rPr>
      </w:pPr>
      <w:r>
        <w:rPr>
          <w:rFonts w:ascii="Aptos" w:eastAsia="Aptos" w:hAnsi="Aptos" w:cs="Aptos"/>
          <w:b/>
          <w:color w:val="000000"/>
        </w:rPr>
        <w:t>Soil faunal abundance</w:t>
      </w:r>
    </w:p>
    <w:p w14:paraId="0C10FC9F" w14:textId="02B80BAC" w:rsidR="00D94A2A" w:rsidRDefault="009420B2" w:rsidP="00D94A2A">
      <w:pPr>
        <w:numPr>
          <w:ilvl w:val="0"/>
          <w:numId w:val="1"/>
        </w:numPr>
        <w:pBdr>
          <w:top w:val="nil"/>
          <w:left w:val="nil"/>
          <w:bottom w:val="nil"/>
          <w:right w:val="nil"/>
          <w:between w:val="nil"/>
        </w:pBdr>
        <w:spacing w:after="0" w:line="480" w:lineRule="auto"/>
        <w:jc w:val="both"/>
        <w:rPr>
          <w:rFonts w:ascii="Aptos" w:eastAsia="Aptos" w:hAnsi="Aptos" w:cs="Aptos"/>
          <w:b/>
          <w:color w:val="000000"/>
        </w:rPr>
      </w:pPr>
      <w:r w:rsidRPr="00D94A2A">
        <w:rPr>
          <w:rFonts w:ascii="Aptos" w:eastAsia="Aptos" w:hAnsi="Aptos" w:cs="Aptos"/>
          <w:b/>
          <w:color w:val="000000"/>
        </w:rPr>
        <w:t>Litter bags not used for analysis</w:t>
      </w:r>
    </w:p>
    <w:p w14:paraId="48C22137" w14:textId="6A319AEA" w:rsidR="00D94A2A" w:rsidRPr="00D94A2A" w:rsidRDefault="009420B2" w:rsidP="00D94A2A">
      <w:pPr>
        <w:numPr>
          <w:ilvl w:val="0"/>
          <w:numId w:val="1"/>
        </w:numPr>
        <w:pBdr>
          <w:top w:val="nil"/>
          <w:left w:val="nil"/>
          <w:bottom w:val="nil"/>
          <w:right w:val="nil"/>
          <w:between w:val="nil"/>
        </w:pBdr>
        <w:spacing w:after="0" w:line="480" w:lineRule="auto"/>
        <w:jc w:val="both"/>
        <w:rPr>
          <w:rFonts w:ascii="Aptos" w:eastAsia="Aptos" w:hAnsi="Aptos" w:cs="Aptos"/>
          <w:b/>
          <w:color w:val="000000"/>
        </w:rPr>
      </w:pPr>
      <w:r w:rsidRPr="00D94A2A">
        <w:rPr>
          <w:rFonts w:ascii="Aptos" w:eastAsia="Aptos" w:hAnsi="Aptos" w:cs="Aptos"/>
          <w:b/>
          <w:color w:val="000000"/>
        </w:rPr>
        <w:t>Results abiotic and biotic soil properties</w:t>
      </w:r>
    </w:p>
    <w:p w14:paraId="79F6027C" w14:textId="5EA05AA4" w:rsidR="004D612A" w:rsidRPr="00D94A2A" w:rsidRDefault="00D94A2A" w:rsidP="00D94A2A">
      <w:pPr>
        <w:numPr>
          <w:ilvl w:val="0"/>
          <w:numId w:val="1"/>
        </w:numPr>
        <w:pBdr>
          <w:top w:val="nil"/>
          <w:left w:val="nil"/>
          <w:bottom w:val="nil"/>
          <w:right w:val="nil"/>
          <w:between w:val="nil"/>
        </w:pBdr>
        <w:spacing w:line="480" w:lineRule="auto"/>
        <w:jc w:val="both"/>
        <w:rPr>
          <w:rFonts w:ascii="Aptos" w:eastAsia="Aptos" w:hAnsi="Aptos" w:cs="Aptos"/>
          <w:b/>
          <w:color w:val="000000"/>
        </w:rPr>
      </w:pPr>
      <w:r w:rsidRPr="00D94A2A">
        <w:rPr>
          <w:rFonts w:ascii="Aptos" w:eastAsia="Aptos" w:hAnsi="Aptos" w:cs="Aptos"/>
          <w:b/>
          <w:color w:val="000000"/>
        </w:rPr>
        <w:t>Analysis and r</w:t>
      </w:r>
      <w:r w:rsidR="00605E44" w:rsidRPr="00D94A2A">
        <w:rPr>
          <w:rFonts w:ascii="Aptos" w:eastAsia="Aptos" w:hAnsi="Aptos" w:cs="Aptos"/>
          <w:b/>
          <w:color w:val="000000"/>
        </w:rPr>
        <w:t>esults litter quality verification</w:t>
      </w:r>
    </w:p>
    <w:p w14:paraId="66518B83" w14:textId="77777777" w:rsidR="008B7EAD" w:rsidRDefault="009420B2">
      <w:pPr>
        <w:jc w:val="both"/>
        <w:rPr>
          <w:rFonts w:ascii="Aptos" w:eastAsia="Aptos" w:hAnsi="Aptos" w:cs="Aptos"/>
          <w:b/>
          <w:color w:val="000000"/>
        </w:rPr>
      </w:pPr>
      <w:r>
        <w:br w:type="page"/>
      </w:r>
    </w:p>
    <w:p w14:paraId="66518B84" w14:textId="77777777" w:rsidR="008B7EAD" w:rsidRDefault="009420B2">
      <w:pPr>
        <w:numPr>
          <w:ilvl w:val="0"/>
          <w:numId w:val="3"/>
        </w:numPr>
        <w:pBdr>
          <w:top w:val="nil"/>
          <w:left w:val="nil"/>
          <w:bottom w:val="nil"/>
          <w:right w:val="nil"/>
          <w:between w:val="nil"/>
        </w:pBdr>
        <w:spacing w:after="0" w:line="480" w:lineRule="auto"/>
        <w:jc w:val="both"/>
        <w:rPr>
          <w:rFonts w:ascii="Aptos" w:eastAsia="Aptos" w:hAnsi="Aptos" w:cs="Aptos"/>
          <w:b/>
          <w:color w:val="000000"/>
        </w:rPr>
      </w:pPr>
      <w:r>
        <w:rPr>
          <w:rFonts w:ascii="Aptos" w:eastAsia="Aptos" w:hAnsi="Aptos" w:cs="Aptos"/>
          <w:b/>
          <w:color w:val="000000"/>
        </w:rPr>
        <w:lastRenderedPageBreak/>
        <w:t>Methods abiotic and biotic soil properties</w:t>
      </w:r>
    </w:p>
    <w:p w14:paraId="66518B85" w14:textId="77777777" w:rsidR="008B7EAD" w:rsidRDefault="009420B2">
      <w:pPr>
        <w:numPr>
          <w:ilvl w:val="1"/>
          <w:numId w:val="3"/>
        </w:numPr>
        <w:pBdr>
          <w:top w:val="nil"/>
          <w:left w:val="nil"/>
          <w:bottom w:val="nil"/>
          <w:right w:val="nil"/>
          <w:between w:val="nil"/>
        </w:pBdr>
        <w:spacing w:line="480" w:lineRule="auto"/>
        <w:jc w:val="both"/>
        <w:rPr>
          <w:rFonts w:ascii="Aptos" w:eastAsia="Aptos" w:hAnsi="Aptos" w:cs="Aptos"/>
          <w:b/>
          <w:color w:val="000000"/>
        </w:rPr>
      </w:pPr>
      <w:r>
        <w:rPr>
          <w:rFonts w:ascii="Aptos" w:eastAsia="Aptos" w:hAnsi="Aptos" w:cs="Aptos"/>
          <w:b/>
          <w:color w:val="000000"/>
        </w:rPr>
        <w:t>Abiotic properties</w:t>
      </w:r>
    </w:p>
    <w:p w14:paraId="66518B86" w14:textId="77777777" w:rsidR="008B7EAD" w:rsidRDefault="009420B2">
      <w:pPr>
        <w:spacing w:line="480" w:lineRule="auto"/>
        <w:jc w:val="both"/>
        <w:rPr>
          <w:rFonts w:ascii="Aptos" w:eastAsia="Aptos" w:hAnsi="Aptos" w:cs="Aptos"/>
        </w:rPr>
      </w:pPr>
      <w:r>
        <w:rPr>
          <w:rFonts w:ascii="Aptos" w:eastAsia="Aptos" w:hAnsi="Aptos" w:cs="Aptos"/>
        </w:rPr>
        <w:t xml:space="preserve">All food forest and grassland sites were divided in six even sized strata, where in each stratum a random coordinate was generated for six 5x5 meter plots. In each plot we collected one composite soil sample, consisting of 25 mixed soil cores of the topsoil (0-25 cm), between April and July 2021. However, for location 3, the grassland used for the litter bag experiment was not available, and we used an alternative nearby grassland with similar land use and soil type. Samples were cooled during transport and stored at 4 °C before further analysis. All analyses were carried out at the Netherlands Institute of Ecology (NIOO-KNAW) if not stated otherwise.  </w:t>
      </w:r>
    </w:p>
    <w:p w14:paraId="66518B87" w14:textId="77777777" w:rsidR="008B7EAD" w:rsidRDefault="009420B2" w:rsidP="00CF2917">
      <w:pPr>
        <w:spacing w:line="480" w:lineRule="auto"/>
        <w:jc w:val="both"/>
        <w:rPr>
          <w:rFonts w:ascii="Aptos" w:eastAsia="Aptos" w:hAnsi="Aptos" w:cs="Aptos"/>
        </w:rPr>
      </w:pPr>
      <w:r>
        <w:rPr>
          <w:rFonts w:ascii="Aptos" w:eastAsia="Aptos" w:hAnsi="Aptos" w:cs="Aptos"/>
        </w:rPr>
        <w:t>Soil moisture content (%) was measured on a subsample of around 10 grams by oven-drying for 24 hours at 105 °C. Then, the dried sample was used to determine soil organic matter content (%) by loss on ignition (550 °C for 3 hours). pH-KCl was measured with an electrode (WTW inoLab® pH 7310 benchtop meter) after adding 50 mL of 1 M KCl solution to a 10-gram oven-dried (40 °C) subsample. To measure bulk density, Kopecky rings were used (</w:t>
      </w:r>
      <w:r>
        <w:rPr>
          <w:rFonts w:ascii="Cambria Math" w:eastAsia="Cambria Math" w:hAnsi="Cambria Math" w:cs="Cambria Math"/>
        </w:rPr>
        <w:t>⌀</w:t>
      </w:r>
      <w:r>
        <w:rPr>
          <w:rFonts w:ascii="Aptos" w:eastAsia="Aptos" w:hAnsi="Aptos" w:cs="Aptos"/>
        </w:rPr>
        <w:t>53 mm, volume 100 cm</w:t>
      </w:r>
      <w:r>
        <w:rPr>
          <w:rFonts w:ascii="Aptos" w:eastAsia="Aptos" w:hAnsi="Aptos" w:cs="Aptos"/>
          <w:vertAlign w:val="superscript"/>
        </w:rPr>
        <w:t>3</w:t>
      </w:r>
      <w:r>
        <w:rPr>
          <w:rFonts w:ascii="Aptos" w:eastAsia="Aptos" w:hAnsi="Aptos" w:cs="Aptos"/>
        </w:rPr>
        <w:t>) to take undisturbed soil samples at around 10 cm soil depth. Rings were weighed and corrected for soil moisture content (soils dried at 105 °C for 24 hours) to obtain bulk density content in grams of soil per cm</w:t>
      </w:r>
      <w:r>
        <w:rPr>
          <w:rFonts w:ascii="Aptos" w:eastAsia="Aptos" w:hAnsi="Aptos" w:cs="Aptos"/>
          <w:vertAlign w:val="superscript"/>
        </w:rPr>
        <w:t>3</w:t>
      </w:r>
      <w:r>
        <w:rPr>
          <w:rFonts w:ascii="Aptos" w:eastAsia="Aptos" w:hAnsi="Aptos" w:cs="Aptos"/>
        </w:rPr>
        <w:t xml:space="preserve">.  </w:t>
      </w:r>
    </w:p>
    <w:p w14:paraId="66518B88" w14:textId="4B7D81A8" w:rsidR="008B7EAD" w:rsidRDefault="009420B2" w:rsidP="00CF2917">
      <w:pPr>
        <w:spacing w:line="480" w:lineRule="auto"/>
        <w:jc w:val="both"/>
        <w:rPr>
          <w:rFonts w:ascii="Aptos" w:eastAsia="Aptos" w:hAnsi="Aptos" w:cs="Aptos"/>
        </w:rPr>
      </w:pPr>
      <w:r>
        <w:rPr>
          <w:rFonts w:ascii="Aptos" w:eastAsia="Aptos" w:hAnsi="Aptos" w:cs="Aptos"/>
        </w:rPr>
        <w:t>To measure soil C, N and P content, samples were oven dried (40 °C), ground and sieved (2mm). For total carbon (C) and nitrogen (N) the samples were combusted at 1150 °C and measured in a CNS elemental analyzer (vario Macro Cube, Elementar, Germany). Total phosphorous (P) was measured after complete destruction of the soil samples with HClO</w:t>
      </w:r>
      <w:r>
        <w:rPr>
          <w:rFonts w:ascii="Aptos" w:eastAsia="Aptos" w:hAnsi="Aptos" w:cs="Aptos"/>
          <w:vertAlign w:val="subscript"/>
        </w:rPr>
        <w:t>4</w:t>
      </w:r>
      <w:r>
        <w:rPr>
          <w:rFonts w:ascii="Aptos" w:eastAsia="Aptos" w:hAnsi="Aptos" w:cs="Aptos"/>
        </w:rPr>
        <w:t xml:space="preserve"> (65%), HNO</w:t>
      </w:r>
      <w:r>
        <w:rPr>
          <w:rFonts w:ascii="Aptos" w:eastAsia="Aptos" w:hAnsi="Aptos" w:cs="Aptos"/>
          <w:vertAlign w:val="subscript"/>
        </w:rPr>
        <w:t>3</w:t>
      </w:r>
      <w:r>
        <w:rPr>
          <w:rFonts w:ascii="Aptos" w:eastAsia="Aptos" w:hAnsi="Aptos" w:cs="Aptos"/>
        </w:rPr>
        <w:t xml:space="preserve"> (70%) and H2SO</w:t>
      </w:r>
      <w:r>
        <w:rPr>
          <w:rFonts w:ascii="Aptos" w:eastAsia="Aptos" w:hAnsi="Aptos" w:cs="Aptos"/>
          <w:vertAlign w:val="subscript"/>
        </w:rPr>
        <w:t>4</w:t>
      </w:r>
      <w:r>
        <w:rPr>
          <w:rFonts w:ascii="Aptos" w:eastAsia="Aptos" w:hAnsi="Aptos" w:cs="Aptos"/>
        </w:rPr>
        <w:t xml:space="preserve"> (98%) in teflon bombs (4 hours at 150 °C). Bioavailable P was extracted in NaHCO</w:t>
      </w:r>
      <w:r>
        <w:rPr>
          <w:rFonts w:ascii="Aptos" w:eastAsia="Aptos" w:hAnsi="Aptos" w:cs="Aptos"/>
          <w:vertAlign w:val="subscript"/>
        </w:rPr>
        <w:t>3</w:t>
      </w:r>
      <w:r>
        <w:rPr>
          <w:rFonts w:ascii="Aptos" w:eastAsia="Aptos" w:hAnsi="Aptos" w:cs="Aptos"/>
        </w:rPr>
        <w:t xml:space="preserve"> (P-Olsen; according to ISO 11263:1994(E)). Colorimetric measurements of both total and available P-concentrations were done according to the malachite green procedure (Lajtha et al. 1999). All soil nutrient analyses were carried out at the Forest and Nature Lab of Ghent University.</w:t>
      </w:r>
    </w:p>
    <w:p w14:paraId="66518B89" w14:textId="77777777" w:rsidR="008B7EAD" w:rsidRDefault="009420B2">
      <w:pPr>
        <w:numPr>
          <w:ilvl w:val="1"/>
          <w:numId w:val="4"/>
        </w:numPr>
        <w:pBdr>
          <w:top w:val="nil"/>
          <w:left w:val="nil"/>
          <w:bottom w:val="nil"/>
          <w:right w:val="nil"/>
          <w:between w:val="nil"/>
        </w:pBdr>
        <w:spacing w:line="480" w:lineRule="auto"/>
        <w:jc w:val="both"/>
        <w:rPr>
          <w:rFonts w:ascii="Aptos" w:eastAsia="Aptos" w:hAnsi="Aptos" w:cs="Aptos"/>
          <w:b/>
          <w:color w:val="000000"/>
        </w:rPr>
      </w:pPr>
      <w:r>
        <w:rPr>
          <w:rFonts w:ascii="Aptos" w:eastAsia="Aptos" w:hAnsi="Aptos" w:cs="Aptos"/>
          <w:b/>
          <w:color w:val="000000"/>
        </w:rPr>
        <w:lastRenderedPageBreak/>
        <w:t xml:space="preserve">Soil microbial biomass </w:t>
      </w:r>
    </w:p>
    <w:p w14:paraId="2292F225" w14:textId="7792965E" w:rsidR="006B5C48" w:rsidRDefault="009420B2">
      <w:pPr>
        <w:spacing w:line="480" w:lineRule="auto"/>
        <w:jc w:val="both"/>
        <w:rPr>
          <w:rFonts w:ascii="Aptos" w:eastAsia="Aptos" w:hAnsi="Aptos" w:cs="Aptos"/>
        </w:rPr>
      </w:pPr>
      <w:r>
        <w:rPr>
          <w:rFonts w:ascii="Aptos" w:eastAsia="Aptos" w:hAnsi="Aptos" w:cs="Aptos"/>
        </w:rPr>
        <w:t>As representatives of the microbial size class, we quantified fungal and bacterial biomass by phospholipid and neutral lipid fatty-acid analysis (Frostegård et al.</w:t>
      </w:r>
      <w:r w:rsidR="00D4404B">
        <w:rPr>
          <w:rFonts w:ascii="Aptos" w:eastAsia="Aptos" w:hAnsi="Aptos" w:cs="Aptos"/>
        </w:rPr>
        <w:t xml:space="preserve"> </w:t>
      </w:r>
      <w:r>
        <w:rPr>
          <w:rFonts w:ascii="Aptos" w:eastAsia="Aptos" w:hAnsi="Aptos" w:cs="Aptos"/>
        </w:rPr>
        <w:t xml:space="preserve">1991). Prior to analysis, </w:t>
      </w:r>
      <w:r w:rsidR="00B02EA7">
        <w:rPr>
          <w:rFonts w:ascii="Aptos" w:eastAsia="Aptos" w:hAnsi="Aptos" w:cs="Aptos"/>
        </w:rPr>
        <w:t xml:space="preserve">soil </w:t>
      </w:r>
      <w:r>
        <w:rPr>
          <w:rFonts w:ascii="Aptos" w:eastAsia="Aptos" w:hAnsi="Aptos" w:cs="Aptos"/>
        </w:rPr>
        <w:t xml:space="preserve">samples were freeze-dried for 5 days and homogenized. </w:t>
      </w:r>
      <w:r w:rsidR="00CF0FE5">
        <w:rPr>
          <w:rFonts w:ascii="Aptos" w:eastAsia="Aptos" w:hAnsi="Aptos" w:cs="Aptos"/>
        </w:rPr>
        <w:t xml:space="preserve">Phospholipids </w:t>
      </w:r>
      <w:r w:rsidR="00B02EA7">
        <w:rPr>
          <w:rFonts w:ascii="Aptos" w:eastAsia="Aptos" w:hAnsi="Aptos" w:cs="Aptos"/>
        </w:rPr>
        <w:t xml:space="preserve">were extracted from 2 grams of freeze-dried soil </w:t>
      </w:r>
      <w:r w:rsidR="00275FED">
        <w:rPr>
          <w:rFonts w:ascii="Aptos" w:eastAsia="Aptos" w:hAnsi="Aptos" w:cs="Aptos"/>
        </w:rPr>
        <w:t xml:space="preserve">with a Bligh &amp; Dyer solution (Chloroform:MeOH:citrate buffer 1:2:0.8 v/v/v) twice, first with 10 and then with 5 ml. </w:t>
      </w:r>
      <w:r w:rsidR="003C2DBC">
        <w:rPr>
          <w:rFonts w:ascii="Aptos" w:eastAsia="Aptos" w:hAnsi="Aptos" w:cs="Aptos"/>
        </w:rPr>
        <w:t xml:space="preserve">Subsequently, the obtained supernatant was dissolved in 4 ml chloroform and 4 ml citrate buffer to split phases (Bligh </w:t>
      </w:r>
      <w:r w:rsidR="00A53C80">
        <w:rPr>
          <w:rFonts w:ascii="Aptos" w:eastAsia="Aptos" w:hAnsi="Aptos" w:cs="Aptos"/>
        </w:rPr>
        <w:t>and</w:t>
      </w:r>
      <w:r w:rsidR="003C2DBC">
        <w:rPr>
          <w:rFonts w:ascii="Aptos" w:eastAsia="Aptos" w:hAnsi="Aptos" w:cs="Aptos"/>
        </w:rPr>
        <w:t xml:space="preserve"> Dyer 1959).</w:t>
      </w:r>
      <w:r w:rsidR="00D75900">
        <w:rPr>
          <w:rFonts w:ascii="Aptos" w:eastAsia="Aptos" w:hAnsi="Aptos" w:cs="Aptos"/>
        </w:rPr>
        <w:t xml:space="preserve"> The l</w:t>
      </w:r>
      <w:r w:rsidR="00BD389B">
        <w:rPr>
          <w:rFonts w:ascii="Aptos" w:eastAsia="Aptos" w:hAnsi="Aptos" w:cs="Aptos"/>
        </w:rPr>
        <w:t>ipid</w:t>
      </w:r>
      <w:r w:rsidR="00D75900">
        <w:rPr>
          <w:rFonts w:ascii="Aptos" w:eastAsia="Aptos" w:hAnsi="Aptos" w:cs="Aptos"/>
        </w:rPr>
        <w:t xml:space="preserve"> phase was</w:t>
      </w:r>
      <w:r w:rsidR="00BD389B">
        <w:rPr>
          <w:rFonts w:ascii="Aptos" w:eastAsia="Aptos" w:hAnsi="Aptos" w:cs="Aptos"/>
        </w:rPr>
        <w:t xml:space="preserve"> then fractionated </w:t>
      </w:r>
      <w:r w:rsidR="0096136D">
        <w:rPr>
          <w:rFonts w:ascii="Aptos" w:eastAsia="Aptos" w:hAnsi="Aptos" w:cs="Aptos"/>
        </w:rPr>
        <w:t xml:space="preserve">by adding </w:t>
      </w:r>
      <w:r w:rsidR="00BD389B">
        <w:rPr>
          <w:rFonts w:ascii="Aptos" w:eastAsia="Aptos" w:hAnsi="Aptos" w:cs="Aptos"/>
        </w:rPr>
        <w:t xml:space="preserve">chloroform </w:t>
      </w:r>
      <w:r w:rsidR="0034575C">
        <w:rPr>
          <w:rFonts w:ascii="Aptos" w:eastAsia="Aptos" w:hAnsi="Aptos" w:cs="Aptos"/>
        </w:rPr>
        <w:t xml:space="preserve">to extract non-polar lipids and methanol to extract </w:t>
      </w:r>
      <w:r w:rsidR="0096136D">
        <w:rPr>
          <w:rFonts w:ascii="Aptos" w:eastAsia="Aptos" w:hAnsi="Aptos" w:cs="Aptos"/>
        </w:rPr>
        <w:t xml:space="preserve">polar lipids on SPE Bond Elut 1cc LRC-SI columns from Agilent (USA). Both fractions were dried using a RapidVap Vacuum Evaporator System (Labconco, USA) and derivatized into fatty acid methyl esters: neutral-lipid fatty acids (NLFAs) from the chloroform fraction and polar-lipid fatty acids (PLFAs) from the methanol fraction. An internal standard was added (FAME standard mix C12:0 sigma 61689 and C19:0 sigma N5377) </w:t>
      </w:r>
      <w:r w:rsidR="00FE330D">
        <w:rPr>
          <w:rFonts w:ascii="Aptos" w:eastAsia="Aptos" w:hAnsi="Aptos" w:cs="Aptos"/>
        </w:rPr>
        <w:t xml:space="preserve">to </w:t>
      </w:r>
      <w:r w:rsidR="00D75900">
        <w:rPr>
          <w:rFonts w:ascii="Aptos" w:eastAsia="Aptos" w:hAnsi="Aptos" w:cs="Aptos"/>
        </w:rPr>
        <w:t xml:space="preserve">be able to </w:t>
      </w:r>
      <w:r w:rsidR="00FE330D">
        <w:rPr>
          <w:rFonts w:ascii="Aptos" w:eastAsia="Aptos" w:hAnsi="Aptos" w:cs="Aptos"/>
        </w:rPr>
        <w:t>calculate concentrations into µg per gram of freeze-dried soil</w:t>
      </w:r>
      <w:r w:rsidR="00D75900">
        <w:rPr>
          <w:rFonts w:ascii="Aptos" w:eastAsia="Aptos" w:hAnsi="Aptos" w:cs="Aptos"/>
        </w:rPr>
        <w:t>.</w:t>
      </w:r>
      <w:r w:rsidR="00FE330D">
        <w:rPr>
          <w:rFonts w:ascii="Aptos" w:eastAsia="Aptos" w:hAnsi="Aptos" w:cs="Aptos"/>
        </w:rPr>
        <w:t xml:space="preserve"> </w:t>
      </w:r>
      <w:r w:rsidR="00D75900">
        <w:rPr>
          <w:rFonts w:ascii="Aptos" w:eastAsia="Aptos" w:hAnsi="Aptos" w:cs="Aptos"/>
        </w:rPr>
        <w:t>PLFAs and NLFAs were measured separately on a gras-chromatograph with flame ionization detection (Agilent Technologies GC Sampler 80, USA).</w:t>
      </w:r>
      <w:r w:rsidR="00FE330D">
        <w:rPr>
          <w:rFonts w:ascii="Aptos" w:eastAsia="Aptos" w:hAnsi="Aptos" w:cs="Aptos"/>
        </w:rPr>
        <w:t xml:space="preserve"> </w:t>
      </w:r>
      <w:r w:rsidR="00D75900">
        <w:rPr>
          <w:rFonts w:ascii="Aptos" w:eastAsia="Aptos" w:hAnsi="Aptos" w:cs="Aptos"/>
        </w:rPr>
        <w:t xml:space="preserve">NLFA 16:1ω5 has shown to indicate arbuscular mycorrhizal (AM) fungal biomass, whereas different PLFAs have shown to indicate bacterial and fungal (e.g., ECM and saprotrophic) biomass (Olsson 1999; Olsson </w:t>
      </w:r>
      <w:r w:rsidR="00CD359F">
        <w:rPr>
          <w:rFonts w:ascii="Aptos" w:eastAsia="Aptos" w:hAnsi="Aptos" w:cs="Aptos"/>
        </w:rPr>
        <w:t>and</w:t>
      </w:r>
      <w:r w:rsidR="00D75900">
        <w:rPr>
          <w:rFonts w:ascii="Aptos" w:eastAsia="Aptos" w:hAnsi="Aptos" w:cs="Aptos"/>
        </w:rPr>
        <w:t xml:space="preserve"> Lekberg 2022; Zelles 1999) (Table A1.1).</w:t>
      </w:r>
    </w:p>
    <w:p w14:paraId="66518B8B" w14:textId="70CA3DB4" w:rsidR="008B7EAD" w:rsidRDefault="009420B2">
      <w:pPr>
        <w:pStyle w:val="Heading2"/>
        <w:jc w:val="both"/>
        <w:rPr>
          <w:rFonts w:ascii="Aptos" w:eastAsia="Aptos" w:hAnsi="Aptos" w:cs="Aptos"/>
          <w:i/>
          <w:color w:val="000000"/>
          <w:sz w:val="18"/>
          <w:szCs w:val="18"/>
        </w:rPr>
      </w:pPr>
      <w:bookmarkStart w:id="0" w:name="_gjdgxs" w:colFirst="0" w:colLast="0"/>
      <w:bookmarkEnd w:id="0"/>
      <w:r w:rsidRPr="008429FF">
        <w:rPr>
          <w:rFonts w:ascii="Aptos" w:eastAsia="Aptos" w:hAnsi="Aptos" w:cs="Aptos"/>
          <w:b/>
          <w:bCs/>
          <w:i/>
          <w:color w:val="000000"/>
          <w:sz w:val="18"/>
          <w:szCs w:val="18"/>
        </w:rPr>
        <w:t>Table A1.1</w:t>
      </w:r>
      <w:r>
        <w:rPr>
          <w:rFonts w:ascii="Aptos" w:eastAsia="Aptos" w:hAnsi="Aptos" w:cs="Aptos"/>
          <w:i/>
          <w:color w:val="000000"/>
          <w:sz w:val="18"/>
          <w:szCs w:val="18"/>
        </w:rPr>
        <w:t xml:space="preserve"> Fatty acids used as biomarkers. AM stands for arbuscular mycorrhizal</w:t>
      </w:r>
    </w:p>
    <w:p w14:paraId="66518B8C" w14:textId="77777777" w:rsidR="008B7EAD" w:rsidRDefault="008B7EAD">
      <w:pPr>
        <w:pStyle w:val="Heading2"/>
        <w:jc w:val="both"/>
        <w:rPr>
          <w:rFonts w:ascii="Aptos" w:eastAsia="Aptos" w:hAnsi="Aptos" w:cs="Aptos"/>
          <w:i/>
          <w:color w:val="000000"/>
          <w:sz w:val="18"/>
          <w:szCs w:val="18"/>
        </w:rPr>
      </w:pPr>
    </w:p>
    <w:tbl>
      <w:tblPr>
        <w:tblStyle w:val="a"/>
        <w:tblW w:w="8842" w:type="dxa"/>
        <w:tblBorders>
          <w:top w:val="nil"/>
          <w:left w:val="nil"/>
          <w:bottom w:val="nil"/>
          <w:right w:val="nil"/>
          <w:insideH w:val="nil"/>
          <w:insideV w:val="nil"/>
        </w:tblBorders>
        <w:tblLayout w:type="fixed"/>
        <w:tblLook w:val="0400" w:firstRow="0" w:lastRow="0" w:firstColumn="0" w:lastColumn="0" w:noHBand="0" w:noVBand="1"/>
      </w:tblPr>
      <w:tblGrid>
        <w:gridCol w:w="2052"/>
        <w:gridCol w:w="2905"/>
        <w:gridCol w:w="3885"/>
      </w:tblGrid>
      <w:tr w:rsidR="008B7EAD" w:rsidRPr="002A50BE" w14:paraId="66518B90" w14:textId="77777777">
        <w:trPr>
          <w:trHeight w:val="330"/>
        </w:trPr>
        <w:tc>
          <w:tcPr>
            <w:tcW w:w="2052" w:type="dxa"/>
            <w:tcBorders>
              <w:top w:val="single" w:sz="12" w:space="0" w:color="000000"/>
              <w:bottom w:val="single" w:sz="12" w:space="0" w:color="000000"/>
            </w:tcBorders>
          </w:tcPr>
          <w:p w14:paraId="66518B8D" w14:textId="77777777" w:rsidR="008B7EAD" w:rsidRPr="002A50BE" w:rsidRDefault="009420B2">
            <w:pPr>
              <w:spacing w:line="480" w:lineRule="auto"/>
              <w:jc w:val="both"/>
              <w:rPr>
                <w:rFonts w:ascii="Aptos" w:eastAsia="Aptos" w:hAnsi="Aptos" w:cs="Aptos"/>
                <w:b/>
                <w:sz w:val="18"/>
                <w:szCs w:val="18"/>
              </w:rPr>
            </w:pPr>
            <w:r w:rsidRPr="002A50BE">
              <w:rPr>
                <w:rFonts w:ascii="Aptos" w:eastAsia="Aptos" w:hAnsi="Aptos" w:cs="Aptos"/>
                <w:b/>
                <w:sz w:val="18"/>
                <w:szCs w:val="18"/>
              </w:rPr>
              <w:t>Organism</w:t>
            </w:r>
          </w:p>
        </w:tc>
        <w:tc>
          <w:tcPr>
            <w:tcW w:w="2905" w:type="dxa"/>
            <w:tcBorders>
              <w:top w:val="single" w:sz="12" w:space="0" w:color="000000"/>
              <w:bottom w:val="single" w:sz="12" w:space="0" w:color="000000"/>
            </w:tcBorders>
          </w:tcPr>
          <w:p w14:paraId="66518B8E" w14:textId="77777777" w:rsidR="008B7EAD" w:rsidRPr="002A50BE" w:rsidRDefault="009420B2">
            <w:pPr>
              <w:spacing w:line="480" w:lineRule="auto"/>
              <w:jc w:val="both"/>
              <w:rPr>
                <w:rFonts w:ascii="Aptos" w:eastAsia="Aptos" w:hAnsi="Aptos" w:cs="Aptos"/>
                <w:b/>
                <w:sz w:val="18"/>
                <w:szCs w:val="18"/>
              </w:rPr>
            </w:pPr>
            <w:r w:rsidRPr="002A50BE">
              <w:rPr>
                <w:rFonts w:ascii="Aptos" w:eastAsia="Aptos" w:hAnsi="Aptos" w:cs="Aptos"/>
                <w:b/>
                <w:sz w:val="18"/>
                <w:szCs w:val="18"/>
              </w:rPr>
              <w:t>Group</w:t>
            </w:r>
          </w:p>
        </w:tc>
        <w:tc>
          <w:tcPr>
            <w:tcW w:w="3885" w:type="dxa"/>
            <w:tcBorders>
              <w:top w:val="single" w:sz="12" w:space="0" w:color="000000"/>
              <w:bottom w:val="single" w:sz="12" w:space="0" w:color="000000"/>
            </w:tcBorders>
          </w:tcPr>
          <w:p w14:paraId="66518B8F" w14:textId="77777777" w:rsidR="008B7EAD" w:rsidRPr="002A50BE" w:rsidRDefault="009420B2">
            <w:pPr>
              <w:spacing w:line="480" w:lineRule="auto"/>
              <w:jc w:val="both"/>
              <w:rPr>
                <w:rFonts w:ascii="Aptos" w:eastAsia="Aptos" w:hAnsi="Aptos" w:cs="Aptos"/>
                <w:b/>
                <w:sz w:val="18"/>
                <w:szCs w:val="18"/>
              </w:rPr>
            </w:pPr>
            <w:r w:rsidRPr="002A50BE">
              <w:rPr>
                <w:rFonts w:ascii="Aptos" w:eastAsia="Aptos" w:hAnsi="Aptos" w:cs="Aptos"/>
                <w:b/>
                <w:sz w:val="18"/>
                <w:szCs w:val="18"/>
              </w:rPr>
              <w:t>Phospholipid fatty acids</w:t>
            </w:r>
          </w:p>
        </w:tc>
      </w:tr>
      <w:tr w:rsidR="008B7EAD" w:rsidRPr="002A50BE" w14:paraId="66518B94" w14:textId="77777777">
        <w:trPr>
          <w:trHeight w:val="406"/>
        </w:trPr>
        <w:tc>
          <w:tcPr>
            <w:tcW w:w="2052" w:type="dxa"/>
            <w:tcBorders>
              <w:top w:val="single" w:sz="12" w:space="0" w:color="000000"/>
            </w:tcBorders>
          </w:tcPr>
          <w:p w14:paraId="66518B91" w14:textId="77777777" w:rsidR="008B7EAD" w:rsidRPr="002A50BE" w:rsidRDefault="009420B2">
            <w:pPr>
              <w:spacing w:line="480" w:lineRule="auto"/>
              <w:jc w:val="both"/>
              <w:rPr>
                <w:rFonts w:ascii="Aptos" w:eastAsia="Aptos" w:hAnsi="Aptos" w:cs="Aptos"/>
                <w:b/>
                <w:sz w:val="18"/>
                <w:szCs w:val="18"/>
              </w:rPr>
            </w:pPr>
            <w:r w:rsidRPr="002A50BE">
              <w:rPr>
                <w:rFonts w:ascii="Aptos" w:eastAsia="Aptos" w:hAnsi="Aptos" w:cs="Aptos"/>
                <w:b/>
                <w:sz w:val="18"/>
                <w:szCs w:val="18"/>
              </w:rPr>
              <w:t>Bacteria</w:t>
            </w:r>
          </w:p>
        </w:tc>
        <w:tc>
          <w:tcPr>
            <w:tcW w:w="2905" w:type="dxa"/>
            <w:tcBorders>
              <w:top w:val="single" w:sz="12" w:space="0" w:color="000000"/>
            </w:tcBorders>
          </w:tcPr>
          <w:p w14:paraId="66518B92" w14:textId="77777777" w:rsidR="008B7EAD" w:rsidRPr="002A50BE" w:rsidRDefault="009420B2">
            <w:pPr>
              <w:spacing w:line="480" w:lineRule="auto"/>
              <w:jc w:val="both"/>
              <w:rPr>
                <w:rFonts w:ascii="Aptos" w:eastAsia="Aptos" w:hAnsi="Aptos" w:cs="Aptos"/>
                <w:sz w:val="18"/>
                <w:szCs w:val="18"/>
              </w:rPr>
            </w:pPr>
            <w:r w:rsidRPr="002A50BE">
              <w:rPr>
                <w:rFonts w:ascii="Aptos" w:eastAsia="Aptos" w:hAnsi="Aptos" w:cs="Aptos"/>
                <w:sz w:val="18"/>
                <w:szCs w:val="18"/>
              </w:rPr>
              <w:t>Firmicutes (gram-positive)</w:t>
            </w:r>
          </w:p>
        </w:tc>
        <w:tc>
          <w:tcPr>
            <w:tcW w:w="3885" w:type="dxa"/>
            <w:tcBorders>
              <w:top w:val="single" w:sz="12" w:space="0" w:color="000000"/>
            </w:tcBorders>
          </w:tcPr>
          <w:p w14:paraId="66518B93" w14:textId="77777777" w:rsidR="008B7EAD" w:rsidRPr="002A50BE" w:rsidRDefault="009420B2">
            <w:pPr>
              <w:spacing w:line="480" w:lineRule="auto"/>
              <w:jc w:val="both"/>
              <w:rPr>
                <w:rFonts w:ascii="Aptos" w:eastAsia="Aptos" w:hAnsi="Aptos" w:cs="Aptos"/>
                <w:sz w:val="18"/>
                <w:szCs w:val="18"/>
              </w:rPr>
            </w:pPr>
            <w:r w:rsidRPr="002A50BE">
              <w:rPr>
                <w:rFonts w:ascii="Aptos" w:eastAsia="Aptos" w:hAnsi="Aptos" w:cs="Aptos"/>
                <w:sz w:val="18"/>
                <w:szCs w:val="18"/>
              </w:rPr>
              <w:t>i14:0, i15:0, a15:0, i16:0, i17:0, a17:0</w:t>
            </w:r>
          </w:p>
        </w:tc>
      </w:tr>
      <w:tr w:rsidR="008B7EAD" w:rsidRPr="002A50BE" w14:paraId="66518B98" w14:textId="77777777">
        <w:trPr>
          <w:trHeight w:val="390"/>
        </w:trPr>
        <w:tc>
          <w:tcPr>
            <w:tcW w:w="2052" w:type="dxa"/>
          </w:tcPr>
          <w:p w14:paraId="66518B95" w14:textId="77777777" w:rsidR="008B7EAD" w:rsidRPr="002A50BE" w:rsidRDefault="008B7EAD">
            <w:pPr>
              <w:spacing w:line="480" w:lineRule="auto"/>
              <w:jc w:val="both"/>
              <w:rPr>
                <w:rFonts w:ascii="Aptos" w:eastAsia="Aptos" w:hAnsi="Aptos" w:cs="Aptos"/>
                <w:b/>
                <w:sz w:val="18"/>
                <w:szCs w:val="18"/>
              </w:rPr>
            </w:pPr>
          </w:p>
        </w:tc>
        <w:tc>
          <w:tcPr>
            <w:tcW w:w="2905" w:type="dxa"/>
          </w:tcPr>
          <w:p w14:paraId="66518B96" w14:textId="77777777" w:rsidR="008B7EAD" w:rsidRPr="002A50BE" w:rsidRDefault="009420B2">
            <w:pPr>
              <w:spacing w:line="480" w:lineRule="auto"/>
              <w:jc w:val="both"/>
              <w:rPr>
                <w:rFonts w:ascii="Aptos" w:eastAsia="Aptos" w:hAnsi="Aptos" w:cs="Aptos"/>
                <w:sz w:val="18"/>
                <w:szCs w:val="18"/>
              </w:rPr>
            </w:pPr>
            <w:r w:rsidRPr="002A50BE">
              <w:rPr>
                <w:rFonts w:ascii="Aptos" w:eastAsia="Aptos" w:hAnsi="Aptos" w:cs="Aptos"/>
                <w:sz w:val="18"/>
                <w:szCs w:val="18"/>
              </w:rPr>
              <w:t>Actinobacteria (gram-positive)</w:t>
            </w:r>
          </w:p>
        </w:tc>
        <w:tc>
          <w:tcPr>
            <w:tcW w:w="3885" w:type="dxa"/>
          </w:tcPr>
          <w:p w14:paraId="66518B97" w14:textId="77777777" w:rsidR="008B7EAD" w:rsidRPr="002A50BE" w:rsidRDefault="009420B2">
            <w:pPr>
              <w:spacing w:line="480" w:lineRule="auto"/>
              <w:jc w:val="both"/>
              <w:rPr>
                <w:rFonts w:ascii="Aptos" w:eastAsia="Aptos" w:hAnsi="Aptos" w:cs="Aptos"/>
                <w:sz w:val="18"/>
                <w:szCs w:val="18"/>
              </w:rPr>
            </w:pPr>
            <w:r w:rsidRPr="002A50BE">
              <w:rPr>
                <w:rFonts w:ascii="Aptos" w:eastAsia="Aptos" w:hAnsi="Aptos" w:cs="Aptos"/>
                <w:sz w:val="18"/>
                <w:szCs w:val="18"/>
              </w:rPr>
              <w:t>10Me16:0, 10Me17:0, 10Me18:0</w:t>
            </w:r>
          </w:p>
        </w:tc>
      </w:tr>
      <w:tr w:rsidR="008B7EAD" w:rsidRPr="002A50BE" w14:paraId="66518B9C" w14:textId="77777777">
        <w:trPr>
          <w:trHeight w:val="406"/>
        </w:trPr>
        <w:tc>
          <w:tcPr>
            <w:tcW w:w="2052" w:type="dxa"/>
          </w:tcPr>
          <w:p w14:paraId="66518B99" w14:textId="77777777" w:rsidR="008B7EAD" w:rsidRPr="002A50BE" w:rsidRDefault="008B7EAD">
            <w:pPr>
              <w:spacing w:line="480" w:lineRule="auto"/>
              <w:jc w:val="both"/>
              <w:rPr>
                <w:rFonts w:ascii="Aptos" w:eastAsia="Aptos" w:hAnsi="Aptos" w:cs="Aptos"/>
                <w:sz w:val="18"/>
                <w:szCs w:val="18"/>
              </w:rPr>
            </w:pPr>
          </w:p>
        </w:tc>
        <w:tc>
          <w:tcPr>
            <w:tcW w:w="2905" w:type="dxa"/>
          </w:tcPr>
          <w:p w14:paraId="66518B9A" w14:textId="77777777" w:rsidR="008B7EAD" w:rsidRPr="002A50BE" w:rsidRDefault="009420B2">
            <w:pPr>
              <w:spacing w:line="480" w:lineRule="auto"/>
              <w:jc w:val="both"/>
              <w:rPr>
                <w:rFonts w:ascii="Aptos" w:eastAsia="Aptos" w:hAnsi="Aptos" w:cs="Aptos"/>
                <w:sz w:val="18"/>
                <w:szCs w:val="18"/>
              </w:rPr>
            </w:pPr>
            <w:r w:rsidRPr="002A50BE">
              <w:rPr>
                <w:rFonts w:ascii="Aptos" w:eastAsia="Aptos" w:hAnsi="Aptos" w:cs="Aptos"/>
                <w:sz w:val="18"/>
                <w:szCs w:val="18"/>
              </w:rPr>
              <w:t>Gram negative</w:t>
            </w:r>
          </w:p>
        </w:tc>
        <w:tc>
          <w:tcPr>
            <w:tcW w:w="3885" w:type="dxa"/>
          </w:tcPr>
          <w:p w14:paraId="66518B9B" w14:textId="77777777" w:rsidR="008B7EAD" w:rsidRPr="002A50BE" w:rsidRDefault="009420B2">
            <w:pPr>
              <w:spacing w:line="480" w:lineRule="auto"/>
              <w:jc w:val="both"/>
              <w:rPr>
                <w:rFonts w:ascii="Aptos" w:eastAsia="Aptos" w:hAnsi="Aptos" w:cs="Aptos"/>
                <w:sz w:val="18"/>
                <w:szCs w:val="18"/>
              </w:rPr>
            </w:pPr>
            <w:bookmarkStart w:id="1" w:name="_30j0zll" w:colFirst="0" w:colLast="0"/>
            <w:bookmarkEnd w:id="1"/>
            <w:r w:rsidRPr="002A50BE">
              <w:rPr>
                <w:rFonts w:ascii="Aptos" w:eastAsia="Aptos" w:hAnsi="Aptos" w:cs="Aptos"/>
                <w:sz w:val="18"/>
                <w:szCs w:val="18"/>
              </w:rPr>
              <w:t>16:1ω7c, 18:1ω7c, cy17:0</w:t>
            </w:r>
          </w:p>
        </w:tc>
      </w:tr>
      <w:tr w:rsidR="008B7EAD" w:rsidRPr="002A50BE" w14:paraId="66518BA0" w14:textId="77777777">
        <w:trPr>
          <w:trHeight w:val="390"/>
        </w:trPr>
        <w:tc>
          <w:tcPr>
            <w:tcW w:w="2052" w:type="dxa"/>
          </w:tcPr>
          <w:p w14:paraId="66518B9D" w14:textId="77777777" w:rsidR="008B7EAD" w:rsidRPr="002A50BE" w:rsidRDefault="009420B2">
            <w:pPr>
              <w:spacing w:line="480" w:lineRule="auto"/>
              <w:jc w:val="both"/>
              <w:rPr>
                <w:rFonts w:ascii="Aptos" w:eastAsia="Aptos" w:hAnsi="Aptos" w:cs="Aptos"/>
                <w:b/>
                <w:sz w:val="18"/>
                <w:szCs w:val="18"/>
              </w:rPr>
            </w:pPr>
            <w:r w:rsidRPr="002A50BE">
              <w:rPr>
                <w:rFonts w:ascii="Aptos" w:eastAsia="Aptos" w:hAnsi="Aptos" w:cs="Aptos"/>
                <w:b/>
                <w:sz w:val="18"/>
                <w:szCs w:val="18"/>
              </w:rPr>
              <w:t>Fungi</w:t>
            </w:r>
          </w:p>
        </w:tc>
        <w:tc>
          <w:tcPr>
            <w:tcW w:w="2905" w:type="dxa"/>
          </w:tcPr>
          <w:p w14:paraId="66518B9E" w14:textId="77777777" w:rsidR="008B7EAD" w:rsidRPr="002A50BE" w:rsidRDefault="009420B2">
            <w:pPr>
              <w:spacing w:line="480" w:lineRule="auto"/>
              <w:jc w:val="both"/>
              <w:rPr>
                <w:rFonts w:ascii="Aptos" w:eastAsia="Aptos" w:hAnsi="Aptos" w:cs="Aptos"/>
                <w:sz w:val="18"/>
                <w:szCs w:val="18"/>
              </w:rPr>
            </w:pPr>
            <w:r w:rsidRPr="002A50BE">
              <w:rPr>
                <w:rFonts w:ascii="Aptos" w:eastAsia="Aptos" w:hAnsi="Aptos" w:cs="Aptos"/>
                <w:sz w:val="18"/>
                <w:szCs w:val="18"/>
              </w:rPr>
              <w:t>AM fungi</w:t>
            </w:r>
          </w:p>
        </w:tc>
        <w:tc>
          <w:tcPr>
            <w:tcW w:w="3885" w:type="dxa"/>
          </w:tcPr>
          <w:p w14:paraId="66518B9F" w14:textId="77777777" w:rsidR="008B7EAD" w:rsidRPr="002A50BE" w:rsidRDefault="009420B2">
            <w:pPr>
              <w:spacing w:line="480" w:lineRule="auto"/>
              <w:jc w:val="both"/>
              <w:rPr>
                <w:rFonts w:ascii="Aptos" w:eastAsia="Aptos" w:hAnsi="Aptos" w:cs="Aptos"/>
                <w:sz w:val="18"/>
                <w:szCs w:val="18"/>
              </w:rPr>
            </w:pPr>
            <w:r w:rsidRPr="002A50BE">
              <w:rPr>
                <w:rFonts w:ascii="Aptos" w:eastAsia="Aptos" w:hAnsi="Aptos" w:cs="Aptos"/>
                <w:sz w:val="18"/>
                <w:szCs w:val="18"/>
              </w:rPr>
              <w:t>16:1ω5c (from NLFA)</w:t>
            </w:r>
          </w:p>
        </w:tc>
      </w:tr>
      <w:tr w:rsidR="008B7EAD" w:rsidRPr="002A50BE" w14:paraId="66518BA4" w14:textId="77777777">
        <w:trPr>
          <w:trHeight w:val="406"/>
        </w:trPr>
        <w:tc>
          <w:tcPr>
            <w:tcW w:w="2052" w:type="dxa"/>
            <w:tcBorders>
              <w:bottom w:val="single" w:sz="12" w:space="0" w:color="000000"/>
            </w:tcBorders>
          </w:tcPr>
          <w:p w14:paraId="66518BA1" w14:textId="77777777" w:rsidR="008B7EAD" w:rsidRPr="002A50BE" w:rsidRDefault="008B7EAD">
            <w:pPr>
              <w:spacing w:line="480" w:lineRule="auto"/>
              <w:jc w:val="both"/>
              <w:rPr>
                <w:rFonts w:ascii="Aptos" w:eastAsia="Aptos" w:hAnsi="Aptos" w:cs="Aptos"/>
                <w:b/>
                <w:sz w:val="18"/>
                <w:szCs w:val="18"/>
              </w:rPr>
            </w:pPr>
            <w:bookmarkStart w:id="2" w:name="_1fob9te" w:colFirst="0" w:colLast="0"/>
            <w:bookmarkEnd w:id="2"/>
          </w:p>
        </w:tc>
        <w:tc>
          <w:tcPr>
            <w:tcW w:w="2905" w:type="dxa"/>
            <w:tcBorders>
              <w:bottom w:val="single" w:sz="12" w:space="0" w:color="000000"/>
            </w:tcBorders>
          </w:tcPr>
          <w:p w14:paraId="66518BA2" w14:textId="77777777" w:rsidR="008B7EAD" w:rsidRPr="002A50BE" w:rsidRDefault="009420B2">
            <w:pPr>
              <w:spacing w:line="480" w:lineRule="auto"/>
              <w:jc w:val="both"/>
              <w:rPr>
                <w:rFonts w:ascii="Aptos" w:eastAsia="Aptos" w:hAnsi="Aptos" w:cs="Aptos"/>
                <w:sz w:val="18"/>
                <w:szCs w:val="18"/>
              </w:rPr>
            </w:pPr>
            <w:r w:rsidRPr="002A50BE">
              <w:rPr>
                <w:rFonts w:ascii="Aptos" w:eastAsia="Aptos" w:hAnsi="Aptos" w:cs="Aptos"/>
                <w:sz w:val="18"/>
                <w:szCs w:val="18"/>
              </w:rPr>
              <w:t>Non-AM fungi</w:t>
            </w:r>
          </w:p>
        </w:tc>
        <w:tc>
          <w:tcPr>
            <w:tcW w:w="3885" w:type="dxa"/>
            <w:tcBorders>
              <w:bottom w:val="single" w:sz="12" w:space="0" w:color="000000"/>
            </w:tcBorders>
          </w:tcPr>
          <w:p w14:paraId="66518BA3" w14:textId="77777777" w:rsidR="008B7EAD" w:rsidRPr="002A50BE" w:rsidRDefault="009420B2">
            <w:pPr>
              <w:spacing w:line="480" w:lineRule="auto"/>
              <w:jc w:val="both"/>
              <w:rPr>
                <w:rFonts w:ascii="Aptos" w:eastAsia="Aptos" w:hAnsi="Aptos" w:cs="Aptos"/>
                <w:sz w:val="18"/>
                <w:szCs w:val="18"/>
              </w:rPr>
            </w:pPr>
            <w:r w:rsidRPr="002A50BE">
              <w:rPr>
                <w:rFonts w:ascii="Aptos" w:eastAsia="Aptos" w:hAnsi="Aptos" w:cs="Aptos"/>
                <w:sz w:val="18"/>
                <w:szCs w:val="18"/>
              </w:rPr>
              <w:t>18:2ω6</w:t>
            </w:r>
          </w:p>
        </w:tc>
      </w:tr>
    </w:tbl>
    <w:p w14:paraId="66518BA5" w14:textId="77777777" w:rsidR="008B7EAD" w:rsidRDefault="008B7EAD">
      <w:pPr>
        <w:spacing w:line="480" w:lineRule="auto"/>
        <w:jc w:val="both"/>
        <w:rPr>
          <w:rFonts w:ascii="Aptos" w:eastAsia="Aptos" w:hAnsi="Aptos" w:cs="Aptos"/>
        </w:rPr>
      </w:pPr>
    </w:p>
    <w:p w14:paraId="66518BA6" w14:textId="77777777" w:rsidR="008B7EAD" w:rsidRDefault="009420B2">
      <w:pPr>
        <w:numPr>
          <w:ilvl w:val="1"/>
          <w:numId w:val="4"/>
        </w:numPr>
        <w:pBdr>
          <w:top w:val="nil"/>
          <w:left w:val="nil"/>
          <w:bottom w:val="nil"/>
          <w:right w:val="nil"/>
          <w:between w:val="nil"/>
        </w:pBdr>
        <w:spacing w:line="480" w:lineRule="auto"/>
        <w:jc w:val="both"/>
        <w:rPr>
          <w:rFonts w:ascii="Aptos" w:eastAsia="Aptos" w:hAnsi="Aptos" w:cs="Aptos"/>
          <w:b/>
          <w:color w:val="000000"/>
        </w:rPr>
      </w:pPr>
      <w:r>
        <w:rPr>
          <w:rFonts w:ascii="Aptos" w:eastAsia="Aptos" w:hAnsi="Aptos" w:cs="Aptos"/>
          <w:b/>
          <w:color w:val="000000"/>
        </w:rPr>
        <w:lastRenderedPageBreak/>
        <w:t xml:space="preserve">Soil faunal abundance </w:t>
      </w:r>
    </w:p>
    <w:p w14:paraId="66518BA7" w14:textId="7BE47C13" w:rsidR="008B7EAD" w:rsidRDefault="009420B2">
      <w:pPr>
        <w:spacing w:line="480" w:lineRule="auto"/>
        <w:jc w:val="both"/>
        <w:rPr>
          <w:rFonts w:ascii="Aptos" w:eastAsia="Aptos" w:hAnsi="Aptos" w:cs="Aptos"/>
        </w:rPr>
      </w:pPr>
      <w:r>
        <w:rPr>
          <w:rFonts w:ascii="Aptos" w:eastAsia="Aptos" w:hAnsi="Aptos" w:cs="Aptos"/>
        </w:rPr>
        <w:t xml:space="preserve">As representatives of the larger (meso- and macrofaunal) decomposer community we quantified springtails (Collembola) and mites (Sarcoptiformes, Mesostigmata and Trombidiformes) and earthworms (Lumbricidae). Springtails and mites were retrieved from 6 cm x 9 cm cylindrical cores taken from three of the six 5x5 m plots using a Tullgren-Berlese funnel at the Free University of Amsterdam (Straalen </w:t>
      </w:r>
      <w:r w:rsidR="00A53C80">
        <w:rPr>
          <w:rFonts w:ascii="Aptos" w:eastAsia="Aptos" w:hAnsi="Aptos" w:cs="Aptos"/>
        </w:rPr>
        <w:t>and</w:t>
      </w:r>
      <w:r>
        <w:rPr>
          <w:rFonts w:ascii="Aptos" w:eastAsia="Aptos" w:hAnsi="Aptos" w:cs="Aptos"/>
        </w:rPr>
        <w:t xml:space="preserve"> Rijninks 1982). The top of the sample was heated up to 30 °C whil</w:t>
      </w:r>
      <w:r w:rsidR="002959C8">
        <w:rPr>
          <w:rFonts w:ascii="Aptos" w:eastAsia="Aptos" w:hAnsi="Aptos" w:cs="Aptos"/>
        </w:rPr>
        <w:t>e</w:t>
      </w:r>
      <w:r>
        <w:rPr>
          <w:rFonts w:ascii="Aptos" w:eastAsia="Aptos" w:hAnsi="Aptos" w:cs="Aptos"/>
        </w:rPr>
        <w:t xml:space="preserve"> the bottom of the sample was cooled to 5 °C in closed-off climate chambers. The soil fauna passing through the funnel was collected in a 70% ethanol solution. Extraction in the Tullgren-Berlese funnel lasted three weeks and afterwards samples were stored at 4 °C. Complete samples were counted using a stereomicroscope and grouped under springtails, oribatid mites and other (mesostigmatic and prostigmatic) mites. Total counts were divided by the mass of the dried sample and expressed as number of micro-arthropods per gram of dry soil.</w:t>
      </w:r>
    </w:p>
    <w:p w14:paraId="66518BA8" w14:textId="75FC1468" w:rsidR="008B7EAD" w:rsidRDefault="009420B2" w:rsidP="00CF2917">
      <w:pPr>
        <w:spacing w:line="480" w:lineRule="auto"/>
        <w:jc w:val="both"/>
        <w:rPr>
          <w:rFonts w:ascii="Aptos" w:eastAsia="Aptos" w:hAnsi="Aptos" w:cs="Aptos"/>
        </w:rPr>
      </w:pPr>
      <w:r>
        <w:rPr>
          <w:rFonts w:ascii="Aptos" w:eastAsia="Aptos" w:hAnsi="Aptos" w:cs="Aptos"/>
        </w:rPr>
        <w:t>Earthworms were collected in the field in October and November of 2022 in three of the six plots. Within 0.1 m</w:t>
      </w:r>
      <w:r>
        <w:rPr>
          <w:rFonts w:ascii="Aptos" w:eastAsia="Aptos" w:hAnsi="Aptos" w:cs="Aptos"/>
          <w:vertAlign w:val="superscript"/>
        </w:rPr>
        <w:t>2</w:t>
      </w:r>
      <w:r>
        <w:rPr>
          <w:rFonts w:ascii="Aptos" w:eastAsia="Aptos" w:hAnsi="Aptos" w:cs="Aptos"/>
        </w:rPr>
        <w:t xml:space="preserve">, the soil was excavated to a depth of 20 cm and hand-sorted for earthworms. </w:t>
      </w:r>
      <w:r w:rsidR="00D23871">
        <w:rPr>
          <w:rFonts w:ascii="Aptos" w:eastAsia="Aptos" w:hAnsi="Aptos" w:cs="Aptos"/>
        </w:rPr>
        <w:t>Simultaneously</w:t>
      </w:r>
      <w:r>
        <w:rPr>
          <w:rFonts w:ascii="Aptos" w:eastAsia="Aptos" w:hAnsi="Aptos" w:cs="Aptos"/>
        </w:rPr>
        <w:t>, a mustard powder solution (6 gr/L H</w:t>
      </w:r>
      <w:r>
        <w:rPr>
          <w:rFonts w:ascii="Aptos" w:eastAsia="Aptos" w:hAnsi="Aptos" w:cs="Aptos"/>
          <w:vertAlign w:val="subscript"/>
        </w:rPr>
        <w:t>2</w:t>
      </w:r>
      <w:r>
        <w:rPr>
          <w:rFonts w:ascii="Aptos" w:eastAsia="Aptos" w:hAnsi="Aptos" w:cs="Aptos"/>
        </w:rPr>
        <w:t>O) was poured into the pit for 50 minutes to attract deeper burrowing earthworms. All earthworms were fixed on 5% formaldehyde and later washed with and stored in 70% ethanol</w:t>
      </w:r>
      <w:r w:rsidR="00E90ECC">
        <w:rPr>
          <w:rFonts w:ascii="Aptos" w:eastAsia="Aptos" w:hAnsi="Aptos" w:cs="Aptos"/>
        </w:rPr>
        <w:t xml:space="preserve"> a</w:t>
      </w:r>
      <w:r>
        <w:rPr>
          <w:rFonts w:ascii="Aptos" w:eastAsia="Aptos" w:hAnsi="Aptos" w:cs="Aptos"/>
        </w:rPr>
        <w:t>t the Forest and Nature Lab of Ghent University</w:t>
      </w:r>
      <w:r w:rsidR="00E90ECC">
        <w:rPr>
          <w:rFonts w:ascii="Aptos" w:eastAsia="Aptos" w:hAnsi="Aptos" w:cs="Aptos"/>
        </w:rPr>
        <w:t>. Here,</w:t>
      </w:r>
      <w:r>
        <w:rPr>
          <w:rFonts w:ascii="Aptos" w:eastAsia="Aptos" w:hAnsi="Aptos" w:cs="Aptos"/>
        </w:rPr>
        <w:t xml:space="preserve"> earthworms were counted and weighted per plot and expressed as numbers or grams per m</w:t>
      </w:r>
      <w:r>
        <w:rPr>
          <w:rFonts w:ascii="Aptos" w:eastAsia="Aptos" w:hAnsi="Aptos" w:cs="Aptos"/>
          <w:vertAlign w:val="superscript"/>
        </w:rPr>
        <w:t>2</w:t>
      </w:r>
      <w:r>
        <w:rPr>
          <w:rFonts w:ascii="Aptos" w:eastAsia="Aptos" w:hAnsi="Aptos" w:cs="Aptos"/>
        </w:rPr>
        <w:t>.</w:t>
      </w:r>
    </w:p>
    <w:p w14:paraId="66518BA9" w14:textId="788508F2" w:rsidR="007A7A76" w:rsidRDefault="009420B2">
      <w:pPr>
        <w:rPr>
          <w:rFonts w:ascii="Aptos" w:eastAsia="Aptos" w:hAnsi="Aptos" w:cs="Aptos"/>
        </w:rPr>
      </w:pPr>
      <w:r>
        <w:rPr>
          <w:rFonts w:ascii="Aptos" w:eastAsia="Aptos" w:hAnsi="Aptos" w:cs="Aptos"/>
        </w:rPr>
        <w:br/>
      </w:r>
    </w:p>
    <w:p w14:paraId="6759BBC3" w14:textId="568FB46F" w:rsidR="008B7EAD" w:rsidRDefault="007A7A76">
      <w:pPr>
        <w:rPr>
          <w:rFonts w:ascii="Aptos" w:eastAsia="Aptos" w:hAnsi="Aptos" w:cs="Aptos"/>
        </w:rPr>
      </w:pPr>
      <w:r>
        <w:rPr>
          <w:rFonts w:ascii="Aptos" w:eastAsia="Aptos" w:hAnsi="Aptos" w:cs="Aptos"/>
        </w:rPr>
        <w:br w:type="page"/>
      </w:r>
    </w:p>
    <w:p w14:paraId="66518BAA" w14:textId="77777777" w:rsidR="008B7EAD" w:rsidRDefault="009420B2">
      <w:pPr>
        <w:numPr>
          <w:ilvl w:val="0"/>
          <w:numId w:val="4"/>
        </w:numPr>
        <w:pBdr>
          <w:top w:val="nil"/>
          <w:left w:val="nil"/>
          <w:bottom w:val="nil"/>
          <w:right w:val="nil"/>
          <w:between w:val="nil"/>
        </w:pBdr>
        <w:spacing w:line="480" w:lineRule="auto"/>
        <w:jc w:val="both"/>
        <w:rPr>
          <w:rFonts w:ascii="Aptos" w:eastAsia="Aptos" w:hAnsi="Aptos" w:cs="Aptos"/>
          <w:b/>
          <w:color w:val="000000"/>
        </w:rPr>
      </w:pPr>
      <w:r>
        <w:rPr>
          <w:rFonts w:ascii="Aptos" w:eastAsia="Aptos" w:hAnsi="Aptos" w:cs="Aptos"/>
          <w:b/>
          <w:color w:val="000000"/>
        </w:rPr>
        <w:lastRenderedPageBreak/>
        <w:t>Litter bags not used for analysis</w:t>
      </w:r>
    </w:p>
    <w:p w14:paraId="66518BAB" w14:textId="19AE27C4" w:rsidR="008B7EAD" w:rsidRDefault="009420B2">
      <w:pPr>
        <w:pStyle w:val="Heading2"/>
        <w:jc w:val="both"/>
        <w:rPr>
          <w:rFonts w:ascii="Aptos" w:eastAsia="Aptos" w:hAnsi="Aptos" w:cs="Aptos"/>
          <w:i/>
          <w:color w:val="000000"/>
          <w:sz w:val="18"/>
          <w:szCs w:val="18"/>
        </w:rPr>
      </w:pPr>
      <w:bookmarkStart w:id="3" w:name="_3znysh7" w:colFirst="0" w:colLast="0"/>
      <w:bookmarkEnd w:id="3"/>
      <w:r w:rsidRPr="008429FF">
        <w:rPr>
          <w:rFonts w:ascii="Aptos" w:eastAsia="Aptos" w:hAnsi="Aptos" w:cs="Aptos"/>
          <w:b/>
          <w:bCs/>
          <w:i/>
          <w:color w:val="000000"/>
          <w:sz w:val="18"/>
          <w:szCs w:val="18"/>
        </w:rPr>
        <w:t>Table A2.1</w:t>
      </w:r>
      <w:r>
        <w:rPr>
          <w:rFonts w:ascii="Aptos" w:eastAsia="Aptos" w:hAnsi="Aptos" w:cs="Aptos"/>
          <w:i/>
          <w:color w:val="000000"/>
          <w:sz w:val="18"/>
          <w:szCs w:val="18"/>
        </w:rPr>
        <w:t xml:space="preserve"> Litter bags that were excluded for further analysis. 30 litter bags were excluded for analysis due to various reasons: not found in the field or lab, found broken or negative litter mass loss</w:t>
      </w:r>
    </w:p>
    <w:p w14:paraId="66518BAC" w14:textId="77777777" w:rsidR="008B7EAD" w:rsidRDefault="008B7EAD">
      <w:pPr>
        <w:pStyle w:val="Heading2"/>
        <w:jc w:val="both"/>
        <w:rPr>
          <w:rFonts w:ascii="Aptos" w:eastAsia="Aptos" w:hAnsi="Aptos" w:cs="Aptos"/>
          <w:i/>
          <w:color w:val="000000"/>
          <w:sz w:val="18"/>
          <w:szCs w:val="18"/>
        </w:rPr>
      </w:pPr>
    </w:p>
    <w:tbl>
      <w:tblPr>
        <w:tblStyle w:val="a0"/>
        <w:tblW w:w="9060" w:type="dxa"/>
        <w:tblBorders>
          <w:top w:val="nil"/>
          <w:left w:val="nil"/>
          <w:bottom w:val="nil"/>
          <w:right w:val="nil"/>
          <w:insideH w:val="nil"/>
          <w:insideV w:val="nil"/>
        </w:tblBorders>
        <w:tblLayout w:type="fixed"/>
        <w:tblLook w:val="0600" w:firstRow="0" w:lastRow="0" w:firstColumn="0" w:lastColumn="0" w:noHBand="1" w:noVBand="1"/>
      </w:tblPr>
      <w:tblGrid>
        <w:gridCol w:w="1134"/>
        <w:gridCol w:w="1611"/>
        <w:gridCol w:w="1515"/>
        <w:gridCol w:w="1440"/>
        <w:gridCol w:w="3360"/>
      </w:tblGrid>
      <w:tr w:rsidR="008B7EAD" w14:paraId="66518BB2" w14:textId="77777777">
        <w:trPr>
          <w:trHeight w:val="300"/>
        </w:trPr>
        <w:tc>
          <w:tcPr>
            <w:tcW w:w="1134" w:type="dxa"/>
            <w:tcBorders>
              <w:top w:val="single" w:sz="12" w:space="0" w:color="000000"/>
              <w:bottom w:val="single" w:sz="12" w:space="0" w:color="000000"/>
            </w:tcBorders>
          </w:tcPr>
          <w:p w14:paraId="66518BAD" w14:textId="77777777" w:rsidR="008B7EAD" w:rsidRDefault="009420B2">
            <w:pPr>
              <w:spacing w:line="480" w:lineRule="auto"/>
              <w:jc w:val="both"/>
              <w:rPr>
                <w:rFonts w:ascii="Aptos" w:eastAsia="Aptos" w:hAnsi="Aptos" w:cs="Aptos"/>
                <w:b/>
                <w:sz w:val="18"/>
                <w:szCs w:val="18"/>
              </w:rPr>
            </w:pPr>
            <w:r>
              <w:rPr>
                <w:rFonts w:ascii="Aptos" w:eastAsia="Aptos" w:hAnsi="Aptos" w:cs="Aptos"/>
                <w:b/>
                <w:sz w:val="18"/>
                <w:szCs w:val="18"/>
              </w:rPr>
              <w:t>Location</w:t>
            </w:r>
          </w:p>
        </w:tc>
        <w:tc>
          <w:tcPr>
            <w:tcW w:w="1611" w:type="dxa"/>
            <w:tcBorders>
              <w:top w:val="single" w:sz="12" w:space="0" w:color="000000"/>
              <w:bottom w:val="single" w:sz="12" w:space="0" w:color="000000"/>
            </w:tcBorders>
          </w:tcPr>
          <w:p w14:paraId="66518BAE" w14:textId="77777777" w:rsidR="008B7EAD" w:rsidRDefault="009420B2">
            <w:pPr>
              <w:spacing w:line="480" w:lineRule="auto"/>
              <w:jc w:val="both"/>
              <w:rPr>
                <w:rFonts w:ascii="Aptos" w:eastAsia="Aptos" w:hAnsi="Aptos" w:cs="Aptos"/>
                <w:b/>
                <w:sz w:val="18"/>
                <w:szCs w:val="18"/>
              </w:rPr>
            </w:pPr>
            <w:r>
              <w:rPr>
                <w:rFonts w:ascii="Aptos" w:eastAsia="Aptos" w:hAnsi="Aptos" w:cs="Aptos"/>
                <w:b/>
                <w:sz w:val="18"/>
                <w:szCs w:val="18"/>
              </w:rPr>
              <w:t>Code</w:t>
            </w:r>
          </w:p>
        </w:tc>
        <w:tc>
          <w:tcPr>
            <w:tcW w:w="1515" w:type="dxa"/>
            <w:tcBorders>
              <w:top w:val="single" w:sz="12" w:space="0" w:color="000000"/>
              <w:bottom w:val="single" w:sz="12" w:space="0" w:color="000000"/>
            </w:tcBorders>
          </w:tcPr>
          <w:p w14:paraId="66518BAF" w14:textId="77777777" w:rsidR="008B7EAD" w:rsidRDefault="009420B2">
            <w:pPr>
              <w:spacing w:line="480" w:lineRule="auto"/>
              <w:jc w:val="both"/>
              <w:rPr>
                <w:rFonts w:ascii="Aptos" w:eastAsia="Aptos" w:hAnsi="Aptos" w:cs="Aptos"/>
                <w:b/>
                <w:sz w:val="18"/>
                <w:szCs w:val="18"/>
              </w:rPr>
            </w:pPr>
            <w:r>
              <w:rPr>
                <w:rFonts w:ascii="Aptos" w:eastAsia="Aptos" w:hAnsi="Aptos" w:cs="Aptos"/>
                <w:b/>
                <w:sz w:val="18"/>
                <w:szCs w:val="18"/>
              </w:rPr>
              <w:t>Litter type</w:t>
            </w:r>
          </w:p>
        </w:tc>
        <w:tc>
          <w:tcPr>
            <w:tcW w:w="1440" w:type="dxa"/>
            <w:tcBorders>
              <w:top w:val="single" w:sz="12" w:space="0" w:color="000000"/>
              <w:bottom w:val="single" w:sz="12" w:space="0" w:color="000000"/>
            </w:tcBorders>
          </w:tcPr>
          <w:p w14:paraId="66518BB0" w14:textId="77777777" w:rsidR="008B7EAD" w:rsidRDefault="009420B2">
            <w:pPr>
              <w:spacing w:line="480" w:lineRule="auto"/>
              <w:jc w:val="both"/>
              <w:rPr>
                <w:rFonts w:ascii="Aptos" w:eastAsia="Aptos" w:hAnsi="Aptos" w:cs="Aptos"/>
                <w:b/>
                <w:sz w:val="18"/>
                <w:szCs w:val="18"/>
              </w:rPr>
            </w:pPr>
            <w:r>
              <w:rPr>
                <w:rFonts w:ascii="Aptos" w:eastAsia="Aptos" w:hAnsi="Aptos" w:cs="Aptos"/>
                <w:b/>
                <w:sz w:val="18"/>
                <w:szCs w:val="18"/>
              </w:rPr>
              <w:t>Mesh size</w:t>
            </w:r>
          </w:p>
        </w:tc>
        <w:tc>
          <w:tcPr>
            <w:tcW w:w="3360" w:type="dxa"/>
            <w:tcBorders>
              <w:top w:val="single" w:sz="12" w:space="0" w:color="000000"/>
              <w:bottom w:val="single" w:sz="12" w:space="0" w:color="000000"/>
            </w:tcBorders>
          </w:tcPr>
          <w:p w14:paraId="66518BB1" w14:textId="77777777" w:rsidR="008B7EAD" w:rsidRDefault="009420B2">
            <w:pPr>
              <w:spacing w:line="480" w:lineRule="auto"/>
              <w:jc w:val="both"/>
              <w:rPr>
                <w:rFonts w:ascii="Aptos" w:eastAsia="Aptos" w:hAnsi="Aptos" w:cs="Aptos"/>
                <w:b/>
                <w:sz w:val="18"/>
                <w:szCs w:val="18"/>
              </w:rPr>
            </w:pPr>
            <w:r>
              <w:rPr>
                <w:rFonts w:ascii="Aptos" w:eastAsia="Aptos" w:hAnsi="Aptos" w:cs="Aptos"/>
                <w:b/>
                <w:sz w:val="18"/>
                <w:szCs w:val="18"/>
              </w:rPr>
              <w:t>Reason for exclusion</w:t>
            </w:r>
          </w:p>
        </w:tc>
      </w:tr>
      <w:tr w:rsidR="008B7EAD" w14:paraId="66518BB8" w14:textId="77777777">
        <w:trPr>
          <w:trHeight w:val="300"/>
        </w:trPr>
        <w:tc>
          <w:tcPr>
            <w:tcW w:w="1134" w:type="dxa"/>
            <w:tcBorders>
              <w:top w:val="single" w:sz="12" w:space="0" w:color="000000"/>
            </w:tcBorders>
          </w:tcPr>
          <w:p w14:paraId="66518BB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L2</w:t>
            </w:r>
          </w:p>
        </w:tc>
        <w:tc>
          <w:tcPr>
            <w:tcW w:w="1611" w:type="dxa"/>
            <w:tcBorders>
              <w:top w:val="single" w:sz="12" w:space="0" w:color="000000"/>
            </w:tcBorders>
          </w:tcPr>
          <w:p w14:paraId="66518BB4"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FF073</w:t>
            </w:r>
          </w:p>
        </w:tc>
        <w:tc>
          <w:tcPr>
            <w:tcW w:w="1515" w:type="dxa"/>
            <w:tcBorders>
              <w:top w:val="single" w:sz="12" w:space="0" w:color="000000"/>
            </w:tcBorders>
          </w:tcPr>
          <w:p w14:paraId="66518BB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Alder</w:t>
            </w:r>
          </w:p>
        </w:tc>
        <w:tc>
          <w:tcPr>
            <w:tcW w:w="1440" w:type="dxa"/>
            <w:tcBorders>
              <w:top w:val="single" w:sz="12" w:space="0" w:color="000000"/>
            </w:tcBorders>
          </w:tcPr>
          <w:p w14:paraId="66518BB6"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Fine</w:t>
            </w:r>
          </w:p>
        </w:tc>
        <w:tc>
          <w:tcPr>
            <w:tcW w:w="3360" w:type="dxa"/>
            <w:tcBorders>
              <w:top w:val="single" w:sz="12" w:space="0" w:color="000000"/>
            </w:tcBorders>
          </w:tcPr>
          <w:p w14:paraId="66518BB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BBE" w14:textId="77777777">
        <w:trPr>
          <w:trHeight w:val="300"/>
        </w:trPr>
        <w:tc>
          <w:tcPr>
            <w:tcW w:w="1134" w:type="dxa"/>
          </w:tcPr>
          <w:p w14:paraId="66518BB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BA"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FF109</w:t>
            </w:r>
          </w:p>
        </w:tc>
        <w:tc>
          <w:tcPr>
            <w:tcW w:w="1515" w:type="dxa"/>
          </w:tcPr>
          <w:p w14:paraId="66518BB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Alder</w:t>
            </w:r>
          </w:p>
        </w:tc>
        <w:tc>
          <w:tcPr>
            <w:tcW w:w="1440" w:type="dxa"/>
          </w:tcPr>
          <w:p w14:paraId="66518BBC"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Fine</w:t>
            </w:r>
          </w:p>
        </w:tc>
        <w:tc>
          <w:tcPr>
            <w:tcW w:w="3360" w:type="dxa"/>
          </w:tcPr>
          <w:p w14:paraId="66518BB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BC4" w14:textId="77777777">
        <w:trPr>
          <w:trHeight w:val="300"/>
        </w:trPr>
        <w:tc>
          <w:tcPr>
            <w:tcW w:w="1134" w:type="dxa"/>
          </w:tcPr>
          <w:p w14:paraId="66518BB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C0"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FF128</w:t>
            </w:r>
          </w:p>
        </w:tc>
        <w:tc>
          <w:tcPr>
            <w:tcW w:w="1515" w:type="dxa"/>
          </w:tcPr>
          <w:p w14:paraId="66518BC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Hazel</w:t>
            </w:r>
          </w:p>
        </w:tc>
        <w:tc>
          <w:tcPr>
            <w:tcW w:w="1440" w:type="dxa"/>
          </w:tcPr>
          <w:p w14:paraId="66518BC2"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Fine</w:t>
            </w:r>
          </w:p>
        </w:tc>
        <w:tc>
          <w:tcPr>
            <w:tcW w:w="3360" w:type="dxa"/>
          </w:tcPr>
          <w:p w14:paraId="66518BC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BCA" w14:textId="77777777">
        <w:trPr>
          <w:trHeight w:val="300"/>
        </w:trPr>
        <w:tc>
          <w:tcPr>
            <w:tcW w:w="1134" w:type="dxa"/>
          </w:tcPr>
          <w:p w14:paraId="66518BC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C6"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FF129</w:t>
            </w:r>
          </w:p>
        </w:tc>
        <w:tc>
          <w:tcPr>
            <w:tcW w:w="1515" w:type="dxa"/>
          </w:tcPr>
          <w:p w14:paraId="66518BC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Chestnut</w:t>
            </w:r>
          </w:p>
        </w:tc>
        <w:tc>
          <w:tcPr>
            <w:tcW w:w="1440" w:type="dxa"/>
          </w:tcPr>
          <w:p w14:paraId="66518BC8"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Fine</w:t>
            </w:r>
          </w:p>
        </w:tc>
        <w:tc>
          <w:tcPr>
            <w:tcW w:w="3360" w:type="dxa"/>
          </w:tcPr>
          <w:p w14:paraId="66518BC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BD0" w14:textId="77777777">
        <w:trPr>
          <w:trHeight w:val="300"/>
        </w:trPr>
        <w:tc>
          <w:tcPr>
            <w:tcW w:w="1134" w:type="dxa"/>
          </w:tcPr>
          <w:p w14:paraId="66518BC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CC"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FF130</w:t>
            </w:r>
          </w:p>
        </w:tc>
        <w:tc>
          <w:tcPr>
            <w:tcW w:w="1515" w:type="dxa"/>
          </w:tcPr>
          <w:p w14:paraId="66518BC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Alder</w:t>
            </w:r>
          </w:p>
        </w:tc>
        <w:tc>
          <w:tcPr>
            <w:tcW w:w="1440" w:type="dxa"/>
          </w:tcPr>
          <w:p w14:paraId="66518BCE"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Medium</w:t>
            </w:r>
          </w:p>
        </w:tc>
        <w:tc>
          <w:tcPr>
            <w:tcW w:w="3360" w:type="dxa"/>
          </w:tcPr>
          <w:p w14:paraId="66518BC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BD6" w14:textId="77777777">
        <w:trPr>
          <w:trHeight w:val="300"/>
        </w:trPr>
        <w:tc>
          <w:tcPr>
            <w:tcW w:w="1134" w:type="dxa"/>
          </w:tcPr>
          <w:p w14:paraId="66518BD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D2"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FF131</w:t>
            </w:r>
          </w:p>
        </w:tc>
        <w:tc>
          <w:tcPr>
            <w:tcW w:w="1515" w:type="dxa"/>
          </w:tcPr>
          <w:p w14:paraId="66518BD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Hazel</w:t>
            </w:r>
          </w:p>
        </w:tc>
        <w:tc>
          <w:tcPr>
            <w:tcW w:w="1440" w:type="dxa"/>
          </w:tcPr>
          <w:p w14:paraId="66518BD4"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Medium</w:t>
            </w:r>
          </w:p>
        </w:tc>
        <w:tc>
          <w:tcPr>
            <w:tcW w:w="3360" w:type="dxa"/>
          </w:tcPr>
          <w:p w14:paraId="66518BD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BDC" w14:textId="77777777">
        <w:trPr>
          <w:trHeight w:val="300"/>
        </w:trPr>
        <w:tc>
          <w:tcPr>
            <w:tcW w:w="1134" w:type="dxa"/>
          </w:tcPr>
          <w:p w14:paraId="66518BD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D8"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FF132</w:t>
            </w:r>
          </w:p>
        </w:tc>
        <w:tc>
          <w:tcPr>
            <w:tcW w:w="1515" w:type="dxa"/>
          </w:tcPr>
          <w:p w14:paraId="66518BD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Chestnut</w:t>
            </w:r>
          </w:p>
        </w:tc>
        <w:tc>
          <w:tcPr>
            <w:tcW w:w="1440" w:type="dxa"/>
          </w:tcPr>
          <w:p w14:paraId="66518BDA"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Medium</w:t>
            </w:r>
          </w:p>
        </w:tc>
        <w:tc>
          <w:tcPr>
            <w:tcW w:w="3360" w:type="dxa"/>
          </w:tcPr>
          <w:p w14:paraId="66518BD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BE2" w14:textId="77777777">
        <w:trPr>
          <w:trHeight w:val="300"/>
        </w:trPr>
        <w:tc>
          <w:tcPr>
            <w:tcW w:w="1134" w:type="dxa"/>
          </w:tcPr>
          <w:p w14:paraId="66518BD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DE"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FF134</w:t>
            </w:r>
          </w:p>
        </w:tc>
        <w:tc>
          <w:tcPr>
            <w:tcW w:w="1515" w:type="dxa"/>
          </w:tcPr>
          <w:p w14:paraId="66518BD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Hazel</w:t>
            </w:r>
          </w:p>
        </w:tc>
        <w:tc>
          <w:tcPr>
            <w:tcW w:w="1440" w:type="dxa"/>
          </w:tcPr>
          <w:p w14:paraId="66518BE0"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Pr>
          <w:p w14:paraId="66518BE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BE8" w14:textId="77777777">
        <w:trPr>
          <w:trHeight w:val="300"/>
        </w:trPr>
        <w:tc>
          <w:tcPr>
            <w:tcW w:w="1134" w:type="dxa"/>
          </w:tcPr>
          <w:p w14:paraId="66518BE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E4"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FF135</w:t>
            </w:r>
          </w:p>
        </w:tc>
        <w:tc>
          <w:tcPr>
            <w:tcW w:w="1515" w:type="dxa"/>
          </w:tcPr>
          <w:p w14:paraId="66518BE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Chestnut</w:t>
            </w:r>
          </w:p>
        </w:tc>
        <w:tc>
          <w:tcPr>
            <w:tcW w:w="1440" w:type="dxa"/>
          </w:tcPr>
          <w:p w14:paraId="66518BE6"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Pr>
          <w:p w14:paraId="66518BE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BEE" w14:textId="77777777">
        <w:trPr>
          <w:trHeight w:val="300"/>
        </w:trPr>
        <w:tc>
          <w:tcPr>
            <w:tcW w:w="1134" w:type="dxa"/>
          </w:tcPr>
          <w:p w14:paraId="66518BE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EA"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FF136</w:t>
            </w:r>
          </w:p>
        </w:tc>
        <w:tc>
          <w:tcPr>
            <w:tcW w:w="1515" w:type="dxa"/>
          </w:tcPr>
          <w:p w14:paraId="66518BE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Alder</w:t>
            </w:r>
          </w:p>
        </w:tc>
        <w:tc>
          <w:tcPr>
            <w:tcW w:w="1440" w:type="dxa"/>
          </w:tcPr>
          <w:p w14:paraId="66518BEC"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Fine</w:t>
            </w:r>
          </w:p>
        </w:tc>
        <w:tc>
          <w:tcPr>
            <w:tcW w:w="3360" w:type="dxa"/>
          </w:tcPr>
          <w:p w14:paraId="66518BE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Found broken</w:t>
            </w:r>
          </w:p>
        </w:tc>
      </w:tr>
      <w:tr w:rsidR="008B7EAD" w14:paraId="66518BF4" w14:textId="77777777">
        <w:trPr>
          <w:trHeight w:val="300"/>
        </w:trPr>
        <w:tc>
          <w:tcPr>
            <w:tcW w:w="1134" w:type="dxa"/>
          </w:tcPr>
          <w:p w14:paraId="66518BE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F0"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FF137</w:t>
            </w:r>
          </w:p>
        </w:tc>
        <w:tc>
          <w:tcPr>
            <w:tcW w:w="1515" w:type="dxa"/>
          </w:tcPr>
          <w:p w14:paraId="66518BF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Hazel</w:t>
            </w:r>
          </w:p>
        </w:tc>
        <w:tc>
          <w:tcPr>
            <w:tcW w:w="1440" w:type="dxa"/>
          </w:tcPr>
          <w:p w14:paraId="66518BF2"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Fine</w:t>
            </w:r>
          </w:p>
        </w:tc>
        <w:tc>
          <w:tcPr>
            <w:tcW w:w="3360" w:type="dxa"/>
          </w:tcPr>
          <w:p w14:paraId="66518BF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BFA" w14:textId="77777777">
        <w:trPr>
          <w:trHeight w:val="300"/>
        </w:trPr>
        <w:tc>
          <w:tcPr>
            <w:tcW w:w="1134" w:type="dxa"/>
          </w:tcPr>
          <w:p w14:paraId="66518BF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F6"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FF139</w:t>
            </w:r>
          </w:p>
        </w:tc>
        <w:tc>
          <w:tcPr>
            <w:tcW w:w="1515" w:type="dxa"/>
          </w:tcPr>
          <w:p w14:paraId="66518BF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Alder</w:t>
            </w:r>
          </w:p>
        </w:tc>
        <w:tc>
          <w:tcPr>
            <w:tcW w:w="1440" w:type="dxa"/>
          </w:tcPr>
          <w:p w14:paraId="66518BF8"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Medium</w:t>
            </w:r>
          </w:p>
        </w:tc>
        <w:tc>
          <w:tcPr>
            <w:tcW w:w="3360" w:type="dxa"/>
          </w:tcPr>
          <w:p w14:paraId="66518BF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Negative litter mass loss</w:t>
            </w:r>
          </w:p>
        </w:tc>
      </w:tr>
      <w:tr w:rsidR="008B7EAD" w14:paraId="66518C00" w14:textId="77777777">
        <w:trPr>
          <w:trHeight w:val="300"/>
        </w:trPr>
        <w:tc>
          <w:tcPr>
            <w:tcW w:w="1134" w:type="dxa"/>
          </w:tcPr>
          <w:p w14:paraId="66518BF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BFC"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FF142</w:t>
            </w:r>
          </w:p>
        </w:tc>
        <w:tc>
          <w:tcPr>
            <w:tcW w:w="1515" w:type="dxa"/>
          </w:tcPr>
          <w:p w14:paraId="66518BF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Alder</w:t>
            </w:r>
          </w:p>
        </w:tc>
        <w:tc>
          <w:tcPr>
            <w:tcW w:w="1440" w:type="dxa"/>
          </w:tcPr>
          <w:p w14:paraId="66518BFE"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Pr>
          <w:p w14:paraId="66518BF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06" w14:textId="77777777">
        <w:trPr>
          <w:trHeight w:val="300"/>
        </w:trPr>
        <w:tc>
          <w:tcPr>
            <w:tcW w:w="1134" w:type="dxa"/>
          </w:tcPr>
          <w:p w14:paraId="66518C0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C02"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FF143</w:t>
            </w:r>
          </w:p>
        </w:tc>
        <w:tc>
          <w:tcPr>
            <w:tcW w:w="1515" w:type="dxa"/>
          </w:tcPr>
          <w:p w14:paraId="66518C0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Hazel</w:t>
            </w:r>
          </w:p>
        </w:tc>
        <w:tc>
          <w:tcPr>
            <w:tcW w:w="1440" w:type="dxa"/>
          </w:tcPr>
          <w:p w14:paraId="66518C04"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Pr>
          <w:p w14:paraId="66518C0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0C" w14:textId="77777777">
        <w:trPr>
          <w:trHeight w:val="300"/>
        </w:trPr>
        <w:tc>
          <w:tcPr>
            <w:tcW w:w="1134" w:type="dxa"/>
          </w:tcPr>
          <w:p w14:paraId="66518C0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C08"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FF159</w:t>
            </w:r>
          </w:p>
        </w:tc>
        <w:tc>
          <w:tcPr>
            <w:tcW w:w="1515" w:type="dxa"/>
          </w:tcPr>
          <w:p w14:paraId="66518C0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Chestnut</w:t>
            </w:r>
          </w:p>
        </w:tc>
        <w:tc>
          <w:tcPr>
            <w:tcW w:w="1440" w:type="dxa"/>
          </w:tcPr>
          <w:p w14:paraId="66518C0A"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Medium</w:t>
            </w:r>
          </w:p>
        </w:tc>
        <w:tc>
          <w:tcPr>
            <w:tcW w:w="3360" w:type="dxa"/>
          </w:tcPr>
          <w:p w14:paraId="66518C0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Negative litter mass loss</w:t>
            </w:r>
          </w:p>
        </w:tc>
      </w:tr>
      <w:tr w:rsidR="008B7EAD" w14:paraId="66518C12" w14:textId="77777777">
        <w:trPr>
          <w:trHeight w:val="300"/>
        </w:trPr>
        <w:tc>
          <w:tcPr>
            <w:tcW w:w="1134" w:type="dxa"/>
          </w:tcPr>
          <w:p w14:paraId="66518C0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C0E"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FF160</w:t>
            </w:r>
          </w:p>
        </w:tc>
        <w:tc>
          <w:tcPr>
            <w:tcW w:w="1515" w:type="dxa"/>
          </w:tcPr>
          <w:p w14:paraId="66518C0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Alder</w:t>
            </w:r>
          </w:p>
        </w:tc>
        <w:tc>
          <w:tcPr>
            <w:tcW w:w="1440" w:type="dxa"/>
          </w:tcPr>
          <w:p w14:paraId="66518C10"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Pr>
          <w:p w14:paraId="66518C1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Negative litter mass loss</w:t>
            </w:r>
          </w:p>
        </w:tc>
      </w:tr>
      <w:tr w:rsidR="008B7EAD" w14:paraId="66518C18" w14:textId="77777777">
        <w:trPr>
          <w:trHeight w:val="300"/>
        </w:trPr>
        <w:tc>
          <w:tcPr>
            <w:tcW w:w="1134" w:type="dxa"/>
          </w:tcPr>
          <w:p w14:paraId="66518C1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L4</w:t>
            </w:r>
          </w:p>
        </w:tc>
        <w:tc>
          <w:tcPr>
            <w:tcW w:w="1611" w:type="dxa"/>
          </w:tcPr>
          <w:p w14:paraId="66518C14"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FF162</w:t>
            </w:r>
          </w:p>
        </w:tc>
        <w:tc>
          <w:tcPr>
            <w:tcW w:w="1515" w:type="dxa"/>
          </w:tcPr>
          <w:p w14:paraId="66518C1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Chestnut</w:t>
            </w:r>
          </w:p>
        </w:tc>
        <w:tc>
          <w:tcPr>
            <w:tcW w:w="1440" w:type="dxa"/>
          </w:tcPr>
          <w:p w14:paraId="66518C16"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Pr>
          <w:p w14:paraId="66518C1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Negative litter mass loss</w:t>
            </w:r>
          </w:p>
        </w:tc>
      </w:tr>
      <w:tr w:rsidR="008B7EAD" w14:paraId="66518C1E" w14:textId="77777777">
        <w:trPr>
          <w:trHeight w:val="300"/>
        </w:trPr>
        <w:tc>
          <w:tcPr>
            <w:tcW w:w="1134" w:type="dxa"/>
          </w:tcPr>
          <w:p w14:paraId="66518C1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L1</w:t>
            </w:r>
          </w:p>
        </w:tc>
        <w:tc>
          <w:tcPr>
            <w:tcW w:w="1611" w:type="dxa"/>
          </w:tcPr>
          <w:p w14:paraId="66518C1A"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FF181</w:t>
            </w:r>
          </w:p>
        </w:tc>
        <w:tc>
          <w:tcPr>
            <w:tcW w:w="1515" w:type="dxa"/>
          </w:tcPr>
          <w:p w14:paraId="66518C1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Alder</w:t>
            </w:r>
          </w:p>
        </w:tc>
        <w:tc>
          <w:tcPr>
            <w:tcW w:w="1440" w:type="dxa"/>
          </w:tcPr>
          <w:p w14:paraId="66518C1C"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Fine</w:t>
            </w:r>
          </w:p>
        </w:tc>
        <w:tc>
          <w:tcPr>
            <w:tcW w:w="3360" w:type="dxa"/>
          </w:tcPr>
          <w:p w14:paraId="66518C1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24" w14:textId="77777777">
        <w:trPr>
          <w:trHeight w:val="300"/>
        </w:trPr>
        <w:tc>
          <w:tcPr>
            <w:tcW w:w="1134" w:type="dxa"/>
          </w:tcPr>
          <w:p w14:paraId="66518C1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L1</w:t>
            </w:r>
          </w:p>
        </w:tc>
        <w:tc>
          <w:tcPr>
            <w:tcW w:w="1611" w:type="dxa"/>
          </w:tcPr>
          <w:p w14:paraId="66518C20"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FF182</w:t>
            </w:r>
          </w:p>
        </w:tc>
        <w:tc>
          <w:tcPr>
            <w:tcW w:w="1515" w:type="dxa"/>
          </w:tcPr>
          <w:p w14:paraId="66518C2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Hazel</w:t>
            </w:r>
          </w:p>
        </w:tc>
        <w:tc>
          <w:tcPr>
            <w:tcW w:w="1440" w:type="dxa"/>
          </w:tcPr>
          <w:p w14:paraId="66518C22"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Fine</w:t>
            </w:r>
          </w:p>
        </w:tc>
        <w:tc>
          <w:tcPr>
            <w:tcW w:w="3360" w:type="dxa"/>
          </w:tcPr>
          <w:p w14:paraId="66518C2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2A" w14:textId="77777777">
        <w:trPr>
          <w:trHeight w:val="300"/>
        </w:trPr>
        <w:tc>
          <w:tcPr>
            <w:tcW w:w="1134" w:type="dxa"/>
          </w:tcPr>
          <w:p w14:paraId="66518C2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L1</w:t>
            </w:r>
          </w:p>
        </w:tc>
        <w:tc>
          <w:tcPr>
            <w:tcW w:w="1611" w:type="dxa"/>
          </w:tcPr>
          <w:p w14:paraId="66518C26"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FF183</w:t>
            </w:r>
          </w:p>
        </w:tc>
        <w:tc>
          <w:tcPr>
            <w:tcW w:w="1515" w:type="dxa"/>
          </w:tcPr>
          <w:p w14:paraId="66518C2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Chestnut</w:t>
            </w:r>
          </w:p>
        </w:tc>
        <w:tc>
          <w:tcPr>
            <w:tcW w:w="1440" w:type="dxa"/>
          </w:tcPr>
          <w:p w14:paraId="66518C28"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Fine</w:t>
            </w:r>
          </w:p>
        </w:tc>
        <w:tc>
          <w:tcPr>
            <w:tcW w:w="3360" w:type="dxa"/>
          </w:tcPr>
          <w:p w14:paraId="66518C2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30" w14:textId="77777777">
        <w:trPr>
          <w:trHeight w:val="300"/>
        </w:trPr>
        <w:tc>
          <w:tcPr>
            <w:tcW w:w="1134" w:type="dxa"/>
          </w:tcPr>
          <w:p w14:paraId="66518C2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L1</w:t>
            </w:r>
          </w:p>
        </w:tc>
        <w:tc>
          <w:tcPr>
            <w:tcW w:w="1611" w:type="dxa"/>
          </w:tcPr>
          <w:p w14:paraId="66518C2C"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FF184</w:t>
            </w:r>
          </w:p>
        </w:tc>
        <w:tc>
          <w:tcPr>
            <w:tcW w:w="1515" w:type="dxa"/>
          </w:tcPr>
          <w:p w14:paraId="66518C2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Alder</w:t>
            </w:r>
          </w:p>
        </w:tc>
        <w:tc>
          <w:tcPr>
            <w:tcW w:w="1440" w:type="dxa"/>
          </w:tcPr>
          <w:p w14:paraId="66518C2E"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Medium</w:t>
            </w:r>
          </w:p>
        </w:tc>
        <w:tc>
          <w:tcPr>
            <w:tcW w:w="3360" w:type="dxa"/>
          </w:tcPr>
          <w:p w14:paraId="66518C2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36" w14:textId="77777777">
        <w:trPr>
          <w:trHeight w:val="300"/>
        </w:trPr>
        <w:tc>
          <w:tcPr>
            <w:tcW w:w="1134" w:type="dxa"/>
          </w:tcPr>
          <w:p w14:paraId="66518C3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L1</w:t>
            </w:r>
          </w:p>
        </w:tc>
        <w:tc>
          <w:tcPr>
            <w:tcW w:w="1611" w:type="dxa"/>
          </w:tcPr>
          <w:p w14:paraId="66518C32"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FF185</w:t>
            </w:r>
          </w:p>
        </w:tc>
        <w:tc>
          <w:tcPr>
            <w:tcW w:w="1515" w:type="dxa"/>
          </w:tcPr>
          <w:p w14:paraId="66518C3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Hazel</w:t>
            </w:r>
          </w:p>
        </w:tc>
        <w:tc>
          <w:tcPr>
            <w:tcW w:w="1440" w:type="dxa"/>
          </w:tcPr>
          <w:p w14:paraId="66518C34"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Medium</w:t>
            </w:r>
          </w:p>
        </w:tc>
        <w:tc>
          <w:tcPr>
            <w:tcW w:w="3360" w:type="dxa"/>
          </w:tcPr>
          <w:p w14:paraId="66518C3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3C" w14:textId="77777777">
        <w:trPr>
          <w:trHeight w:val="300"/>
        </w:trPr>
        <w:tc>
          <w:tcPr>
            <w:tcW w:w="1134" w:type="dxa"/>
          </w:tcPr>
          <w:p w14:paraId="66518C3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L1</w:t>
            </w:r>
          </w:p>
        </w:tc>
        <w:tc>
          <w:tcPr>
            <w:tcW w:w="1611" w:type="dxa"/>
          </w:tcPr>
          <w:p w14:paraId="66518C38"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FF186</w:t>
            </w:r>
          </w:p>
        </w:tc>
        <w:tc>
          <w:tcPr>
            <w:tcW w:w="1515" w:type="dxa"/>
          </w:tcPr>
          <w:p w14:paraId="66518C3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Chestnut</w:t>
            </w:r>
          </w:p>
        </w:tc>
        <w:tc>
          <w:tcPr>
            <w:tcW w:w="1440" w:type="dxa"/>
          </w:tcPr>
          <w:p w14:paraId="66518C3A"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Medium</w:t>
            </w:r>
          </w:p>
        </w:tc>
        <w:tc>
          <w:tcPr>
            <w:tcW w:w="3360" w:type="dxa"/>
          </w:tcPr>
          <w:p w14:paraId="66518C3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42" w14:textId="77777777">
        <w:trPr>
          <w:trHeight w:val="300"/>
        </w:trPr>
        <w:tc>
          <w:tcPr>
            <w:tcW w:w="1134" w:type="dxa"/>
          </w:tcPr>
          <w:p w14:paraId="66518C3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L1</w:t>
            </w:r>
          </w:p>
        </w:tc>
        <w:tc>
          <w:tcPr>
            <w:tcW w:w="1611" w:type="dxa"/>
          </w:tcPr>
          <w:p w14:paraId="66518C3E"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FF187</w:t>
            </w:r>
          </w:p>
        </w:tc>
        <w:tc>
          <w:tcPr>
            <w:tcW w:w="1515" w:type="dxa"/>
          </w:tcPr>
          <w:p w14:paraId="66518C3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Alder</w:t>
            </w:r>
          </w:p>
        </w:tc>
        <w:tc>
          <w:tcPr>
            <w:tcW w:w="1440" w:type="dxa"/>
          </w:tcPr>
          <w:p w14:paraId="66518C40"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Pr>
          <w:p w14:paraId="66518C4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48" w14:textId="77777777">
        <w:trPr>
          <w:trHeight w:val="300"/>
        </w:trPr>
        <w:tc>
          <w:tcPr>
            <w:tcW w:w="1134" w:type="dxa"/>
          </w:tcPr>
          <w:p w14:paraId="66518C4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L1</w:t>
            </w:r>
          </w:p>
        </w:tc>
        <w:tc>
          <w:tcPr>
            <w:tcW w:w="1611" w:type="dxa"/>
          </w:tcPr>
          <w:p w14:paraId="66518C44"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FF188</w:t>
            </w:r>
          </w:p>
        </w:tc>
        <w:tc>
          <w:tcPr>
            <w:tcW w:w="1515" w:type="dxa"/>
          </w:tcPr>
          <w:p w14:paraId="66518C4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Hazel</w:t>
            </w:r>
          </w:p>
        </w:tc>
        <w:tc>
          <w:tcPr>
            <w:tcW w:w="1440" w:type="dxa"/>
          </w:tcPr>
          <w:p w14:paraId="66518C46"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Pr>
          <w:p w14:paraId="66518C4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4E" w14:textId="77777777">
        <w:trPr>
          <w:trHeight w:val="300"/>
        </w:trPr>
        <w:tc>
          <w:tcPr>
            <w:tcW w:w="1134" w:type="dxa"/>
          </w:tcPr>
          <w:p w14:paraId="66518C4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L1</w:t>
            </w:r>
          </w:p>
        </w:tc>
        <w:tc>
          <w:tcPr>
            <w:tcW w:w="1611" w:type="dxa"/>
          </w:tcPr>
          <w:p w14:paraId="66518C4A"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FF189</w:t>
            </w:r>
          </w:p>
        </w:tc>
        <w:tc>
          <w:tcPr>
            <w:tcW w:w="1515" w:type="dxa"/>
          </w:tcPr>
          <w:p w14:paraId="66518C4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Chestnut</w:t>
            </w:r>
          </w:p>
        </w:tc>
        <w:tc>
          <w:tcPr>
            <w:tcW w:w="1440" w:type="dxa"/>
          </w:tcPr>
          <w:p w14:paraId="66518C4C"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Pr>
          <w:p w14:paraId="66518C4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field</w:t>
            </w:r>
          </w:p>
        </w:tc>
      </w:tr>
      <w:tr w:rsidR="008B7EAD" w14:paraId="66518C54" w14:textId="77777777">
        <w:trPr>
          <w:trHeight w:val="300"/>
        </w:trPr>
        <w:tc>
          <w:tcPr>
            <w:tcW w:w="1134" w:type="dxa"/>
          </w:tcPr>
          <w:p w14:paraId="66518C4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L1</w:t>
            </w:r>
          </w:p>
        </w:tc>
        <w:tc>
          <w:tcPr>
            <w:tcW w:w="1611" w:type="dxa"/>
          </w:tcPr>
          <w:p w14:paraId="66518C50"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FF198</w:t>
            </w:r>
          </w:p>
        </w:tc>
        <w:tc>
          <w:tcPr>
            <w:tcW w:w="1515" w:type="dxa"/>
          </w:tcPr>
          <w:p w14:paraId="66518C5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Chestnut</w:t>
            </w:r>
          </w:p>
        </w:tc>
        <w:tc>
          <w:tcPr>
            <w:tcW w:w="1440" w:type="dxa"/>
          </w:tcPr>
          <w:p w14:paraId="66518C52"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Pr>
          <w:p w14:paraId="66518C5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Negative litter mass loss</w:t>
            </w:r>
          </w:p>
        </w:tc>
      </w:tr>
      <w:tr w:rsidR="008B7EAD" w14:paraId="66518C5A" w14:textId="77777777">
        <w:trPr>
          <w:trHeight w:val="300"/>
        </w:trPr>
        <w:tc>
          <w:tcPr>
            <w:tcW w:w="1134" w:type="dxa"/>
          </w:tcPr>
          <w:p w14:paraId="66518C5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lastRenderedPageBreak/>
              <w:t>L1</w:t>
            </w:r>
          </w:p>
        </w:tc>
        <w:tc>
          <w:tcPr>
            <w:tcW w:w="1611" w:type="dxa"/>
          </w:tcPr>
          <w:p w14:paraId="66518C56"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FF209</w:t>
            </w:r>
          </w:p>
        </w:tc>
        <w:tc>
          <w:tcPr>
            <w:tcW w:w="1515" w:type="dxa"/>
          </w:tcPr>
          <w:p w14:paraId="66518C57"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Hazel</w:t>
            </w:r>
          </w:p>
        </w:tc>
        <w:tc>
          <w:tcPr>
            <w:tcW w:w="1440" w:type="dxa"/>
          </w:tcPr>
          <w:p w14:paraId="66518C58"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Fine</w:t>
            </w:r>
          </w:p>
        </w:tc>
        <w:tc>
          <w:tcPr>
            <w:tcW w:w="3360" w:type="dxa"/>
          </w:tcPr>
          <w:p w14:paraId="66518C59"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Found broken</w:t>
            </w:r>
          </w:p>
        </w:tc>
      </w:tr>
      <w:tr w:rsidR="008B7EAD" w14:paraId="66518C60" w14:textId="77777777">
        <w:trPr>
          <w:trHeight w:val="300"/>
        </w:trPr>
        <w:tc>
          <w:tcPr>
            <w:tcW w:w="1134" w:type="dxa"/>
          </w:tcPr>
          <w:p w14:paraId="66518C5B"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L3</w:t>
            </w:r>
          </w:p>
        </w:tc>
        <w:tc>
          <w:tcPr>
            <w:tcW w:w="1611" w:type="dxa"/>
          </w:tcPr>
          <w:p w14:paraId="66518C5C"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FF303</w:t>
            </w:r>
          </w:p>
        </w:tc>
        <w:tc>
          <w:tcPr>
            <w:tcW w:w="1515" w:type="dxa"/>
          </w:tcPr>
          <w:p w14:paraId="66518C5D"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Chestnut</w:t>
            </w:r>
          </w:p>
        </w:tc>
        <w:tc>
          <w:tcPr>
            <w:tcW w:w="1440" w:type="dxa"/>
          </w:tcPr>
          <w:p w14:paraId="66518C5E"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Medium</w:t>
            </w:r>
          </w:p>
        </w:tc>
        <w:tc>
          <w:tcPr>
            <w:tcW w:w="3360" w:type="dxa"/>
          </w:tcPr>
          <w:p w14:paraId="66518C5F"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Negative litter mass loss</w:t>
            </w:r>
          </w:p>
        </w:tc>
      </w:tr>
      <w:tr w:rsidR="008B7EAD" w14:paraId="66518C66" w14:textId="77777777">
        <w:trPr>
          <w:trHeight w:val="300"/>
        </w:trPr>
        <w:tc>
          <w:tcPr>
            <w:tcW w:w="1134" w:type="dxa"/>
            <w:tcBorders>
              <w:bottom w:val="single" w:sz="12" w:space="0" w:color="000000"/>
            </w:tcBorders>
          </w:tcPr>
          <w:p w14:paraId="66518C61"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L3</w:t>
            </w:r>
          </w:p>
        </w:tc>
        <w:tc>
          <w:tcPr>
            <w:tcW w:w="1611" w:type="dxa"/>
            <w:tcBorders>
              <w:bottom w:val="single" w:sz="12" w:space="0" w:color="000000"/>
            </w:tcBorders>
          </w:tcPr>
          <w:p w14:paraId="66518C62"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FF305</w:t>
            </w:r>
          </w:p>
        </w:tc>
        <w:tc>
          <w:tcPr>
            <w:tcW w:w="1515" w:type="dxa"/>
            <w:tcBorders>
              <w:bottom w:val="single" w:sz="12" w:space="0" w:color="000000"/>
            </w:tcBorders>
          </w:tcPr>
          <w:p w14:paraId="66518C63"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Hazel</w:t>
            </w:r>
          </w:p>
        </w:tc>
        <w:tc>
          <w:tcPr>
            <w:tcW w:w="1440" w:type="dxa"/>
            <w:tcBorders>
              <w:bottom w:val="single" w:sz="12" w:space="0" w:color="000000"/>
            </w:tcBorders>
          </w:tcPr>
          <w:p w14:paraId="66518C64"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Coarse</w:t>
            </w:r>
          </w:p>
        </w:tc>
        <w:tc>
          <w:tcPr>
            <w:tcW w:w="3360" w:type="dxa"/>
            <w:tcBorders>
              <w:bottom w:val="single" w:sz="12" w:space="0" w:color="000000"/>
            </w:tcBorders>
          </w:tcPr>
          <w:p w14:paraId="66518C65" w14:textId="77777777" w:rsidR="008B7EAD" w:rsidRDefault="009420B2">
            <w:pPr>
              <w:spacing w:line="480" w:lineRule="auto"/>
              <w:jc w:val="both"/>
              <w:rPr>
                <w:rFonts w:ascii="Aptos" w:eastAsia="Aptos" w:hAnsi="Aptos" w:cs="Aptos"/>
                <w:color w:val="000000"/>
                <w:sz w:val="18"/>
                <w:szCs w:val="18"/>
              </w:rPr>
            </w:pPr>
            <w:r>
              <w:rPr>
                <w:rFonts w:ascii="Aptos" w:eastAsia="Aptos" w:hAnsi="Aptos" w:cs="Aptos"/>
                <w:color w:val="000000"/>
                <w:sz w:val="18"/>
                <w:szCs w:val="18"/>
              </w:rPr>
              <w:t>Not found in the lab</w:t>
            </w:r>
          </w:p>
        </w:tc>
      </w:tr>
    </w:tbl>
    <w:p w14:paraId="66518C67" w14:textId="77777777" w:rsidR="008B7EAD" w:rsidRDefault="009420B2">
      <w:pPr>
        <w:jc w:val="both"/>
        <w:rPr>
          <w:rFonts w:ascii="Aptos" w:eastAsia="Aptos" w:hAnsi="Aptos" w:cs="Aptos"/>
          <w:b/>
        </w:rPr>
      </w:pPr>
      <w:r>
        <w:rPr>
          <w:rFonts w:ascii="Aptos" w:eastAsia="Aptos" w:hAnsi="Aptos" w:cs="Aptos"/>
          <w:b/>
        </w:rPr>
        <w:br/>
      </w:r>
    </w:p>
    <w:p w14:paraId="58E7F2C1" w14:textId="77777777" w:rsidR="00605E44" w:rsidRDefault="00605E44">
      <w:pPr>
        <w:rPr>
          <w:rFonts w:ascii="Aptos" w:eastAsia="Aptos" w:hAnsi="Aptos" w:cs="Aptos"/>
          <w:b/>
          <w:color w:val="000000"/>
        </w:rPr>
      </w:pPr>
      <w:r>
        <w:rPr>
          <w:rFonts w:ascii="Aptos" w:eastAsia="Aptos" w:hAnsi="Aptos" w:cs="Aptos"/>
          <w:b/>
          <w:color w:val="000000"/>
        </w:rPr>
        <w:br w:type="page"/>
      </w:r>
    </w:p>
    <w:p w14:paraId="66518C68" w14:textId="63874ED3" w:rsidR="008B7EAD" w:rsidRDefault="009420B2">
      <w:pPr>
        <w:numPr>
          <w:ilvl w:val="0"/>
          <w:numId w:val="2"/>
        </w:numPr>
        <w:pBdr>
          <w:top w:val="nil"/>
          <w:left w:val="nil"/>
          <w:bottom w:val="nil"/>
          <w:right w:val="nil"/>
          <w:between w:val="nil"/>
        </w:pBdr>
        <w:spacing w:line="480" w:lineRule="auto"/>
        <w:jc w:val="both"/>
        <w:rPr>
          <w:rFonts w:ascii="Aptos" w:eastAsia="Aptos" w:hAnsi="Aptos" w:cs="Aptos"/>
          <w:b/>
          <w:color w:val="000000"/>
        </w:rPr>
      </w:pPr>
      <w:r>
        <w:rPr>
          <w:rFonts w:ascii="Aptos" w:eastAsia="Aptos" w:hAnsi="Aptos" w:cs="Aptos"/>
          <w:b/>
          <w:color w:val="000000"/>
        </w:rPr>
        <w:lastRenderedPageBreak/>
        <w:t>Results abiotic and biotic soil properties</w:t>
      </w:r>
    </w:p>
    <w:p w14:paraId="66518C69" w14:textId="175912FE" w:rsidR="008B7EAD" w:rsidRDefault="009420B2">
      <w:pPr>
        <w:spacing w:line="480" w:lineRule="auto"/>
        <w:jc w:val="both"/>
        <w:rPr>
          <w:rFonts w:ascii="Aptos" w:eastAsia="Aptos" w:hAnsi="Aptos" w:cs="Aptos"/>
          <w:i/>
          <w:sz w:val="18"/>
          <w:szCs w:val="18"/>
        </w:rPr>
      </w:pPr>
      <w:r w:rsidRPr="008429FF">
        <w:rPr>
          <w:rFonts w:ascii="Aptos" w:eastAsia="Aptos" w:hAnsi="Aptos" w:cs="Aptos"/>
          <w:b/>
          <w:bCs/>
          <w:i/>
          <w:sz w:val="18"/>
          <w:szCs w:val="18"/>
        </w:rPr>
        <w:t>Table A3.1</w:t>
      </w:r>
      <w:r>
        <w:rPr>
          <w:rFonts w:ascii="Aptos" w:eastAsia="Aptos" w:hAnsi="Aptos" w:cs="Aptos"/>
          <w:i/>
          <w:sz w:val="18"/>
          <w:szCs w:val="18"/>
        </w:rPr>
        <w:t xml:space="preserve"> ANOVA table based on the linear mixed model of the response of soil abiotic and biotic properties to land use with location as random factor. AM stands for Arbuscular Mycorrhizal. Values represent mean (standard deviation) per land use type, and F- and P-values. </w:t>
      </w:r>
      <w:r>
        <w:rPr>
          <w:rFonts w:ascii="Aptos" w:eastAsia="Aptos" w:hAnsi="Aptos" w:cs="Aptos"/>
          <w:i/>
          <w:sz w:val="18"/>
          <w:szCs w:val="18"/>
          <w:vertAlign w:val="superscript"/>
        </w:rPr>
        <w:t>†</w:t>
      </w:r>
      <w:r>
        <w:rPr>
          <w:rFonts w:ascii="Aptos" w:eastAsia="Aptos" w:hAnsi="Aptos" w:cs="Aptos"/>
          <w:i/>
          <w:sz w:val="18"/>
          <w:szCs w:val="18"/>
        </w:rPr>
        <w:t xml:space="preserve"> these measurements were log-transformed for statistical analyses, but untransformed data is shown. </w:t>
      </w:r>
      <w:r>
        <w:rPr>
          <w:rFonts w:ascii="Aptos" w:eastAsia="Aptos" w:hAnsi="Aptos" w:cs="Aptos"/>
          <w:i/>
          <w:vertAlign w:val="superscript"/>
        </w:rPr>
        <w:t>‡</w:t>
      </w:r>
      <w:r>
        <w:rPr>
          <w:rFonts w:ascii="Aptos" w:eastAsia="Aptos" w:hAnsi="Aptos" w:cs="Aptos"/>
          <w:i/>
          <w:sz w:val="18"/>
          <w:szCs w:val="18"/>
        </w:rPr>
        <w:t xml:space="preserve"> these measurements </w:t>
      </w:r>
      <w:r w:rsidR="004308F5">
        <w:rPr>
          <w:rFonts w:ascii="Aptos" w:eastAsia="Aptos" w:hAnsi="Aptos" w:cs="Aptos"/>
          <w:i/>
          <w:sz w:val="18"/>
          <w:szCs w:val="18"/>
        </w:rPr>
        <w:t>wer</w:t>
      </w:r>
      <w:r>
        <w:rPr>
          <w:rFonts w:ascii="Aptos" w:eastAsia="Aptos" w:hAnsi="Aptos" w:cs="Aptos"/>
          <w:i/>
          <w:sz w:val="18"/>
          <w:szCs w:val="18"/>
        </w:rPr>
        <w:t>e square-root-transformed, but untransformed data is shown. Significant differences are shown in bold fonts</w:t>
      </w:r>
    </w:p>
    <w:tbl>
      <w:tblPr>
        <w:tblStyle w:val="a1"/>
        <w:tblW w:w="9214" w:type="dxa"/>
        <w:tblBorders>
          <w:top w:val="single" w:sz="6" w:space="0" w:color="000000"/>
          <w:left w:val="single" w:sz="6" w:space="0" w:color="000000"/>
          <w:bottom w:val="single" w:sz="6" w:space="0" w:color="000000"/>
          <w:right w:val="single" w:sz="6" w:space="0" w:color="000000"/>
        </w:tblBorders>
        <w:tblLayout w:type="fixed"/>
        <w:tblLook w:val="0600" w:firstRow="0" w:lastRow="0" w:firstColumn="0" w:lastColumn="0" w:noHBand="1" w:noVBand="1"/>
      </w:tblPr>
      <w:tblGrid>
        <w:gridCol w:w="1042"/>
        <w:gridCol w:w="3187"/>
        <w:gridCol w:w="1604"/>
        <w:gridCol w:w="1630"/>
        <w:gridCol w:w="949"/>
        <w:gridCol w:w="802"/>
      </w:tblGrid>
      <w:tr w:rsidR="008B7EAD" w14:paraId="66518C70" w14:textId="77777777">
        <w:trPr>
          <w:trHeight w:val="300"/>
        </w:trPr>
        <w:tc>
          <w:tcPr>
            <w:tcW w:w="1042" w:type="dxa"/>
            <w:tcBorders>
              <w:top w:val="single" w:sz="4" w:space="0" w:color="000000"/>
              <w:left w:val="nil"/>
              <w:bottom w:val="single" w:sz="4" w:space="0" w:color="000000"/>
              <w:right w:val="nil"/>
            </w:tcBorders>
            <w:shd w:val="clear" w:color="auto" w:fill="auto"/>
          </w:tcPr>
          <w:p w14:paraId="66518C6A"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z w:val="18"/>
                <w:szCs w:val="18"/>
              </w:rPr>
              <w:t>Category</w:t>
            </w:r>
            <w:r>
              <w:rPr>
                <w:rFonts w:ascii="Aptos" w:eastAsia="Aptos" w:hAnsi="Aptos" w:cs="Aptos"/>
                <w:b/>
                <w:smallCaps/>
                <w:sz w:val="18"/>
                <w:szCs w:val="18"/>
              </w:rPr>
              <w:t> </w:t>
            </w:r>
          </w:p>
        </w:tc>
        <w:tc>
          <w:tcPr>
            <w:tcW w:w="3187" w:type="dxa"/>
            <w:tcBorders>
              <w:top w:val="single" w:sz="4" w:space="0" w:color="000000"/>
              <w:left w:val="nil"/>
              <w:bottom w:val="single" w:sz="4" w:space="0" w:color="000000"/>
              <w:right w:val="nil"/>
            </w:tcBorders>
            <w:shd w:val="clear" w:color="auto" w:fill="auto"/>
          </w:tcPr>
          <w:p w14:paraId="66518C6B"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z w:val="18"/>
                <w:szCs w:val="18"/>
              </w:rPr>
              <w:t>Measurement</w:t>
            </w:r>
            <w:r>
              <w:rPr>
                <w:rFonts w:ascii="Aptos" w:eastAsia="Aptos" w:hAnsi="Aptos" w:cs="Aptos"/>
                <w:b/>
                <w:smallCaps/>
                <w:sz w:val="18"/>
                <w:szCs w:val="18"/>
              </w:rPr>
              <w:t> </w:t>
            </w:r>
          </w:p>
        </w:tc>
        <w:tc>
          <w:tcPr>
            <w:tcW w:w="1604" w:type="dxa"/>
            <w:tcBorders>
              <w:top w:val="single" w:sz="4" w:space="0" w:color="000000"/>
              <w:left w:val="nil"/>
              <w:bottom w:val="single" w:sz="4" w:space="0" w:color="000000"/>
              <w:right w:val="nil"/>
            </w:tcBorders>
            <w:shd w:val="clear" w:color="auto" w:fill="auto"/>
          </w:tcPr>
          <w:p w14:paraId="66518C6C"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z w:val="18"/>
                <w:szCs w:val="18"/>
              </w:rPr>
              <w:t>Food forests</w:t>
            </w:r>
            <w:r>
              <w:rPr>
                <w:rFonts w:ascii="Aptos" w:eastAsia="Aptos" w:hAnsi="Aptos" w:cs="Aptos"/>
                <w:b/>
                <w:smallCaps/>
                <w:sz w:val="18"/>
                <w:szCs w:val="18"/>
              </w:rPr>
              <w:t> </w:t>
            </w:r>
          </w:p>
        </w:tc>
        <w:tc>
          <w:tcPr>
            <w:tcW w:w="1630" w:type="dxa"/>
            <w:tcBorders>
              <w:top w:val="single" w:sz="4" w:space="0" w:color="000000"/>
              <w:left w:val="nil"/>
              <w:bottom w:val="single" w:sz="4" w:space="0" w:color="000000"/>
              <w:right w:val="nil"/>
            </w:tcBorders>
            <w:shd w:val="clear" w:color="auto" w:fill="auto"/>
          </w:tcPr>
          <w:p w14:paraId="66518C6D"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z w:val="18"/>
                <w:szCs w:val="18"/>
              </w:rPr>
              <w:t>Grasslands</w:t>
            </w:r>
            <w:r>
              <w:rPr>
                <w:rFonts w:ascii="Aptos" w:eastAsia="Aptos" w:hAnsi="Aptos" w:cs="Aptos"/>
                <w:b/>
                <w:smallCaps/>
                <w:sz w:val="18"/>
                <w:szCs w:val="18"/>
              </w:rPr>
              <w:t> </w:t>
            </w:r>
          </w:p>
        </w:tc>
        <w:tc>
          <w:tcPr>
            <w:tcW w:w="949" w:type="dxa"/>
            <w:tcBorders>
              <w:top w:val="single" w:sz="4" w:space="0" w:color="000000"/>
              <w:left w:val="nil"/>
              <w:bottom w:val="single" w:sz="4" w:space="0" w:color="000000"/>
              <w:right w:val="nil"/>
            </w:tcBorders>
            <w:shd w:val="clear" w:color="auto" w:fill="auto"/>
          </w:tcPr>
          <w:p w14:paraId="66518C6E"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z w:val="18"/>
                <w:szCs w:val="18"/>
              </w:rPr>
              <w:t>F-value</w:t>
            </w:r>
            <w:r>
              <w:rPr>
                <w:rFonts w:ascii="Aptos" w:eastAsia="Aptos" w:hAnsi="Aptos" w:cs="Aptos"/>
                <w:b/>
                <w:smallCaps/>
                <w:sz w:val="18"/>
                <w:szCs w:val="18"/>
              </w:rPr>
              <w:t> </w:t>
            </w:r>
          </w:p>
        </w:tc>
        <w:tc>
          <w:tcPr>
            <w:tcW w:w="802" w:type="dxa"/>
            <w:tcBorders>
              <w:top w:val="single" w:sz="4" w:space="0" w:color="000000"/>
              <w:left w:val="nil"/>
              <w:bottom w:val="single" w:sz="4" w:space="0" w:color="000000"/>
              <w:right w:val="nil"/>
            </w:tcBorders>
            <w:shd w:val="clear" w:color="auto" w:fill="auto"/>
          </w:tcPr>
          <w:p w14:paraId="66518C6F"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z w:val="18"/>
                <w:szCs w:val="18"/>
              </w:rPr>
              <w:t>P-value</w:t>
            </w:r>
            <w:r>
              <w:rPr>
                <w:rFonts w:ascii="Aptos" w:eastAsia="Aptos" w:hAnsi="Aptos" w:cs="Aptos"/>
                <w:b/>
                <w:smallCaps/>
                <w:sz w:val="18"/>
                <w:szCs w:val="18"/>
              </w:rPr>
              <w:t> </w:t>
            </w:r>
          </w:p>
        </w:tc>
      </w:tr>
      <w:tr w:rsidR="008B7EAD" w14:paraId="66518C77" w14:textId="77777777">
        <w:trPr>
          <w:trHeight w:val="300"/>
        </w:trPr>
        <w:tc>
          <w:tcPr>
            <w:tcW w:w="1042" w:type="dxa"/>
            <w:tcBorders>
              <w:top w:val="single" w:sz="4" w:space="0" w:color="000000"/>
              <w:left w:val="nil"/>
              <w:bottom w:val="nil"/>
              <w:right w:val="nil"/>
            </w:tcBorders>
            <w:shd w:val="clear" w:color="auto" w:fill="FFFFFF"/>
            <w:vAlign w:val="center"/>
          </w:tcPr>
          <w:p w14:paraId="66518C71" w14:textId="77777777" w:rsidR="008B7EAD" w:rsidRDefault="009420B2">
            <w:pPr>
              <w:spacing w:before="100" w:after="100" w:line="240" w:lineRule="auto"/>
              <w:jc w:val="both"/>
              <w:rPr>
                <w:rFonts w:ascii="Aptos" w:eastAsia="Aptos" w:hAnsi="Aptos" w:cs="Aptos"/>
                <w:b/>
                <w:smallCaps/>
                <w:sz w:val="18"/>
                <w:szCs w:val="18"/>
              </w:rPr>
            </w:pPr>
            <w:r>
              <w:rPr>
                <w:rFonts w:ascii="Aptos" w:eastAsia="Aptos" w:hAnsi="Aptos" w:cs="Aptos"/>
                <w:b/>
                <w:color w:val="000000"/>
                <w:sz w:val="18"/>
                <w:szCs w:val="18"/>
              </w:rPr>
              <w:t>Abiotic</w:t>
            </w:r>
          </w:p>
        </w:tc>
        <w:tc>
          <w:tcPr>
            <w:tcW w:w="3187" w:type="dxa"/>
            <w:tcBorders>
              <w:top w:val="single" w:sz="4" w:space="0" w:color="000000"/>
              <w:left w:val="nil"/>
              <w:bottom w:val="nil"/>
              <w:right w:val="nil"/>
            </w:tcBorders>
            <w:shd w:val="clear" w:color="auto" w:fill="FFFFFF"/>
            <w:vAlign w:val="center"/>
          </w:tcPr>
          <w:p w14:paraId="66518C72"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Bulk density (g/cm</w:t>
            </w:r>
            <w:r>
              <w:rPr>
                <w:rFonts w:ascii="Aptos" w:eastAsia="Aptos" w:hAnsi="Aptos" w:cs="Aptos"/>
                <w:b/>
                <w:color w:val="000000"/>
                <w:sz w:val="18"/>
                <w:szCs w:val="18"/>
                <w:vertAlign w:val="superscript"/>
              </w:rPr>
              <w:t>3</w:t>
            </w:r>
            <w:r>
              <w:rPr>
                <w:rFonts w:ascii="Aptos" w:eastAsia="Aptos" w:hAnsi="Aptos" w:cs="Aptos"/>
                <w:b/>
                <w:color w:val="000000"/>
                <w:sz w:val="18"/>
                <w:szCs w:val="18"/>
              </w:rPr>
              <w:t>) </w:t>
            </w:r>
          </w:p>
        </w:tc>
        <w:tc>
          <w:tcPr>
            <w:tcW w:w="1604" w:type="dxa"/>
            <w:tcBorders>
              <w:top w:val="single" w:sz="4" w:space="0" w:color="000000"/>
              <w:left w:val="nil"/>
              <w:bottom w:val="nil"/>
              <w:right w:val="nil"/>
            </w:tcBorders>
            <w:shd w:val="clear" w:color="auto" w:fill="FFFFFF"/>
            <w:vAlign w:val="center"/>
          </w:tcPr>
          <w:p w14:paraId="66518C73"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1.03 (0.25) </w:t>
            </w:r>
          </w:p>
        </w:tc>
        <w:tc>
          <w:tcPr>
            <w:tcW w:w="1630" w:type="dxa"/>
            <w:tcBorders>
              <w:top w:val="single" w:sz="4" w:space="0" w:color="000000"/>
              <w:left w:val="nil"/>
              <w:bottom w:val="nil"/>
              <w:right w:val="nil"/>
            </w:tcBorders>
            <w:shd w:val="clear" w:color="auto" w:fill="FFFFFF"/>
            <w:vAlign w:val="center"/>
          </w:tcPr>
          <w:p w14:paraId="66518C74"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1.17 (0.25) </w:t>
            </w:r>
          </w:p>
        </w:tc>
        <w:tc>
          <w:tcPr>
            <w:tcW w:w="949" w:type="dxa"/>
            <w:tcBorders>
              <w:top w:val="single" w:sz="4" w:space="0" w:color="000000"/>
              <w:left w:val="nil"/>
              <w:bottom w:val="nil"/>
              <w:right w:val="nil"/>
            </w:tcBorders>
            <w:shd w:val="clear" w:color="auto" w:fill="FFFFFF"/>
            <w:vAlign w:val="center"/>
          </w:tcPr>
          <w:p w14:paraId="66518C75"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29.38 </w:t>
            </w:r>
          </w:p>
        </w:tc>
        <w:tc>
          <w:tcPr>
            <w:tcW w:w="802" w:type="dxa"/>
            <w:tcBorders>
              <w:top w:val="single" w:sz="4" w:space="0" w:color="000000"/>
              <w:left w:val="nil"/>
              <w:bottom w:val="nil"/>
              <w:right w:val="nil"/>
            </w:tcBorders>
            <w:shd w:val="clear" w:color="auto" w:fill="FFFFFF"/>
            <w:vAlign w:val="center"/>
          </w:tcPr>
          <w:p w14:paraId="66518C76"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&lt;0.001 </w:t>
            </w:r>
          </w:p>
        </w:tc>
      </w:tr>
      <w:tr w:rsidR="008B7EAD" w14:paraId="66518C7E" w14:textId="77777777">
        <w:trPr>
          <w:trHeight w:val="300"/>
        </w:trPr>
        <w:tc>
          <w:tcPr>
            <w:tcW w:w="1042" w:type="dxa"/>
            <w:tcBorders>
              <w:top w:val="nil"/>
              <w:left w:val="nil"/>
              <w:bottom w:val="nil"/>
              <w:right w:val="nil"/>
            </w:tcBorders>
            <w:shd w:val="clear" w:color="auto" w:fill="FFFFFF"/>
            <w:vAlign w:val="center"/>
          </w:tcPr>
          <w:p w14:paraId="66518C78"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79" w14:textId="77777777" w:rsidR="008B7EAD" w:rsidRDefault="009420B2">
            <w:pPr>
              <w:spacing w:before="100" w:after="100" w:line="240" w:lineRule="auto"/>
              <w:rPr>
                <w:rFonts w:ascii="Aptos" w:eastAsia="Aptos" w:hAnsi="Aptos" w:cs="Aptos"/>
                <w:b/>
                <w:sz w:val="18"/>
                <w:szCs w:val="18"/>
              </w:rPr>
            </w:pPr>
            <w:r>
              <w:rPr>
                <w:rFonts w:ascii="Aptos" w:eastAsia="Aptos" w:hAnsi="Aptos" w:cs="Aptos"/>
                <w:b/>
                <w:color w:val="000000"/>
                <w:sz w:val="18"/>
                <w:szCs w:val="18"/>
              </w:rPr>
              <w:t>Soil moisture (%) </w:t>
            </w:r>
          </w:p>
        </w:tc>
        <w:tc>
          <w:tcPr>
            <w:tcW w:w="1604" w:type="dxa"/>
            <w:tcBorders>
              <w:top w:val="nil"/>
              <w:left w:val="nil"/>
              <w:bottom w:val="nil"/>
              <w:right w:val="nil"/>
            </w:tcBorders>
            <w:shd w:val="clear" w:color="auto" w:fill="FFFFFF"/>
            <w:vAlign w:val="center"/>
          </w:tcPr>
          <w:p w14:paraId="66518C7A"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36.87 (18.89) </w:t>
            </w:r>
          </w:p>
        </w:tc>
        <w:tc>
          <w:tcPr>
            <w:tcW w:w="1630" w:type="dxa"/>
            <w:tcBorders>
              <w:top w:val="nil"/>
              <w:left w:val="nil"/>
              <w:bottom w:val="nil"/>
              <w:right w:val="nil"/>
            </w:tcBorders>
            <w:shd w:val="clear" w:color="auto" w:fill="FFFFFF"/>
            <w:vAlign w:val="center"/>
          </w:tcPr>
          <w:p w14:paraId="66518C7B"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30.10 (11.94) </w:t>
            </w:r>
          </w:p>
        </w:tc>
        <w:tc>
          <w:tcPr>
            <w:tcW w:w="949" w:type="dxa"/>
            <w:tcBorders>
              <w:top w:val="nil"/>
              <w:left w:val="nil"/>
              <w:bottom w:val="nil"/>
              <w:right w:val="nil"/>
            </w:tcBorders>
            <w:shd w:val="clear" w:color="auto" w:fill="FFFFFF"/>
            <w:vAlign w:val="center"/>
          </w:tcPr>
          <w:p w14:paraId="66518C7C"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16.82 </w:t>
            </w:r>
          </w:p>
        </w:tc>
        <w:tc>
          <w:tcPr>
            <w:tcW w:w="802" w:type="dxa"/>
            <w:tcBorders>
              <w:top w:val="nil"/>
              <w:left w:val="nil"/>
              <w:bottom w:val="nil"/>
              <w:right w:val="nil"/>
            </w:tcBorders>
            <w:shd w:val="clear" w:color="auto" w:fill="FFFFFF"/>
            <w:vAlign w:val="center"/>
          </w:tcPr>
          <w:p w14:paraId="66518C7D"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&lt;0.001</w:t>
            </w:r>
          </w:p>
        </w:tc>
      </w:tr>
      <w:tr w:rsidR="008B7EAD" w14:paraId="66518C85" w14:textId="77777777">
        <w:trPr>
          <w:trHeight w:val="300"/>
        </w:trPr>
        <w:tc>
          <w:tcPr>
            <w:tcW w:w="1042" w:type="dxa"/>
            <w:tcBorders>
              <w:top w:val="nil"/>
              <w:left w:val="nil"/>
              <w:bottom w:val="nil"/>
              <w:right w:val="nil"/>
            </w:tcBorders>
            <w:shd w:val="clear" w:color="auto" w:fill="FFFFFF"/>
            <w:vAlign w:val="center"/>
          </w:tcPr>
          <w:p w14:paraId="66518C7F" w14:textId="77777777" w:rsidR="008B7EAD" w:rsidRDefault="008B7EAD">
            <w:pPr>
              <w:spacing w:before="100" w:after="100" w:line="240" w:lineRule="auto"/>
              <w:jc w:val="both"/>
              <w:rPr>
                <w:rFonts w:ascii="Aptos" w:eastAsia="Aptos" w:hAnsi="Aptos" w:cs="Aptos"/>
                <w:b/>
                <w:smallCaps/>
                <w:sz w:val="18"/>
                <w:szCs w:val="18"/>
              </w:rPr>
            </w:pPr>
          </w:p>
        </w:tc>
        <w:tc>
          <w:tcPr>
            <w:tcW w:w="3187" w:type="dxa"/>
            <w:tcBorders>
              <w:top w:val="nil"/>
              <w:left w:val="nil"/>
              <w:bottom w:val="nil"/>
              <w:right w:val="nil"/>
            </w:tcBorders>
            <w:shd w:val="clear" w:color="auto" w:fill="FFFFFF"/>
            <w:vAlign w:val="center"/>
          </w:tcPr>
          <w:p w14:paraId="66518C80" w14:textId="77777777" w:rsidR="008B7EAD" w:rsidRDefault="009420B2">
            <w:pPr>
              <w:spacing w:before="100" w:after="100" w:line="240" w:lineRule="auto"/>
              <w:rPr>
                <w:rFonts w:ascii="Aptos" w:eastAsia="Aptos" w:hAnsi="Aptos" w:cs="Aptos"/>
                <w:sz w:val="18"/>
                <w:szCs w:val="18"/>
              </w:rPr>
            </w:pPr>
            <w:r>
              <w:rPr>
                <w:rFonts w:ascii="Aptos" w:eastAsia="Aptos" w:hAnsi="Aptos" w:cs="Aptos"/>
                <w:color w:val="000000"/>
                <w:sz w:val="18"/>
                <w:szCs w:val="18"/>
              </w:rPr>
              <w:t>pH (KCl) </w:t>
            </w:r>
          </w:p>
        </w:tc>
        <w:tc>
          <w:tcPr>
            <w:tcW w:w="1604" w:type="dxa"/>
            <w:tcBorders>
              <w:top w:val="nil"/>
              <w:left w:val="nil"/>
              <w:bottom w:val="nil"/>
              <w:right w:val="nil"/>
            </w:tcBorders>
            <w:shd w:val="clear" w:color="auto" w:fill="FFFFFF"/>
            <w:vAlign w:val="center"/>
          </w:tcPr>
          <w:p w14:paraId="66518C81"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5.89 (1.34) </w:t>
            </w:r>
          </w:p>
        </w:tc>
        <w:tc>
          <w:tcPr>
            <w:tcW w:w="1630" w:type="dxa"/>
            <w:tcBorders>
              <w:top w:val="nil"/>
              <w:left w:val="nil"/>
              <w:bottom w:val="nil"/>
              <w:right w:val="nil"/>
            </w:tcBorders>
            <w:shd w:val="clear" w:color="auto" w:fill="FFFFFF"/>
            <w:vAlign w:val="center"/>
          </w:tcPr>
          <w:p w14:paraId="66518C82"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5.83 (1.16) </w:t>
            </w:r>
          </w:p>
        </w:tc>
        <w:tc>
          <w:tcPr>
            <w:tcW w:w="949" w:type="dxa"/>
            <w:tcBorders>
              <w:top w:val="nil"/>
              <w:left w:val="nil"/>
              <w:bottom w:val="nil"/>
              <w:right w:val="nil"/>
            </w:tcBorders>
            <w:shd w:val="clear" w:color="auto" w:fill="FFFFFF"/>
            <w:vAlign w:val="center"/>
          </w:tcPr>
          <w:p w14:paraId="66518C83"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0.19</w:t>
            </w:r>
          </w:p>
        </w:tc>
        <w:tc>
          <w:tcPr>
            <w:tcW w:w="802" w:type="dxa"/>
            <w:tcBorders>
              <w:top w:val="nil"/>
              <w:left w:val="nil"/>
              <w:bottom w:val="nil"/>
              <w:right w:val="nil"/>
            </w:tcBorders>
            <w:shd w:val="clear" w:color="auto" w:fill="FFFFFF"/>
            <w:vAlign w:val="center"/>
          </w:tcPr>
          <w:p w14:paraId="66518C84"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0.662 </w:t>
            </w:r>
          </w:p>
        </w:tc>
      </w:tr>
      <w:tr w:rsidR="008B7EAD" w14:paraId="66518C8C" w14:textId="77777777">
        <w:trPr>
          <w:trHeight w:val="300"/>
        </w:trPr>
        <w:tc>
          <w:tcPr>
            <w:tcW w:w="1042" w:type="dxa"/>
            <w:tcBorders>
              <w:top w:val="nil"/>
              <w:left w:val="nil"/>
              <w:bottom w:val="nil"/>
              <w:right w:val="nil"/>
            </w:tcBorders>
            <w:shd w:val="clear" w:color="auto" w:fill="FFFFFF"/>
            <w:vAlign w:val="center"/>
          </w:tcPr>
          <w:p w14:paraId="66518C86"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87" w14:textId="77777777" w:rsidR="008B7EAD" w:rsidRDefault="009420B2">
            <w:pPr>
              <w:spacing w:before="100" w:after="100" w:line="240" w:lineRule="auto"/>
              <w:rPr>
                <w:rFonts w:ascii="Aptos" w:eastAsia="Aptos" w:hAnsi="Aptos" w:cs="Aptos"/>
                <w:b/>
                <w:sz w:val="18"/>
                <w:szCs w:val="18"/>
              </w:rPr>
            </w:pPr>
            <w:r>
              <w:rPr>
                <w:rFonts w:ascii="Aptos" w:eastAsia="Aptos" w:hAnsi="Aptos" w:cs="Aptos"/>
                <w:b/>
                <w:color w:val="000000"/>
                <w:sz w:val="18"/>
                <w:szCs w:val="18"/>
              </w:rPr>
              <w:t>Soil organic matter (%) </w:t>
            </w:r>
          </w:p>
        </w:tc>
        <w:tc>
          <w:tcPr>
            <w:tcW w:w="1604" w:type="dxa"/>
            <w:tcBorders>
              <w:top w:val="nil"/>
              <w:left w:val="nil"/>
              <w:bottom w:val="nil"/>
              <w:right w:val="nil"/>
            </w:tcBorders>
            <w:shd w:val="clear" w:color="auto" w:fill="FFFFFF"/>
            <w:vAlign w:val="center"/>
          </w:tcPr>
          <w:p w14:paraId="66518C88"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2.76 (1.45) </w:t>
            </w:r>
          </w:p>
        </w:tc>
        <w:tc>
          <w:tcPr>
            <w:tcW w:w="1630" w:type="dxa"/>
            <w:tcBorders>
              <w:top w:val="nil"/>
              <w:left w:val="nil"/>
              <w:bottom w:val="nil"/>
              <w:right w:val="nil"/>
            </w:tcBorders>
            <w:shd w:val="clear" w:color="auto" w:fill="FFFFFF"/>
            <w:vAlign w:val="center"/>
          </w:tcPr>
          <w:p w14:paraId="66518C89"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2.33 (0.81) </w:t>
            </w:r>
          </w:p>
        </w:tc>
        <w:tc>
          <w:tcPr>
            <w:tcW w:w="949" w:type="dxa"/>
            <w:tcBorders>
              <w:top w:val="nil"/>
              <w:left w:val="nil"/>
              <w:bottom w:val="nil"/>
              <w:right w:val="nil"/>
            </w:tcBorders>
            <w:shd w:val="clear" w:color="auto" w:fill="FFFFFF"/>
            <w:vAlign w:val="center"/>
          </w:tcPr>
          <w:p w14:paraId="66518C8A"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7.45 </w:t>
            </w:r>
          </w:p>
        </w:tc>
        <w:tc>
          <w:tcPr>
            <w:tcW w:w="802" w:type="dxa"/>
            <w:tcBorders>
              <w:top w:val="nil"/>
              <w:left w:val="nil"/>
              <w:bottom w:val="nil"/>
              <w:right w:val="nil"/>
            </w:tcBorders>
            <w:shd w:val="clear" w:color="auto" w:fill="FFFFFF"/>
            <w:vAlign w:val="center"/>
          </w:tcPr>
          <w:p w14:paraId="66518C8B"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&lt;0.01 </w:t>
            </w:r>
          </w:p>
        </w:tc>
      </w:tr>
      <w:tr w:rsidR="008B7EAD" w14:paraId="66518C93" w14:textId="77777777">
        <w:trPr>
          <w:trHeight w:val="300"/>
        </w:trPr>
        <w:tc>
          <w:tcPr>
            <w:tcW w:w="1042" w:type="dxa"/>
            <w:tcBorders>
              <w:top w:val="nil"/>
              <w:left w:val="nil"/>
              <w:bottom w:val="nil"/>
              <w:right w:val="nil"/>
            </w:tcBorders>
            <w:shd w:val="clear" w:color="auto" w:fill="FFFFFF"/>
            <w:vAlign w:val="center"/>
          </w:tcPr>
          <w:p w14:paraId="66518C8D" w14:textId="77777777" w:rsidR="008B7EAD" w:rsidRDefault="008B7EAD">
            <w:pPr>
              <w:spacing w:before="180" w:after="180" w:line="240" w:lineRule="auto"/>
              <w:jc w:val="both"/>
              <w:rPr>
                <w:rFonts w:ascii="Aptos" w:eastAsia="Aptos" w:hAnsi="Aptos" w:cs="Aptos"/>
                <w:b/>
                <w:smallCaps/>
                <w:sz w:val="18"/>
                <w:szCs w:val="18"/>
              </w:rPr>
            </w:pPr>
          </w:p>
        </w:tc>
        <w:tc>
          <w:tcPr>
            <w:tcW w:w="3187" w:type="dxa"/>
            <w:tcBorders>
              <w:top w:val="nil"/>
              <w:left w:val="nil"/>
              <w:bottom w:val="nil"/>
              <w:right w:val="nil"/>
            </w:tcBorders>
            <w:shd w:val="clear" w:color="auto" w:fill="FFFFFF"/>
            <w:vAlign w:val="center"/>
          </w:tcPr>
          <w:p w14:paraId="66518C8E" w14:textId="77777777" w:rsidR="008B7EAD" w:rsidRDefault="009420B2">
            <w:pPr>
              <w:spacing w:before="100" w:after="100" w:line="240" w:lineRule="auto"/>
              <w:rPr>
                <w:rFonts w:ascii="Aptos" w:eastAsia="Aptos" w:hAnsi="Aptos" w:cs="Aptos"/>
                <w:b/>
                <w:color w:val="000000"/>
                <w:sz w:val="18"/>
                <w:szCs w:val="18"/>
              </w:rPr>
            </w:pPr>
            <w:r>
              <w:rPr>
                <w:rFonts w:ascii="Aptos" w:eastAsia="Aptos" w:hAnsi="Aptos" w:cs="Aptos"/>
                <w:b/>
                <w:color w:val="000000"/>
                <w:sz w:val="18"/>
                <w:szCs w:val="18"/>
              </w:rPr>
              <w:t xml:space="preserve">Electrical conductivity (mS/m) </w:t>
            </w:r>
            <w:r>
              <w:rPr>
                <w:rFonts w:ascii="Aptos" w:eastAsia="Aptos" w:hAnsi="Aptos" w:cs="Aptos"/>
                <w:i/>
                <w:sz w:val="18"/>
                <w:szCs w:val="18"/>
                <w:vertAlign w:val="superscript"/>
              </w:rPr>
              <w:t>†</w:t>
            </w:r>
          </w:p>
        </w:tc>
        <w:tc>
          <w:tcPr>
            <w:tcW w:w="1604" w:type="dxa"/>
            <w:tcBorders>
              <w:top w:val="nil"/>
              <w:left w:val="nil"/>
              <w:bottom w:val="nil"/>
              <w:right w:val="nil"/>
            </w:tcBorders>
            <w:shd w:val="clear" w:color="auto" w:fill="FFFFFF"/>
            <w:vAlign w:val="center"/>
          </w:tcPr>
          <w:p w14:paraId="66518C8F" w14:textId="77777777" w:rsidR="008B7EAD" w:rsidRDefault="009420B2">
            <w:pPr>
              <w:spacing w:before="100" w:after="100" w:line="240" w:lineRule="auto"/>
              <w:jc w:val="both"/>
              <w:rPr>
                <w:rFonts w:ascii="Aptos" w:eastAsia="Aptos" w:hAnsi="Aptos" w:cs="Aptos"/>
                <w:b/>
                <w:color w:val="000000"/>
                <w:sz w:val="18"/>
                <w:szCs w:val="18"/>
              </w:rPr>
            </w:pPr>
            <w:r>
              <w:rPr>
                <w:rFonts w:ascii="Aptos" w:eastAsia="Aptos" w:hAnsi="Aptos" w:cs="Aptos"/>
                <w:b/>
                <w:color w:val="000000"/>
                <w:sz w:val="18"/>
                <w:szCs w:val="18"/>
              </w:rPr>
              <w:t>81.50 (29.82)</w:t>
            </w:r>
          </w:p>
        </w:tc>
        <w:tc>
          <w:tcPr>
            <w:tcW w:w="1630" w:type="dxa"/>
            <w:tcBorders>
              <w:top w:val="nil"/>
              <w:left w:val="nil"/>
              <w:bottom w:val="nil"/>
              <w:right w:val="nil"/>
            </w:tcBorders>
            <w:shd w:val="clear" w:color="auto" w:fill="FFFFFF"/>
            <w:vAlign w:val="center"/>
          </w:tcPr>
          <w:p w14:paraId="66518C90" w14:textId="77777777" w:rsidR="008B7EAD" w:rsidRDefault="009420B2">
            <w:pPr>
              <w:spacing w:before="100" w:after="100" w:line="240" w:lineRule="auto"/>
              <w:jc w:val="both"/>
              <w:rPr>
                <w:rFonts w:ascii="Aptos" w:eastAsia="Aptos" w:hAnsi="Aptos" w:cs="Aptos"/>
                <w:b/>
                <w:color w:val="000000"/>
                <w:sz w:val="18"/>
                <w:szCs w:val="18"/>
              </w:rPr>
            </w:pPr>
            <w:r>
              <w:rPr>
                <w:rFonts w:ascii="Aptos" w:eastAsia="Aptos" w:hAnsi="Aptos" w:cs="Aptos"/>
                <w:b/>
                <w:color w:val="000000"/>
                <w:sz w:val="18"/>
                <w:szCs w:val="18"/>
              </w:rPr>
              <w:t>99.79 (43.02)</w:t>
            </w:r>
          </w:p>
        </w:tc>
        <w:tc>
          <w:tcPr>
            <w:tcW w:w="949" w:type="dxa"/>
            <w:tcBorders>
              <w:top w:val="nil"/>
              <w:left w:val="nil"/>
              <w:bottom w:val="nil"/>
              <w:right w:val="nil"/>
            </w:tcBorders>
            <w:shd w:val="clear" w:color="auto" w:fill="FFFFFF"/>
            <w:vAlign w:val="center"/>
          </w:tcPr>
          <w:p w14:paraId="66518C91"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17.96</w:t>
            </w:r>
          </w:p>
        </w:tc>
        <w:tc>
          <w:tcPr>
            <w:tcW w:w="802" w:type="dxa"/>
            <w:tcBorders>
              <w:top w:val="nil"/>
              <w:left w:val="nil"/>
              <w:bottom w:val="nil"/>
              <w:right w:val="nil"/>
            </w:tcBorders>
            <w:shd w:val="clear" w:color="auto" w:fill="FFFFFF"/>
            <w:vAlign w:val="center"/>
          </w:tcPr>
          <w:p w14:paraId="66518C92"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&lt;0.001</w:t>
            </w:r>
          </w:p>
        </w:tc>
      </w:tr>
      <w:tr w:rsidR="008B7EAD" w14:paraId="66518C9A" w14:textId="77777777">
        <w:trPr>
          <w:trHeight w:val="300"/>
        </w:trPr>
        <w:tc>
          <w:tcPr>
            <w:tcW w:w="1042" w:type="dxa"/>
            <w:tcBorders>
              <w:top w:val="nil"/>
              <w:left w:val="nil"/>
              <w:bottom w:val="nil"/>
              <w:right w:val="nil"/>
            </w:tcBorders>
            <w:shd w:val="clear" w:color="auto" w:fill="FFFFFF"/>
            <w:vAlign w:val="center"/>
          </w:tcPr>
          <w:p w14:paraId="66518C94"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95" w14:textId="77777777" w:rsidR="008B7EAD" w:rsidRDefault="009420B2">
            <w:pPr>
              <w:spacing w:before="100" w:after="100" w:line="240" w:lineRule="auto"/>
              <w:rPr>
                <w:rFonts w:ascii="Aptos" w:eastAsia="Aptos" w:hAnsi="Aptos" w:cs="Aptos"/>
                <w:sz w:val="18"/>
                <w:szCs w:val="18"/>
              </w:rPr>
            </w:pPr>
            <w:r>
              <w:rPr>
                <w:rFonts w:ascii="Aptos" w:eastAsia="Aptos" w:hAnsi="Aptos" w:cs="Aptos"/>
                <w:color w:val="000000"/>
                <w:sz w:val="18"/>
                <w:szCs w:val="18"/>
              </w:rPr>
              <w:t xml:space="preserve">Total P (mg/kg) </w:t>
            </w:r>
            <w:r>
              <w:rPr>
                <w:rFonts w:ascii="Aptos" w:eastAsia="Aptos" w:hAnsi="Aptos" w:cs="Aptos"/>
                <w:i/>
                <w:sz w:val="18"/>
                <w:szCs w:val="18"/>
                <w:vertAlign w:val="superscript"/>
              </w:rPr>
              <w:t>†</w:t>
            </w:r>
            <w:r>
              <w:rPr>
                <w:rFonts w:ascii="Aptos" w:eastAsia="Aptos" w:hAnsi="Aptos" w:cs="Aptos"/>
                <w:color w:val="000000"/>
                <w:sz w:val="18"/>
                <w:szCs w:val="18"/>
              </w:rPr>
              <w:t> </w:t>
            </w:r>
          </w:p>
        </w:tc>
        <w:tc>
          <w:tcPr>
            <w:tcW w:w="1604" w:type="dxa"/>
            <w:tcBorders>
              <w:top w:val="nil"/>
              <w:left w:val="nil"/>
              <w:bottom w:val="nil"/>
              <w:right w:val="nil"/>
            </w:tcBorders>
            <w:shd w:val="clear" w:color="auto" w:fill="FFFFFF"/>
            <w:vAlign w:val="center"/>
          </w:tcPr>
          <w:p w14:paraId="66518C96"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802.67 (427.07) </w:t>
            </w:r>
          </w:p>
        </w:tc>
        <w:tc>
          <w:tcPr>
            <w:tcW w:w="1630" w:type="dxa"/>
            <w:tcBorders>
              <w:top w:val="nil"/>
              <w:left w:val="nil"/>
              <w:bottom w:val="nil"/>
              <w:right w:val="nil"/>
            </w:tcBorders>
            <w:shd w:val="clear" w:color="auto" w:fill="FFFFFF"/>
            <w:vAlign w:val="center"/>
          </w:tcPr>
          <w:p w14:paraId="66518C97"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844.54 (369.13) </w:t>
            </w:r>
          </w:p>
        </w:tc>
        <w:tc>
          <w:tcPr>
            <w:tcW w:w="949" w:type="dxa"/>
            <w:tcBorders>
              <w:top w:val="nil"/>
              <w:left w:val="nil"/>
              <w:bottom w:val="nil"/>
              <w:right w:val="nil"/>
            </w:tcBorders>
            <w:shd w:val="clear" w:color="auto" w:fill="FFFFFF"/>
            <w:vAlign w:val="center"/>
          </w:tcPr>
          <w:p w14:paraId="66518C98"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1.54 </w:t>
            </w:r>
          </w:p>
        </w:tc>
        <w:tc>
          <w:tcPr>
            <w:tcW w:w="802" w:type="dxa"/>
            <w:tcBorders>
              <w:top w:val="nil"/>
              <w:left w:val="nil"/>
              <w:bottom w:val="nil"/>
              <w:right w:val="nil"/>
            </w:tcBorders>
            <w:shd w:val="clear" w:color="auto" w:fill="FFFFFF"/>
            <w:vAlign w:val="center"/>
          </w:tcPr>
          <w:p w14:paraId="66518C99"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0.221 </w:t>
            </w:r>
          </w:p>
        </w:tc>
      </w:tr>
      <w:tr w:rsidR="008B7EAD" w14:paraId="66518CA1" w14:textId="77777777">
        <w:trPr>
          <w:trHeight w:val="300"/>
        </w:trPr>
        <w:tc>
          <w:tcPr>
            <w:tcW w:w="1042" w:type="dxa"/>
            <w:tcBorders>
              <w:top w:val="nil"/>
              <w:left w:val="nil"/>
              <w:bottom w:val="nil"/>
              <w:right w:val="nil"/>
            </w:tcBorders>
            <w:shd w:val="clear" w:color="auto" w:fill="FFFFFF"/>
            <w:vAlign w:val="center"/>
          </w:tcPr>
          <w:p w14:paraId="66518C9B"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9C" w14:textId="77777777" w:rsidR="008B7EAD" w:rsidRDefault="009420B2">
            <w:pPr>
              <w:spacing w:before="100" w:after="100" w:line="240" w:lineRule="auto"/>
              <w:rPr>
                <w:rFonts w:ascii="Aptos" w:eastAsia="Aptos" w:hAnsi="Aptos" w:cs="Aptos"/>
                <w:sz w:val="18"/>
                <w:szCs w:val="18"/>
              </w:rPr>
            </w:pPr>
            <w:r>
              <w:rPr>
                <w:rFonts w:ascii="Aptos" w:eastAsia="Aptos" w:hAnsi="Aptos" w:cs="Aptos"/>
                <w:color w:val="000000"/>
                <w:sz w:val="18"/>
                <w:szCs w:val="18"/>
              </w:rPr>
              <w:t xml:space="preserve">Olsen P (mg/kg) </w:t>
            </w:r>
            <w:r>
              <w:rPr>
                <w:rFonts w:ascii="Aptos" w:eastAsia="Aptos" w:hAnsi="Aptos" w:cs="Aptos"/>
                <w:i/>
                <w:sz w:val="18"/>
                <w:szCs w:val="18"/>
                <w:vertAlign w:val="superscript"/>
              </w:rPr>
              <w:t>†</w:t>
            </w:r>
          </w:p>
        </w:tc>
        <w:tc>
          <w:tcPr>
            <w:tcW w:w="1604" w:type="dxa"/>
            <w:tcBorders>
              <w:top w:val="nil"/>
              <w:left w:val="nil"/>
              <w:bottom w:val="nil"/>
              <w:right w:val="nil"/>
            </w:tcBorders>
            <w:shd w:val="clear" w:color="auto" w:fill="FFFFFF"/>
            <w:vAlign w:val="center"/>
          </w:tcPr>
          <w:p w14:paraId="66518C9D"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53.60 (23.37) </w:t>
            </w:r>
          </w:p>
        </w:tc>
        <w:tc>
          <w:tcPr>
            <w:tcW w:w="1630" w:type="dxa"/>
            <w:tcBorders>
              <w:top w:val="nil"/>
              <w:left w:val="nil"/>
              <w:bottom w:val="nil"/>
              <w:right w:val="nil"/>
            </w:tcBorders>
            <w:shd w:val="clear" w:color="auto" w:fill="FFFFFF"/>
            <w:vAlign w:val="center"/>
          </w:tcPr>
          <w:p w14:paraId="66518C9E"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69.20 (47.15) </w:t>
            </w:r>
          </w:p>
        </w:tc>
        <w:tc>
          <w:tcPr>
            <w:tcW w:w="949" w:type="dxa"/>
            <w:tcBorders>
              <w:top w:val="nil"/>
              <w:left w:val="nil"/>
              <w:bottom w:val="nil"/>
              <w:right w:val="nil"/>
            </w:tcBorders>
            <w:shd w:val="clear" w:color="auto" w:fill="FFFFFF"/>
            <w:vAlign w:val="center"/>
          </w:tcPr>
          <w:p w14:paraId="66518C9F"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0.19 </w:t>
            </w:r>
          </w:p>
        </w:tc>
        <w:tc>
          <w:tcPr>
            <w:tcW w:w="802" w:type="dxa"/>
            <w:tcBorders>
              <w:top w:val="nil"/>
              <w:left w:val="nil"/>
              <w:bottom w:val="nil"/>
              <w:right w:val="nil"/>
            </w:tcBorders>
            <w:shd w:val="clear" w:color="auto" w:fill="FFFFFF"/>
            <w:vAlign w:val="center"/>
          </w:tcPr>
          <w:p w14:paraId="66518CA0"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0.662 </w:t>
            </w:r>
          </w:p>
        </w:tc>
      </w:tr>
      <w:tr w:rsidR="008B7EAD" w14:paraId="66518CA8" w14:textId="77777777">
        <w:trPr>
          <w:trHeight w:val="300"/>
        </w:trPr>
        <w:tc>
          <w:tcPr>
            <w:tcW w:w="1042" w:type="dxa"/>
            <w:tcBorders>
              <w:top w:val="nil"/>
              <w:left w:val="nil"/>
              <w:bottom w:val="nil"/>
              <w:right w:val="nil"/>
            </w:tcBorders>
            <w:shd w:val="clear" w:color="auto" w:fill="FFFFFF"/>
            <w:vAlign w:val="center"/>
          </w:tcPr>
          <w:p w14:paraId="66518CA2"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A3" w14:textId="77777777" w:rsidR="008B7EAD" w:rsidRDefault="009420B2">
            <w:pPr>
              <w:spacing w:before="100" w:after="100" w:line="240" w:lineRule="auto"/>
              <w:rPr>
                <w:rFonts w:ascii="Aptos" w:eastAsia="Aptos" w:hAnsi="Aptos" w:cs="Aptos"/>
                <w:sz w:val="18"/>
                <w:szCs w:val="18"/>
              </w:rPr>
            </w:pPr>
            <w:r>
              <w:rPr>
                <w:rFonts w:ascii="Aptos" w:eastAsia="Aptos" w:hAnsi="Aptos" w:cs="Aptos"/>
                <w:color w:val="000000"/>
                <w:sz w:val="18"/>
                <w:szCs w:val="18"/>
              </w:rPr>
              <w:t xml:space="preserve">Total C (%) </w:t>
            </w:r>
            <w:r>
              <w:rPr>
                <w:rFonts w:ascii="Aptos" w:eastAsia="Aptos" w:hAnsi="Aptos" w:cs="Aptos"/>
                <w:i/>
                <w:sz w:val="18"/>
                <w:szCs w:val="18"/>
                <w:vertAlign w:val="superscript"/>
              </w:rPr>
              <w:t>†</w:t>
            </w:r>
          </w:p>
        </w:tc>
        <w:tc>
          <w:tcPr>
            <w:tcW w:w="1604" w:type="dxa"/>
            <w:tcBorders>
              <w:top w:val="nil"/>
              <w:left w:val="nil"/>
              <w:bottom w:val="nil"/>
              <w:right w:val="nil"/>
            </w:tcBorders>
            <w:shd w:val="clear" w:color="auto" w:fill="FFFFFF"/>
            <w:vAlign w:val="center"/>
          </w:tcPr>
          <w:p w14:paraId="66518CA4"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4.52 (2.47) </w:t>
            </w:r>
          </w:p>
        </w:tc>
        <w:tc>
          <w:tcPr>
            <w:tcW w:w="1630" w:type="dxa"/>
            <w:tcBorders>
              <w:top w:val="nil"/>
              <w:left w:val="nil"/>
              <w:bottom w:val="nil"/>
              <w:right w:val="nil"/>
            </w:tcBorders>
            <w:shd w:val="clear" w:color="auto" w:fill="FFFFFF"/>
            <w:vAlign w:val="center"/>
          </w:tcPr>
          <w:p w14:paraId="66518CA5"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3.62 (0.86) </w:t>
            </w:r>
          </w:p>
        </w:tc>
        <w:tc>
          <w:tcPr>
            <w:tcW w:w="949" w:type="dxa"/>
            <w:tcBorders>
              <w:top w:val="nil"/>
              <w:left w:val="nil"/>
              <w:bottom w:val="nil"/>
              <w:right w:val="nil"/>
            </w:tcBorders>
            <w:shd w:val="clear" w:color="auto" w:fill="FFFFFF"/>
            <w:vAlign w:val="center"/>
          </w:tcPr>
          <w:p w14:paraId="66518CA6"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3.61 </w:t>
            </w:r>
          </w:p>
        </w:tc>
        <w:tc>
          <w:tcPr>
            <w:tcW w:w="802" w:type="dxa"/>
            <w:tcBorders>
              <w:top w:val="nil"/>
              <w:left w:val="nil"/>
              <w:bottom w:val="nil"/>
              <w:right w:val="nil"/>
            </w:tcBorders>
            <w:shd w:val="clear" w:color="auto" w:fill="FFFFFF"/>
            <w:vAlign w:val="center"/>
          </w:tcPr>
          <w:p w14:paraId="66518CA7"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0.064 </w:t>
            </w:r>
          </w:p>
        </w:tc>
      </w:tr>
      <w:tr w:rsidR="008B7EAD" w14:paraId="66518CAF" w14:textId="77777777">
        <w:trPr>
          <w:trHeight w:val="300"/>
        </w:trPr>
        <w:tc>
          <w:tcPr>
            <w:tcW w:w="1042" w:type="dxa"/>
            <w:tcBorders>
              <w:top w:val="nil"/>
              <w:left w:val="nil"/>
              <w:bottom w:val="nil"/>
              <w:right w:val="nil"/>
            </w:tcBorders>
            <w:shd w:val="clear" w:color="auto" w:fill="FFFFFF"/>
            <w:vAlign w:val="center"/>
          </w:tcPr>
          <w:p w14:paraId="66518CA9"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AA" w14:textId="77777777" w:rsidR="008B7EAD" w:rsidRDefault="009420B2">
            <w:pPr>
              <w:spacing w:before="100" w:after="100" w:line="240" w:lineRule="auto"/>
              <w:rPr>
                <w:rFonts w:ascii="Aptos" w:eastAsia="Aptos" w:hAnsi="Aptos" w:cs="Aptos"/>
                <w:sz w:val="18"/>
                <w:szCs w:val="18"/>
              </w:rPr>
            </w:pPr>
            <w:r>
              <w:rPr>
                <w:rFonts w:ascii="Aptos" w:eastAsia="Aptos" w:hAnsi="Aptos" w:cs="Aptos"/>
                <w:color w:val="000000"/>
                <w:sz w:val="18"/>
                <w:szCs w:val="18"/>
              </w:rPr>
              <w:t xml:space="preserve">Total N (%) </w:t>
            </w:r>
            <w:r>
              <w:rPr>
                <w:rFonts w:ascii="Aptos" w:eastAsia="Aptos" w:hAnsi="Aptos" w:cs="Aptos"/>
                <w:i/>
                <w:sz w:val="18"/>
                <w:szCs w:val="18"/>
                <w:vertAlign w:val="superscript"/>
              </w:rPr>
              <w:t>†</w:t>
            </w:r>
          </w:p>
        </w:tc>
        <w:tc>
          <w:tcPr>
            <w:tcW w:w="1604" w:type="dxa"/>
            <w:tcBorders>
              <w:top w:val="nil"/>
              <w:left w:val="nil"/>
              <w:bottom w:val="nil"/>
              <w:right w:val="nil"/>
            </w:tcBorders>
            <w:shd w:val="clear" w:color="auto" w:fill="FFFFFF"/>
            <w:vAlign w:val="center"/>
          </w:tcPr>
          <w:p w14:paraId="66518CAB"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0.32 (0.18) </w:t>
            </w:r>
          </w:p>
        </w:tc>
        <w:tc>
          <w:tcPr>
            <w:tcW w:w="1630" w:type="dxa"/>
            <w:tcBorders>
              <w:top w:val="nil"/>
              <w:left w:val="nil"/>
              <w:bottom w:val="nil"/>
              <w:right w:val="nil"/>
            </w:tcBorders>
            <w:shd w:val="clear" w:color="auto" w:fill="FFFFFF"/>
            <w:vAlign w:val="center"/>
          </w:tcPr>
          <w:p w14:paraId="66518CAC"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0.26 (0.09) </w:t>
            </w:r>
          </w:p>
        </w:tc>
        <w:tc>
          <w:tcPr>
            <w:tcW w:w="949" w:type="dxa"/>
            <w:tcBorders>
              <w:top w:val="nil"/>
              <w:left w:val="nil"/>
              <w:bottom w:val="nil"/>
              <w:right w:val="nil"/>
            </w:tcBorders>
            <w:shd w:val="clear" w:color="auto" w:fill="FFFFFF"/>
            <w:vAlign w:val="center"/>
          </w:tcPr>
          <w:p w14:paraId="66518CAD"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2.71 </w:t>
            </w:r>
          </w:p>
        </w:tc>
        <w:tc>
          <w:tcPr>
            <w:tcW w:w="802" w:type="dxa"/>
            <w:tcBorders>
              <w:top w:val="nil"/>
              <w:left w:val="nil"/>
              <w:bottom w:val="nil"/>
              <w:right w:val="nil"/>
            </w:tcBorders>
            <w:shd w:val="clear" w:color="auto" w:fill="FFFFFF"/>
            <w:vAlign w:val="center"/>
          </w:tcPr>
          <w:p w14:paraId="66518CAE"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0.107 </w:t>
            </w:r>
          </w:p>
        </w:tc>
      </w:tr>
      <w:tr w:rsidR="008B7EAD" w14:paraId="66518CB6" w14:textId="77777777">
        <w:trPr>
          <w:trHeight w:val="300"/>
        </w:trPr>
        <w:tc>
          <w:tcPr>
            <w:tcW w:w="1042" w:type="dxa"/>
            <w:tcBorders>
              <w:top w:val="nil"/>
              <w:left w:val="nil"/>
              <w:bottom w:val="nil"/>
              <w:right w:val="nil"/>
            </w:tcBorders>
            <w:shd w:val="clear" w:color="auto" w:fill="FFFFFF"/>
            <w:vAlign w:val="center"/>
          </w:tcPr>
          <w:p w14:paraId="66518CB0" w14:textId="77777777" w:rsidR="008B7EAD" w:rsidRDefault="009420B2">
            <w:pPr>
              <w:spacing w:before="100" w:after="100" w:line="240" w:lineRule="auto"/>
              <w:jc w:val="both"/>
              <w:rPr>
                <w:rFonts w:ascii="Aptos" w:eastAsia="Aptos" w:hAnsi="Aptos" w:cs="Aptos"/>
                <w:b/>
                <w:smallCaps/>
                <w:sz w:val="18"/>
                <w:szCs w:val="18"/>
              </w:rPr>
            </w:pPr>
            <w:r>
              <w:rPr>
                <w:rFonts w:ascii="Aptos" w:eastAsia="Aptos" w:hAnsi="Aptos" w:cs="Aptos"/>
                <w:b/>
                <w:color w:val="000000"/>
                <w:sz w:val="18"/>
                <w:szCs w:val="18"/>
              </w:rPr>
              <w:t>Biotic</w:t>
            </w:r>
          </w:p>
        </w:tc>
        <w:tc>
          <w:tcPr>
            <w:tcW w:w="3187" w:type="dxa"/>
            <w:tcBorders>
              <w:top w:val="nil"/>
              <w:left w:val="nil"/>
              <w:bottom w:val="nil"/>
              <w:right w:val="nil"/>
            </w:tcBorders>
            <w:shd w:val="clear" w:color="auto" w:fill="FFFFFF"/>
            <w:vAlign w:val="center"/>
          </w:tcPr>
          <w:p w14:paraId="66518CB1" w14:textId="77777777" w:rsidR="008B7EAD" w:rsidRDefault="009420B2">
            <w:pPr>
              <w:spacing w:before="100" w:after="100" w:line="240" w:lineRule="auto"/>
              <w:rPr>
                <w:rFonts w:ascii="Aptos" w:eastAsia="Aptos" w:hAnsi="Aptos" w:cs="Aptos"/>
                <w:sz w:val="18"/>
                <w:szCs w:val="18"/>
              </w:rPr>
            </w:pPr>
            <w:r>
              <w:rPr>
                <w:rFonts w:ascii="Aptos" w:eastAsia="Aptos" w:hAnsi="Aptos" w:cs="Aptos"/>
                <w:color w:val="000000"/>
                <w:sz w:val="18"/>
                <w:szCs w:val="18"/>
              </w:rPr>
              <w:t>Bacterial biomass (µg/g) </w:t>
            </w:r>
          </w:p>
        </w:tc>
        <w:tc>
          <w:tcPr>
            <w:tcW w:w="1604" w:type="dxa"/>
            <w:tcBorders>
              <w:top w:val="nil"/>
              <w:left w:val="nil"/>
              <w:bottom w:val="nil"/>
              <w:right w:val="nil"/>
            </w:tcBorders>
            <w:shd w:val="clear" w:color="auto" w:fill="FFFFFF"/>
            <w:vAlign w:val="center"/>
          </w:tcPr>
          <w:p w14:paraId="66518CB2"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25.23 (16.01) </w:t>
            </w:r>
          </w:p>
        </w:tc>
        <w:tc>
          <w:tcPr>
            <w:tcW w:w="1630" w:type="dxa"/>
            <w:tcBorders>
              <w:top w:val="nil"/>
              <w:left w:val="nil"/>
              <w:bottom w:val="nil"/>
              <w:right w:val="nil"/>
            </w:tcBorders>
            <w:shd w:val="clear" w:color="auto" w:fill="FFFFFF"/>
            <w:vAlign w:val="center"/>
          </w:tcPr>
          <w:p w14:paraId="66518CB3"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26.23 (13.65) </w:t>
            </w:r>
          </w:p>
        </w:tc>
        <w:tc>
          <w:tcPr>
            <w:tcW w:w="949" w:type="dxa"/>
            <w:tcBorders>
              <w:top w:val="nil"/>
              <w:left w:val="nil"/>
              <w:bottom w:val="nil"/>
              <w:right w:val="nil"/>
            </w:tcBorders>
            <w:shd w:val="clear" w:color="auto" w:fill="FFFFFF"/>
            <w:vAlign w:val="center"/>
          </w:tcPr>
          <w:p w14:paraId="66518CB4"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0.65 </w:t>
            </w:r>
          </w:p>
        </w:tc>
        <w:tc>
          <w:tcPr>
            <w:tcW w:w="802" w:type="dxa"/>
            <w:tcBorders>
              <w:top w:val="nil"/>
              <w:left w:val="nil"/>
              <w:bottom w:val="nil"/>
              <w:right w:val="nil"/>
            </w:tcBorders>
            <w:shd w:val="clear" w:color="auto" w:fill="FFFFFF"/>
            <w:vAlign w:val="center"/>
          </w:tcPr>
          <w:p w14:paraId="66518CB5"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0.036 </w:t>
            </w:r>
          </w:p>
        </w:tc>
      </w:tr>
      <w:tr w:rsidR="008B7EAD" w14:paraId="66518CBD" w14:textId="77777777">
        <w:trPr>
          <w:trHeight w:val="300"/>
        </w:trPr>
        <w:tc>
          <w:tcPr>
            <w:tcW w:w="1042" w:type="dxa"/>
            <w:tcBorders>
              <w:top w:val="nil"/>
              <w:left w:val="nil"/>
              <w:bottom w:val="nil"/>
              <w:right w:val="nil"/>
            </w:tcBorders>
            <w:shd w:val="clear" w:color="auto" w:fill="FFFFFF"/>
            <w:vAlign w:val="center"/>
          </w:tcPr>
          <w:p w14:paraId="66518CB7"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B8" w14:textId="77777777" w:rsidR="008B7EAD" w:rsidRDefault="009420B2">
            <w:pPr>
              <w:spacing w:before="100" w:after="100" w:line="240" w:lineRule="auto"/>
              <w:rPr>
                <w:rFonts w:ascii="Aptos" w:eastAsia="Aptos" w:hAnsi="Aptos" w:cs="Aptos"/>
                <w:b/>
                <w:sz w:val="18"/>
                <w:szCs w:val="18"/>
              </w:rPr>
            </w:pPr>
            <w:r>
              <w:rPr>
                <w:rFonts w:ascii="Aptos" w:eastAsia="Aptos" w:hAnsi="Aptos" w:cs="Aptos"/>
                <w:b/>
                <w:color w:val="000000"/>
                <w:sz w:val="18"/>
                <w:szCs w:val="18"/>
              </w:rPr>
              <w:t>AM fungal biomass (µg/g)</w:t>
            </w:r>
            <w:r>
              <w:rPr>
                <w:rFonts w:ascii="Aptos" w:eastAsia="Aptos" w:hAnsi="Aptos" w:cs="Aptos"/>
                <w:b/>
                <w:color w:val="000000"/>
                <w:sz w:val="18"/>
                <w:szCs w:val="18"/>
                <w:vertAlign w:val="superscript"/>
              </w:rPr>
              <w:t xml:space="preserve"> </w:t>
            </w:r>
            <w:r>
              <w:rPr>
                <w:rFonts w:ascii="Aptos" w:eastAsia="Aptos" w:hAnsi="Aptos" w:cs="Aptos"/>
                <w:i/>
                <w:sz w:val="18"/>
                <w:szCs w:val="18"/>
                <w:vertAlign w:val="superscript"/>
              </w:rPr>
              <w:t>†</w:t>
            </w:r>
          </w:p>
        </w:tc>
        <w:tc>
          <w:tcPr>
            <w:tcW w:w="1604" w:type="dxa"/>
            <w:tcBorders>
              <w:top w:val="nil"/>
              <w:left w:val="nil"/>
              <w:bottom w:val="nil"/>
              <w:right w:val="nil"/>
            </w:tcBorders>
            <w:shd w:val="clear" w:color="auto" w:fill="FFFFFF"/>
            <w:vAlign w:val="center"/>
          </w:tcPr>
          <w:p w14:paraId="66518CB9"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2.43 (2.61) </w:t>
            </w:r>
          </w:p>
        </w:tc>
        <w:tc>
          <w:tcPr>
            <w:tcW w:w="1630" w:type="dxa"/>
            <w:tcBorders>
              <w:top w:val="nil"/>
              <w:left w:val="nil"/>
              <w:bottom w:val="nil"/>
              <w:right w:val="nil"/>
            </w:tcBorders>
            <w:shd w:val="clear" w:color="auto" w:fill="FFFFFF"/>
            <w:vAlign w:val="center"/>
          </w:tcPr>
          <w:p w14:paraId="66518CBA"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4.71 (3.96) </w:t>
            </w:r>
          </w:p>
        </w:tc>
        <w:tc>
          <w:tcPr>
            <w:tcW w:w="949" w:type="dxa"/>
            <w:tcBorders>
              <w:top w:val="nil"/>
              <w:left w:val="nil"/>
              <w:bottom w:val="nil"/>
              <w:right w:val="nil"/>
            </w:tcBorders>
            <w:shd w:val="clear" w:color="auto" w:fill="FFFFFF"/>
            <w:vAlign w:val="center"/>
          </w:tcPr>
          <w:p w14:paraId="66518CBB"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24.75 </w:t>
            </w:r>
          </w:p>
        </w:tc>
        <w:tc>
          <w:tcPr>
            <w:tcW w:w="802" w:type="dxa"/>
            <w:tcBorders>
              <w:top w:val="nil"/>
              <w:left w:val="nil"/>
              <w:bottom w:val="nil"/>
              <w:right w:val="nil"/>
            </w:tcBorders>
            <w:shd w:val="clear" w:color="auto" w:fill="FFFFFF"/>
            <w:vAlign w:val="center"/>
          </w:tcPr>
          <w:p w14:paraId="66518CBC"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&lt;0.001 </w:t>
            </w:r>
          </w:p>
        </w:tc>
      </w:tr>
      <w:tr w:rsidR="008B7EAD" w14:paraId="66518CC4" w14:textId="77777777">
        <w:trPr>
          <w:trHeight w:val="300"/>
        </w:trPr>
        <w:tc>
          <w:tcPr>
            <w:tcW w:w="1042" w:type="dxa"/>
            <w:tcBorders>
              <w:top w:val="nil"/>
              <w:left w:val="nil"/>
              <w:bottom w:val="nil"/>
              <w:right w:val="nil"/>
            </w:tcBorders>
            <w:shd w:val="clear" w:color="auto" w:fill="FFFFFF"/>
            <w:vAlign w:val="center"/>
          </w:tcPr>
          <w:p w14:paraId="66518CBE"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BF" w14:textId="77777777" w:rsidR="008B7EAD" w:rsidRDefault="009420B2">
            <w:pPr>
              <w:spacing w:before="100" w:after="100" w:line="240" w:lineRule="auto"/>
              <w:rPr>
                <w:rFonts w:ascii="Aptos" w:eastAsia="Aptos" w:hAnsi="Aptos" w:cs="Aptos"/>
                <w:sz w:val="18"/>
                <w:szCs w:val="18"/>
              </w:rPr>
            </w:pPr>
            <w:r>
              <w:rPr>
                <w:rFonts w:ascii="Aptos" w:eastAsia="Aptos" w:hAnsi="Aptos" w:cs="Aptos"/>
                <w:color w:val="000000"/>
                <w:sz w:val="18"/>
                <w:szCs w:val="18"/>
              </w:rPr>
              <w:t>Non-AM fungal biomass (µg/g) </w:t>
            </w:r>
          </w:p>
        </w:tc>
        <w:tc>
          <w:tcPr>
            <w:tcW w:w="1604" w:type="dxa"/>
            <w:tcBorders>
              <w:top w:val="nil"/>
              <w:left w:val="nil"/>
              <w:bottom w:val="nil"/>
              <w:right w:val="nil"/>
            </w:tcBorders>
            <w:shd w:val="clear" w:color="auto" w:fill="FFFFFF"/>
            <w:vAlign w:val="center"/>
          </w:tcPr>
          <w:p w14:paraId="66518CC0"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1.64 (0.85) </w:t>
            </w:r>
          </w:p>
        </w:tc>
        <w:tc>
          <w:tcPr>
            <w:tcW w:w="1630" w:type="dxa"/>
            <w:tcBorders>
              <w:top w:val="nil"/>
              <w:left w:val="nil"/>
              <w:bottom w:val="nil"/>
              <w:right w:val="nil"/>
            </w:tcBorders>
            <w:shd w:val="clear" w:color="auto" w:fill="FFFFFF"/>
            <w:vAlign w:val="center"/>
          </w:tcPr>
          <w:p w14:paraId="66518CC1"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1.72 (1.04) </w:t>
            </w:r>
          </w:p>
        </w:tc>
        <w:tc>
          <w:tcPr>
            <w:tcW w:w="949" w:type="dxa"/>
            <w:tcBorders>
              <w:top w:val="nil"/>
              <w:left w:val="nil"/>
              <w:bottom w:val="nil"/>
              <w:right w:val="nil"/>
            </w:tcBorders>
            <w:shd w:val="clear" w:color="auto" w:fill="FFFFFF"/>
            <w:vAlign w:val="center"/>
          </w:tcPr>
          <w:p w14:paraId="66518CC2"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0.25 </w:t>
            </w:r>
          </w:p>
        </w:tc>
        <w:tc>
          <w:tcPr>
            <w:tcW w:w="802" w:type="dxa"/>
            <w:tcBorders>
              <w:top w:val="nil"/>
              <w:left w:val="nil"/>
              <w:bottom w:val="nil"/>
              <w:right w:val="nil"/>
            </w:tcBorders>
            <w:shd w:val="clear" w:color="auto" w:fill="FFFFFF"/>
            <w:vAlign w:val="center"/>
          </w:tcPr>
          <w:p w14:paraId="66518CC3"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0.620 </w:t>
            </w:r>
          </w:p>
        </w:tc>
      </w:tr>
      <w:tr w:rsidR="008B7EAD" w14:paraId="66518CCB" w14:textId="77777777">
        <w:trPr>
          <w:trHeight w:val="300"/>
        </w:trPr>
        <w:tc>
          <w:tcPr>
            <w:tcW w:w="1042" w:type="dxa"/>
            <w:tcBorders>
              <w:top w:val="nil"/>
              <w:left w:val="nil"/>
              <w:bottom w:val="nil"/>
              <w:right w:val="nil"/>
            </w:tcBorders>
            <w:shd w:val="clear" w:color="auto" w:fill="FFFFFF"/>
            <w:vAlign w:val="center"/>
          </w:tcPr>
          <w:p w14:paraId="66518CC5"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C6" w14:textId="77777777" w:rsidR="008B7EAD" w:rsidRDefault="009420B2">
            <w:pPr>
              <w:spacing w:before="100" w:after="100" w:line="240" w:lineRule="auto"/>
              <w:rPr>
                <w:rFonts w:ascii="Aptos" w:eastAsia="Aptos" w:hAnsi="Aptos" w:cs="Aptos"/>
                <w:sz w:val="18"/>
                <w:szCs w:val="18"/>
              </w:rPr>
            </w:pPr>
            <w:r>
              <w:rPr>
                <w:rFonts w:ascii="Aptos" w:eastAsia="Aptos" w:hAnsi="Aptos" w:cs="Aptos"/>
                <w:color w:val="000000"/>
                <w:sz w:val="18"/>
                <w:szCs w:val="18"/>
              </w:rPr>
              <w:t>Springtails abundance (#/kg) </w:t>
            </w:r>
          </w:p>
        </w:tc>
        <w:tc>
          <w:tcPr>
            <w:tcW w:w="1604" w:type="dxa"/>
            <w:tcBorders>
              <w:top w:val="nil"/>
              <w:left w:val="nil"/>
              <w:bottom w:val="nil"/>
              <w:right w:val="nil"/>
            </w:tcBorders>
            <w:shd w:val="clear" w:color="auto" w:fill="FFFFFF"/>
            <w:vAlign w:val="center"/>
          </w:tcPr>
          <w:p w14:paraId="66518CC7"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518.52 (282.43) </w:t>
            </w:r>
          </w:p>
        </w:tc>
        <w:tc>
          <w:tcPr>
            <w:tcW w:w="1630" w:type="dxa"/>
            <w:tcBorders>
              <w:top w:val="nil"/>
              <w:left w:val="nil"/>
              <w:bottom w:val="nil"/>
              <w:right w:val="nil"/>
            </w:tcBorders>
            <w:shd w:val="clear" w:color="auto" w:fill="FFFFFF"/>
            <w:vAlign w:val="center"/>
          </w:tcPr>
          <w:p w14:paraId="66518CC8"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679.41 (524.49) </w:t>
            </w:r>
          </w:p>
        </w:tc>
        <w:tc>
          <w:tcPr>
            <w:tcW w:w="949" w:type="dxa"/>
            <w:tcBorders>
              <w:top w:val="nil"/>
              <w:left w:val="nil"/>
              <w:bottom w:val="nil"/>
              <w:right w:val="nil"/>
            </w:tcBorders>
            <w:shd w:val="clear" w:color="auto" w:fill="FFFFFF"/>
            <w:vAlign w:val="center"/>
          </w:tcPr>
          <w:p w14:paraId="66518CC9"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1.00 </w:t>
            </w:r>
          </w:p>
        </w:tc>
        <w:tc>
          <w:tcPr>
            <w:tcW w:w="802" w:type="dxa"/>
            <w:tcBorders>
              <w:top w:val="nil"/>
              <w:left w:val="nil"/>
              <w:bottom w:val="nil"/>
              <w:right w:val="nil"/>
            </w:tcBorders>
            <w:shd w:val="clear" w:color="auto" w:fill="FFFFFF"/>
            <w:vAlign w:val="center"/>
          </w:tcPr>
          <w:p w14:paraId="66518CCA"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0.329 </w:t>
            </w:r>
          </w:p>
        </w:tc>
      </w:tr>
      <w:tr w:rsidR="008B7EAD" w14:paraId="66518CD2" w14:textId="77777777">
        <w:trPr>
          <w:trHeight w:val="300"/>
        </w:trPr>
        <w:tc>
          <w:tcPr>
            <w:tcW w:w="1042" w:type="dxa"/>
            <w:tcBorders>
              <w:top w:val="nil"/>
              <w:left w:val="nil"/>
              <w:bottom w:val="nil"/>
              <w:right w:val="nil"/>
            </w:tcBorders>
            <w:shd w:val="clear" w:color="auto" w:fill="FFFFFF"/>
            <w:vAlign w:val="center"/>
          </w:tcPr>
          <w:p w14:paraId="66518CCC"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CD" w14:textId="77777777" w:rsidR="008B7EAD" w:rsidRDefault="009420B2">
            <w:pPr>
              <w:spacing w:before="100" w:after="100" w:line="240" w:lineRule="auto"/>
              <w:rPr>
                <w:rFonts w:ascii="Aptos" w:eastAsia="Aptos" w:hAnsi="Aptos" w:cs="Aptos"/>
                <w:b/>
                <w:sz w:val="18"/>
                <w:szCs w:val="18"/>
              </w:rPr>
            </w:pPr>
            <w:r>
              <w:rPr>
                <w:rFonts w:ascii="Aptos" w:eastAsia="Aptos" w:hAnsi="Aptos" w:cs="Aptos"/>
                <w:b/>
                <w:color w:val="000000"/>
                <w:sz w:val="18"/>
                <w:szCs w:val="18"/>
              </w:rPr>
              <w:t xml:space="preserve">Oribatid mite abundance (#/kg) </w:t>
            </w:r>
            <w:r>
              <w:rPr>
                <w:rFonts w:ascii="Aptos" w:eastAsia="Aptos" w:hAnsi="Aptos" w:cs="Aptos"/>
                <w:i/>
                <w:vertAlign w:val="superscript"/>
              </w:rPr>
              <w:t>‡</w:t>
            </w:r>
            <w:r>
              <w:rPr>
                <w:rFonts w:ascii="Aptos" w:eastAsia="Aptos" w:hAnsi="Aptos" w:cs="Aptos"/>
                <w:b/>
                <w:color w:val="000000"/>
                <w:sz w:val="18"/>
                <w:szCs w:val="18"/>
              </w:rPr>
              <w:t> </w:t>
            </w:r>
          </w:p>
        </w:tc>
        <w:tc>
          <w:tcPr>
            <w:tcW w:w="1604" w:type="dxa"/>
            <w:tcBorders>
              <w:top w:val="nil"/>
              <w:left w:val="nil"/>
              <w:bottom w:val="nil"/>
              <w:right w:val="nil"/>
            </w:tcBorders>
            <w:shd w:val="clear" w:color="auto" w:fill="FFFFFF"/>
            <w:vAlign w:val="center"/>
          </w:tcPr>
          <w:p w14:paraId="66518CCE"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738.73 (780.58) </w:t>
            </w:r>
          </w:p>
        </w:tc>
        <w:tc>
          <w:tcPr>
            <w:tcW w:w="1630" w:type="dxa"/>
            <w:tcBorders>
              <w:top w:val="nil"/>
              <w:left w:val="nil"/>
              <w:bottom w:val="nil"/>
              <w:right w:val="nil"/>
            </w:tcBorders>
            <w:shd w:val="clear" w:color="auto" w:fill="FFFFFF"/>
            <w:vAlign w:val="center"/>
          </w:tcPr>
          <w:p w14:paraId="66518CCF"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217.55 (222.56) </w:t>
            </w:r>
          </w:p>
        </w:tc>
        <w:tc>
          <w:tcPr>
            <w:tcW w:w="949" w:type="dxa"/>
            <w:tcBorders>
              <w:top w:val="nil"/>
              <w:left w:val="nil"/>
              <w:bottom w:val="nil"/>
              <w:right w:val="nil"/>
            </w:tcBorders>
            <w:shd w:val="clear" w:color="auto" w:fill="FFFFFF"/>
            <w:vAlign w:val="center"/>
          </w:tcPr>
          <w:p w14:paraId="66518CD0"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10.15 </w:t>
            </w:r>
          </w:p>
        </w:tc>
        <w:tc>
          <w:tcPr>
            <w:tcW w:w="802" w:type="dxa"/>
            <w:tcBorders>
              <w:top w:val="nil"/>
              <w:left w:val="nil"/>
              <w:bottom w:val="nil"/>
              <w:right w:val="nil"/>
            </w:tcBorders>
            <w:shd w:val="clear" w:color="auto" w:fill="FFFFFF"/>
            <w:vAlign w:val="center"/>
          </w:tcPr>
          <w:p w14:paraId="66518CD1"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&lt;0.01 </w:t>
            </w:r>
          </w:p>
        </w:tc>
      </w:tr>
      <w:tr w:rsidR="008B7EAD" w14:paraId="66518CD9" w14:textId="77777777">
        <w:trPr>
          <w:trHeight w:val="300"/>
        </w:trPr>
        <w:tc>
          <w:tcPr>
            <w:tcW w:w="1042" w:type="dxa"/>
            <w:tcBorders>
              <w:top w:val="nil"/>
              <w:left w:val="nil"/>
              <w:bottom w:val="nil"/>
              <w:right w:val="nil"/>
            </w:tcBorders>
            <w:shd w:val="clear" w:color="auto" w:fill="FFFFFF"/>
            <w:vAlign w:val="center"/>
          </w:tcPr>
          <w:p w14:paraId="66518CD3"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D4" w14:textId="77777777" w:rsidR="008B7EAD" w:rsidRDefault="009420B2">
            <w:pPr>
              <w:spacing w:before="100" w:after="100" w:line="240" w:lineRule="auto"/>
              <w:rPr>
                <w:rFonts w:ascii="Aptos" w:eastAsia="Aptos" w:hAnsi="Aptos" w:cs="Aptos"/>
                <w:sz w:val="18"/>
                <w:szCs w:val="18"/>
              </w:rPr>
            </w:pPr>
            <w:r>
              <w:rPr>
                <w:rFonts w:ascii="Aptos" w:eastAsia="Aptos" w:hAnsi="Aptos" w:cs="Aptos"/>
                <w:color w:val="000000"/>
                <w:sz w:val="18"/>
                <w:szCs w:val="18"/>
              </w:rPr>
              <w:t xml:space="preserve">Meso- and prostigmatic mite abundance (#/kg) </w:t>
            </w:r>
            <w:r>
              <w:rPr>
                <w:rFonts w:ascii="Aptos" w:eastAsia="Aptos" w:hAnsi="Aptos" w:cs="Aptos"/>
                <w:i/>
                <w:vertAlign w:val="superscript"/>
              </w:rPr>
              <w:t>‡</w:t>
            </w:r>
            <w:r>
              <w:rPr>
                <w:rFonts w:ascii="Aptos" w:eastAsia="Aptos" w:hAnsi="Aptos" w:cs="Aptos"/>
                <w:color w:val="000000"/>
                <w:sz w:val="18"/>
                <w:szCs w:val="18"/>
              </w:rPr>
              <w:t> </w:t>
            </w:r>
          </w:p>
        </w:tc>
        <w:tc>
          <w:tcPr>
            <w:tcW w:w="1604" w:type="dxa"/>
            <w:tcBorders>
              <w:top w:val="nil"/>
              <w:left w:val="nil"/>
              <w:bottom w:val="nil"/>
              <w:right w:val="nil"/>
            </w:tcBorders>
            <w:shd w:val="clear" w:color="auto" w:fill="FFFFFF"/>
            <w:vAlign w:val="center"/>
          </w:tcPr>
          <w:p w14:paraId="66518CD5"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591.82 (560.18) </w:t>
            </w:r>
          </w:p>
        </w:tc>
        <w:tc>
          <w:tcPr>
            <w:tcW w:w="1630" w:type="dxa"/>
            <w:tcBorders>
              <w:top w:val="nil"/>
              <w:left w:val="nil"/>
              <w:bottom w:val="nil"/>
              <w:right w:val="nil"/>
            </w:tcBorders>
            <w:shd w:val="clear" w:color="auto" w:fill="FFFFFF"/>
            <w:vAlign w:val="center"/>
          </w:tcPr>
          <w:p w14:paraId="66518CD6" w14:textId="77777777" w:rsidR="008B7EAD" w:rsidRDefault="009420B2">
            <w:pPr>
              <w:spacing w:before="100" w:after="100" w:line="240" w:lineRule="auto"/>
              <w:jc w:val="both"/>
              <w:rPr>
                <w:rFonts w:ascii="Aptos" w:eastAsia="Aptos" w:hAnsi="Aptos" w:cs="Aptos"/>
                <w:sz w:val="18"/>
                <w:szCs w:val="18"/>
              </w:rPr>
            </w:pPr>
            <w:r>
              <w:rPr>
                <w:rFonts w:ascii="Aptos" w:eastAsia="Aptos" w:hAnsi="Aptos" w:cs="Aptos"/>
                <w:color w:val="000000"/>
                <w:sz w:val="18"/>
                <w:szCs w:val="18"/>
              </w:rPr>
              <w:t>386.77 (242.37) </w:t>
            </w:r>
          </w:p>
        </w:tc>
        <w:tc>
          <w:tcPr>
            <w:tcW w:w="949" w:type="dxa"/>
            <w:tcBorders>
              <w:top w:val="nil"/>
              <w:left w:val="nil"/>
              <w:bottom w:val="nil"/>
              <w:right w:val="nil"/>
            </w:tcBorders>
            <w:shd w:val="clear" w:color="auto" w:fill="FFFFFF"/>
            <w:vAlign w:val="center"/>
          </w:tcPr>
          <w:p w14:paraId="66518CD7"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1.16 </w:t>
            </w:r>
          </w:p>
        </w:tc>
        <w:tc>
          <w:tcPr>
            <w:tcW w:w="802" w:type="dxa"/>
            <w:tcBorders>
              <w:top w:val="nil"/>
              <w:left w:val="nil"/>
              <w:bottom w:val="nil"/>
              <w:right w:val="nil"/>
            </w:tcBorders>
            <w:shd w:val="clear" w:color="auto" w:fill="FFFFFF"/>
            <w:vAlign w:val="center"/>
          </w:tcPr>
          <w:p w14:paraId="66518CD8" w14:textId="77777777" w:rsidR="008B7EAD" w:rsidRDefault="009420B2">
            <w:pPr>
              <w:spacing w:before="180" w:after="180" w:line="240" w:lineRule="auto"/>
              <w:jc w:val="both"/>
              <w:rPr>
                <w:rFonts w:ascii="Aptos" w:eastAsia="Aptos" w:hAnsi="Aptos" w:cs="Aptos"/>
                <w:sz w:val="18"/>
                <w:szCs w:val="18"/>
              </w:rPr>
            </w:pPr>
            <w:r>
              <w:rPr>
                <w:rFonts w:ascii="Aptos" w:eastAsia="Aptos" w:hAnsi="Aptos" w:cs="Aptos"/>
                <w:sz w:val="18"/>
                <w:szCs w:val="18"/>
              </w:rPr>
              <w:t>0.295 </w:t>
            </w:r>
          </w:p>
        </w:tc>
      </w:tr>
      <w:tr w:rsidR="008B7EAD" w14:paraId="66518CE0" w14:textId="77777777">
        <w:trPr>
          <w:trHeight w:val="300"/>
        </w:trPr>
        <w:tc>
          <w:tcPr>
            <w:tcW w:w="1042" w:type="dxa"/>
            <w:tcBorders>
              <w:top w:val="nil"/>
              <w:left w:val="nil"/>
              <w:bottom w:val="nil"/>
              <w:right w:val="nil"/>
            </w:tcBorders>
            <w:shd w:val="clear" w:color="auto" w:fill="FFFFFF"/>
            <w:vAlign w:val="center"/>
          </w:tcPr>
          <w:p w14:paraId="66518CDA"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t> </w:t>
            </w:r>
          </w:p>
        </w:tc>
        <w:tc>
          <w:tcPr>
            <w:tcW w:w="3187" w:type="dxa"/>
            <w:tcBorders>
              <w:top w:val="nil"/>
              <w:left w:val="nil"/>
              <w:bottom w:val="nil"/>
              <w:right w:val="nil"/>
            </w:tcBorders>
            <w:shd w:val="clear" w:color="auto" w:fill="FFFFFF"/>
            <w:vAlign w:val="center"/>
          </w:tcPr>
          <w:p w14:paraId="66518CDB" w14:textId="77777777" w:rsidR="008B7EAD" w:rsidRDefault="009420B2">
            <w:pPr>
              <w:spacing w:before="100" w:after="100" w:line="240" w:lineRule="auto"/>
              <w:rPr>
                <w:rFonts w:ascii="Aptos" w:eastAsia="Aptos" w:hAnsi="Aptos" w:cs="Aptos"/>
                <w:b/>
                <w:sz w:val="18"/>
                <w:szCs w:val="18"/>
              </w:rPr>
            </w:pPr>
            <w:r>
              <w:rPr>
                <w:rFonts w:ascii="Aptos" w:eastAsia="Aptos" w:hAnsi="Aptos" w:cs="Aptos"/>
                <w:b/>
                <w:color w:val="000000"/>
                <w:sz w:val="18"/>
                <w:szCs w:val="18"/>
              </w:rPr>
              <w:t>Earthworm abundance (#/m</w:t>
            </w:r>
            <w:r>
              <w:rPr>
                <w:rFonts w:ascii="Aptos" w:eastAsia="Aptos" w:hAnsi="Aptos" w:cs="Aptos"/>
                <w:b/>
                <w:color w:val="000000"/>
                <w:sz w:val="18"/>
                <w:szCs w:val="18"/>
                <w:vertAlign w:val="superscript"/>
              </w:rPr>
              <w:t>2</w:t>
            </w:r>
            <w:r>
              <w:rPr>
                <w:rFonts w:ascii="Aptos" w:eastAsia="Aptos" w:hAnsi="Aptos" w:cs="Aptos"/>
                <w:b/>
                <w:color w:val="000000"/>
                <w:sz w:val="18"/>
                <w:szCs w:val="18"/>
              </w:rPr>
              <w:t>) </w:t>
            </w:r>
          </w:p>
        </w:tc>
        <w:tc>
          <w:tcPr>
            <w:tcW w:w="1604" w:type="dxa"/>
            <w:tcBorders>
              <w:top w:val="nil"/>
              <w:left w:val="nil"/>
              <w:bottom w:val="nil"/>
              <w:right w:val="nil"/>
            </w:tcBorders>
            <w:shd w:val="clear" w:color="auto" w:fill="FFFFFF"/>
            <w:vAlign w:val="center"/>
          </w:tcPr>
          <w:p w14:paraId="66518CDC"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191.67 (218.13) </w:t>
            </w:r>
          </w:p>
        </w:tc>
        <w:tc>
          <w:tcPr>
            <w:tcW w:w="1630" w:type="dxa"/>
            <w:tcBorders>
              <w:top w:val="nil"/>
              <w:left w:val="nil"/>
              <w:bottom w:val="nil"/>
              <w:right w:val="nil"/>
            </w:tcBorders>
            <w:shd w:val="clear" w:color="auto" w:fill="FFFFFF"/>
            <w:vAlign w:val="center"/>
          </w:tcPr>
          <w:p w14:paraId="66518CDD"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456.67 (188.55) </w:t>
            </w:r>
          </w:p>
        </w:tc>
        <w:tc>
          <w:tcPr>
            <w:tcW w:w="949" w:type="dxa"/>
            <w:tcBorders>
              <w:top w:val="nil"/>
              <w:left w:val="nil"/>
              <w:bottom w:val="nil"/>
              <w:right w:val="nil"/>
            </w:tcBorders>
            <w:shd w:val="clear" w:color="auto" w:fill="FFFFFF"/>
            <w:vAlign w:val="center"/>
          </w:tcPr>
          <w:p w14:paraId="66518CDE"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19.80 </w:t>
            </w:r>
          </w:p>
        </w:tc>
        <w:tc>
          <w:tcPr>
            <w:tcW w:w="802" w:type="dxa"/>
            <w:tcBorders>
              <w:top w:val="nil"/>
              <w:left w:val="nil"/>
              <w:bottom w:val="nil"/>
              <w:right w:val="nil"/>
            </w:tcBorders>
            <w:shd w:val="clear" w:color="auto" w:fill="FFFFFF"/>
            <w:vAlign w:val="center"/>
          </w:tcPr>
          <w:p w14:paraId="66518CDF"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&lt;0.001 </w:t>
            </w:r>
          </w:p>
        </w:tc>
      </w:tr>
      <w:tr w:rsidR="008B7EAD" w14:paraId="66518CE7" w14:textId="77777777">
        <w:trPr>
          <w:trHeight w:val="585"/>
        </w:trPr>
        <w:tc>
          <w:tcPr>
            <w:tcW w:w="1042" w:type="dxa"/>
            <w:tcBorders>
              <w:top w:val="nil"/>
              <w:left w:val="nil"/>
              <w:bottom w:val="single" w:sz="4" w:space="0" w:color="000000"/>
              <w:right w:val="nil"/>
            </w:tcBorders>
            <w:shd w:val="clear" w:color="auto" w:fill="FFFFFF"/>
            <w:vAlign w:val="center"/>
          </w:tcPr>
          <w:p w14:paraId="66518CE1" w14:textId="77777777" w:rsidR="008B7EAD" w:rsidRDefault="009420B2">
            <w:pPr>
              <w:spacing w:before="180" w:after="180" w:line="240" w:lineRule="auto"/>
              <w:jc w:val="both"/>
              <w:rPr>
                <w:rFonts w:ascii="Aptos" w:eastAsia="Aptos" w:hAnsi="Aptos" w:cs="Aptos"/>
                <w:b/>
                <w:smallCaps/>
                <w:sz w:val="18"/>
                <w:szCs w:val="18"/>
              </w:rPr>
            </w:pPr>
            <w:r>
              <w:rPr>
                <w:rFonts w:ascii="Aptos" w:eastAsia="Aptos" w:hAnsi="Aptos" w:cs="Aptos"/>
                <w:b/>
                <w:smallCaps/>
                <w:sz w:val="18"/>
                <w:szCs w:val="18"/>
              </w:rPr>
              <w:lastRenderedPageBreak/>
              <w:t> </w:t>
            </w:r>
          </w:p>
        </w:tc>
        <w:tc>
          <w:tcPr>
            <w:tcW w:w="3187" w:type="dxa"/>
            <w:tcBorders>
              <w:top w:val="nil"/>
              <w:left w:val="nil"/>
              <w:bottom w:val="single" w:sz="4" w:space="0" w:color="000000"/>
              <w:right w:val="nil"/>
            </w:tcBorders>
            <w:shd w:val="clear" w:color="auto" w:fill="FFFFFF"/>
            <w:vAlign w:val="center"/>
          </w:tcPr>
          <w:p w14:paraId="66518CE2" w14:textId="77777777" w:rsidR="008B7EAD" w:rsidRDefault="009420B2">
            <w:pPr>
              <w:spacing w:before="100" w:after="100" w:line="240" w:lineRule="auto"/>
              <w:rPr>
                <w:rFonts w:ascii="Aptos" w:eastAsia="Aptos" w:hAnsi="Aptos" w:cs="Aptos"/>
                <w:b/>
                <w:sz w:val="18"/>
                <w:szCs w:val="18"/>
              </w:rPr>
            </w:pPr>
            <w:r>
              <w:rPr>
                <w:rFonts w:ascii="Aptos" w:eastAsia="Aptos" w:hAnsi="Aptos" w:cs="Aptos"/>
                <w:b/>
                <w:color w:val="000000"/>
                <w:sz w:val="18"/>
                <w:szCs w:val="18"/>
              </w:rPr>
              <w:t>Earthworm biomass (g/m</w:t>
            </w:r>
            <w:r>
              <w:rPr>
                <w:rFonts w:ascii="Aptos" w:eastAsia="Aptos" w:hAnsi="Aptos" w:cs="Aptos"/>
                <w:b/>
                <w:color w:val="000000"/>
                <w:sz w:val="18"/>
                <w:szCs w:val="18"/>
                <w:vertAlign w:val="superscript"/>
              </w:rPr>
              <w:t>2</w:t>
            </w:r>
            <w:r>
              <w:rPr>
                <w:rFonts w:ascii="Aptos" w:eastAsia="Aptos" w:hAnsi="Aptos" w:cs="Aptos"/>
                <w:b/>
                <w:color w:val="000000"/>
                <w:sz w:val="18"/>
                <w:szCs w:val="18"/>
              </w:rPr>
              <w:t>) </w:t>
            </w:r>
          </w:p>
        </w:tc>
        <w:tc>
          <w:tcPr>
            <w:tcW w:w="1604" w:type="dxa"/>
            <w:tcBorders>
              <w:top w:val="nil"/>
              <w:left w:val="nil"/>
              <w:bottom w:val="single" w:sz="4" w:space="0" w:color="000000"/>
              <w:right w:val="nil"/>
            </w:tcBorders>
            <w:shd w:val="clear" w:color="auto" w:fill="FFFFFF"/>
            <w:vAlign w:val="center"/>
          </w:tcPr>
          <w:p w14:paraId="66518CE3"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28.94 (30.63) </w:t>
            </w:r>
          </w:p>
        </w:tc>
        <w:tc>
          <w:tcPr>
            <w:tcW w:w="1630" w:type="dxa"/>
            <w:tcBorders>
              <w:top w:val="nil"/>
              <w:left w:val="nil"/>
              <w:bottom w:val="single" w:sz="4" w:space="0" w:color="000000"/>
              <w:right w:val="nil"/>
            </w:tcBorders>
            <w:shd w:val="clear" w:color="auto" w:fill="FFFFFF"/>
            <w:vAlign w:val="center"/>
          </w:tcPr>
          <w:p w14:paraId="66518CE4" w14:textId="77777777" w:rsidR="008B7EAD" w:rsidRDefault="009420B2">
            <w:pPr>
              <w:spacing w:before="100" w:after="100" w:line="240" w:lineRule="auto"/>
              <w:jc w:val="both"/>
              <w:rPr>
                <w:rFonts w:ascii="Aptos" w:eastAsia="Aptos" w:hAnsi="Aptos" w:cs="Aptos"/>
                <w:b/>
                <w:sz w:val="18"/>
                <w:szCs w:val="18"/>
              </w:rPr>
            </w:pPr>
            <w:r>
              <w:rPr>
                <w:rFonts w:ascii="Aptos" w:eastAsia="Aptos" w:hAnsi="Aptos" w:cs="Aptos"/>
                <w:b/>
                <w:color w:val="000000"/>
                <w:sz w:val="18"/>
                <w:szCs w:val="18"/>
              </w:rPr>
              <w:t>168.73 (92.37) </w:t>
            </w:r>
          </w:p>
        </w:tc>
        <w:tc>
          <w:tcPr>
            <w:tcW w:w="949" w:type="dxa"/>
            <w:tcBorders>
              <w:top w:val="nil"/>
              <w:left w:val="nil"/>
              <w:bottom w:val="single" w:sz="4" w:space="0" w:color="000000"/>
              <w:right w:val="nil"/>
            </w:tcBorders>
            <w:shd w:val="clear" w:color="auto" w:fill="FFFFFF"/>
            <w:vAlign w:val="center"/>
          </w:tcPr>
          <w:p w14:paraId="66518CE5"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33.97 </w:t>
            </w:r>
          </w:p>
        </w:tc>
        <w:tc>
          <w:tcPr>
            <w:tcW w:w="802" w:type="dxa"/>
            <w:tcBorders>
              <w:top w:val="nil"/>
              <w:left w:val="nil"/>
              <w:bottom w:val="single" w:sz="4" w:space="0" w:color="000000"/>
              <w:right w:val="nil"/>
            </w:tcBorders>
            <w:shd w:val="clear" w:color="auto" w:fill="FFFFFF"/>
            <w:vAlign w:val="center"/>
          </w:tcPr>
          <w:p w14:paraId="66518CE6" w14:textId="77777777" w:rsidR="008B7EAD" w:rsidRDefault="009420B2">
            <w:pPr>
              <w:spacing w:before="180" w:after="180" w:line="240" w:lineRule="auto"/>
              <w:jc w:val="both"/>
              <w:rPr>
                <w:rFonts w:ascii="Aptos" w:eastAsia="Aptos" w:hAnsi="Aptos" w:cs="Aptos"/>
                <w:b/>
                <w:sz w:val="18"/>
                <w:szCs w:val="18"/>
              </w:rPr>
            </w:pPr>
            <w:r>
              <w:rPr>
                <w:rFonts w:ascii="Aptos" w:eastAsia="Aptos" w:hAnsi="Aptos" w:cs="Aptos"/>
                <w:b/>
                <w:sz w:val="18"/>
                <w:szCs w:val="18"/>
              </w:rPr>
              <w:t>&lt;0.001 </w:t>
            </w:r>
          </w:p>
        </w:tc>
      </w:tr>
    </w:tbl>
    <w:p w14:paraId="66518CE8" w14:textId="77777777" w:rsidR="008B7EAD" w:rsidRPr="00673900" w:rsidRDefault="008B7EAD">
      <w:pPr>
        <w:spacing w:line="480" w:lineRule="auto"/>
        <w:jc w:val="both"/>
        <w:rPr>
          <w:rFonts w:ascii="Aptos" w:eastAsia="Aptos" w:hAnsi="Aptos" w:cs="Aptos"/>
          <w:b/>
          <w:i/>
          <w:iCs/>
        </w:rPr>
      </w:pPr>
    </w:p>
    <w:p w14:paraId="66518CE9" w14:textId="5A3716D4" w:rsidR="008B7EAD" w:rsidRPr="00673900" w:rsidRDefault="009420B2">
      <w:pPr>
        <w:spacing w:line="480" w:lineRule="auto"/>
        <w:jc w:val="both"/>
        <w:rPr>
          <w:rFonts w:ascii="Aptos" w:eastAsia="Aptos" w:hAnsi="Aptos" w:cs="Aptos"/>
          <w:i/>
          <w:iCs/>
          <w:sz w:val="18"/>
          <w:szCs w:val="18"/>
        </w:rPr>
      </w:pPr>
      <w:r w:rsidRPr="008429FF">
        <w:rPr>
          <w:rFonts w:ascii="Aptos" w:eastAsia="Aptos" w:hAnsi="Aptos" w:cs="Aptos"/>
          <w:b/>
          <w:bCs/>
          <w:i/>
          <w:iCs/>
          <w:sz w:val="18"/>
          <w:szCs w:val="18"/>
        </w:rPr>
        <w:t>Fig</w:t>
      </w:r>
      <w:r w:rsidR="008429FF" w:rsidRPr="008429FF">
        <w:rPr>
          <w:rFonts w:ascii="Aptos" w:eastAsia="Aptos" w:hAnsi="Aptos" w:cs="Aptos"/>
          <w:b/>
          <w:bCs/>
          <w:i/>
          <w:iCs/>
          <w:sz w:val="18"/>
          <w:szCs w:val="18"/>
        </w:rPr>
        <w:t>.</w:t>
      </w:r>
      <w:r w:rsidRPr="008429FF">
        <w:rPr>
          <w:rFonts w:ascii="Aptos" w:eastAsia="Aptos" w:hAnsi="Aptos" w:cs="Aptos"/>
          <w:b/>
          <w:bCs/>
          <w:i/>
          <w:iCs/>
          <w:sz w:val="18"/>
          <w:szCs w:val="18"/>
        </w:rPr>
        <w:t xml:space="preserve"> A2</w:t>
      </w:r>
      <w:r w:rsidRPr="00673900">
        <w:rPr>
          <w:rFonts w:ascii="Aptos" w:eastAsia="Aptos" w:hAnsi="Aptos" w:cs="Aptos"/>
          <w:i/>
          <w:iCs/>
          <w:sz w:val="18"/>
          <w:szCs w:val="18"/>
        </w:rPr>
        <w:t xml:space="preserve"> PCA on three samples per land use per location of abiotic and biotic soil properties</w:t>
      </w:r>
      <w:r w:rsidR="00FC113F" w:rsidRPr="00673900">
        <w:rPr>
          <w:rFonts w:ascii="Aptos" w:eastAsia="Aptos" w:hAnsi="Aptos" w:cs="Aptos"/>
          <w:i/>
          <w:iCs/>
          <w:sz w:val="18"/>
          <w:szCs w:val="18"/>
        </w:rPr>
        <w:t xml:space="preserve">: bulk density </w:t>
      </w:r>
      <w:r w:rsidR="00FC113F" w:rsidRPr="00673900">
        <w:rPr>
          <w:rFonts w:ascii="Aptos" w:eastAsia="Aptos" w:hAnsi="Aptos" w:cs="Aptos"/>
          <w:bCs/>
          <w:i/>
          <w:iCs/>
          <w:color w:val="000000"/>
          <w:sz w:val="18"/>
          <w:szCs w:val="18"/>
        </w:rPr>
        <w:t>(g/cm</w:t>
      </w:r>
      <w:r w:rsidR="00FC113F" w:rsidRPr="00673900">
        <w:rPr>
          <w:rFonts w:ascii="Aptos" w:eastAsia="Aptos" w:hAnsi="Aptos" w:cs="Aptos"/>
          <w:bCs/>
          <w:i/>
          <w:iCs/>
          <w:color w:val="000000"/>
          <w:sz w:val="18"/>
          <w:szCs w:val="18"/>
          <w:vertAlign w:val="superscript"/>
        </w:rPr>
        <w:t>3</w:t>
      </w:r>
      <w:r w:rsidR="00FC113F" w:rsidRPr="00673900">
        <w:rPr>
          <w:rFonts w:ascii="Aptos" w:eastAsia="Aptos" w:hAnsi="Aptos" w:cs="Aptos"/>
          <w:bCs/>
          <w:i/>
          <w:iCs/>
          <w:color w:val="000000"/>
          <w:sz w:val="18"/>
          <w:szCs w:val="18"/>
        </w:rPr>
        <w:t>)</w:t>
      </w:r>
      <w:r w:rsidR="00FC113F" w:rsidRPr="00673900">
        <w:rPr>
          <w:rFonts w:ascii="Aptos" w:eastAsia="Aptos" w:hAnsi="Aptos" w:cs="Aptos"/>
          <w:b/>
          <w:i/>
          <w:iCs/>
          <w:color w:val="000000"/>
          <w:sz w:val="18"/>
          <w:szCs w:val="18"/>
        </w:rPr>
        <w:t> </w:t>
      </w:r>
      <w:r w:rsidR="00287101" w:rsidRPr="00673900">
        <w:rPr>
          <w:rFonts w:ascii="Aptos" w:eastAsia="Aptos" w:hAnsi="Aptos" w:cs="Aptos"/>
          <w:i/>
          <w:iCs/>
          <w:sz w:val="18"/>
          <w:szCs w:val="18"/>
        </w:rPr>
        <w:t xml:space="preserve">, soil moisture (%), pH (KCl), </w:t>
      </w:r>
      <w:r w:rsidR="00EE39A3" w:rsidRPr="00673900">
        <w:rPr>
          <w:rFonts w:ascii="Aptos" w:eastAsia="Aptos" w:hAnsi="Aptos" w:cs="Aptos"/>
          <w:i/>
          <w:iCs/>
          <w:sz w:val="18"/>
          <w:szCs w:val="18"/>
        </w:rPr>
        <w:t>soil organic matter (</w:t>
      </w:r>
      <w:r w:rsidR="00D312E2" w:rsidRPr="00673900">
        <w:rPr>
          <w:rFonts w:ascii="Aptos" w:eastAsia="Aptos" w:hAnsi="Aptos" w:cs="Aptos"/>
          <w:i/>
          <w:iCs/>
          <w:sz w:val="18"/>
          <w:szCs w:val="18"/>
        </w:rPr>
        <w:t xml:space="preserve">S.O.M., </w:t>
      </w:r>
      <w:r w:rsidR="00EE39A3" w:rsidRPr="00673900">
        <w:rPr>
          <w:rFonts w:ascii="Aptos" w:eastAsia="Aptos" w:hAnsi="Aptos" w:cs="Aptos"/>
          <w:i/>
          <w:iCs/>
          <w:sz w:val="18"/>
          <w:szCs w:val="18"/>
        </w:rPr>
        <w:t>%), electrical conductivity (mS/m), total P (mg/kg)</w:t>
      </w:r>
      <w:r w:rsidR="00B64634" w:rsidRPr="00673900">
        <w:rPr>
          <w:rFonts w:ascii="Aptos" w:eastAsia="Aptos" w:hAnsi="Aptos" w:cs="Aptos"/>
          <w:i/>
          <w:iCs/>
          <w:sz w:val="18"/>
          <w:szCs w:val="18"/>
        </w:rPr>
        <w:t xml:space="preserve">, Olsen P (mg/kg), total C (%), total N (%), </w:t>
      </w:r>
      <w:r w:rsidR="00B1691F" w:rsidRPr="00673900">
        <w:rPr>
          <w:rFonts w:ascii="Aptos" w:eastAsia="Aptos" w:hAnsi="Aptos" w:cs="Aptos"/>
          <w:i/>
          <w:iCs/>
          <w:sz w:val="18"/>
          <w:szCs w:val="18"/>
        </w:rPr>
        <w:t>bacterial biomass (</w:t>
      </w:r>
      <w:r w:rsidR="00B1691F" w:rsidRPr="00673900">
        <w:rPr>
          <w:rFonts w:ascii="Aptos" w:eastAsia="Aptos" w:hAnsi="Aptos" w:cs="Aptos"/>
          <w:i/>
          <w:iCs/>
          <w:color w:val="000000"/>
          <w:sz w:val="18"/>
          <w:szCs w:val="18"/>
        </w:rPr>
        <w:t>µg/g</w:t>
      </w:r>
      <w:r w:rsidR="00B1691F" w:rsidRPr="00673900">
        <w:rPr>
          <w:rFonts w:ascii="Aptos" w:eastAsia="Aptos" w:hAnsi="Aptos" w:cs="Aptos"/>
          <w:i/>
          <w:iCs/>
          <w:sz w:val="18"/>
          <w:szCs w:val="18"/>
        </w:rPr>
        <w:t xml:space="preserve">), </w:t>
      </w:r>
      <w:r w:rsidR="00514DE2" w:rsidRPr="00673900">
        <w:rPr>
          <w:rFonts w:ascii="Aptos" w:eastAsia="Aptos" w:hAnsi="Aptos" w:cs="Aptos"/>
          <w:i/>
          <w:iCs/>
          <w:sz w:val="18"/>
          <w:szCs w:val="18"/>
        </w:rPr>
        <w:t>arbuscular mycorrhizal (</w:t>
      </w:r>
      <w:r w:rsidR="00B1691F" w:rsidRPr="00673900">
        <w:rPr>
          <w:rFonts w:ascii="Aptos" w:eastAsia="Aptos" w:hAnsi="Aptos" w:cs="Aptos"/>
          <w:i/>
          <w:iCs/>
          <w:sz w:val="18"/>
          <w:szCs w:val="18"/>
        </w:rPr>
        <w:t>AM</w:t>
      </w:r>
      <w:r w:rsidR="00514DE2" w:rsidRPr="00673900">
        <w:rPr>
          <w:rFonts w:ascii="Aptos" w:eastAsia="Aptos" w:hAnsi="Aptos" w:cs="Aptos"/>
          <w:i/>
          <w:iCs/>
          <w:sz w:val="18"/>
          <w:szCs w:val="18"/>
        </w:rPr>
        <w:t>)</w:t>
      </w:r>
      <w:r w:rsidR="00B1691F" w:rsidRPr="00673900">
        <w:rPr>
          <w:rFonts w:ascii="Aptos" w:eastAsia="Aptos" w:hAnsi="Aptos" w:cs="Aptos"/>
          <w:i/>
          <w:iCs/>
          <w:sz w:val="18"/>
          <w:szCs w:val="18"/>
        </w:rPr>
        <w:t>-fungal biomass</w:t>
      </w:r>
      <w:r w:rsidR="00514DE2" w:rsidRPr="00673900">
        <w:rPr>
          <w:rFonts w:ascii="Aptos" w:eastAsia="Aptos" w:hAnsi="Aptos" w:cs="Aptos"/>
          <w:i/>
          <w:iCs/>
          <w:sz w:val="18"/>
          <w:szCs w:val="18"/>
        </w:rPr>
        <w:t xml:space="preserve"> (</w:t>
      </w:r>
      <w:r w:rsidR="00514DE2" w:rsidRPr="00673900">
        <w:rPr>
          <w:rFonts w:ascii="Aptos" w:eastAsia="Aptos" w:hAnsi="Aptos" w:cs="Aptos"/>
          <w:i/>
          <w:iCs/>
          <w:color w:val="000000"/>
          <w:sz w:val="18"/>
          <w:szCs w:val="18"/>
        </w:rPr>
        <w:t>µg/g</w:t>
      </w:r>
      <w:r w:rsidR="00514DE2" w:rsidRPr="00673900">
        <w:rPr>
          <w:rFonts w:ascii="Aptos" w:eastAsia="Aptos" w:hAnsi="Aptos" w:cs="Aptos"/>
          <w:i/>
          <w:iCs/>
          <w:sz w:val="18"/>
          <w:szCs w:val="18"/>
        </w:rPr>
        <w:t>), non-AM fungal biomass (</w:t>
      </w:r>
      <w:r w:rsidR="00514DE2" w:rsidRPr="00673900">
        <w:rPr>
          <w:rFonts w:ascii="Aptos" w:eastAsia="Aptos" w:hAnsi="Aptos" w:cs="Aptos"/>
          <w:i/>
          <w:iCs/>
          <w:color w:val="000000"/>
          <w:sz w:val="18"/>
          <w:szCs w:val="18"/>
        </w:rPr>
        <w:t>µg/g</w:t>
      </w:r>
      <w:r w:rsidR="00514DE2" w:rsidRPr="00673900">
        <w:rPr>
          <w:rFonts w:ascii="Aptos" w:eastAsia="Aptos" w:hAnsi="Aptos" w:cs="Aptos"/>
          <w:i/>
          <w:iCs/>
          <w:sz w:val="18"/>
          <w:szCs w:val="18"/>
        </w:rPr>
        <w:t>), springtail abundance (</w:t>
      </w:r>
      <w:r w:rsidR="009D1E95" w:rsidRPr="00673900">
        <w:rPr>
          <w:rFonts w:ascii="Aptos" w:eastAsia="Aptos" w:hAnsi="Aptos" w:cs="Aptos"/>
          <w:i/>
          <w:iCs/>
          <w:sz w:val="18"/>
          <w:szCs w:val="18"/>
        </w:rPr>
        <w:t>#/kg), oribatid mite abundance (#/kg), other (meso-and prostigmatic) mite abundance (#/kg), earthworm abundance (#/m</w:t>
      </w:r>
      <w:r w:rsidR="009D1E95" w:rsidRPr="00673900">
        <w:rPr>
          <w:rFonts w:ascii="Aptos" w:eastAsia="Aptos" w:hAnsi="Aptos" w:cs="Aptos"/>
          <w:i/>
          <w:iCs/>
          <w:sz w:val="18"/>
          <w:szCs w:val="18"/>
          <w:vertAlign w:val="superscript"/>
        </w:rPr>
        <w:t>2</w:t>
      </w:r>
      <w:r w:rsidR="009D1E95" w:rsidRPr="00673900">
        <w:rPr>
          <w:rFonts w:ascii="Aptos" w:eastAsia="Aptos" w:hAnsi="Aptos" w:cs="Aptos"/>
          <w:i/>
          <w:iCs/>
          <w:sz w:val="18"/>
          <w:szCs w:val="18"/>
        </w:rPr>
        <w:t>), earthworm biomass (</w:t>
      </w:r>
      <w:r w:rsidR="00673900" w:rsidRPr="00673900">
        <w:rPr>
          <w:rFonts w:ascii="Aptos" w:eastAsia="Aptos" w:hAnsi="Aptos" w:cs="Aptos"/>
          <w:i/>
          <w:iCs/>
          <w:sz w:val="18"/>
          <w:szCs w:val="18"/>
        </w:rPr>
        <w:t>g</w:t>
      </w:r>
      <w:r w:rsidR="009D1E95" w:rsidRPr="00673900">
        <w:rPr>
          <w:rFonts w:ascii="Aptos" w:eastAsia="Aptos" w:hAnsi="Aptos" w:cs="Aptos"/>
          <w:i/>
          <w:iCs/>
          <w:sz w:val="18"/>
          <w:szCs w:val="18"/>
        </w:rPr>
        <w:t>/m</w:t>
      </w:r>
      <w:r w:rsidR="009D1E95" w:rsidRPr="00673900">
        <w:rPr>
          <w:rFonts w:ascii="Aptos" w:eastAsia="Aptos" w:hAnsi="Aptos" w:cs="Aptos"/>
          <w:i/>
          <w:iCs/>
          <w:sz w:val="18"/>
          <w:szCs w:val="18"/>
          <w:vertAlign w:val="superscript"/>
        </w:rPr>
        <w:t>2</w:t>
      </w:r>
      <w:r w:rsidR="009D1E95" w:rsidRPr="00673900">
        <w:rPr>
          <w:rFonts w:ascii="Aptos" w:eastAsia="Aptos" w:hAnsi="Aptos" w:cs="Aptos"/>
          <w:i/>
          <w:iCs/>
          <w:sz w:val="18"/>
          <w:szCs w:val="18"/>
        </w:rPr>
        <w:t>).</w:t>
      </w:r>
      <w:r w:rsidR="00514DE2" w:rsidRPr="00673900">
        <w:rPr>
          <w:rFonts w:ascii="Aptos" w:eastAsia="Aptos" w:hAnsi="Aptos" w:cs="Aptos"/>
          <w:i/>
          <w:iCs/>
          <w:sz w:val="18"/>
          <w:szCs w:val="18"/>
        </w:rPr>
        <w:t xml:space="preserve"> </w:t>
      </w:r>
      <w:r w:rsidR="00EE39A3" w:rsidRPr="00673900">
        <w:rPr>
          <w:rFonts w:ascii="Aptos" w:eastAsia="Aptos" w:hAnsi="Aptos" w:cs="Aptos"/>
          <w:i/>
          <w:iCs/>
          <w:sz w:val="18"/>
          <w:szCs w:val="18"/>
        </w:rPr>
        <w:t xml:space="preserve"> </w:t>
      </w:r>
      <w:r w:rsidR="00DC1F78" w:rsidRPr="00673900">
        <w:rPr>
          <w:rFonts w:ascii="Aptos" w:eastAsia="Aptos" w:hAnsi="Aptos" w:cs="Aptos"/>
          <w:i/>
          <w:iCs/>
          <w:sz w:val="18"/>
          <w:szCs w:val="18"/>
        </w:rPr>
        <w:t>Results from</w:t>
      </w:r>
      <w:r w:rsidR="00673900" w:rsidRPr="00673900">
        <w:rPr>
          <w:rFonts w:ascii="Aptos" w:eastAsia="Aptos" w:hAnsi="Aptos" w:cs="Aptos"/>
          <w:i/>
          <w:iCs/>
          <w:sz w:val="18"/>
          <w:szCs w:val="18"/>
        </w:rPr>
        <w:t xml:space="preserve"> the</w:t>
      </w:r>
      <w:r w:rsidR="00DC1F78" w:rsidRPr="00673900">
        <w:rPr>
          <w:rFonts w:ascii="Aptos" w:eastAsia="Aptos" w:hAnsi="Aptos" w:cs="Aptos"/>
          <w:i/>
          <w:iCs/>
          <w:sz w:val="18"/>
          <w:szCs w:val="18"/>
        </w:rPr>
        <w:t xml:space="preserve"> PERMANOVA on the effects of location and land use on soil abiotic and biotic soil properties are shown</w:t>
      </w:r>
      <w:r w:rsidR="00FC113F" w:rsidRPr="00673900">
        <w:rPr>
          <w:rFonts w:ascii="Aptos" w:eastAsia="Aptos" w:hAnsi="Aptos" w:cs="Aptos"/>
          <w:i/>
          <w:iCs/>
          <w:sz w:val="18"/>
          <w:szCs w:val="18"/>
        </w:rPr>
        <w:t xml:space="preserve"> (n=24) </w:t>
      </w:r>
      <w:r w:rsidR="00DC1F78" w:rsidRPr="00673900">
        <w:rPr>
          <w:rFonts w:ascii="Aptos" w:eastAsia="Aptos" w:hAnsi="Aptos" w:cs="Aptos"/>
          <w:i/>
          <w:iCs/>
          <w:sz w:val="18"/>
          <w:szCs w:val="18"/>
        </w:rPr>
        <w:t xml:space="preserve"> </w:t>
      </w:r>
    </w:p>
    <w:p w14:paraId="66518CEA" w14:textId="77777777" w:rsidR="008B7EAD" w:rsidRDefault="009420B2">
      <w:pPr>
        <w:spacing w:line="480" w:lineRule="auto"/>
        <w:jc w:val="both"/>
        <w:rPr>
          <w:rFonts w:ascii="Aptos" w:eastAsia="Aptos" w:hAnsi="Aptos" w:cs="Aptos"/>
          <w:b/>
        </w:rPr>
      </w:pPr>
      <w:r>
        <w:rPr>
          <w:rFonts w:ascii="Aptos" w:eastAsia="Aptos" w:hAnsi="Aptos" w:cs="Aptos"/>
          <w:b/>
          <w:noProof/>
        </w:rPr>
        <w:drawing>
          <wp:inline distT="0" distB="0" distL="0" distR="0" wp14:anchorId="66518CF7" wp14:editId="0FED7457">
            <wp:extent cx="5714727" cy="5270500"/>
            <wp:effectExtent l="0" t="0" r="635" b="635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5714727" cy="5270500"/>
                    </a:xfrm>
                    <a:prstGeom prst="rect">
                      <a:avLst/>
                    </a:prstGeom>
                    <a:ln/>
                  </pic:spPr>
                </pic:pic>
              </a:graphicData>
            </a:graphic>
          </wp:inline>
        </w:drawing>
      </w:r>
    </w:p>
    <w:p w14:paraId="66518CEB" w14:textId="77777777" w:rsidR="008B7EAD" w:rsidRDefault="008B7EAD">
      <w:pPr>
        <w:jc w:val="both"/>
        <w:rPr>
          <w:rFonts w:ascii="Aptos" w:eastAsia="Aptos" w:hAnsi="Aptos" w:cs="Aptos"/>
        </w:rPr>
      </w:pPr>
    </w:p>
    <w:p w14:paraId="02285634" w14:textId="77777777" w:rsidR="00605E44" w:rsidRDefault="00605E44">
      <w:pPr>
        <w:rPr>
          <w:rFonts w:ascii="Aptos" w:eastAsia="Aptos" w:hAnsi="Aptos" w:cs="Aptos"/>
          <w:b/>
        </w:rPr>
      </w:pPr>
      <w:r>
        <w:rPr>
          <w:rFonts w:ascii="Aptos" w:eastAsia="Aptos" w:hAnsi="Aptos" w:cs="Aptos"/>
          <w:b/>
        </w:rPr>
        <w:br w:type="page"/>
      </w:r>
    </w:p>
    <w:p w14:paraId="2452DE82" w14:textId="3A85CAAF" w:rsidR="00605E44" w:rsidRDefault="005E6852" w:rsidP="00605E44">
      <w:pPr>
        <w:numPr>
          <w:ilvl w:val="0"/>
          <w:numId w:val="5"/>
        </w:numPr>
        <w:pBdr>
          <w:top w:val="nil"/>
          <w:left w:val="nil"/>
          <w:bottom w:val="nil"/>
          <w:right w:val="nil"/>
          <w:between w:val="nil"/>
        </w:pBdr>
        <w:spacing w:line="480" w:lineRule="auto"/>
        <w:jc w:val="both"/>
        <w:rPr>
          <w:rFonts w:ascii="Aptos" w:eastAsia="Aptos" w:hAnsi="Aptos" w:cs="Aptos"/>
          <w:b/>
          <w:color w:val="000000"/>
        </w:rPr>
      </w:pPr>
      <w:r>
        <w:rPr>
          <w:rFonts w:ascii="Aptos" w:eastAsia="Aptos" w:hAnsi="Aptos" w:cs="Aptos"/>
          <w:b/>
          <w:color w:val="000000"/>
        </w:rPr>
        <w:lastRenderedPageBreak/>
        <w:t>Analysis and r</w:t>
      </w:r>
      <w:r w:rsidR="00605E44">
        <w:rPr>
          <w:rFonts w:ascii="Aptos" w:eastAsia="Aptos" w:hAnsi="Aptos" w:cs="Aptos"/>
          <w:b/>
          <w:color w:val="000000"/>
        </w:rPr>
        <w:t>esults litter quality verification</w:t>
      </w:r>
    </w:p>
    <w:p w14:paraId="195046E1" w14:textId="700B3D34" w:rsidR="001D6577" w:rsidRPr="001D6577" w:rsidRDefault="005E6852" w:rsidP="00CF2917">
      <w:pPr>
        <w:spacing w:line="480" w:lineRule="auto"/>
        <w:jc w:val="both"/>
        <w:rPr>
          <w:rFonts w:ascii="Aptos" w:eastAsia="Aptos" w:hAnsi="Aptos" w:cs="Aptos"/>
        </w:rPr>
      </w:pPr>
      <w:r>
        <w:rPr>
          <w:rFonts w:ascii="Aptos" w:eastAsia="Aptos" w:hAnsi="Aptos" w:cs="Aptos"/>
        </w:rPr>
        <w:t>To verify litter quality, we tested how chemical traits (C, N and lignin content) differed between litter types using a one-way ANOVA</w:t>
      </w:r>
      <w:r w:rsidR="003A17FB">
        <w:rPr>
          <w:rFonts w:ascii="Aptos" w:eastAsia="Aptos" w:hAnsi="Aptos" w:cs="Aptos"/>
        </w:rPr>
        <w:t xml:space="preserve"> </w:t>
      </w:r>
      <w:r>
        <w:rPr>
          <w:rFonts w:ascii="Aptos" w:eastAsia="Aptos" w:hAnsi="Aptos" w:cs="Aptos"/>
        </w:rPr>
        <w:t>(type I SS)</w:t>
      </w:r>
      <w:r w:rsidR="00433954">
        <w:rPr>
          <w:rFonts w:ascii="Aptos" w:eastAsia="Aptos" w:hAnsi="Aptos" w:cs="Aptos"/>
        </w:rPr>
        <w:t xml:space="preserve"> from the </w:t>
      </w:r>
      <w:r w:rsidR="00433954">
        <w:rPr>
          <w:rFonts w:ascii="Aptos" w:eastAsia="Aptos" w:hAnsi="Aptos" w:cs="Aptos"/>
          <w:i/>
        </w:rPr>
        <w:t>stats</w:t>
      </w:r>
      <w:r w:rsidR="00433954">
        <w:rPr>
          <w:rFonts w:ascii="Aptos" w:eastAsia="Aptos" w:hAnsi="Aptos" w:cs="Aptos"/>
        </w:rPr>
        <w:t xml:space="preserve"> package</w:t>
      </w:r>
      <w:r>
        <w:rPr>
          <w:rFonts w:ascii="Aptos" w:eastAsia="Aptos" w:hAnsi="Aptos" w:cs="Aptos"/>
        </w:rPr>
        <w:t xml:space="preserve"> with litter type as a fixed factor.</w:t>
      </w:r>
      <w:r w:rsidR="005A10ED">
        <w:rPr>
          <w:rFonts w:ascii="Aptos" w:eastAsia="Aptos" w:hAnsi="Aptos" w:cs="Aptos"/>
        </w:rPr>
        <w:t xml:space="preserve"> </w:t>
      </w:r>
      <w:r w:rsidR="001D6577" w:rsidRPr="001D6577">
        <w:rPr>
          <w:rFonts w:ascii="Aptos" w:eastAsia="Aptos" w:hAnsi="Aptos" w:cs="Aptos"/>
        </w:rPr>
        <w:t xml:space="preserve">Carbon content was lowest for common hazel, intermediate for black alder and highest for sweet chestnut litter (Table </w:t>
      </w:r>
      <w:r w:rsidR="001D6577">
        <w:rPr>
          <w:rFonts w:ascii="Aptos" w:eastAsia="Aptos" w:hAnsi="Aptos" w:cs="Aptos"/>
        </w:rPr>
        <w:t>A4.1</w:t>
      </w:r>
      <w:r w:rsidR="001D6577" w:rsidRPr="001D6577">
        <w:rPr>
          <w:rFonts w:ascii="Aptos" w:eastAsia="Aptos" w:hAnsi="Aptos" w:cs="Aptos"/>
        </w:rPr>
        <w:t xml:space="preserve">). Nitrogen content did not differ between litter species. C:N ratio was lower for sweet chestnut leaves than for black alder and common hazel (Table </w:t>
      </w:r>
      <w:r w:rsidR="001D6577">
        <w:rPr>
          <w:rFonts w:ascii="Aptos" w:eastAsia="Aptos" w:hAnsi="Aptos" w:cs="Aptos"/>
        </w:rPr>
        <w:t>A4.</w:t>
      </w:r>
      <w:r w:rsidR="001D6577" w:rsidRPr="001D6577">
        <w:rPr>
          <w:rFonts w:ascii="Aptos" w:eastAsia="Aptos" w:hAnsi="Aptos" w:cs="Aptos"/>
        </w:rPr>
        <w:t xml:space="preserve">1). Furthermore, sweet chestnut leaves contained the most lignin, black alder had intermediate concentrations, and common hazelnut leaves had the lowest lignin concentrations (Table </w:t>
      </w:r>
      <w:r w:rsidR="001D6577">
        <w:rPr>
          <w:rFonts w:ascii="Aptos" w:eastAsia="Aptos" w:hAnsi="Aptos" w:cs="Aptos"/>
        </w:rPr>
        <w:t>A4.</w:t>
      </w:r>
      <w:r w:rsidR="001D6577" w:rsidRPr="001D6577">
        <w:rPr>
          <w:rFonts w:ascii="Aptos" w:eastAsia="Aptos" w:hAnsi="Aptos" w:cs="Aptos"/>
        </w:rPr>
        <w:t>1).</w:t>
      </w:r>
    </w:p>
    <w:p w14:paraId="4D4CCA9B" w14:textId="4FC3C140" w:rsidR="009A24E2" w:rsidRDefault="009A24E2" w:rsidP="009A24E2">
      <w:pPr>
        <w:spacing w:line="480" w:lineRule="auto"/>
        <w:rPr>
          <w:rFonts w:ascii="Aptos" w:eastAsia="Aptos" w:hAnsi="Aptos" w:cs="Aptos"/>
          <w:i/>
          <w:sz w:val="18"/>
          <w:szCs w:val="18"/>
        </w:rPr>
      </w:pPr>
      <w:r w:rsidRPr="008429FF">
        <w:rPr>
          <w:rFonts w:ascii="Aptos" w:eastAsia="Aptos" w:hAnsi="Aptos" w:cs="Aptos"/>
          <w:b/>
          <w:bCs/>
          <w:i/>
          <w:sz w:val="18"/>
          <w:szCs w:val="18"/>
        </w:rPr>
        <w:t>Table A4.1</w:t>
      </w:r>
      <w:r>
        <w:rPr>
          <w:rFonts w:ascii="Aptos" w:eastAsia="Aptos" w:hAnsi="Aptos" w:cs="Aptos"/>
          <w:i/>
          <w:sz w:val="18"/>
          <w:szCs w:val="18"/>
        </w:rPr>
        <w:t xml:space="preserve"> Chemical litter traits per litter species. Values are represented as mean (standard deviation). F- and P-value</w:t>
      </w:r>
      <w:r w:rsidR="00FA72A3">
        <w:rPr>
          <w:rFonts w:ascii="Aptos" w:eastAsia="Aptos" w:hAnsi="Aptos" w:cs="Aptos"/>
          <w:i/>
          <w:sz w:val="18"/>
          <w:szCs w:val="18"/>
        </w:rPr>
        <w:t xml:space="preserve">s from </w:t>
      </w:r>
      <w:r w:rsidR="00FA72A3" w:rsidRPr="00FA72A3">
        <w:rPr>
          <w:rFonts w:ascii="Aptos" w:eastAsia="Aptos" w:hAnsi="Aptos" w:cs="Aptos"/>
          <w:i/>
          <w:sz w:val="18"/>
          <w:szCs w:val="18"/>
        </w:rPr>
        <w:t>one-way ANOVA (type I SS)</w:t>
      </w:r>
      <w:r>
        <w:rPr>
          <w:rFonts w:ascii="Aptos" w:eastAsia="Aptos" w:hAnsi="Aptos" w:cs="Aptos"/>
          <w:i/>
          <w:sz w:val="18"/>
          <w:szCs w:val="18"/>
        </w:rPr>
        <w:t>. n = 10 for the analysis of C and N (in % of litter weight) of all litter species. n = 3 for lignin analysis of A. glutinosa and C. avellana, while n = 2 for C. sativa due to insufficient sample material. Degrees of freedom is 2 in all cases. Significant results are shown in bold fonts. Groups not sharing any letter are significantly different by the Tukey-test with 5% level of significance</w:t>
      </w:r>
    </w:p>
    <w:tbl>
      <w:tblPr>
        <w:tblStyle w:val="a"/>
        <w:tblW w:w="9072" w:type="dxa"/>
        <w:tblLayout w:type="fixed"/>
        <w:tblLook w:val="0600" w:firstRow="0" w:lastRow="0" w:firstColumn="0" w:lastColumn="0" w:noHBand="1" w:noVBand="1"/>
      </w:tblPr>
      <w:tblGrid>
        <w:gridCol w:w="1701"/>
        <w:gridCol w:w="1846"/>
        <w:gridCol w:w="1846"/>
        <w:gridCol w:w="1846"/>
        <w:gridCol w:w="878"/>
        <w:gridCol w:w="955"/>
      </w:tblGrid>
      <w:tr w:rsidR="003C24EC" w14:paraId="281671A2" w14:textId="77777777" w:rsidTr="0083057E">
        <w:trPr>
          <w:trHeight w:val="300"/>
        </w:trPr>
        <w:tc>
          <w:tcPr>
            <w:tcW w:w="1701" w:type="dxa"/>
            <w:tcBorders>
              <w:top w:val="single" w:sz="4" w:space="0" w:color="000000"/>
            </w:tcBorders>
            <w:shd w:val="clear" w:color="auto" w:fill="FFFFFF"/>
            <w:vAlign w:val="center"/>
          </w:tcPr>
          <w:p w14:paraId="7FCE91F1" w14:textId="77777777" w:rsidR="003C24EC" w:rsidRDefault="003C24EC" w:rsidP="0083057E">
            <w:pPr>
              <w:spacing w:line="480" w:lineRule="auto"/>
              <w:rPr>
                <w:rFonts w:ascii="Aptos" w:eastAsia="Aptos" w:hAnsi="Aptos" w:cs="Aptos"/>
                <w:b/>
                <w:smallCaps/>
                <w:sz w:val="24"/>
                <w:szCs w:val="24"/>
              </w:rPr>
            </w:pPr>
            <w:r>
              <w:rPr>
                <w:rFonts w:ascii="Aptos" w:eastAsia="Aptos" w:hAnsi="Aptos" w:cs="Aptos"/>
                <w:b/>
                <w:sz w:val="18"/>
                <w:szCs w:val="18"/>
              </w:rPr>
              <w:t>Measurements</w:t>
            </w:r>
            <w:r>
              <w:rPr>
                <w:rFonts w:ascii="Aptos" w:eastAsia="Aptos" w:hAnsi="Aptos" w:cs="Aptos"/>
                <w:b/>
                <w:smallCaps/>
                <w:sz w:val="18"/>
                <w:szCs w:val="18"/>
              </w:rPr>
              <w:t> </w:t>
            </w:r>
          </w:p>
        </w:tc>
        <w:tc>
          <w:tcPr>
            <w:tcW w:w="1846" w:type="dxa"/>
            <w:tcBorders>
              <w:top w:val="single" w:sz="4" w:space="0" w:color="000000"/>
            </w:tcBorders>
            <w:shd w:val="clear" w:color="auto" w:fill="FFFFFF"/>
            <w:vAlign w:val="center"/>
          </w:tcPr>
          <w:p w14:paraId="32C1C8CE" w14:textId="77777777" w:rsidR="003C24EC" w:rsidRDefault="003C24EC" w:rsidP="0083057E">
            <w:pPr>
              <w:spacing w:line="480" w:lineRule="auto"/>
              <w:rPr>
                <w:rFonts w:ascii="Aptos" w:eastAsia="Aptos" w:hAnsi="Aptos" w:cs="Aptos"/>
                <w:b/>
                <w:smallCaps/>
                <w:sz w:val="18"/>
                <w:szCs w:val="18"/>
              </w:rPr>
            </w:pPr>
            <w:r>
              <w:rPr>
                <w:rFonts w:ascii="Aptos" w:eastAsia="Aptos" w:hAnsi="Aptos" w:cs="Aptos"/>
                <w:b/>
                <w:i/>
                <w:sz w:val="18"/>
                <w:szCs w:val="18"/>
              </w:rPr>
              <w:t>Alnus glutinosa</w:t>
            </w:r>
            <w:r>
              <w:rPr>
                <w:rFonts w:ascii="Aptos" w:eastAsia="Aptos" w:hAnsi="Aptos" w:cs="Aptos"/>
                <w:b/>
                <w:sz w:val="18"/>
                <w:szCs w:val="18"/>
              </w:rPr>
              <w:t xml:space="preserve"> (L.) </w:t>
            </w:r>
            <w:r w:rsidRPr="00A301BD">
              <w:rPr>
                <w:rFonts w:ascii="Aptos" w:eastAsia="Aptos" w:hAnsi="Aptos" w:cs="Aptos"/>
                <w:b/>
                <w:sz w:val="18"/>
                <w:szCs w:val="18"/>
              </w:rPr>
              <w:t>Gaertn</w:t>
            </w:r>
            <w:r>
              <w:rPr>
                <w:rFonts w:ascii="Aptos" w:eastAsia="Aptos" w:hAnsi="Aptos" w:cs="Aptos"/>
                <w:b/>
                <w:sz w:val="18"/>
                <w:szCs w:val="18"/>
              </w:rPr>
              <w:t>. (black alder)</w:t>
            </w:r>
            <w:r>
              <w:rPr>
                <w:rFonts w:ascii="Aptos" w:eastAsia="Aptos" w:hAnsi="Aptos" w:cs="Aptos"/>
                <w:b/>
                <w:smallCaps/>
                <w:sz w:val="18"/>
                <w:szCs w:val="18"/>
              </w:rPr>
              <w:t xml:space="preserve"> </w:t>
            </w:r>
          </w:p>
        </w:tc>
        <w:tc>
          <w:tcPr>
            <w:tcW w:w="1846" w:type="dxa"/>
            <w:tcBorders>
              <w:top w:val="single" w:sz="4" w:space="0" w:color="000000"/>
            </w:tcBorders>
            <w:shd w:val="clear" w:color="auto" w:fill="FFFFFF"/>
            <w:vAlign w:val="center"/>
          </w:tcPr>
          <w:p w14:paraId="4F416339" w14:textId="77777777" w:rsidR="003C24EC" w:rsidRDefault="003C24EC" w:rsidP="0083057E">
            <w:pPr>
              <w:spacing w:line="480" w:lineRule="auto"/>
              <w:rPr>
                <w:rFonts w:ascii="Aptos" w:eastAsia="Aptos" w:hAnsi="Aptos" w:cs="Aptos"/>
                <w:b/>
                <w:smallCaps/>
                <w:sz w:val="24"/>
                <w:szCs w:val="24"/>
              </w:rPr>
            </w:pPr>
            <w:r>
              <w:rPr>
                <w:rFonts w:ascii="Aptos" w:eastAsia="Aptos" w:hAnsi="Aptos" w:cs="Aptos"/>
                <w:b/>
                <w:i/>
                <w:sz w:val="18"/>
                <w:szCs w:val="18"/>
              </w:rPr>
              <w:t xml:space="preserve">Corylus avellana </w:t>
            </w:r>
            <w:r w:rsidRPr="00C806CD">
              <w:rPr>
                <w:rFonts w:ascii="Aptos" w:eastAsia="Aptos" w:hAnsi="Aptos" w:cs="Aptos"/>
                <w:b/>
                <w:iCs/>
                <w:sz w:val="18"/>
                <w:szCs w:val="18"/>
              </w:rPr>
              <w:t xml:space="preserve">(L.) </w:t>
            </w:r>
            <w:r>
              <w:rPr>
                <w:rFonts w:ascii="Aptos" w:eastAsia="Aptos" w:hAnsi="Aptos" w:cs="Aptos"/>
                <w:b/>
                <w:sz w:val="18"/>
                <w:szCs w:val="18"/>
              </w:rPr>
              <w:t xml:space="preserve"> (common hazel)</w:t>
            </w:r>
            <w:r>
              <w:rPr>
                <w:rFonts w:ascii="Aptos" w:eastAsia="Aptos" w:hAnsi="Aptos" w:cs="Aptos"/>
                <w:b/>
                <w:smallCaps/>
                <w:sz w:val="18"/>
                <w:szCs w:val="18"/>
              </w:rPr>
              <w:t> </w:t>
            </w:r>
          </w:p>
        </w:tc>
        <w:tc>
          <w:tcPr>
            <w:tcW w:w="1846" w:type="dxa"/>
            <w:tcBorders>
              <w:top w:val="single" w:sz="4" w:space="0" w:color="000000"/>
            </w:tcBorders>
            <w:shd w:val="clear" w:color="auto" w:fill="FFFFFF"/>
            <w:vAlign w:val="center"/>
          </w:tcPr>
          <w:p w14:paraId="1A885A20" w14:textId="77777777" w:rsidR="003C24EC" w:rsidRDefault="003C24EC" w:rsidP="0083057E">
            <w:pPr>
              <w:spacing w:line="480" w:lineRule="auto"/>
              <w:rPr>
                <w:rFonts w:ascii="Aptos" w:eastAsia="Aptos" w:hAnsi="Aptos" w:cs="Aptos"/>
                <w:b/>
                <w:smallCaps/>
                <w:sz w:val="24"/>
                <w:szCs w:val="24"/>
              </w:rPr>
            </w:pPr>
            <w:r>
              <w:rPr>
                <w:rFonts w:ascii="Aptos" w:eastAsia="Aptos" w:hAnsi="Aptos" w:cs="Aptos"/>
                <w:b/>
                <w:i/>
                <w:sz w:val="18"/>
                <w:szCs w:val="18"/>
              </w:rPr>
              <w:t>Castanea sativa</w:t>
            </w:r>
            <w:r>
              <w:rPr>
                <w:rFonts w:ascii="Aptos" w:eastAsia="Aptos" w:hAnsi="Aptos" w:cs="Aptos"/>
                <w:b/>
                <w:sz w:val="18"/>
                <w:szCs w:val="18"/>
              </w:rPr>
              <w:t xml:space="preserve"> Mill. (sweet chestnut)</w:t>
            </w:r>
            <w:r>
              <w:rPr>
                <w:rFonts w:ascii="Aptos" w:eastAsia="Aptos" w:hAnsi="Aptos" w:cs="Aptos"/>
                <w:b/>
                <w:smallCaps/>
                <w:sz w:val="18"/>
                <w:szCs w:val="18"/>
              </w:rPr>
              <w:t> </w:t>
            </w:r>
          </w:p>
        </w:tc>
        <w:tc>
          <w:tcPr>
            <w:tcW w:w="878" w:type="dxa"/>
            <w:tcBorders>
              <w:top w:val="single" w:sz="4" w:space="0" w:color="000000"/>
            </w:tcBorders>
            <w:shd w:val="clear" w:color="auto" w:fill="FFFFFF"/>
            <w:vAlign w:val="center"/>
          </w:tcPr>
          <w:p w14:paraId="7BF63DFC" w14:textId="77777777" w:rsidR="003C24EC" w:rsidRDefault="003C24EC" w:rsidP="0083057E">
            <w:pPr>
              <w:spacing w:after="200" w:line="480" w:lineRule="auto"/>
              <w:rPr>
                <w:rFonts w:ascii="Aptos" w:eastAsia="Aptos" w:hAnsi="Aptos" w:cs="Aptos"/>
                <w:b/>
                <w:smallCaps/>
                <w:sz w:val="24"/>
                <w:szCs w:val="24"/>
              </w:rPr>
            </w:pPr>
            <w:r>
              <w:rPr>
                <w:rFonts w:ascii="Aptos" w:eastAsia="Aptos" w:hAnsi="Aptos" w:cs="Aptos"/>
                <w:b/>
                <w:sz w:val="18"/>
                <w:szCs w:val="18"/>
              </w:rPr>
              <w:t>F-value</w:t>
            </w:r>
            <w:r>
              <w:rPr>
                <w:rFonts w:ascii="Aptos" w:eastAsia="Aptos" w:hAnsi="Aptos" w:cs="Aptos"/>
                <w:b/>
                <w:smallCaps/>
                <w:sz w:val="18"/>
                <w:szCs w:val="18"/>
              </w:rPr>
              <w:t> </w:t>
            </w:r>
          </w:p>
        </w:tc>
        <w:tc>
          <w:tcPr>
            <w:tcW w:w="955" w:type="dxa"/>
            <w:tcBorders>
              <w:top w:val="single" w:sz="4" w:space="0" w:color="000000"/>
            </w:tcBorders>
            <w:shd w:val="clear" w:color="auto" w:fill="FFFFFF"/>
            <w:vAlign w:val="center"/>
          </w:tcPr>
          <w:p w14:paraId="30B4EDE0" w14:textId="77777777" w:rsidR="003C24EC" w:rsidRDefault="003C24EC" w:rsidP="0083057E">
            <w:pPr>
              <w:spacing w:after="200" w:line="480" w:lineRule="auto"/>
              <w:rPr>
                <w:rFonts w:ascii="Aptos" w:eastAsia="Aptos" w:hAnsi="Aptos" w:cs="Aptos"/>
                <w:b/>
                <w:smallCaps/>
                <w:sz w:val="24"/>
                <w:szCs w:val="24"/>
              </w:rPr>
            </w:pPr>
            <w:r>
              <w:rPr>
                <w:rFonts w:ascii="Aptos" w:eastAsia="Aptos" w:hAnsi="Aptos" w:cs="Aptos"/>
                <w:b/>
                <w:sz w:val="18"/>
                <w:szCs w:val="18"/>
              </w:rPr>
              <w:t>P-value</w:t>
            </w:r>
            <w:r>
              <w:rPr>
                <w:rFonts w:ascii="Aptos" w:eastAsia="Aptos" w:hAnsi="Aptos" w:cs="Aptos"/>
                <w:b/>
                <w:smallCaps/>
                <w:sz w:val="18"/>
                <w:szCs w:val="18"/>
              </w:rPr>
              <w:t> </w:t>
            </w:r>
          </w:p>
        </w:tc>
      </w:tr>
      <w:tr w:rsidR="003C24EC" w14:paraId="22277EE5" w14:textId="77777777" w:rsidTr="0083057E">
        <w:trPr>
          <w:trHeight w:val="300"/>
        </w:trPr>
        <w:tc>
          <w:tcPr>
            <w:tcW w:w="1701" w:type="dxa"/>
            <w:tcBorders>
              <w:top w:val="single" w:sz="4" w:space="0" w:color="000000"/>
            </w:tcBorders>
            <w:shd w:val="clear" w:color="auto" w:fill="FFFFFF"/>
            <w:vAlign w:val="center"/>
          </w:tcPr>
          <w:p w14:paraId="001223BB" w14:textId="77777777" w:rsidR="003C24EC" w:rsidRDefault="003C24EC" w:rsidP="0083057E">
            <w:pPr>
              <w:spacing w:line="480" w:lineRule="auto"/>
              <w:rPr>
                <w:rFonts w:ascii="Aptos" w:eastAsia="Aptos" w:hAnsi="Aptos" w:cs="Aptos"/>
                <w:b/>
                <w:smallCaps/>
                <w:sz w:val="24"/>
                <w:szCs w:val="24"/>
              </w:rPr>
            </w:pPr>
            <w:r>
              <w:rPr>
                <w:rFonts w:ascii="Aptos" w:eastAsia="Aptos" w:hAnsi="Aptos" w:cs="Aptos"/>
                <w:b/>
                <w:sz w:val="18"/>
                <w:szCs w:val="18"/>
              </w:rPr>
              <w:t>C (%)</w:t>
            </w:r>
            <w:r>
              <w:rPr>
                <w:rFonts w:ascii="Aptos" w:eastAsia="Aptos" w:hAnsi="Aptos" w:cs="Aptos"/>
                <w:b/>
                <w:smallCaps/>
                <w:sz w:val="18"/>
                <w:szCs w:val="18"/>
              </w:rPr>
              <w:t> </w:t>
            </w:r>
          </w:p>
        </w:tc>
        <w:tc>
          <w:tcPr>
            <w:tcW w:w="1846" w:type="dxa"/>
            <w:tcBorders>
              <w:top w:val="single" w:sz="4" w:space="0" w:color="000000"/>
            </w:tcBorders>
            <w:shd w:val="clear" w:color="auto" w:fill="FFFFFF"/>
            <w:vAlign w:val="center"/>
          </w:tcPr>
          <w:p w14:paraId="52F1622C" w14:textId="77777777" w:rsidR="003C24EC" w:rsidRDefault="003C24EC" w:rsidP="0083057E">
            <w:pPr>
              <w:spacing w:line="480" w:lineRule="auto"/>
              <w:rPr>
                <w:rFonts w:ascii="Aptos" w:eastAsia="Aptos" w:hAnsi="Aptos" w:cs="Aptos"/>
                <w:b/>
                <w:sz w:val="24"/>
                <w:szCs w:val="24"/>
              </w:rPr>
            </w:pPr>
            <w:r>
              <w:rPr>
                <w:rFonts w:ascii="Aptos" w:eastAsia="Aptos" w:hAnsi="Aptos" w:cs="Aptos"/>
                <w:b/>
                <w:sz w:val="18"/>
                <w:szCs w:val="18"/>
              </w:rPr>
              <w:t>48.72 (2.11) b </w:t>
            </w:r>
          </w:p>
        </w:tc>
        <w:tc>
          <w:tcPr>
            <w:tcW w:w="1846" w:type="dxa"/>
            <w:tcBorders>
              <w:top w:val="single" w:sz="4" w:space="0" w:color="000000"/>
            </w:tcBorders>
            <w:shd w:val="clear" w:color="auto" w:fill="FFFFFF"/>
            <w:vAlign w:val="center"/>
          </w:tcPr>
          <w:p w14:paraId="11501665" w14:textId="77777777" w:rsidR="003C24EC" w:rsidRDefault="003C24EC" w:rsidP="0083057E">
            <w:pPr>
              <w:spacing w:line="480" w:lineRule="auto"/>
              <w:rPr>
                <w:rFonts w:ascii="Aptos" w:eastAsia="Aptos" w:hAnsi="Aptos" w:cs="Aptos"/>
                <w:b/>
                <w:sz w:val="24"/>
                <w:szCs w:val="24"/>
              </w:rPr>
            </w:pPr>
            <w:r>
              <w:rPr>
                <w:rFonts w:ascii="Aptos" w:eastAsia="Aptos" w:hAnsi="Aptos" w:cs="Aptos"/>
                <w:b/>
                <w:sz w:val="18"/>
                <w:szCs w:val="18"/>
              </w:rPr>
              <w:t>46.31 (1.21) a </w:t>
            </w:r>
          </w:p>
        </w:tc>
        <w:tc>
          <w:tcPr>
            <w:tcW w:w="1846" w:type="dxa"/>
            <w:tcBorders>
              <w:top w:val="single" w:sz="4" w:space="0" w:color="000000"/>
            </w:tcBorders>
            <w:shd w:val="clear" w:color="auto" w:fill="FFFFFF"/>
            <w:vAlign w:val="center"/>
          </w:tcPr>
          <w:p w14:paraId="4877CABA" w14:textId="77777777" w:rsidR="003C24EC" w:rsidRDefault="003C24EC" w:rsidP="0083057E">
            <w:pPr>
              <w:spacing w:line="480" w:lineRule="auto"/>
              <w:rPr>
                <w:rFonts w:ascii="Aptos" w:eastAsia="Aptos" w:hAnsi="Aptos" w:cs="Aptos"/>
                <w:b/>
                <w:sz w:val="24"/>
                <w:szCs w:val="24"/>
              </w:rPr>
            </w:pPr>
            <w:r>
              <w:rPr>
                <w:rFonts w:ascii="Aptos" w:eastAsia="Aptos" w:hAnsi="Aptos" w:cs="Aptos"/>
                <w:b/>
                <w:sz w:val="18"/>
                <w:szCs w:val="18"/>
              </w:rPr>
              <w:t>50.44 (0.67) c </w:t>
            </w:r>
          </w:p>
        </w:tc>
        <w:tc>
          <w:tcPr>
            <w:tcW w:w="878" w:type="dxa"/>
            <w:tcBorders>
              <w:top w:val="single" w:sz="4" w:space="0" w:color="000000"/>
            </w:tcBorders>
            <w:shd w:val="clear" w:color="auto" w:fill="FFFFFF"/>
            <w:vAlign w:val="center"/>
          </w:tcPr>
          <w:p w14:paraId="36A91797" w14:textId="77777777" w:rsidR="003C24EC" w:rsidRDefault="003C24EC" w:rsidP="0083057E">
            <w:pPr>
              <w:spacing w:before="180" w:after="180" w:line="480" w:lineRule="auto"/>
              <w:rPr>
                <w:rFonts w:ascii="Aptos" w:eastAsia="Aptos" w:hAnsi="Aptos" w:cs="Aptos"/>
                <w:b/>
                <w:sz w:val="24"/>
                <w:szCs w:val="24"/>
              </w:rPr>
            </w:pPr>
            <w:r>
              <w:rPr>
                <w:rFonts w:ascii="Aptos" w:eastAsia="Aptos" w:hAnsi="Aptos" w:cs="Aptos"/>
                <w:b/>
                <w:sz w:val="18"/>
                <w:szCs w:val="18"/>
              </w:rPr>
              <w:t>20.35 </w:t>
            </w:r>
          </w:p>
        </w:tc>
        <w:tc>
          <w:tcPr>
            <w:tcW w:w="955" w:type="dxa"/>
            <w:tcBorders>
              <w:top w:val="single" w:sz="4" w:space="0" w:color="000000"/>
            </w:tcBorders>
            <w:shd w:val="clear" w:color="auto" w:fill="FFFFFF"/>
            <w:vAlign w:val="center"/>
          </w:tcPr>
          <w:p w14:paraId="0FFAC36A" w14:textId="77777777" w:rsidR="003C24EC" w:rsidRDefault="003C24EC" w:rsidP="0083057E">
            <w:pPr>
              <w:spacing w:before="180" w:after="180" w:line="480" w:lineRule="auto"/>
              <w:rPr>
                <w:rFonts w:ascii="Aptos" w:eastAsia="Aptos" w:hAnsi="Aptos" w:cs="Aptos"/>
                <w:sz w:val="24"/>
                <w:szCs w:val="24"/>
              </w:rPr>
            </w:pPr>
            <w:r>
              <w:rPr>
                <w:rFonts w:ascii="Aptos" w:eastAsia="Aptos" w:hAnsi="Aptos" w:cs="Aptos"/>
                <w:b/>
                <w:sz w:val="18"/>
                <w:szCs w:val="18"/>
              </w:rPr>
              <w:t>&lt;0.001</w:t>
            </w:r>
            <w:r>
              <w:rPr>
                <w:rFonts w:ascii="Aptos" w:eastAsia="Aptos" w:hAnsi="Aptos" w:cs="Aptos"/>
                <w:sz w:val="18"/>
                <w:szCs w:val="18"/>
              </w:rPr>
              <w:t> </w:t>
            </w:r>
          </w:p>
        </w:tc>
      </w:tr>
      <w:tr w:rsidR="003C24EC" w14:paraId="42BCA2E7" w14:textId="77777777" w:rsidTr="0083057E">
        <w:trPr>
          <w:trHeight w:val="300"/>
        </w:trPr>
        <w:tc>
          <w:tcPr>
            <w:tcW w:w="1701" w:type="dxa"/>
            <w:shd w:val="clear" w:color="auto" w:fill="FFFFFF"/>
            <w:vAlign w:val="center"/>
          </w:tcPr>
          <w:p w14:paraId="603BD24F" w14:textId="77777777" w:rsidR="003C24EC" w:rsidRDefault="003C24EC" w:rsidP="0083057E">
            <w:pPr>
              <w:spacing w:line="480" w:lineRule="auto"/>
              <w:rPr>
                <w:rFonts w:ascii="Aptos" w:eastAsia="Aptos" w:hAnsi="Aptos" w:cs="Aptos"/>
                <w:b/>
                <w:smallCaps/>
                <w:sz w:val="24"/>
                <w:szCs w:val="24"/>
              </w:rPr>
            </w:pPr>
            <w:r>
              <w:rPr>
                <w:rFonts w:ascii="Aptos" w:eastAsia="Aptos" w:hAnsi="Aptos" w:cs="Aptos"/>
                <w:sz w:val="18"/>
                <w:szCs w:val="18"/>
              </w:rPr>
              <w:t>N (%)</w:t>
            </w:r>
            <w:r>
              <w:rPr>
                <w:rFonts w:ascii="Aptos" w:eastAsia="Aptos" w:hAnsi="Aptos" w:cs="Aptos"/>
                <w:b/>
                <w:smallCaps/>
                <w:sz w:val="18"/>
                <w:szCs w:val="18"/>
              </w:rPr>
              <w:t> </w:t>
            </w:r>
          </w:p>
        </w:tc>
        <w:tc>
          <w:tcPr>
            <w:tcW w:w="1846" w:type="dxa"/>
            <w:shd w:val="clear" w:color="auto" w:fill="FFFFFF"/>
            <w:vAlign w:val="center"/>
          </w:tcPr>
          <w:p w14:paraId="72000699" w14:textId="77777777" w:rsidR="003C24EC" w:rsidRDefault="003C24EC" w:rsidP="0083057E">
            <w:pPr>
              <w:spacing w:line="480" w:lineRule="auto"/>
              <w:rPr>
                <w:rFonts w:ascii="Aptos" w:eastAsia="Aptos" w:hAnsi="Aptos" w:cs="Aptos"/>
                <w:sz w:val="24"/>
                <w:szCs w:val="24"/>
              </w:rPr>
            </w:pPr>
            <w:r>
              <w:rPr>
                <w:rFonts w:ascii="Aptos" w:eastAsia="Aptos" w:hAnsi="Aptos" w:cs="Aptos"/>
                <w:sz w:val="18"/>
                <w:szCs w:val="18"/>
              </w:rPr>
              <w:t>1.92 (0.18) a </w:t>
            </w:r>
          </w:p>
        </w:tc>
        <w:tc>
          <w:tcPr>
            <w:tcW w:w="1846" w:type="dxa"/>
            <w:shd w:val="clear" w:color="auto" w:fill="FFFFFF"/>
            <w:vAlign w:val="center"/>
          </w:tcPr>
          <w:p w14:paraId="060A1CFD" w14:textId="77777777" w:rsidR="003C24EC" w:rsidRDefault="003C24EC" w:rsidP="0083057E">
            <w:pPr>
              <w:spacing w:line="480" w:lineRule="auto"/>
              <w:rPr>
                <w:rFonts w:ascii="Aptos" w:eastAsia="Aptos" w:hAnsi="Aptos" w:cs="Aptos"/>
                <w:sz w:val="24"/>
                <w:szCs w:val="24"/>
              </w:rPr>
            </w:pPr>
            <w:r>
              <w:rPr>
                <w:rFonts w:ascii="Aptos" w:eastAsia="Aptos" w:hAnsi="Aptos" w:cs="Aptos"/>
                <w:sz w:val="18"/>
                <w:szCs w:val="18"/>
              </w:rPr>
              <w:t>1.77 (0.15) a </w:t>
            </w:r>
          </w:p>
        </w:tc>
        <w:tc>
          <w:tcPr>
            <w:tcW w:w="1846" w:type="dxa"/>
            <w:shd w:val="clear" w:color="auto" w:fill="FFFFFF"/>
            <w:vAlign w:val="center"/>
          </w:tcPr>
          <w:p w14:paraId="4D06BDB2" w14:textId="77777777" w:rsidR="003C24EC" w:rsidRDefault="003C24EC" w:rsidP="0083057E">
            <w:pPr>
              <w:spacing w:line="480" w:lineRule="auto"/>
              <w:rPr>
                <w:rFonts w:ascii="Aptos" w:eastAsia="Aptos" w:hAnsi="Aptos" w:cs="Aptos"/>
                <w:sz w:val="24"/>
                <w:szCs w:val="24"/>
              </w:rPr>
            </w:pPr>
            <w:r>
              <w:rPr>
                <w:rFonts w:ascii="Aptos" w:eastAsia="Aptos" w:hAnsi="Aptos" w:cs="Aptos"/>
                <w:sz w:val="18"/>
                <w:szCs w:val="18"/>
              </w:rPr>
              <w:t>1.73 (0.24) a </w:t>
            </w:r>
          </w:p>
        </w:tc>
        <w:tc>
          <w:tcPr>
            <w:tcW w:w="878" w:type="dxa"/>
            <w:shd w:val="clear" w:color="auto" w:fill="FFFFFF"/>
            <w:vAlign w:val="center"/>
          </w:tcPr>
          <w:p w14:paraId="16A840D0" w14:textId="77777777" w:rsidR="003C24EC" w:rsidRDefault="003C24EC" w:rsidP="0083057E">
            <w:pPr>
              <w:spacing w:before="180" w:after="180" w:line="480" w:lineRule="auto"/>
              <w:rPr>
                <w:rFonts w:ascii="Aptos" w:eastAsia="Aptos" w:hAnsi="Aptos" w:cs="Aptos"/>
                <w:sz w:val="24"/>
                <w:szCs w:val="24"/>
              </w:rPr>
            </w:pPr>
            <w:r>
              <w:rPr>
                <w:rFonts w:ascii="Aptos" w:eastAsia="Aptos" w:hAnsi="Aptos" w:cs="Aptos"/>
                <w:sz w:val="18"/>
                <w:szCs w:val="18"/>
              </w:rPr>
              <w:t>2.71 </w:t>
            </w:r>
          </w:p>
        </w:tc>
        <w:tc>
          <w:tcPr>
            <w:tcW w:w="955" w:type="dxa"/>
            <w:shd w:val="clear" w:color="auto" w:fill="FFFFFF"/>
            <w:vAlign w:val="center"/>
          </w:tcPr>
          <w:p w14:paraId="4FCB3BA9" w14:textId="77777777" w:rsidR="003C24EC" w:rsidRDefault="003C24EC" w:rsidP="0083057E">
            <w:pPr>
              <w:spacing w:before="180" w:after="180" w:line="480" w:lineRule="auto"/>
              <w:rPr>
                <w:rFonts w:ascii="Aptos" w:eastAsia="Aptos" w:hAnsi="Aptos" w:cs="Aptos"/>
                <w:sz w:val="24"/>
                <w:szCs w:val="24"/>
              </w:rPr>
            </w:pPr>
            <w:r>
              <w:rPr>
                <w:rFonts w:ascii="Aptos" w:eastAsia="Aptos" w:hAnsi="Aptos" w:cs="Aptos"/>
                <w:sz w:val="18"/>
                <w:szCs w:val="18"/>
              </w:rPr>
              <w:t>0.085 </w:t>
            </w:r>
          </w:p>
        </w:tc>
      </w:tr>
      <w:tr w:rsidR="003C24EC" w14:paraId="5A12A07C" w14:textId="77777777" w:rsidTr="0083057E">
        <w:trPr>
          <w:trHeight w:val="300"/>
        </w:trPr>
        <w:tc>
          <w:tcPr>
            <w:tcW w:w="1701" w:type="dxa"/>
            <w:shd w:val="clear" w:color="auto" w:fill="FFFFFF"/>
            <w:vAlign w:val="center"/>
          </w:tcPr>
          <w:p w14:paraId="59C24FF5" w14:textId="77777777" w:rsidR="003C24EC" w:rsidRDefault="003C24EC" w:rsidP="0083057E">
            <w:pPr>
              <w:spacing w:line="480" w:lineRule="auto"/>
              <w:rPr>
                <w:rFonts w:ascii="Aptos" w:eastAsia="Aptos" w:hAnsi="Aptos" w:cs="Aptos"/>
                <w:b/>
                <w:smallCaps/>
                <w:sz w:val="24"/>
                <w:szCs w:val="24"/>
              </w:rPr>
            </w:pPr>
            <w:r>
              <w:rPr>
                <w:rFonts w:ascii="Aptos" w:eastAsia="Aptos" w:hAnsi="Aptos" w:cs="Aptos"/>
                <w:b/>
                <w:sz w:val="18"/>
                <w:szCs w:val="18"/>
              </w:rPr>
              <w:t>C:N ratio</w:t>
            </w:r>
            <w:r>
              <w:rPr>
                <w:rFonts w:ascii="Aptos" w:eastAsia="Aptos" w:hAnsi="Aptos" w:cs="Aptos"/>
                <w:b/>
                <w:smallCaps/>
                <w:sz w:val="18"/>
                <w:szCs w:val="18"/>
              </w:rPr>
              <w:t> </w:t>
            </w:r>
          </w:p>
        </w:tc>
        <w:tc>
          <w:tcPr>
            <w:tcW w:w="1846" w:type="dxa"/>
            <w:shd w:val="clear" w:color="auto" w:fill="FFFFFF"/>
            <w:vAlign w:val="center"/>
          </w:tcPr>
          <w:p w14:paraId="0E825441" w14:textId="77777777" w:rsidR="003C24EC" w:rsidRDefault="003C24EC" w:rsidP="0083057E">
            <w:pPr>
              <w:spacing w:line="480" w:lineRule="auto"/>
              <w:rPr>
                <w:rFonts w:ascii="Aptos" w:eastAsia="Aptos" w:hAnsi="Aptos" w:cs="Aptos"/>
                <w:b/>
                <w:sz w:val="24"/>
                <w:szCs w:val="24"/>
              </w:rPr>
            </w:pPr>
            <w:r>
              <w:rPr>
                <w:rFonts w:ascii="Aptos" w:eastAsia="Aptos" w:hAnsi="Aptos" w:cs="Aptos"/>
                <w:b/>
                <w:sz w:val="18"/>
                <w:szCs w:val="18"/>
              </w:rPr>
              <w:t>25.48 (2.07) a </w:t>
            </w:r>
          </w:p>
        </w:tc>
        <w:tc>
          <w:tcPr>
            <w:tcW w:w="1846" w:type="dxa"/>
            <w:shd w:val="clear" w:color="auto" w:fill="FFFFFF"/>
            <w:vAlign w:val="center"/>
          </w:tcPr>
          <w:p w14:paraId="38E70AD2" w14:textId="77777777" w:rsidR="003C24EC" w:rsidRDefault="003C24EC" w:rsidP="0083057E">
            <w:pPr>
              <w:spacing w:line="480" w:lineRule="auto"/>
              <w:rPr>
                <w:rFonts w:ascii="Aptos" w:eastAsia="Aptos" w:hAnsi="Aptos" w:cs="Aptos"/>
                <w:b/>
                <w:sz w:val="24"/>
                <w:szCs w:val="24"/>
              </w:rPr>
            </w:pPr>
            <w:r>
              <w:rPr>
                <w:rFonts w:ascii="Aptos" w:eastAsia="Aptos" w:hAnsi="Aptos" w:cs="Aptos"/>
                <w:b/>
                <w:sz w:val="18"/>
                <w:szCs w:val="18"/>
              </w:rPr>
              <w:t>26.26 (2.19) a </w:t>
            </w:r>
          </w:p>
        </w:tc>
        <w:tc>
          <w:tcPr>
            <w:tcW w:w="1846" w:type="dxa"/>
            <w:shd w:val="clear" w:color="auto" w:fill="FFFFFF"/>
            <w:vAlign w:val="center"/>
          </w:tcPr>
          <w:p w14:paraId="1296DF87" w14:textId="77777777" w:rsidR="003C24EC" w:rsidRDefault="003C24EC" w:rsidP="0083057E">
            <w:pPr>
              <w:spacing w:line="480" w:lineRule="auto"/>
              <w:rPr>
                <w:rFonts w:ascii="Aptos" w:eastAsia="Aptos" w:hAnsi="Aptos" w:cs="Aptos"/>
                <w:b/>
                <w:sz w:val="24"/>
                <w:szCs w:val="24"/>
              </w:rPr>
            </w:pPr>
            <w:r>
              <w:rPr>
                <w:rFonts w:ascii="Aptos" w:eastAsia="Aptos" w:hAnsi="Aptos" w:cs="Aptos"/>
                <w:b/>
                <w:sz w:val="18"/>
                <w:szCs w:val="18"/>
              </w:rPr>
              <w:t>29.59 (3.80) b </w:t>
            </w:r>
          </w:p>
        </w:tc>
        <w:tc>
          <w:tcPr>
            <w:tcW w:w="878" w:type="dxa"/>
            <w:shd w:val="clear" w:color="auto" w:fill="FFFFFF"/>
            <w:vAlign w:val="center"/>
          </w:tcPr>
          <w:p w14:paraId="4109EB3A" w14:textId="77777777" w:rsidR="003C24EC" w:rsidRDefault="003C24EC" w:rsidP="0083057E">
            <w:pPr>
              <w:spacing w:before="180" w:after="180" w:line="480" w:lineRule="auto"/>
              <w:rPr>
                <w:rFonts w:ascii="Aptos" w:eastAsia="Aptos" w:hAnsi="Aptos" w:cs="Aptos"/>
                <w:b/>
                <w:sz w:val="24"/>
                <w:szCs w:val="24"/>
              </w:rPr>
            </w:pPr>
            <w:r>
              <w:rPr>
                <w:rFonts w:ascii="Aptos" w:eastAsia="Aptos" w:hAnsi="Aptos" w:cs="Aptos"/>
                <w:b/>
                <w:sz w:val="18"/>
                <w:szCs w:val="18"/>
              </w:rPr>
              <w:t>6.08 </w:t>
            </w:r>
          </w:p>
        </w:tc>
        <w:tc>
          <w:tcPr>
            <w:tcW w:w="955" w:type="dxa"/>
            <w:shd w:val="clear" w:color="auto" w:fill="FFFFFF"/>
            <w:vAlign w:val="center"/>
          </w:tcPr>
          <w:p w14:paraId="3491D7DA" w14:textId="77777777" w:rsidR="003C24EC" w:rsidRDefault="003C24EC" w:rsidP="0083057E">
            <w:pPr>
              <w:spacing w:before="180" w:after="180" w:line="480" w:lineRule="auto"/>
              <w:rPr>
                <w:rFonts w:ascii="Aptos" w:eastAsia="Aptos" w:hAnsi="Aptos" w:cs="Aptos"/>
                <w:b/>
                <w:sz w:val="24"/>
                <w:szCs w:val="24"/>
              </w:rPr>
            </w:pPr>
            <w:r>
              <w:rPr>
                <w:rFonts w:ascii="Aptos" w:eastAsia="Aptos" w:hAnsi="Aptos" w:cs="Aptos"/>
                <w:b/>
                <w:sz w:val="18"/>
                <w:szCs w:val="18"/>
              </w:rPr>
              <w:t>0.007 </w:t>
            </w:r>
          </w:p>
        </w:tc>
      </w:tr>
      <w:tr w:rsidR="003C24EC" w14:paraId="3B50C317" w14:textId="77777777" w:rsidTr="0083057E">
        <w:trPr>
          <w:trHeight w:val="300"/>
        </w:trPr>
        <w:tc>
          <w:tcPr>
            <w:tcW w:w="1701" w:type="dxa"/>
            <w:tcBorders>
              <w:bottom w:val="single" w:sz="4" w:space="0" w:color="000000"/>
            </w:tcBorders>
            <w:shd w:val="clear" w:color="auto" w:fill="FFFFFF"/>
            <w:vAlign w:val="center"/>
          </w:tcPr>
          <w:p w14:paraId="17A38A2B" w14:textId="77777777" w:rsidR="003C24EC" w:rsidRDefault="003C24EC" w:rsidP="0083057E">
            <w:pPr>
              <w:spacing w:after="200" w:line="480" w:lineRule="auto"/>
              <w:rPr>
                <w:rFonts w:ascii="Aptos" w:eastAsia="Aptos" w:hAnsi="Aptos" w:cs="Aptos"/>
                <w:b/>
                <w:smallCaps/>
                <w:sz w:val="24"/>
                <w:szCs w:val="24"/>
              </w:rPr>
            </w:pPr>
            <w:r>
              <w:rPr>
                <w:rFonts w:ascii="Aptos" w:eastAsia="Aptos" w:hAnsi="Aptos" w:cs="Aptos"/>
                <w:b/>
                <w:sz w:val="18"/>
                <w:szCs w:val="18"/>
              </w:rPr>
              <w:t>Lignin (mg/g)</w:t>
            </w:r>
            <w:r>
              <w:rPr>
                <w:rFonts w:ascii="Aptos" w:eastAsia="Aptos" w:hAnsi="Aptos" w:cs="Aptos"/>
                <w:b/>
                <w:smallCaps/>
                <w:sz w:val="18"/>
                <w:szCs w:val="18"/>
              </w:rPr>
              <w:t> </w:t>
            </w:r>
          </w:p>
        </w:tc>
        <w:tc>
          <w:tcPr>
            <w:tcW w:w="1846" w:type="dxa"/>
            <w:tcBorders>
              <w:bottom w:val="single" w:sz="4" w:space="0" w:color="000000"/>
            </w:tcBorders>
            <w:shd w:val="clear" w:color="auto" w:fill="FFFFFF"/>
            <w:vAlign w:val="center"/>
          </w:tcPr>
          <w:p w14:paraId="77F85448" w14:textId="77777777" w:rsidR="003C24EC" w:rsidRDefault="003C24EC" w:rsidP="0083057E">
            <w:pPr>
              <w:spacing w:line="480" w:lineRule="auto"/>
              <w:rPr>
                <w:rFonts w:ascii="Aptos" w:eastAsia="Aptos" w:hAnsi="Aptos" w:cs="Aptos"/>
                <w:b/>
                <w:sz w:val="24"/>
                <w:szCs w:val="24"/>
              </w:rPr>
            </w:pPr>
            <w:r>
              <w:rPr>
                <w:rFonts w:ascii="Aptos" w:eastAsia="Aptos" w:hAnsi="Aptos" w:cs="Aptos"/>
                <w:b/>
                <w:sz w:val="18"/>
                <w:szCs w:val="18"/>
              </w:rPr>
              <w:t>153.27 (16.08) ab </w:t>
            </w:r>
          </w:p>
        </w:tc>
        <w:tc>
          <w:tcPr>
            <w:tcW w:w="1846" w:type="dxa"/>
            <w:tcBorders>
              <w:bottom w:val="single" w:sz="4" w:space="0" w:color="000000"/>
            </w:tcBorders>
            <w:shd w:val="clear" w:color="auto" w:fill="FFFFFF"/>
            <w:vAlign w:val="center"/>
          </w:tcPr>
          <w:p w14:paraId="0CC644FF" w14:textId="77777777" w:rsidR="003C24EC" w:rsidRDefault="003C24EC" w:rsidP="0083057E">
            <w:pPr>
              <w:spacing w:line="480" w:lineRule="auto"/>
              <w:rPr>
                <w:rFonts w:ascii="Aptos" w:eastAsia="Aptos" w:hAnsi="Aptos" w:cs="Aptos"/>
                <w:b/>
                <w:sz w:val="24"/>
                <w:szCs w:val="24"/>
              </w:rPr>
            </w:pPr>
            <w:r>
              <w:rPr>
                <w:rFonts w:ascii="Aptos" w:eastAsia="Aptos" w:hAnsi="Aptos" w:cs="Aptos"/>
                <w:b/>
                <w:color w:val="000000"/>
                <w:sz w:val="18"/>
                <w:szCs w:val="18"/>
              </w:rPr>
              <w:t>121.54 (46.34) a </w:t>
            </w:r>
          </w:p>
        </w:tc>
        <w:tc>
          <w:tcPr>
            <w:tcW w:w="1846" w:type="dxa"/>
            <w:tcBorders>
              <w:bottom w:val="single" w:sz="4" w:space="0" w:color="000000"/>
            </w:tcBorders>
            <w:shd w:val="clear" w:color="auto" w:fill="FFFFFF"/>
            <w:vAlign w:val="center"/>
          </w:tcPr>
          <w:p w14:paraId="2D51A169" w14:textId="77777777" w:rsidR="003C24EC" w:rsidRDefault="003C24EC" w:rsidP="0083057E">
            <w:pPr>
              <w:spacing w:line="480" w:lineRule="auto"/>
              <w:rPr>
                <w:rFonts w:ascii="Aptos" w:eastAsia="Aptos" w:hAnsi="Aptos" w:cs="Aptos"/>
                <w:b/>
                <w:sz w:val="24"/>
                <w:szCs w:val="24"/>
              </w:rPr>
            </w:pPr>
            <w:r>
              <w:rPr>
                <w:rFonts w:ascii="Aptos" w:eastAsia="Aptos" w:hAnsi="Aptos" w:cs="Aptos"/>
                <w:b/>
                <w:color w:val="000000"/>
                <w:sz w:val="18"/>
                <w:szCs w:val="18"/>
              </w:rPr>
              <w:t>285.19 (92.28) b </w:t>
            </w:r>
          </w:p>
        </w:tc>
        <w:tc>
          <w:tcPr>
            <w:tcW w:w="878" w:type="dxa"/>
            <w:tcBorders>
              <w:bottom w:val="single" w:sz="4" w:space="0" w:color="000000"/>
            </w:tcBorders>
            <w:shd w:val="clear" w:color="auto" w:fill="FFFFFF"/>
            <w:vAlign w:val="center"/>
          </w:tcPr>
          <w:p w14:paraId="2FAA0A85" w14:textId="77777777" w:rsidR="003C24EC" w:rsidRDefault="003C24EC" w:rsidP="0083057E">
            <w:pPr>
              <w:spacing w:before="180" w:after="180" w:line="480" w:lineRule="auto"/>
              <w:rPr>
                <w:rFonts w:ascii="Aptos" w:eastAsia="Aptos" w:hAnsi="Aptos" w:cs="Aptos"/>
                <w:b/>
                <w:sz w:val="24"/>
                <w:szCs w:val="24"/>
              </w:rPr>
            </w:pPr>
            <w:r>
              <w:rPr>
                <w:rFonts w:ascii="Aptos" w:eastAsia="Aptos" w:hAnsi="Aptos" w:cs="Aptos"/>
                <w:b/>
                <w:sz w:val="18"/>
                <w:szCs w:val="18"/>
              </w:rPr>
              <w:t>6.43 </w:t>
            </w:r>
          </w:p>
        </w:tc>
        <w:tc>
          <w:tcPr>
            <w:tcW w:w="955" w:type="dxa"/>
            <w:tcBorders>
              <w:bottom w:val="single" w:sz="4" w:space="0" w:color="000000"/>
            </w:tcBorders>
            <w:shd w:val="clear" w:color="auto" w:fill="FFFFFF"/>
            <w:vAlign w:val="center"/>
          </w:tcPr>
          <w:p w14:paraId="29624DD6" w14:textId="77777777" w:rsidR="003C24EC" w:rsidRDefault="003C24EC" w:rsidP="0083057E">
            <w:pPr>
              <w:spacing w:before="180" w:after="180" w:line="480" w:lineRule="auto"/>
              <w:rPr>
                <w:rFonts w:ascii="Aptos" w:eastAsia="Aptos" w:hAnsi="Aptos" w:cs="Aptos"/>
                <w:b/>
                <w:sz w:val="24"/>
                <w:szCs w:val="24"/>
              </w:rPr>
            </w:pPr>
            <w:r>
              <w:rPr>
                <w:rFonts w:ascii="Aptos" w:eastAsia="Aptos" w:hAnsi="Aptos" w:cs="Aptos"/>
                <w:b/>
                <w:sz w:val="18"/>
                <w:szCs w:val="18"/>
              </w:rPr>
              <w:t>0.041 </w:t>
            </w:r>
          </w:p>
        </w:tc>
      </w:tr>
    </w:tbl>
    <w:p w14:paraId="7D7EAD62" w14:textId="77777777" w:rsidR="003C24EC" w:rsidRDefault="003C24EC" w:rsidP="009A24E2">
      <w:pPr>
        <w:spacing w:line="480" w:lineRule="auto"/>
        <w:rPr>
          <w:rFonts w:ascii="Aptos" w:eastAsia="Aptos" w:hAnsi="Aptos" w:cs="Aptos"/>
          <w:i/>
          <w:sz w:val="18"/>
          <w:szCs w:val="18"/>
        </w:rPr>
      </w:pPr>
    </w:p>
    <w:p w14:paraId="20952660" w14:textId="1A2EEC3B" w:rsidR="00605E44" w:rsidRDefault="00605E44">
      <w:pPr>
        <w:rPr>
          <w:rFonts w:ascii="Aptos" w:eastAsia="Aptos" w:hAnsi="Aptos" w:cs="Aptos"/>
          <w:b/>
        </w:rPr>
      </w:pPr>
      <w:r>
        <w:rPr>
          <w:rFonts w:ascii="Aptos" w:eastAsia="Aptos" w:hAnsi="Aptos" w:cs="Aptos"/>
          <w:b/>
        </w:rPr>
        <w:br w:type="page"/>
      </w:r>
    </w:p>
    <w:p w14:paraId="66518CED" w14:textId="607FC428" w:rsidR="008B7EAD" w:rsidRDefault="009420B2">
      <w:pPr>
        <w:jc w:val="both"/>
        <w:rPr>
          <w:rFonts w:ascii="Aptos" w:eastAsia="Aptos" w:hAnsi="Aptos" w:cs="Aptos"/>
          <w:b/>
        </w:rPr>
      </w:pPr>
      <w:r>
        <w:rPr>
          <w:rFonts w:ascii="Aptos" w:eastAsia="Aptos" w:hAnsi="Aptos" w:cs="Aptos"/>
          <w:b/>
        </w:rPr>
        <w:lastRenderedPageBreak/>
        <w:t>References</w:t>
      </w:r>
    </w:p>
    <w:p w14:paraId="2D84E1DB" w14:textId="77777777" w:rsidR="00EB1E67" w:rsidRDefault="00EB1E67">
      <w:pPr>
        <w:jc w:val="both"/>
        <w:rPr>
          <w:rFonts w:ascii="Aptos" w:eastAsia="Aptos" w:hAnsi="Aptos" w:cs="Aptos"/>
          <w:b/>
        </w:rPr>
      </w:pPr>
    </w:p>
    <w:p w14:paraId="05596E11" w14:textId="013B213B" w:rsidR="00502674" w:rsidRPr="00502674" w:rsidRDefault="00502674" w:rsidP="00502674">
      <w:pPr>
        <w:spacing w:after="0" w:line="480" w:lineRule="auto"/>
        <w:ind w:hanging="480"/>
        <w:rPr>
          <w:rFonts w:ascii="Aptos" w:eastAsia="Times New Roman" w:hAnsi="Aptos" w:cs="Times New Roman"/>
          <w:sz w:val="20"/>
          <w:szCs w:val="20"/>
          <w:lang w:val="en-GB"/>
        </w:rPr>
      </w:pPr>
      <w:r w:rsidRPr="00502674">
        <w:rPr>
          <w:rFonts w:ascii="Aptos" w:eastAsia="Times New Roman" w:hAnsi="Aptos" w:cs="Times New Roman"/>
          <w:sz w:val="20"/>
          <w:szCs w:val="20"/>
          <w:lang w:val="en-GB"/>
        </w:rPr>
        <w:t xml:space="preserve">Bligh EG, Dyer WJ (1959) A rapid method of total lipid extraction and purification. Can J Biochem Physiol 37:911–917. </w:t>
      </w:r>
      <w:hyperlink r:id="rId7" w:history="1">
        <w:r w:rsidRPr="003E3591">
          <w:rPr>
            <w:rStyle w:val="Hyperlink"/>
            <w:rFonts w:ascii="Aptos" w:eastAsia="Times New Roman" w:hAnsi="Aptos" w:cs="Times New Roman"/>
            <w:sz w:val="20"/>
            <w:szCs w:val="20"/>
            <w:lang w:val="en-GB"/>
          </w:rPr>
          <w:t>https://doi.org/10.1139/o59-099</w:t>
        </w:r>
      </w:hyperlink>
      <w:r>
        <w:rPr>
          <w:rFonts w:ascii="Aptos" w:eastAsia="Times New Roman" w:hAnsi="Aptos" w:cs="Times New Roman"/>
          <w:sz w:val="20"/>
          <w:szCs w:val="20"/>
          <w:lang w:val="en-GB"/>
        </w:rPr>
        <w:t xml:space="preserve"> </w:t>
      </w:r>
    </w:p>
    <w:p w14:paraId="52E047B5" w14:textId="3BD79785" w:rsidR="00502674" w:rsidRPr="00502674" w:rsidRDefault="00502674" w:rsidP="00502674">
      <w:pPr>
        <w:spacing w:after="0" w:line="480" w:lineRule="auto"/>
        <w:ind w:hanging="480"/>
        <w:rPr>
          <w:rFonts w:ascii="Aptos" w:eastAsia="Times New Roman" w:hAnsi="Aptos" w:cs="Times New Roman"/>
          <w:sz w:val="20"/>
          <w:szCs w:val="20"/>
          <w:lang w:val="en-GB"/>
        </w:rPr>
      </w:pPr>
      <w:r w:rsidRPr="00502674">
        <w:rPr>
          <w:rFonts w:ascii="Aptos" w:eastAsia="Times New Roman" w:hAnsi="Aptos" w:cs="Times New Roman"/>
          <w:sz w:val="20"/>
          <w:szCs w:val="20"/>
          <w:lang w:val="en-GB"/>
        </w:rPr>
        <w:t xml:space="preserve">Frostegård Å, Tunlid A, Bååth E (1991) Microbial biomass measured as total lipid phosphate in soils of different organic content. Journal of Microbiological Methods 14:151–163. </w:t>
      </w:r>
      <w:hyperlink r:id="rId8" w:history="1">
        <w:r w:rsidRPr="003E3591">
          <w:rPr>
            <w:rStyle w:val="Hyperlink"/>
            <w:rFonts w:ascii="Aptos" w:eastAsia="Times New Roman" w:hAnsi="Aptos" w:cs="Times New Roman"/>
            <w:sz w:val="20"/>
            <w:szCs w:val="20"/>
            <w:lang w:val="en-GB"/>
          </w:rPr>
          <w:t>https://doi.org/10.1016/0167-7012(91)90018-L</w:t>
        </w:r>
      </w:hyperlink>
      <w:r>
        <w:rPr>
          <w:rFonts w:ascii="Aptos" w:eastAsia="Times New Roman" w:hAnsi="Aptos" w:cs="Times New Roman"/>
          <w:sz w:val="20"/>
          <w:szCs w:val="20"/>
          <w:lang w:val="en-GB"/>
        </w:rPr>
        <w:t xml:space="preserve"> </w:t>
      </w:r>
    </w:p>
    <w:p w14:paraId="012BDA2D" w14:textId="77777777" w:rsidR="00502674" w:rsidRPr="00502674" w:rsidRDefault="00502674" w:rsidP="00502674">
      <w:pPr>
        <w:spacing w:after="0" w:line="480" w:lineRule="auto"/>
        <w:ind w:hanging="480"/>
        <w:rPr>
          <w:rFonts w:ascii="Aptos" w:eastAsia="Times New Roman" w:hAnsi="Aptos" w:cs="Times New Roman"/>
          <w:sz w:val="20"/>
          <w:szCs w:val="20"/>
          <w:lang w:val="en-GB"/>
        </w:rPr>
      </w:pPr>
      <w:r w:rsidRPr="00502674">
        <w:rPr>
          <w:rFonts w:ascii="Aptos" w:eastAsia="Times New Roman" w:hAnsi="Aptos" w:cs="Times New Roman"/>
          <w:sz w:val="20"/>
          <w:szCs w:val="20"/>
          <w:lang w:val="en-GB"/>
        </w:rPr>
        <w:t>Lajtha K, Driscoll C, Jarrell W, Elliott E (1999) Soil phosporous - characterization and total element analysis. In: Standard soil methods for long-term ecological research. Oxford University Press, New York</w:t>
      </w:r>
    </w:p>
    <w:p w14:paraId="0A5DA7A6" w14:textId="711E5DBC" w:rsidR="00502674" w:rsidRPr="00502674" w:rsidRDefault="00502674" w:rsidP="00502674">
      <w:pPr>
        <w:spacing w:after="0" w:line="480" w:lineRule="auto"/>
        <w:ind w:hanging="480"/>
        <w:rPr>
          <w:rFonts w:ascii="Aptos" w:eastAsia="Times New Roman" w:hAnsi="Aptos" w:cs="Times New Roman"/>
          <w:sz w:val="20"/>
          <w:szCs w:val="20"/>
          <w:lang w:val="en-GB"/>
        </w:rPr>
      </w:pPr>
      <w:r w:rsidRPr="00502674">
        <w:rPr>
          <w:rFonts w:ascii="Aptos" w:eastAsia="Times New Roman" w:hAnsi="Aptos" w:cs="Times New Roman"/>
          <w:sz w:val="20"/>
          <w:szCs w:val="20"/>
          <w:lang w:val="en-GB"/>
        </w:rPr>
        <w:t xml:space="preserve">Olsson PA (1999) Signature fatty acids provide tools for determination of the distribution and interactions of mycorrhizal fungi in soil. FEMS Microbiology Ecology 29:303–310. </w:t>
      </w:r>
      <w:hyperlink r:id="rId9" w:history="1">
        <w:r w:rsidRPr="003E3591">
          <w:rPr>
            <w:rStyle w:val="Hyperlink"/>
            <w:rFonts w:ascii="Aptos" w:eastAsia="Times New Roman" w:hAnsi="Aptos" w:cs="Times New Roman"/>
            <w:sz w:val="20"/>
            <w:szCs w:val="20"/>
            <w:lang w:val="en-GB"/>
          </w:rPr>
          <w:t>https://doi.org/10.1111/j.1574-6941.1999.tb00621.x</w:t>
        </w:r>
      </w:hyperlink>
      <w:r>
        <w:rPr>
          <w:rFonts w:ascii="Aptos" w:eastAsia="Times New Roman" w:hAnsi="Aptos" w:cs="Times New Roman"/>
          <w:sz w:val="20"/>
          <w:szCs w:val="20"/>
          <w:lang w:val="en-GB"/>
        </w:rPr>
        <w:t xml:space="preserve"> </w:t>
      </w:r>
    </w:p>
    <w:p w14:paraId="45F540BB" w14:textId="552C4613" w:rsidR="00502674" w:rsidRPr="00502674" w:rsidRDefault="00502674" w:rsidP="00502674">
      <w:pPr>
        <w:spacing w:after="0" w:line="480" w:lineRule="auto"/>
        <w:ind w:hanging="480"/>
        <w:rPr>
          <w:rFonts w:ascii="Aptos" w:eastAsia="Times New Roman" w:hAnsi="Aptos" w:cs="Times New Roman"/>
          <w:sz w:val="20"/>
          <w:szCs w:val="20"/>
          <w:lang w:val="en-GB"/>
        </w:rPr>
      </w:pPr>
      <w:r w:rsidRPr="00502674">
        <w:rPr>
          <w:rFonts w:ascii="Aptos" w:eastAsia="Times New Roman" w:hAnsi="Aptos" w:cs="Times New Roman"/>
          <w:sz w:val="20"/>
          <w:szCs w:val="20"/>
          <w:lang w:val="en-GB"/>
        </w:rPr>
        <w:t xml:space="preserve">Olsson PA, Lekberg Y (2022) A critical review of the use of lipid signature molecules for the quantification of arbuscular mycorrhiza fungi. Soil Biology and Biochemistry 166:108574. </w:t>
      </w:r>
      <w:hyperlink r:id="rId10" w:history="1">
        <w:r w:rsidRPr="003E3591">
          <w:rPr>
            <w:rStyle w:val="Hyperlink"/>
            <w:rFonts w:ascii="Aptos" w:eastAsia="Times New Roman" w:hAnsi="Aptos" w:cs="Times New Roman"/>
            <w:sz w:val="20"/>
            <w:szCs w:val="20"/>
            <w:lang w:val="en-GB"/>
          </w:rPr>
          <w:t>https://doi.org/10.1016/j.soilbio.2022.108574</w:t>
        </w:r>
      </w:hyperlink>
      <w:r>
        <w:rPr>
          <w:rFonts w:ascii="Aptos" w:eastAsia="Times New Roman" w:hAnsi="Aptos" w:cs="Times New Roman"/>
          <w:sz w:val="20"/>
          <w:szCs w:val="20"/>
          <w:lang w:val="en-GB"/>
        </w:rPr>
        <w:t xml:space="preserve"> </w:t>
      </w:r>
    </w:p>
    <w:p w14:paraId="6CC11877" w14:textId="77777777" w:rsidR="00502674" w:rsidRPr="00502674" w:rsidRDefault="00502674" w:rsidP="00502674">
      <w:pPr>
        <w:spacing w:after="0" w:line="480" w:lineRule="auto"/>
        <w:ind w:hanging="480"/>
        <w:rPr>
          <w:rFonts w:ascii="Aptos" w:eastAsia="Times New Roman" w:hAnsi="Aptos" w:cs="Times New Roman"/>
          <w:sz w:val="20"/>
          <w:szCs w:val="20"/>
          <w:lang w:val="en-GB"/>
        </w:rPr>
      </w:pPr>
      <w:r w:rsidRPr="00502674">
        <w:rPr>
          <w:rFonts w:ascii="Aptos" w:eastAsia="Times New Roman" w:hAnsi="Aptos" w:cs="Times New Roman"/>
          <w:sz w:val="20"/>
          <w:szCs w:val="20"/>
          <w:lang w:val="en-GB"/>
        </w:rPr>
        <w:t>Straalen N van, Rijninks P (1982) The efficiency of Tullgren apparatus with respect to interpreting seasonal changes in age structure of soil arthropod populations.</w:t>
      </w:r>
    </w:p>
    <w:p w14:paraId="287B47AD" w14:textId="7256F7FB" w:rsidR="00CA6BD3" w:rsidRPr="00CA6BD3" w:rsidRDefault="00502674" w:rsidP="00502674">
      <w:pPr>
        <w:spacing w:after="0" w:line="480" w:lineRule="auto"/>
        <w:ind w:hanging="480"/>
        <w:rPr>
          <w:rFonts w:ascii="Aptos" w:eastAsia="Times New Roman" w:hAnsi="Aptos" w:cs="Times New Roman"/>
          <w:sz w:val="20"/>
          <w:szCs w:val="20"/>
          <w:lang w:val="nl-NL"/>
        </w:rPr>
      </w:pPr>
      <w:r w:rsidRPr="00502674">
        <w:rPr>
          <w:rFonts w:ascii="Aptos" w:eastAsia="Times New Roman" w:hAnsi="Aptos" w:cs="Times New Roman"/>
          <w:sz w:val="20"/>
          <w:szCs w:val="20"/>
          <w:lang w:val="en-GB"/>
        </w:rPr>
        <w:t xml:space="preserve">Zelles L (1999) Fatty acid patterns of phospholipids and lipopolysaccharides in the characterisation of microbial communities in soil: a review. </w:t>
      </w:r>
      <w:r w:rsidRPr="00502674">
        <w:rPr>
          <w:rFonts w:ascii="Aptos" w:eastAsia="Times New Roman" w:hAnsi="Aptos" w:cs="Times New Roman"/>
          <w:sz w:val="20"/>
          <w:szCs w:val="20"/>
          <w:lang w:val="nl-NL"/>
        </w:rPr>
        <w:t xml:space="preserve">Biol Fertil Soils 29:111–129. </w:t>
      </w:r>
      <w:hyperlink r:id="rId11" w:history="1">
        <w:r w:rsidRPr="003E3591">
          <w:rPr>
            <w:rStyle w:val="Hyperlink"/>
            <w:rFonts w:ascii="Aptos" w:eastAsia="Times New Roman" w:hAnsi="Aptos" w:cs="Times New Roman"/>
            <w:sz w:val="20"/>
            <w:szCs w:val="20"/>
            <w:lang w:val="nl-NL"/>
          </w:rPr>
          <w:t>https://doi.org/10.1007/s003740050533</w:t>
        </w:r>
      </w:hyperlink>
      <w:r>
        <w:rPr>
          <w:rFonts w:ascii="Aptos" w:eastAsia="Times New Roman" w:hAnsi="Aptos" w:cs="Times New Roman"/>
          <w:sz w:val="20"/>
          <w:szCs w:val="20"/>
          <w:lang w:val="nl-NL"/>
        </w:rPr>
        <w:t xml:space="preserve"> </w:t>
      </w:r>
    </w:p>
    <w:p w14:paraId="66518CF5" w14:textId="77777777" w:rsidR="008B7EAD" w:rsidRDefault="008B7EAD">
      <w:pPr>
        <w:jc w:val="both"/>
        <w:rPr>
          <w:rFonts w:ascii="Aptos" w:eastAsia="Aptos" w:hAnsi="Aptos" w:cs="Aptos"/>
        </w:rPr>
      </w:pPr>
    </w:p>
    <w:p w14:paraId="66518CF6" w14:textId="77777777" w:rsidR="008B7EAD" w:rsidRDefault="008B7EAD">
      <w:pPr>
        <w:jc w:val="both"/>
        <w:rPr>
          <w:rFonts w:ascii="Aptos" w:eastAsia="Aptos" w:hAnsi="Aptos" w:cs="Aptos"/>
        </w:rPr>
      </w:pPr>
    </w:p>
    <w:sectPr w:rsidR="008B7EAD">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856BC"/>
    <w:multiLevelType w:val="multilevel"/>
    <w:tmpl w:val="1F5EB624"/>
    <w:lvl w:ilvl="0">
      <w:start w:val="4"/>
      <w:numFmt w:val="decimal"/>
      <w:lvlText w:val="A%1."/>
      <w:lvlJc w:val="left"/>
      <w:pPr>
        <w:ind w:left="420" w:hanging="420"/>
      </w:pPr>
      <w:rPr>
        <w:rFonts w:hint="default"/>
      </w:rPr>
    </w:lvl>
    <w:lvl w:ilvl="1">
      <w:start w:val="1"/>
      <w:numFmt w:val="decimal"/>
      <w:lvlText w:val="%1.%2."/>
      <w:lvlJc w:val="left"/>
      <w:pPr>
        <w:ind w:left="720" w:hanging="5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7E5F34"/>
    <w:multiLevelType w:val="multilevel"/>
    <w:tmpl w:val="21A28F82"/>
    <w:lvl w:ilvl="0">
      <w:start w:val="1"/>
      <w:numFmt w:val="decimal"/>
      <w:lvlText w:val="A%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5464B6"/>
    <w:multiLevelType w:val="multilevel"/>
    <w:tmpl w:val="B4A4818C"/>
    <w:lvl w:ilvl="0">
      <w:start w:val="1"/>
      <w:numFmt w:val="decimal"/>
      <w:lvlText w:val="A%1."/>
      <w:lvlJc w:val="left"/>
      <w:pPr>
        <w:ind w:left="420" w:hanging="420"/>
      </w:pPr>
    </w:lvl>
    <w:lvl w:ilvl="1">
      <w:start w:val="1"/>
      <w:numFmt w:val="decimal"/>
      <w:lvlText w:val="%1.%2."/>
      <w:lvlJc w:val="left"/>
      <w:pPr>
        <w:ind w:left="720" w:hanging="55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616061C5"/>
    <w:multiLevelType w:val="multilevel"/>
    <w:tmpl w:val="14A0B1F0"/>
    <w:lvl w:ilvl="0">
      <w:start w:val="1"/>
      <w:numFmt w:val="decimal"/>
      <w:lvlText w:val="A%1."/>
      <w:lvlJc w:val="left"/>
      <w:pPr>
        <w:ind w:left="420" w:hanging="420"/>
      </w:pPr>
    </w:lvl>
    <w:lvl w:ilvl="1">
      <w:start w:val="1"/>
      <w:numFmt w:val="decimal"/>
      <w:lvlText w:val="%1.%2."/>
      <w:lvlJc w:val="left"/>
      <w:pPr>
        <w:ind w:left="720" w:hanging="55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771B1FED"/>
    <w:multiLevelType w:val="multilevel"/>
    <w:tmpl w:val="E1343A84"/>
    <w:lvl w:ilvl="0">
      <w:start w:val="3"/>
      <w:numFmt w:val="decimal"/>
      <w:lvlText w:val="A%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EAD"/>
    <w:rsid w:val="00023B24"/>
    <w:rsid w:val="000701E2"/>
    <w:rsid w:val="000B3C45"/>
    <w:rsid w:val="0010542B"/>
    <w:rsid w:val="00181424"/>
    <w:rsid w:val="001834BC"/>
    <w:rsid w:val="001D6577"/>
    <w:rsid w:val="001D6E8C"/>
    <w:rsid w:val="001F01A0"/>
    <w:rsid w:val="00201FF0"/>
    <w:rsid w:val="00275FED"/>
    <w:rsid w:val="00287101"/>
    <w:rsid w:val="002959C8"/>
    <w:rsid w:val="002A259C"/>
    <w:rsid w:val="002A2694"/>
    <w:rsid w:val="002A50BE"/>
    <w:rsid w:val="002A6322"/>
    <w:rsid w:val="002D32E5"/>
    <w:rsid w:val="002E60B1"/>
    <w:rsid w:val="0034575C"/>
    <w:rsid w:val="003A17FB"/>
    <w:rsid w:val="003C24EC"/>
    <w:rsid w:val="003C2DBC"/>
    <w:rsid w:val="004005BD"/>
    <w:rsid w:val="004308F5"/>
    <w:rsid w:val="00433954"/>
    <w:rsid w:val="00460D11"/>
    <w:rsid w:val="004B6A86"/>
    <w:rsid w:val="004D1C05"/>
    <w:rsid w:val="004D612A"/>
    <w:rsid w:val="00502674"/>
    <w:rsid w:val="00514DE2"/>
    <w:rsid w:val="005A10ED"/>
    <w:rsid w:val="005E6852"/>
    <w:rsid w:val="00605E44"/>
    <w:rsid w:val="00673900"/>
    <w:rsid w:val="006B5C48"/>
    <w:rsid w:val="007A7A76"/>
    <w:rsid w:val="008353A9"/>
    <w:rsid w:val="008429FF"/>
    <w:rsid w:val="00892E64"/>
    <w:rsid w:val="008A1978"/>
    <w:rsid w:val="008B7EAD"/>
    <w:rsid w:val="008E06BF"/>
    <w:rsid w:val="00923A9F"/>
    <w:rsid w:val="00937D3F"/>
    <w:rsid w:val="009420B2"/>
    <w:rsid w:val="0096136D"/>
    <w:rsid w:val="009737C4"/>
    <w:rsid w:val="00983D49"/>
    <w:rsid w:val="009A24E2"/>
    <w:rsid w:val="009A7734"/>
    <w:rsid w:val="009D1E95"/>
    <w:rsid w:val="009D5D29"/>
    <w:rsid w:val="009E692D"/>
    <w:rsid w:val="009E76D3"/>
    <w:rsid w:val="00A53C80"/>
    <w:rsid w:val="00A83F47"/>
    <w:rsid w:val="00B02EA7"/>
    <w:rsid w:val="00B1691F"/>
    <w:rsid w:val="00B64634"/>
    <w:rsid w:val="00BD389B"/>
    <w:rsid w:val="00C554F0"/>
    <w:rsid w:val="00CA6BD3"/>
    <w:rsid w:val="00CC798D"/>
    <w:rsid w:val="00CD359F"/>
    <w:rsid w:val="00CF0FE5"/>
    <w:rsid w:val="00CF2917"/>
    <w:rsid w:val="00D23871"/>
    <w:rsid w:val="00D312E2"/>
    <w:rsid w:val="00D4404B"/>
    <w:rsid w:val="00D63CB7"/>
    <w:rsid w:val="00D715BA"/>
    <w:rsid w:val="00D75900"/>
    <w:rsid w:val="00D94A2A"/>
    <w:rsid w:val="00DC1F78"/>
    <w:rsid w:val="00E076C9"/>
    <w:rsid w:val="00E61721"/>
    <w:rsid w:val="00E90ECC"/>
    <w:rsid w:val="00EB1E67"/>
    <w:rsid w:val="00EE39A3"/>
    <w:rsid w:val="00FA72A3"/>
    <w:rsid w:val="00FB1568"/>
    <w:rsid w:val="00FC113F"/>
    <w:rsid w:val="00FE33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18B7C"/>
  <w15:docId w15:val="{B2D82896-9A78-4B5E-A804-11928631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1D6577"/>
    <w:pPr>
      <w:ind w:left="720"/>
      <w:contextualSpacing/>
    </w:pPr>
  </w:style>
  <w:style w:type="character" w:styleId="Hyperlink">
    <w:name w:val="Hyperlink"/>
    <w:basedOn w:val="DefaultParagraphFont"/>
    <w:uiPriority w:val="99"/>
    <w:unhideWhenUsed/>
    <w:rsid w:val="00CA6BD3"/>
    <w:rPr>
      <w:color w:val="0000FF"/>
      <w:u w:val="single"/>
    </w:rPr>
  </w:style>
  <w:style w:type="paragraph" w:styleId="CommentSubject">
    <w:name w:val="annotation subject"/>
    <w:basedOn w:val="CommentText"/>
    <w:next w:val="CommentText"/>
    <w:link w:val="CommentSubjectChar"/>
    <w:uiPriority w:val="99"/>
    <w:semiHidden/>
    <w:unhideWhenUsed/>
    <w:rsid w:val="00892E64"/>
    <w:rPr>
      <w:b/>
      <w:bCs/>
    </w:rPr>
  </w:style>
  <w:style w:type="character" w:customStyle="1" w:styleId="CommentSubjectChar">
    <w:name w:val="Comment Subject Char"/>
    <w:basedOn w:val="CommentTextChar"/>
    <w:link w:val="CommentSubject"/>
    <w:uiPriority w:val="99"/>
    <w:semiHidden/>
    <w:rsid w:val="00892E64"/>
    <w:rPr>
      <w:b/>
      <w:bCs/>
      <w:sz w:val="20"/>
      <w:szCs w:val="20"/>
    </w:rPr>
  </w:style>
  <w:style w:type="character" w:styleId="UnresolvedMention">
    <w:name w:val="Unresolved Mention"/>
    <w:basedOn w:val="DefaultParagraphFont"/>
    <w:uiPriority w:val="99"/>
    <w:semiHidden/>
    <w:unhideWhenUsed/>
    <w:rsid w:val="00502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42073">
      <w:bodyDiv w:val="1"/>
      <w:marLeft w:val="0"/>
      <w:marRight w:val="0"/>
      <w:marTop w:val="0"/>
      <w:marBottom w:val="0"/>
      <w:divBdr>
        <w:top w:val="none" w:sz="0" w:space="0" w:color="auto"/>
        <w:left w:val="none" w:sz="0" w:space="0" w:color="auto"/>
        <w:bottom w:val="none" w:sz="0" w:space="0" w:color="auto"/>
        <w:right w:val="none" w:sz="0" w:space="0" w:color="auto"/>
      </w:divBdr>
      <w:divsChild>
        <w:div w:id="858660470">
          <w:marLeft w:val="480"/>
          <w:marRight w:val="0"/>
          <w:marTop w:val="0"/>
          <w:marBottom w:val="0"/>
          <w:divBdr>
            <w:top w:val="none" w:sz="0" w:space="0" w:color="auto"/>
            <w:left w:val="none" w:sz="0" w:space="0" w:color="auto"/>
            <w:bottom w:val="none" w:sz="0" w:space="0" w:color="auto"/>
            <w:right w:val="none" w:sz="0" w:space="0" w:color="auto"/>
          </w:divBdr>
          <w:divsChild>
            <w:div w:id="534780327">
              <w:marLeft w:val="0"/>
              <w:marRight w:val="0"/>
              <w:marTop w:val="0"/>
              <w:marBottom w:val="0"/>
              <w:divBdr>
                <w:top w:val="none" w:sz="0" w:space="0" w:color="auto"/>
                <w:left w:val="none" w:sz="0" w:space="0" w:color="auto"/>
                <w:bottom w:val="none" w:sz="0" w:space="0" w:color="auto"/>
                <w:right w:val="none" w:sz="0" w:space="0" w:color="auto"/>
              </w:divBdr>
            </w:div>
            <w:div w:id="492256221">
              <w:marLeft w:val="0"/>
              <w:marRight w:val="0"/>
              <w:marTop w:val="0"/>
              <w:marBottom w:val="0"/>
              <w:divBdr>
                <w:top w:val="none" w:sz="0" w:space="0" w:color="auto"/>
                <w:left w:val="none" w:sz="0" w:space="0" w:color="auto"/>
                <w:bottom w:val="none" w:sz="0" w:space="0" w:color="auto"/>
                <w:right w:val="none" w:sz="0" w:space="0" w:color="auto"/>
              </w:divBdr>
            </w:div>
            <w:div w:id="364790689">
              <w:marLeft w:val="0"/>
              <w:marRight w:val="0"/>
              <w:marTop w:val="0"/>
              <w:marBottom w:val="0"/>
              <w:divBdr>
                <w:top w:val="none" w:sz="0" w:space="0" w:color="auto"/>
                <w:left w:val="none" w:sz="0" w:space="0" w:color="auto"/>
                <w:bottom w:val="none" w:sz="0" w:space="0" w:color="auto"/>
                <w:right w:val="none" w:sz="0" w:space="0" w:color="auto"/>
              </w:divBdr>
            </w:div>
            <w:div w:id="437020291">
              <w:marLeft w:val="0"/>
              <w:marRight w:val="0"/>
              <w:marTop w:val="0"/>
              <w:marBottom w:val="0"/>
              <w:divBdr>
                <w:top w:val="none" w:sz="0" w:space="0" w:color="auto"/>
                <w:left w:val="none" w:sz="0" w:space="0" w:color="auto"/>
                <w:bottom w:val="none" w:sz="0" w:space="0" w:color="auto"/>
                <w:right w:val="none" w:sz="0" w:space="0" w:color="auto"/>
              </w:divBdr>
            </w:div>
            <w:div w:id="1194609161">
              <w:marLeft w:val="0"/>
              <w:marRight w:val="0"/>
              <w:marTop w:val="0"/>
              <w:marBottom w:val="0"/>
              <w:divBdr>
                <w:top w:val="none" w:sz="0" w:space="0" w:color="auto"/>
                <w:left w:val="none" w:sz="0" w:space="0" w:color="auto"/>
                <w:bottom w:val="none" w:sz="0" w:space="0" w:color="auto"/>
                <w:right w:val="none" w:sz="0" w:space="0" w:color="auto"/>
              </w:divBdr>
            </w:div>
            <w:div w:id="1679691143">
              <w:marLeft w:val="0"/>
              <w:marRight w:val="0"/>
              <w:marTop w:val="0"/>
              <w:marBottom w:val="0"/>
              <w:divBdr>
                <w:top w:val="none" w:sz="0" w:space="0" w:color="auto"/>
                <w:left w:val="none" w:sz="0" w:space="0" w:color="auto"/>
                <w:bottom w:val="none" w:sz="0" w:space="0" w:color="auto"/>
                <w:right w:val="none" w:sz="0" w:space="0" w:color="auto"/>
              </w:divBdr>
            </w:div>
            <w:div w:id="773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49841">
      <w:bodyDiv w:val="1"/>
      <w:marLeft w:val="0"/>
      <w:marRight w:val="0"/>
      <w:marTop w:val="0"/>
      <w:marBottom w:val="0"/>
      <w:divBdr>
        <w:top w:val="none" w:sz="0" w:space="0" w:color="auto"/>
        <w:left w:val="none" w:sz="0" w:space="0" w:color="auto"/>
        <w:bottom w:val="none" w:sz="0" w:space="0" w:color="auto"/>
        <w:right w:val="none" w:sz="0" w:space="0" w:color="auto"/>
      </w:divBdr>
      <w:divsChild>
        <w:div w:id="193155443">
          <w:marLeft w:val="480"/>
          <w:marRight w:val="0"/>
          <w:marTop w:val="0"/>
          <w:marBottom w:val="0"/>
          <w:divBdr>
            <w:top w:val="none" w:sz="0" w:space="0" w:color="auto"/>
            <w:left w:val="none" w:sz="0" w:space="0" w:color="auto"/>
            <w:bottom w:val="none" w:sz="0" w:space="0" w:color="auto"/>
            <w:right w:val="none" w:sz="0" w:space="0" w:color="auto"/>
          </w:divBdr>
          <w:divsChild>
            <w:div w:id="1172380652">
              <w:marLeft w:val="0"/>
              <w:marRight w:val="0"/>
              <w:marTop w:val="0"/>
              <w:marBottom w:val="240"/>
              <w:divBdr>
                <w:top w:val="none" w:sz="0" w:space="0" w:color="auto"/>
                <w:left w:val="none" w:sz="0" w:space="0" w:color="auto"/>
                <w:bottom w:val="none" w:sz="0" w:space="0" w:color="auto"/>
                <w:right w:val="none" w:sz="0" w:space="0" w:color="auto"/>
              </w:divBdr>
            </w:div>
            <w:div w:id="797531439">
              <w:marLeft w:val="0"/>
              <w:marRight w:val="0"/>
              <w:marTop w:val="0"/>
              <w:marBottom w:val="240"/>
              <w:divBdr>
                <w:top w:val="none" w:sz="0" w:space="0" w:color="auto"/>
                <w:left w:val="none" w:sz="0" w:space="0" w:color="auto"/>
                <w:bottom w:val="none" w:sz="0" w:space="0" w:color="auto"/>
                <w:right w:val="none" w:sz="0" w:space="0" w:color="auto"/>
              </w:divBdr>
            </w:div>
            <w:div w:id="1748964572">
              <w:marLeft w:val="0"/>
              <w:marRight w:val="0"/>
              <w:marTop w:val="0"/>
              <w:marBottom w:val="240"/>
              <w:divBdr>
                <w:top w:val="none" w:sz="0" w:space="0" w:color="auto"/>
                <w:left w:val="none" w:sz="0" w:space="0" w:color="auto"/>
                <w:bottom w:val="none" w:sz="0" w:space="0" w:color="auto"/>
                <w:right w:val="none" w:sz="0" w:space="0" w:color="auto"/>
              </w:divBdr>
            </w:div>
            <w:div w:id="1407456889">
              <w:marLeft w:val="0"/>
              <w:marRight w:val="0"/>
              <w:marTop w:val="0"/>
              <w:marBottom w:val="240"/>
              <w:divBdr>
                <w:top w:val="none" w:sz="0" w:space="0" w:color="auto"/>
                <w:left w:val="none" w:sz="0" w:space="0" w:color="auto"/>
                <w:bottom w:val="none" w:sz="0" w:space="0" w:color="auto"/>
                <w:right w:val="none" w:sz="0" w:space="0" w:color="auto"/>
              </w:divBdr>
            </w:div>
            <w:div w:id="1023289162">
              <w:marLeft w:val="0"/>
              <w:marRight w:val="0"/>
              <w:marTop w:val="0"/>
              <w:marBottom w:val="240"/>
              <w:divBdr>
                <w:top w:val="none" w:sz="0" w:space="0" w:color="auto"/>
                <w:left w:val="none" w:sz="0" w:space="0" w:color="auto"/>
                <w:bottom w:val="none" w:sz="0" w:space="0" w:color="auto"/>
                <w:right w:val="none" w:sz="0" w:space="0" w:color="auto"/>
              </w:divBdr>
            </w:div>
            <w:div w:id="1494296814">
              <w:marLeft w:val="0"/>
              <w:marRight w:val="0"/>
              <w:marTop w:val="0"/>
              <w:marBottom w:val="240"/>
              <w:divBdr>
                <w:top w:val="none" w:sz="0" w:space="0" w:color="auto"/>
                <w:left w:val="none" w:sz="0" w:space="0" w:color="auto"/>
                <w:bottom w:val="none" w:sz="0" w:space="0" w:color="auto"/>
                <w:right w:val="none" w:sz="0" w:space="0" w:color="auto"/>
              </w:divBdr>
            </w:div>
            <w:div w:id="87373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52195">
      <w:bodyDiv w:val="1"/>
      <w:marLeft w:val="0"/>
      <w:marRight w:val="0"/>
      <w:marTop w:val="0"/>
      <w:marBottom w:val="0"/>
      <w:divBdr>
        <w:top w:val="none" w:sz="0" w:space="0" w:color="auto"/>
        <w:left w:val="none" w:sz="0" w:space="0" w:color="auto"/>
        <w:bottom w:val="none" w:sz="0" w:space="0" w:color="auto"/>
        <w:right w:val="none" w:sz="0" w:space="0" w:color="auto"/>
      </w:divBdr>
    </w:div>
    <w:div w:id="2015911941">
      <w:bodyDiv w:val="1"/>
      <w:marLeft w:val="0"/>
      <w:marRight w:val="0"/>
      <w:marTop w:val="0"/>
      <w:marBottom w:val="0"/>
      <w:divBdr>
        <w:top w:val="none" w:sz="0" w:space="0" w:color="auto"/>
        <w:left w:val="none" w:sz="0" w:space="0" w:color="auto"/>
        <w:bottom w:val="none" w:sz="0" w:space="0" w:color="auto"/>
        <w:right w:val="none" w:sz="0" w:space="0" w:color="auto"/>
      </w:divBdr>
      <w:divsChild>
        <w:div w:id="2074153535">
          <w:marLeft w:val="480"/>
          <w:marRight w:val="0"/>
          <w:marTop w:val="0"/>
          <w:marBottom w:val="0"/>
          <w:divBdr>
            <w:top w:val="none" w:sz="0" w:space="0" w:color="auto"/>
            <w:left w:val="none" w:sz="0" w:space="0" w:color="auto"/>
            <w:bottom w:val="none" w:sz="0" w:space="0" w:color="auto"/>
            <w:right w:val="none" w:sz="0" w:space="0" w:color="auto"/>
          </w:divBdr>
          <w:divsChild>
            <w:div w:id="35741423">
              <w:marLeft w:val="0"/>
              <w:marRight w:val="0"/>
              <w:marTop w:val="0"/>
              <w:marBottom w:val="0"/>
              <w:divBdr>
                <w:top w:val="none" w:sz="0" w:space="0" w:color="auto"/>
                <w:left w:val="none" w:sz="0" w:space="0" w:color="auto"/>
                <w:bottom w:val="none" w:sz="0" w:space="0" w:color="auto"/>
                <w:right w:val="none" w:sz="0" w:space="0" w:color="auto"/>
              </w:divBdr>
            </w:div>
            <w:div w:id="173568841">
              <w:marLeft w:val="0"/>
              <w:marRight w:val="0"/>
              <w:marTop w:val="0"/>
              <w:marBottom w:val="0"/>
              <w:divBdr>
                <w:top w:val="none" w:sz="0" w:space="0" w:color="auto"/>
                <w:left w:val="none" w:sz="0" w:space="0" w:color="auto"/>
                <w:bottom w:val="none" w:sz="0" w:space="0" w:color="auto"/>
                <w:right w:val="none" w:sz="0" w:space="0" w:color="auto"/>
              </w:divBdr>
            </w:div>
            <w:div w:id="1636133521">
              <w:marLeft w:val="0"/>
              <w:marRight w:val="0"/>
              <w:marTop w:val="0"/>
              <w:marBottom w:val="0"/>
              <w:divBdr>
                <w:top w:val="none" w:sz="0" w:space="0" w:color="auto"/>
                <w:left w:val="none" w:sz="0" w:space="0" w:color="auto"/>
                <w:bottom w:val="none" w:sz="0" w:space="0" w:color="auto"/>
                <w:right w:val="none" w:sz="0" w:space="0" w:color="auto"/>
              </w:divBdr>
            </w:div>
            <w:div w:id="1938754539">
              <w:marLeft w:val="0"/>
              <w:marRight w:val="0"/>
              <w:marTop w:val="0"/>
              <w:marBottom w:val="0"/>
              <w:divBdr>
                <w:top w:val="none" w:sz="0" w:space="0" w:color="auto"/>
                <w:left w:val="none" w:sz="0" w:space="0" w:color="auto"/>
                <w:bottom w:val="none" w:sz="0" w:space="0" w:color="auto"/>
                <w:right w:val="none" w:sz="0" w:space="0" w:color="auto"/>
              </w:divBdr>
            </w:div>
            <w:div w:id="1253733501">
              <w:marLeft w:val="0"/>
              <w:marRight w:val="0"/>
              <w:marTop w:val="0"/>
              <w:marBottom w:val="0"/>
              <w:divBdr>
                <w:top w:val="none" w:sz="0" w:space="0" w:color="auto"/>
                <w:left w:val="none" w:sz="0" w:space="0" w:color="auto"/>
                <w:bottom w:val="none" w:sz="0" w:space="0" w:color="auto"/>
                <w:right w:val="none" w:sz="0" w:space="0" w:color="auto"/>
              </w:divBdr>
            </w:div>
            <w:div w:id="397520">
              <w:marLeft w:val="0"/>
              <w:marRight w:val="0"/>
              <w:marTop w:val="0"/>
              <w:marBottom w:val="0"/>
              <w:divBdr>
                <w:top w:val="none" w:sz="0" w:space="0" w:color="auto"/>
                <w:left w:val="none" w:sz="0" w:space="0" w:color="auto"/>
                <w:bottom w:val="none" w:sz="0" w:space="0" w:color="auto"/>
                <w:right w:val="none" w:sz="0" w:space="0" w:color="auto"/>
              </w:divBdr>
            </w:div>
            <w:div w:id="4403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0167-7012(91)90018-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39/o59-09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oi.org/10.1007/s003740050533" TargetMode="External"/><Relationship Id="rId5" Type="http://schemas.openxmlformats.org/officeDocument/2006/relationships/hyperlink" Target="mailto:i.vanderzanden@nioo.knaw.nl" TargetMode="External"/><Relationship Id="rId10" Type="http://schemas.openxmlformats.org/officeDocument/2006/relationships/hyperlink" Target="https://doi.org/10.1016/j.soilbio.2022.108574" TargetMode="External"/><Relationship Id="rId4" Type="http://schemas.openxmlformats.org/officeDocument/2006/relationships/webSettings" Target="webSettings.xml"/><Relationship Id="rId9" Type="http://schemas.openxmlformats.org/officeDocument/2006/relationships/hyperlink" Target="https://doi.org/10.1111/j.1574-6941.1999.tb00621.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10</Pages>
  <Words>2213</Words>
  <Characters>12173</Characters>
  <Application>Microsoft Office Word</Application>
  <DocSecurity>0</DocSecurity>
  <Lines>101</Lines>
  <Paragraphs>28</Paragraphs>
  <ScaleCrop>false</ScaleCrop>
  <Company>Nederlands Instituut voor Ecologie</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Zanden, Isabelle van der</cp:lastModifiedBy>
  <cp:revision>90</cp:revision>
  <dcterms:created xsi:type="dcterms:W3CDTF">2025-04-22T09:44:00Z</dcterms:created>
  <dcterms:modified xsi:type="dcterms:W3CDTF">2025-06-05T09:06:00Z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id="zFEKstiF"/&gt;&lt;style id="http://www.zotero.org/styles/basic-and-applied-ecology" hasBibliography="1" bibliographyStyleHasBeenSet="0"/&gt;&lt;prefs&gt;&lt;pref name="fieldType" value="Field"/&gt;&lt;/prefs&gt;&lt;/data&gt;</vt:lpwstr>
  </property>
</Properties>
</file>