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A46" w:rsidRPr="00741AA0" w:rsidRDefault="00000A46" w:rsidP="00000A46">
      <w:pPr>
        <w:tabs>
          <w:tab w:val="left" w:pos="2271"/>
        </w:tabs>
        <w:spacing w:line="480" w:lineRule="auto"/>
        <w:jc w:val="center"/>
        <w:rPr>
          <w:rFonts w:ascii="Arial" w:hAnsi="Arial" w:cs="Arial"/>
          <w:b/>
        </w:rPr>
      </w:pPr>
      <w:r w:rsidRPr="00741AA0">
        <w:rPr>
          <w:rFonts w:ascii="Arial" w:hAnsi="Arial" w:cs="Arial"/>
          <w:b/>
        </w:rPr>
        <w:t>Appendix</w:t>
      </w:r>
      <w:r>
        <w:rPr>
          <w:rFonts w:ascii="Arial" w:hAnsi="Arial" w:cs="Arial"/>
          <w:b/>
        </w:rPr>
        <w:t xml:space="preserve"> - </w:t>
      </w:r>
      <w:r w:rsidRPr="00741AA0">
        <w:rPr>
          <w:rFonts w:ascii="Arial" w:hAnsi="Arial" w:cs="Arial"/>
          <w:b/>
        </w:rPr>
        <w:t>Supplementary material</w:t>
      </w:r>
    </w:p>
    <w:p w:rsidR="00000A46" w:rsidRPr="00C35BC2" w:rsidRDefault="00000A46" w:rsidP="00000A46">
      <w:pPr>
        <w:rPr>
          <w:rStyle w:val="IntenseReference"/>
        </w:rPr>
      </w:pPr>
      <w:r w:rsidRPr="00C35BC2">
        <w:rPr>
          <w:rStyle w:val="IntenseReference"/>
        </w:rPr>
        <w:t>Online Table 1</w:t>
      </w:r>
      <w:r>
        <w:rPr>
          <w:rStyle w:val="IntenseReference"/>
        </w:rPr>
        <w:t xml:space="preserve"> (</w:t>
      </w:r>
      <w:proofErr w:type="spellStart"/>
      <w:r>
        <w:rPr>
          <w:rStyle w:val="IntenseReference"/>
        </w:rPr>
        <w:t>S1</w:t>
      </w:r>
      <w:proofErr w:type="spellEnd"/>
      <w:r>
        <w:rPr>
          <w:rStyle w:val="IntenseReference"/>
        </w:rPr>
        <w:t>)</w:t>
      </w:r>
      <w:r w:rsidRPr="00C35BC2">
        <w:rPr>
          <w:rStyle w:val="IntenseReference"/>
        </w:rPr>
        <w:t xml:space="preserve">: Patient involvement – available roles for patients within </w:t>
      </w:r>
      <w:proofErr w:type="spellStart"/>
      <w:r w:rsidRPr="00C35BC2">
        <w:rPr>
          <w:rStyle w:val="IntenseReference"/>
        </w:rPr>
        <w:t>BTEs</w:t>
      </w:r>
      <w:proofErr w:type="spellEnd"/>
    </w:p>
    <w:p w:rsidR="00000A46" w:rsidRDefault="00000A46" w:rsidP="00000A46"/>
    <w:tbl>
      <w:tblPr>
        <w:tblStyle w:val="TableGrid"/>
        <w:tblW w:w="0" w:type="auto"/>
        <w:tblLook w:val="04A0"/>
      </w:tblPr>
      <w:tblGrid>
        <w:gridCol w:w="1526"/>
        <w:gridCol w:w="4635"/>
        <w:gridCol w:w="3081"/>
      </w:tblGrid>
      <w:tr w:rsidR="00000A46" w:rsidRPr="00385E11" w:rsidTr="00340ABA">
        <w:tc>
          <w:tcPr>
            <w:tcW w:w="1526" w:type="dxa"/>
            <w:shd w:val="clear" w:color="auto" w:fill="D9D9D9" w:themeFill="background1" w:themeFillShade="D9"/>
          </w:tcPr>
          <w:p w:rsidR="00000A46" w:rsidRPr="00385E11" w:rsidRDefault="00000A46" w:rsidP="00340ABA">
            <w:r w:rsidRPr="00385E11">
              <w:t>Type of role</w:t>
            </w:r>
          </w:p>
        </w:tc>
        <w:tc>
          <w:tcPr>
            <w:tcW w:w="4635" w:type="dxa"/>
            <w:shd w:val="clear" w:color="auto" w:fill="D9D9D9" w:themeFill="background1" w:themeFillShade="D9"/>
          </w:tcPr>
          <w:p w:rsidR="00000A46" w:rsidRPr="00385E11" w:rsidRDefault="00000A46" w:rsidP="00340ABA">
            <w:r w:rsidRPr="00385E11">
              <w:t>Definition</w:t>
            </w:r>
          </w:p>
        </w:tc>
        <w:tc>
          <w:tcPr>
            <w:tcW w:w="3081" w:type="dxa"/>
            <w:shd w:val="clear" w:color="auto" w:fill="D9D9D9" w:themeFill="background1" w:themeFillShade="D9"/>
          </w:tcPr>
          <w:p w:rsidR="00000A46" w:rsidRPr="00385E11" w:rsidRDefault="00000A46" w:rsidP="00340ABA">
            <w:r w:rsidRPr="00385E11">
              <w:t>Literature sources</w:t>
            </w:r>
          </w:p>
        </w:tc>
      </w:tr>
      <w:tr w:rsidR="00000A46" w:rsidRPr="00002E4F" w:rsidTr="00340ABA">
        <w:tc>
          <w:tcPr>
            <w:tcW w:w="1526" w:type="dxa"/>
          </w:tcPr>
          <w:p w:rsidR="00000A46" w:rsidRPr="00385E11" w:rsidRDefault="00000A46" w:rsidP="00340ABA">
            <w:r w:rsidRPr="00385E11">
              <w:t>Passive</w:t>
            </w:r>
          </w:p>
        </w:tc>
        <w:tc>
          <w:tcPr>
            <w:tcW w:w="4635" w:type="dxa"/>
          </w:tcPr>
          <w:p w:rsidR="00000A46" w:rsidRPr="00002E4F" w:rsidRDefault="00000A46" w:rsidP="00340ABA">
            <w:r w:rsidRPr="00002E4F">
              <w:t xml:space="preserve">This term covers a variety of patient roles within </w:t>
            </w:r>
            <w:proofErr w:type="spellStart"/>
            <w:r w:rsidRPr="00002E4F">
              <w:t>BTEs</w:t>
            </w:r>
            <w:proofErr w:type="spellEnd"/>
            <w:r w:rsidRPr="00002E4F">
              <w:t xml:space="preserve"> including the patient as:</w:t>
            </w:r>
          </w:p>
          <w:p w:rsidR="00000A46" w:rsidRPr="00002E4F" w:rsidRDefault="00000A46" w:rsidP="00340ABA">
            <w:r w:rsidRPr="00002E4F">
              <w:t>Data, example, case (e.g. signs, symptoms, conditions)</w:t>
            </w:r>
          </w:p>
          <w:p w:rsidR="00000A46" w:rsidRPr="00002E4F" w:rsidRDefault="00000A46" w:rsidP="00340ABA">
            <w:r w:rsidRPr="00002E4F">
              <w:t xml:space="preserve">Teaching material or aid </w:t>
            </w:r>
          </w:p>
          <w:p w:rsidR="00000A46" w:rsidRPr="00002E4F" w:rsidRDefault="00000A46" w:rsidP="00340ABA">
            <w:r w:rsidRPr="00002E4F">
              <w:t>Teaching resource</w:t>
            </w:r>
          </w:p>
          <w:p w:rsidR="00000A46" w:rsidRPr="00002E4F" w:rsidRDefault="00000A46" w:rsidP="00340ABA">
            <w:r w:rsidRPr="00002E4F">
              <w:t>Clinical object or body, especially for students to practise on during physical examinations  (e.g. prop)</w:t>
            </w:r>
          </w:p>
          <w:p w:rsidR="00000A46" w:rsidRPr="00002E4F" w:rsidRDefault="00000A46" w:rsidP="00340ABA">
            <w:r w:rsidRPr="00002E4F">
              <w:t>As a result the involvement of the patient within is often ‘opportunistic’ ‘one-off’ events, on the part of the clinician, with teaching/learning the primary purpose of the interaction.</w:t>
            </w:r>
          </w:p>
        </w:tc>
        <w:tc>
          <w:tcPr>
            <w:tcW w:w="3081" w:type="dxa"/>
          </w:tcPr>
          <w:p w:rsidR="00000A46" w:rsidRPr="00002E4F" w:rsidRDefault="00000A46" w:rsidP="00340ABA">
            <w:r>
              <w:t>C</w:t>
            </w:r>
            <w:r w:rsidRPr="004B548E">
              <w:t>ox</w:t>
            </w:r>
            <w:r w:rsidRPr="00002E4F">
              <w:t xml:space="preserve"> (ii) 1993</w:t>
            </w:r>
            <w:r>
              <w:t xml:space="preserve">; </w:t>
            </w:r>
            <w:proofErr w:type="spellStart"/>
            <w:r w:rsidRPr="004B548E">
              <w:t>Linsfor</w:t>
            </w:r>
            <w:proofErr w:type="spellEnd"/>
            <w:r w:rsidRPr="004B548E">
              <w:t xml:space="preserve"> and </w:t>
            </w:r>
            <w:proofErr w:type="spellStart"/>
            <w:r w:rsidRPr="004B548E">
              <w:t>Neelon</w:t>
            </w:r>
            <w:proofErr w:type="spellEnd"/>
            <w:r w:rsidRPr="004B548E">
              <w:t xml:space="preserve"> 1980; </w:t>
            </w:r>
            <w:r w:rsidRPr="00002E4F">
              <w:t xml:space="preserve">;; </w:t>
            </w:r>
            <w:proofErr w:type="spellStart"/>
            <w:r w:rsidRPr="00002E4F">
              <w:t>M</w:t>
            </w:r>
            <w:r w:rsidRPr="00002E4F">
              <w:rPr>
                <w:vertAlign w:val="superscript"/>
              </w:rPr>
              <w:t>c</w:t>
            </w:r>
            <w:r w:rsidRPr="00002E4F">
              <w:t>Lachan</w:t>
            </w:r>
            <w:proofErr w:type="spellEnd"/>
            <w:r w:rsidRPr="00002E4F">
              <w:t xml:space="preserve"> et al. 2012</w:t>
            </w:r>
            <w:r>
              <w:t>;</w:t>
            </w:r>
            <w:r w:rsidRPr="00002E4F">
              <w:t xml:space="preserve"> </w:t>
            </w:r>
            <w:proofErr w:type="spellStart"/>
            <w:r w:rsidRPr="00002E4F">
              <w:t>Monrouxe</w:t>
            </w:r>
            <w:proofErr w:type="spellEnd"/>
            <w:r w:rsidRPr="00002E4F">
              <w:t xml:space="preserve"> et al 2009; </w:t>
            </w:r>
            <w:proofErr w:type="spellStart"/>
            <w:r w:rsidRPr="004B548E">
              <w:t>Ramani</w:t>
            </w:r>
            <w:proofErr w:type="spellEnd"/>
            <w:r w:rsidRPr="004B548E">
              <w:t xml:space="preserve"> 2008; </w:t>
            </w:r>
            <w:r w:rsidRPr="00002E4F">
              <w:t xml:space="preserve">Rees et al. 2007; Spencer et al. 2000; Spencer and </w:t>
            </w:r>
            <w:proofErr w:type="spellStart"/>
            <w:r w:rsidRPr="00002E4F">
              <w:t>McKimm</w:t>
            </w:r>
            <w:proofErr w:type="spellEnd"/>
            <w:r w:rsidRPr="00002E4F">
              <w:t xml:space="preserve"> 2010; </w:t>
            </w:r>
            <w:r w:rsidRPr="004B548E">
              <w:t>Stark et al. 2008</w:t>
            </w:r>
            <w:r>
              <w:t>;</w:t>
            </w:r>
            <w:r w:rsidRPr="00002E4F">
              <w:t xml:space="preserve"> </w:t>
            </w:r>
            <w:proofErr w:type="spellStart"/>
            <w:r w:rsidRPr="00002E4F">
              <w:t>Towle</w:t>
            </w:r>
            <w:proofErr w:type="spellEnd"/>
            <w:r w:rsidRPr="00002E4F">
              <w:t xml:space="preserve"> et al 2010</w:t>
            </w:r>
            <w:r>
              <w:t>;</w:t>
            </w:r>
            <w:r w:rsidRPr="00002E4F">
              <w:t xml:space="preserve"> </w:t>
            </w:r>
            <w:proofErr w:type="spellStart"/>
            <w:r w:rsidRPr="00002E4F">
              <w:t>Wykurz</w:t>
            </w:r>
            <w:proofErr w:type="spellEnd"/>
            <w:r w:rsidRPr="00002E4F">
              <w:t xml:space="preserve"> and Kelly 2002</w:t>
            </w:r>
          </w:p>
        </w:tc>
      </w:tr>
      <w:tr w:rsidR="00000A46" w:rsidRPr="00385E11" w:rsidTr="00340ABA">
        <w:tc>
          <w:tcPr>
            <w:tcW w:w="1526" w:type="dxa"/>
          </w:tcPr>
          <w:p w:rsidR="00000A46" w:rsidRPr="00385E11" w:rsidRDefault="00000A46" w:rsidP="00340ABA">
            <w:r w:rsidRPr="00385E11">
              <w:t>Tolerant</w:t>
            </w:r>
          </w:p>
        </w:tc>
        <w:tc>
          <w:tcPr>
            <w:tcW w:w="4635" w:type="dxa"/>
          </w:tcPr>
          <w:p w:rsidR="00000A46" w:rsidRPr="00385E11" w:rsidRDefault="00000A46" w:rsidP="00340ABA">
            <w:r w:rsidRPr="00385E11">
              <w:t>Patient merely accepts physical examination as par for course in teaching hospital</w:t>
            </w:r>
          </w:p>
        </w:tc>
        <w:tc>
          <w:tcPr>
            <w:tcW w:w="3081" w:type="dxa"/>
          </w:tcPr>
          <w:p w:rsidR="00000A46" w:rsidRPr="00385E11" w:rsidRDefault="00000A46" w:rsidP="00340ABA">
            <w:r w:rsidRPr="00385E11">
              <w:t>Chretien et al 2010</w:t>
            </w:r>
          </w:p>
        </w:tc>
      </w:tr>
      <w:tr w:rsidR="00000A46" w:rsidRPr="00385E11" w:rsidTr="00340ABA">
        <w:tc>
          <w:tcPr>
            <w:tcW w:w="1526" w:type="dxa"/>
          </w:tcPr>
          <w:p w:rsidR="00000A46" w:rsidRPr="00385E11" w:rsidRDefault="00000A46" w:rsidP="00340ABA">
            <w:r w:rsidRPr="00385E11">
              <w:t>Excluded from interaction</w:t>
            </w:r>
          </w:p>
        </w:tc>
        <w:tc>
          <w:tcPr>
            <w:tcW w:w="4635" w:type="dxa"/>
          </w:tcPr>
          <w:p w:rsidR="00000A46" w:rsidRPr="00385E11" w:rsidRDefault="00000A46" w:rsidP="00340ABA">
            <w:r w:rsidRPr="00385E11">
              <w:t>Use of technical or medical language between the clinician and medical student means that patient does not fully understand what is being said, nor is it explained to them in clear, lay language</w:t>
            </w:r>
          </w:p>
        </w:tc>
        <w:tc>
          <w:tcPr>
            <w:tcW w:w="3081" w:type="dxa"/>
          </w:tcPr>
          <w:p w:rsidR="00000A46" w:rsidRPr="00385E11" w:rsidRDefault="00000A46" w:rsidP="00340ABA">
            <w:proofErr w:type="spellStart"/>
            <w:r>
              <w:t>Bellet</w:t>
            </w:r>
            <w:proofErr w:type="spellEnd"/>
            <w:r>
              <w:t xml:space="preserve"> 1997; Fletcher et al </w:t>
            </w:r>
            <w:r w:rsidRPr="00385E11">
              <w:t>2005</w:t>
            </w:r>
            <w:r w:rsidRPr="00B82D89">
              <w:t>; 2007</w:t>
            </w:r>
            <w:r>
              <w:t xml:space="preserve">; Lehmann et al 1997; </w:t>
            </w:r>
            <w:proofErr w:type="spellStart"/>
            <w:r>
              <w:t>Janicik</w:t>
            </w:r>
            <w:proofErr w:type="spellEnd"/>
            <w:r>
              <w:t xml:space="preserve"> and Fletcher </w:t>
            </w:r>
            <w:r w:rsidRPr="00385E11">
              <w:t>2003</w:t>
            </w:r>
            <w:r>
              <w:t xml:space="preserve">; </w:t>
            </w:r>
            <w:proofErr w:type="spellStart"/>
            <w:r>
              <w:t>Linsfor</w:t>
            </w:r>
            <w:proofErr w:type="spellEnd"/>
            <w:r>
              <w:t xml:space="preserve"> and </w:t>
            </w:r>
            <w:proofErr w:type="spellStart"/>
            <w:r>
              <w:t>Neelon</w:t>
            </w:r>
            <w:proofErr w:type="spellEnd"/>
            <w:r>
              <w:t xml:space="preserve"> </w:t>
            </w:r>
            <w:r w:rsidRPr="00385E11">
              <w:t>1980</w:t>
            </w:r>
            <w:r>
              <w:t xml:space="preserve">; </w:t>
            </w:r>
            <w:proofErr w:type="spellStart"/>
            <w:r>
              <w:t>Ramani</w:t>
            </w:r>
            <w:proofErr w:type="spellEnd"/>
            <w:r>
              <w:t xml:space="preserve"> et al. 2003; Spencer and </w:t>
            </w:r>
            <w:proofErr w:type="spellStart"/>
            <w:r>
              <w:t>McKimm</w:t>
            </w:r>
            <w:proofErr w:type="spellEnd"/>
            <w:r>
              <w:t xml:space="preserve"> 2010</w:t>
            </w:r>
          </w:p>
        </w:tc>
      </w:tr>
      <w:tr w:rsidR="00000A46" w:rsidRPr="00385E11" w:rsidTr="00340ABA">
        <w:tc>
          <w:tcPr>
            <w:tcW w:w="1526" w:type="dxa"/>
          </w:tcPr>
          <w:p w:rsidR="00000A46" w:rsidRPr="00385E11" w:rsidRDefault="00000A46" w:rsidP="00340ABA">
            <w:r w:rsidRPr="00385E11">
              <w:t>Social</w:t>
            </w:r>
          </w:p>
        </w:tc>
        <w:tc>
          <w:tcPr>
            <w:tcW w:w="4635" w:type="dxa"/>
          </w:tcPr>
          <w:p w:rsidR="00000A46" w:rsidRPr="00385E11" w:rsidRDefault="00000A46" w:rsidP="00340ABA">
            <w:r w:rsidRPr="00385E11">
              <w:t>Patients benefit from</w:t>
            </w:r>
            <w:r>
              <w:t xml:space="preserve"> human contact when in hospital</w:t>
            </w:r>
            <w:r w:rsidRPr="00385E11">
              <w:t>, to break up the boredom  and feelings of isolation</w:t>
            </w:r>
          </w:p>
        </w:tc>
        <w:tc>
          <w:tcPr>
            <w:tcW w:w="3081" w:type="dxa"/>
          </w:tcPr>
          <w:p w:rsidR="00000A46" w:rsidRPr="00385E11" w:rsidRDefault="00000A46" w:rsidP="00340ABA">
            <w:r w:rsidRPr="00385E11">
              <w:t>Chretien et al 2010; Rees et al. 2007</w:t>
            </w:r>
          </w:p>
        </w:tc>
      </w:tr>
      <w:tr w:rsidR="00000A46" w:rsidRPr="00385E11" w:rsidTr="00340ABA">
        <w:tc>
          <w:tcPr>
            <w:tcW w:w="1526" w:type="dxa"/>
          </w:tcPr>
          <w:p w:rsidR="00000A46" w:rsidRPr="00385E11" w:rsidRDefault="00000A46" w:rsidP="00340ABA">
            <w:r w:rsidRPr="00385E11">
              <w:t>Helping</w:t>
            </w:r>
          </w:p>
        </w:tc>
        <w:tc>
          <w:tcPr>
            <w:tcW w:w="4635" w:type="dxa"/>
          </w:tcPr>
          <w:p w:rsidR="00000A46" w:rsidRPr="00385E11" w:rsidRDefault="00000A46" w:rsidP="00340ABA">
            <w:r w:rsidRPr="00385E11">
              <w:t>Patients are willing to give something back to the health service that has treated them and derive value from contributing to future doctors</w:t>
            </w:r>
          </w:p>
        </w:tc>
        <w:tc>
          <w:tcPr>
            <w:tcW w:w="3081" w:type="dxa"/>
          </w:tcPr>
          <w:p w:rsidR="00000A46" w:rsidRPr="00385E11" w:rsidRDefault="00000A46" w:rsidP="00340ABA">
            <w:r w:rsidRPr="00385E11">
              <w:t>Chretien et al. 2010; Rees et al. 2007; Spencer et al. 2000</w:t>
            </w:r>
          </w:p>
        </w:tc>
      </w:tr>
      <w:tr w:rsidR="00000A46" w:rsidRPr="00385E11" w:rsidTr="00340ABA">
        <w:tc>
          <w:tcPr>
            <w:tcW w:w="1526" w:type="dxa"/>
          </w:tcPr>
          <w:p w:rsidR="00000A46" w:rsidRPr="00385E11" w:rsidRDefault="00000A46" w:rsidP="00340ABA">
            <w:r w:rsidRPr="00385E11">
              <w:t xml:space="preserve">Learning </w:t>
            </w:r>
          </w:p>
        </w:tc>
        <w:tc>
          <w:tcPr>
            <w:tcW w:w="4635" w:type="dxa"/>
          </w:tcPr>
          <w:p w:rsidR="00000A46" w:rsidRPr="00385E11" w:rsidRDefault="00000A46" w:rsidP="00340ABA">
            <w:r w:rsidRPr="00385E11">
              <w:t xml:space="preserve">During </w:t>
            </w:r>
            <w:proofErr w:type="spellStart"/>
            <w:r w:rsidRPr="00385E11">
              <w:t>BTEs</w:t>
            </w:r>
            <w:proofErr w:type="spellEnd"/>
            <w:r w:rsidRPr="00385E11">
              <w:t xml:space="preserve"> patients are educated and informed about their illnesses, treatments, reasons for being in hospital and what </w:t>
            </w:r>
            <w:proofErr w:type="gramStart"/>
            <w:r w:rsidRPr="00385E11">
              <w:t>happens</w:t>
            </w:r>
            <w:proofErr w:type="gramEnd"/>
            <w:r w:rsidRPr="00385E11">
              <w:t xml:space="preserve"> next etc. Promotes patient understanding.</w:t>
            </w:r>
          </w:p>
        </w:tc>
        <w:tc>
          <w:tcPr>
            <w:tcW w:w="3081" w:type="dxa"/>
          </w:tcPr>
          <w:p w:rsidR="00000A46" w:rsidRPr="00385E11" w:rsidRDefault="00000A46" w:rsidP="00340ABA">
            <w:r w:rsidRPr="00385E11">
              <w:t>Chretien et al 2010; Fletcher et al. 2005</w:t>
            </w:r>
            <w:r>
              <w:t xml:space="preserve">; </w:t>
            </w:r>
            <w:r w:rsidRPr="00385E11">
              <w:t xml:space="preserve">Lehmann et al. 1997; </w:t>
            </w:r>
            <w:r>
              <w:t>Spencer et al. 2000</w:t>
            </w:r>
          </w:p>
        </w:tc>
      </w:tr>
      <w:tr w:rsidR="00000A46" w:rsidRPr="00385E11" w:rsidTr="00340ABA">
        <w:tc>
          <w:tcPr>
            <w:tcW w:w="1526" w:type="dxa"/>
          </w:tcPr>
          <w:p w:rsidR="00000A46" w:rsidRPr="00385E11" w:rsidRDefault="00000A46" w:rsidP="00340ABA">
            <w:r>
              <w:t>Whole patient</w:t>
            </w:r>
          </w:p>
        </w:tc>
        <w:tc>
          <w:tcPr>
            <w:tcW w:w="4635" w:type="dxa"/>
          </w:tcPr>
          <w:p w:rsidR="00000A46" w:rsidRDefault="00000A46" w:rsidP="00340ABA">
            <w:r>
              <w:t xml:space="preserve">Moving beyond treat patients as bearers of </w:t>
            </w:r>
          </w:p>
          <w:p w:rsidR="00000A46" w:rsidRPr="00385E11" w:rsidRDefault="00000A46" w:rsidP="00340ABA">
            <w:r>
              <w:t xml:space="preserve">Patient as an individual. Understanding the patient within the social setting, local context and social structures </w:t>
            </w:r>
          </w:p>
        </w:tc>
        <w:tc>
          <w:tcPr>
            <w:tcW w:w="3081" w:type="dxa"/>
          </w:tcPr>
          <w:p w:rsidR="00000A46" w:rsidRPr="00385E11" w:rsidRDefault="00000A46" w:rsidP="00340ABA">
            <w:r w:rsidRPr="00B82D89">
              <w:t>Boehm 2008; Branch et al.</w:t>
            </w:r>
            <w:r>
              <w:t xml:space="preserve"> 1991; </w:t>
            </w:r>
            <w:r w:rsidRPr="00385E11">
              <w:t>Fletcher et al.</w:t>
            </w:r>
            <w:r>
              <w:t xml:space="preserve"> 2007; </w:t>
            </w:r>
            <w:r w:rsidRPr="00385E11">
              <w:t>Spencer et al. 2000</w:t>
            </w:r>
            <w:r>
              <w:t>;</w:t>
            </w:r>
            <w:r w:rsidRPr="00B82D89">
              <w:t xml:space="preserve"> </w:t>
            </w:r>
            <w:proofErr w:type="spellStart"/>
            <w:r w:rsidRPr="00B82D89">
              <w:t>Weissmann</w:t>
            </w:r>
            <w:proofErr w:type="spellEnd"/>
            <w:r w:rsidRPr="00B82D89">
              <w:t xml:space="preserve"> et al. 2006; </w:t>
            </w:r>
          </w:p>
        </w:tc>
      </w:tr>
      <w:tr w:rsidR="00000A46" w:rsidRPr="00385E11" w:rsidTr="00340ABA">
        <w:tc>
          <w:tcPr>
            <w:tcW w:w="1526" w:type="dxa"/>
          </w:tcPr>
          <w:p w:rsidR="00000A46" w:rsidRPr="00385E11" w:rsidRDefault="00000A46" w:rsidP="00340ABA">
            <w:r>
              <w:t xml:space="preserve">Patient teachers, </w:t>
            </w:r>
            <w:r>
              <w:lastRenderedPageBreak/>
              <w:t>experts and educators</w:t>
            </w:r>
          </w:p>
        </w:tc>
        <w:tc>
          <w:tcPr>
            <w:tcW w:w="4635" w:type="dxa"/>
          </w:tcPr>
          <w:p w:rsidR="00000A46" w:rsidRPr="00DE05FA" w:rsidRDefault="00000A46" w:rsidP="00340ABA">
            <w:r w:rsidRPr="00DE05FA">
              <w:lastRenderedPageBreak/>
              <w:t xml:space="preserve">Patient s have a ‘unique illness experience’ (Stacy and Spender 1999:693), which makes </w:t>
            </w:r>
            <w:r w:rsidRPr="00DE05FA">
              <w:lastRenderedPageBreak/>
              <w:t>them ‘experts’ on their condition</w:t>
            </w:r>
            <w:r>
              <w:t xml:space="preserve">s and health issues and ideal instructors in community settings. </w:t>
            </w:r>
          </w:p>
          <w:p w:rsidR="00000A46" w:rsidRPr="00385E11" w:rsidRDefault="00000A46" w:rsidP="00340ABA">
            <w:r>
              <w:t>‘Patient is given preparation for specific teaching role, may actively question students, may be involved in giving feedback and evaluating students’ performance’ (</w:t>
            </w:r>
            <w:proofErr w:type="spellStart"/>
            <w:r>
              <w:t>Towle</w:t>
            </w:r>
            <w:proofErr w:type="spellEnd"/>
            <w:r>
              <w:t xml:space="preserve"> et al. 2010: 66). This role suits the development of students’ physical examination techniques and communication skills. </w:t>
            </w:r>
          </w:p>
        </w:tc>
        <w:tc>
          <w:tcPr>
            <w:tcW w:w="3081" w:type="dxa"/>
          </w:tcPr>
          <w:p w:rsidR="00000A46" w:rsidRPr="00385E11" w:rsidRDefault="00000A46" w:rsidP="00340ABA">
            <w:r w:rsidRPr="00B82D89">
              <w:lastRenderedPageBreak/>
              <w:t xml:space="preserve">Stacy and Spencer 1999; </w:t>
            </w:r>
            <w:proofErr w:type="spellStart"/>
            <w:r>
              <w:t>Towle</w:t>
            </w:r>
            <w:proofErr w:type="spellEnd"/>
            <w:r>
              <w:t xml:space="preserve"> et al. 2010; </w:t>
            </w:r>
            <w:proofErr w:type="spellStart"/>
            <w:r w:rsidRPr="00B82D89">
              <w:t>Wykurz</w:t>
            </w:r>
            <w:proofErr w:type="spellEnd"/>
            <w:r w:rsidRPr="00B82D89">
              <w:t xml:space="preserve"> </w:t>
            </w:r>
            <w:r w:rsidRPr="00B82D89">
              <w:lastRenderedPageBreak/>
              <w:t>1999;</w:t>
            </w:r>
            <w:r>
              <w:t xml:space="preserve"> </w:t>
            </w:r>
          </w:p>
        </w:tc>
      </w:tr>
      <w:tr w:rsidR="00000A46" w:rsidRPr="00385E11" w:rsidTr="00340ABA">
        <w:tc>
          <w:tcPr>
            <w:tcW w:w="1526" w:type="dxa"/>
          </w:tcPr>
          <w:p w:rsidR="00000A46" w:rsidRPr="00385E11" w:rsidRDefault="00000A46" w:rsidP="00340ABA">
            <w:r>
              <w:lastRenderedPageBreak/>
              <w:t>Partners</w:t>
            </w:r>
          </w:p>
        </w:tc>
        <w:tc>
          <w:tcPr>
            <w:tcW w:w="4635" w:type="dxa"/>
          </w:tcPr>
          <w:p w:rsidR="00000A46" w:rsidRPr="00385E11" w:rsidRDefault="00000A46" w:rsidP="00340ABA">
            <w:r>
              <w:t xml:space="preserve">Patients are fully involved in </w:t>
            </w:r>
            <w:proofErr w:type="spellStart"/>
            <w:r>
              <w:t>BTEs</w:t>
            </w:r>
            <w:proofErr w:type="spellEnd"/>
            <w:r>
              <w:t>, planning teaching sessions, student assessment, curriculum development/enactment, employed by medical schools</w:t>
            </w:r>
          </w:p>
        </w:tc>
        <w:tc>
          <w:tcPr>
            <w:tcW w:w="3081" w:type="dxa"/>
          </w:tcPr>
          <w:p w:rsidR="00000A46" w:rsidRPr="00385E11" w:rsidRDefault="00000A46" w:rsidP="00340ABA">
            <w:r>
              <w:t xml:space="preserve">Spencer et al. 2011; Spencer and </w:t>
            </w:r>
            <w:proofErr w:type="spellStart"/>
            <w:r>
              <w:t>McKimm</w:t>
            </w:r>
            <w:proofErr w:type="spellEnd"/>
            <w:r>
              <w:t xml:space="preserve"> 2010; </w:t>
            </w:r>
            <w:proofErr w:type="spellStart"/>
            <w:r>
              <w:t>Towle</w:t>
            </w:r>
            <w:proofErr w:type="spellEnd"/>
            <w:r>
              <w:t xml:space="preserve"> et al. 2010</w:t>
            </w:r>
          </w:p>
        </w:tc>
      </w:tr>
    </w:tbl>
    <w:p w:rsidR="00000A46" w:rsidRDefault="00000A46" w:rsidP="00000A46"/>
    <w:p w:rsidR="00000A46" w:rsidRPr="008234D4" w:rsidRDefault="00000A46" w:rsidP="00000A46">
      <w:pPr>
        <w:rPr>
          <w:b/>
        </w:rPr>
      </w:pPr>
      <w:r w:rsidRPr="008234D4">
        <w:rPr>
          <w:b/>
        </w:rPr>
        <w:t xml:space="preserve">Online table </w:t>
      </w:r>
      <w:r>
        <w:rPr>
          <w:b/>
        </w:rPr>
        <w:t>(</w:t>
      </w:r>
      <w:proofErr w:type="spellStart"/>
      <w:r>
        <w:rPr>
          <w:b/>
        </w:rPr>
        <w:t>S1</w:t>
      </w:r>
      <w:proofErr w:type="spellEnd"/>
      <w:r>
        <w:rPr>
          <w:b/>
        </w:rPr>
        <w:t xml:space="preserve">) additional </w:t>
      </w:r>
      <w:r w:rsidRPr="008234D4">
        <w:rPr>
          <w:b/>
        </w:rPr>
        <w:t>references</w:t>
      </w:r>
    </w:p>
    <w:p w:rsidR="00000A46" w:rsidRDefault="00000A46" w:rsidP="00000A46"/>
    <w:p w:rsidR="00000A46" w:rsidRPr="00063CFA" w:rsidRDefault="00000A46" w:rsidP="00000A46">
      <w:pPr>
        <w:pStyle w:val="EndNoteBibliography"/>
        <w:ind w:left="720" w:hanging="720"/>
      </w:pPr>
      <w:r w:rsidRPr="00063CFA">
        <w:t xml:space="preserve">Bellet, P.S. (1997). Bedside presentations and patients' perceptions of their medical care. </w:t>
      </w:r>
      <w:r w:rsidRPr="00063CFA">
        <w:rPr>
          <w:i/>
        </w:rPr>
        <w:t xml:space="preserve">New England Journal of Medicine, </w:t>
      </w:r>
      <w:r w:rsidRPr="00063CFA">
        <w:t>337, 714-715; author reply 715-716.</w:t>
      </w:r>
    </w:p>
    <w:p w:rsidR="00000A46" w:rsidRPr="00063CFA" w:rsidRDefault="00000A46" w:rsidP="00000A46">
      <w:pPr>
        <w:pStyle w:val="EndNoteBibliography"/>
        <w:ind w:left="720" w:hanging="720"/>
      </w:pPr>
      <w:r w:rsidRPr="00063CFA">
        <w:t xml:space="preserve">Boehm, F.H. (2008). Teaching bedside manners to medical students. </w:t>
      </w:r>
      <w:r w:rsidRPr="00063CFA">
        <w:rPr>
          <w:i/>
        </w:rPr>
        <w:t xml:space="preserve">Academic Medicine, </w:t>
      </w:r>
      <w:r w:rsidRPr="00063CFA">
        <w:t>83, 534.</w:t>
      </w:r>
    </w:p>
    <w:p w:rsidR="00000A46" w:rsidRPr="00063CFA" w:rsidRDefault="00000A46" w:rsidP="00000A46">
      <w:pPr>
        <w:pStyle w:val="EndNoteBibliography"/>
        <w:ind w:left="720" w:hanging="720"/>
      </w:pPr>
      <w:r w:rsidRPr="00063CFA">
        <w:t xml:space="preserve">Branch, W.T., Arky, R.A., Woo, B., Stoeckle, J.D., Levy, D.B., &amp; Taylor, W.C. (1991). Teaching medicine as a human experience: a patient-doctor relationship course for faculty and first-year medical students. </w:t>
      </w:r>
      <w:r w:rsidRPr="00063CFA">
        <w:rPr>
          <w:i/>
        </w:rPr>
        <w:t xml:space="preserve">Ann Intern Med, </w:t>
      </w:r>
      <w:r w:rsidRPr="00063CFA">
        <w:t>114, 482-489.</w:t>
      </w:r>
    </w:p>
    <w:p w:rsidR="00000A46" w:rsidRPr="00063CFA" w:rsidRDefault="00000A46" w:rsidP="00000A46">
      <w:pPr>
        <w:pStyle w:val="EndNoteBibliography"/>
        <w:ind w:left="720" w:hanging="720"/>
      </w:pPr>
      <w:r w:rsidRPr="00063CFA">
        <w:t xml:space="preserve">Chretien, K.C., Goldman, E.F., Craven, K.E., &amp; Faselis, C.J. (2010). A Qualitative Study of the Meaning of Physical Examination Teaching for Patients. </w:t>
      </w:r>
      <w:r w:rsidRPr="00063CFA">
        <w:rPr>
          <w:i/>
        </w:rPr>
        <w:t xml:space="preserve">Journal of General Internal Medicine, </w:t>
      </w:r>
      <w:r w:rsidRPr="00063CFA">
        <w:t>25, 786-791.</w:t>
      </w:r>
    </w:p>
    <w:p w:rsidR="00000A46" w:rsidRPr="00063CFA" w:rsidRDefault="00000A46" w:rsidP="00000A46">
      <w:pPr>
        <w:pStyle w:val="EndNoteBibliography"/>
        <w:ind w:left="720" w:hanging="720"/>
      </w:pPr>
      <w:r w:rsidRPr="00063CFA">
        <w:t xml:space="preserve">Cox, K. (1993). PLANNING BEDSIDE TEACHING .2. PREPARATION BEFORE ENTERING THE WARDS. </w:t>
      </w:r>
      <w:r w:rsidRPr="00063CFA">
        <w:rPr>
          <w:i/>
        </w:rPr>
        <w:t xml:space="preserve">Medical Journal of Australia, </w:t>
      </w:r>
      <w:r w:rsidRPr="00063CFA">
        <w:t>158, 355-357.</w:t>
      </w:r>
    </w:p>
    <w:p w:rsidR="00000A46" w:rsidRPr="00063CFA" w:rsidRDefault="00000A46" w:rsidP="00000A46">
      <w:pPr>
        <w:pStyle w:val="EndNoteBibliography"/>
        <w:ind w:left="720" w:hanging="720"/>
      </w:pPr>
      <w:r w:rsidRPr="00063CFA">
        <w:t xml:space="preserve">Fletcher, K.E., Furney, S.L., &amp; Stern, D.T. (2007). Patients speak: what's really important about bedside interactions with physician teams. </w:t>
      </w:r>
      <w:r w:rsidRPr="00063CFA">
        <w:rPr>
          <w:i/>
        </w:rPr>
        <w:t xml:space="preserve">Teaching &amp; Learning in Medicine, </w:t>
      </w:r>
      <w:r w:rsidRPr="00063CFA">
        <w:t>19, 120-127.</w:t>
      </w:r>
    </w:p>
    <w:p w:rsidR="00000A46" w:rsidRPr="00063CFA" w:rsidRDefault="00000A46" w:rsidP="00000A46">
      <w:pPr>
        <w:pStyle w:val="EndNoteBibliography"/>
        <w:ind w:left="720" w:hanging="720"/>
      </w:pPr>
      <w:r w:rsidRPr="00063CFA">
        <w:t xml:space="preserve">Fletcher, K.E., Rankey, D.S., &amp; Stern, D.T. (2005). Bedside interactions from the other side of the bedrail. </w:t>
      </w:r>
      <w:r w:rsidRPr="00063CFA">
        <w:rPr>
          <w:i/>
        </w:rPr>
        <w:t xml:space="preserve">Journal of General Internal Medicine, </w:t>
      </w:r>
      <w:r w:rsidRPr="00063CFA">
        <w:t>20, 58-61.</w:t>
      </w:r>
    </w:p>
    <w:p w:rsidR="00000A46" w:rsidRPr="00063CFA" w:rsidRDefault="00000A46" w:rsidP="00000A46">
      <w:pPr>
        <w:pStyle w:val="EndNoteBibliography"/>
        <w:ind w:left="720" w:hanging="720"/>
      </w:pPr>
      <w:r w:rsidRPr="00063CFA">
        <w:t xml:space="preserve">Janicik, R.W., &amp; Fletcher, K.E. (2003). Teaching at the bedside: a new model. </w:t>
      </w:r>
      <w:r w:rsidRPr="00063CFA">
        <w:rPr>
          <w:i/>
        </w:rPr>
        <w:t xml:space="preserve">Medical Teacher, </w:t>
      </w:r>
      <w:r w:rsidRPr="00063CFA">
        <w:t>25, 127-130.</w:t>
      </w:r>
    </w:p>
    <w:p w:rsidR="00000A46" w:rsidRPr="00063CFA" w:rsidRDefault="00000A46" w:rsidP="00000A46">
      <w:pPr>
        <w:pStyle w:val="EndNoteBibliography"/>
        <w:ind w:left="720" w:hanging="720"/>
      </w:pPr>
      <w:r w:rsidRPr="00063CFA">
        <w:t xml:space="preserve">Lehmann, L.S., Brancati, F.L., Chen, M.C., Roter, D., &amp; Dobs, A.S. (1997a). The effect of bedside case presentations on patients' perceptions of their medical care. </w:t>
      </w:r>
      <w:r w:rsidRPr="00063CFA">
        <w:rPr>
          <w:i/>
        </w:rPr>
        <w:t xml:space="preserve">New England Journal of Medicine, </w:t>
      </w:r>
      <w:r w:rsidRPr="00063CFA">
        <w:t>336, 1150-1155.</w:t>
      </w:r>
    </w:p>
    <w:p w:rsidR="00000A46" w:rsidRPr="00063CFA" w:rsidRDefault="00000A46" w:rsidP="00000A46">
      <w:pPr>
        <w:pStyle w:val="EndNoteBibliography"/>
        <w:ind w:left="720" w:hanging="720"/>
      </w:pPr>
      <w:r w:rsidRPr="00063CFA">
        <w:t xml:space="preserve">Lehmann, L.S., Brancati, F.L., &amp; Dobs, A.S. (1997b). Bedside Presentations and Patients' Perceptions of Their Medical Care. </w:t>
      </w:r>
      <w:r w:rsidRPr="00063CFA">
        <w:rPr>
          <w:i/>
        </w:rPr>
        <w:t xml:space="preserve">New England Journal of Medicine, </w:t>
      </w:r>
      <w:r w:rsidRPr="00063CFA">
        <w:t>337, 714-716.</w:t>
      </w:r>
    </w:p>
    <w:p w:rsidR="00000A46" w:rsidRPr="00063CFA" w:rsidRDefault="00000A46" w:rsidP="00000A46">
      <w:pPr>
        <w:pStyle w:val="EndNoteBibliography"/>
        <w:ind w:left="720" w:hanging="720"/>
      </w:pPr>
      <w:r w:rsidRPr="00063CFA">
        <w:t xml:space="preserve">Linfors, E.W., &amp; Neelon, F.A. (1980). Sounding Boards. The case of bedside rounds. </w:t>
      </w:r>
      <w:r w:rsidRPr="00063CFA">
        <w:rPr>
          <w:i/>
        </w:rPr>
        <w:t xml:space="preserve">New England Journal of Medicine, </w:t>
      </w:r>
      <w:r w:rsidRPr="00063CFA">
        <w:t>303, 1230-1233.</w:t>
      </w:r>
    </w:p>
    <w:p w:rsidR="00000A46" w:rsidRPr="00063CFA" w:rsidRDefault="00000A46" w:rsidP="00000A46">
      <w:pPr>
        <w:pStyle w:val="EndNoteBibliography"/>
        <w:ind w:left="720" w:hanging="720"/>
      </w:pPr>
      <w:r w:rsidRPr="00063CFA">
        <w:lastRenderedPageBreak/>
        <w:t xml:space="preserve">McLachlan, E., King, N., Wenger, E., &amp; Dornan, T. (2012). Phenomenological analysis of patient experiences of medical student teaching encounters. </w:t>
      </w:r>
      <w:r w:rsidRPr="00063CFA">
        <w:rPr>
          <w:i/>
        </w:rPr>
        <w:t xml:space="preserve">Medical Education, </w:t>
      </w:r>
      <w:r w:rsidRPr="00063CFA">
        <w:t>46, 963-973.</w:t>
      </w:r>
    </w:p>
    <w:p w:rsidR="00000A46" w:rsidRPr="00063CFA" w:rsidRDefault="00000A46" w:rsidP="00000A46">
      <w:pPr>
        <w:pStyle w:val="EndNoteBibliography"/>
        <w:ind w:left="720" w:hanging="720"/>
      </w:pPr>
      <w:r w:rsidRPr="00063CFA">
        <w:t xml:space="preserve">Monrouxe, L.V., Rees, C.E., &amp; Bradley, P. (2009). The Construction of Patients' Involvement in Hospital Bedside Teaching Encounters. </w:t>
      </w:r>
      <w:r w:rsidRPr="00063CFA">
        <w:rPr>
          <w:i/>
        </w:rPr>
        <w:t xml:space="preserve">Qualitative Health Research, </w:t>
      </w:r>
      <w:r w:rsidRPr="00063CFA">
        <w:t>19, 918-930.</w:t>
      </w:r>
    </w:p>
    <w:p w:rsidR="00000A46" w:rsidRPr="00063CFA" w:rsidRDefault="00000A46" w:rsidP="00000A46">
      <w:pPr>
        <w:pStyle w:val="EndNoteBibliography"/>
        <w:ind w:left="720" w:hanging="720"/>
      </w:pPr>
      <w:r w:rsidRPr="00063CFA">
        <w:t xml:space="preserve">Ramani, S. (2008). Twelve tips for excellent physical examination teaching. </w:t>
      </w:r>
      <w:r w:rsidRPr="00063CFA">
        <w:rPr>
          <w:i/>
        </w:rPr>
        <w:t xml:space="preserve">Medical Teacher, </w:t>
      </w:r>
      <w:r w:rsidRPr="00063CFA">
        <w:t>30, 851-856.</w:t>
      </w:r>
    </w:p>
    <w:p w:rsidR="00000A46" w:rsidRPr="00063CFA" w:rsidRDefault="00000A46" w:rsidP="00000A46">
      <w:pPr>
        <w:pStyle w:val="EndNoteBibliography"/>
        <w:ind w:left="720" w:hanging="720"/>
      </w:pPr>
      <w:r w:rsidRPr="00063CFA">
        <w:t xml:space="preserve">Ramani, S., Orlander, J.D., Strunin, L., &amp; Barber, T.W. (2003). Whither bedside teaching? A focus-group study of clinical teachers. </w:t>
      </w:r>
      <w:r w:rsidRPr="00063CFA">
        <w:rPr>
          <w:i/>
        </w:rPr>
        <w:t xml:space="preserve">Academic Medicine, </w:t>
      </w:r>
      <w:r w:rsidRPr="00063CFA">
        <w:t>78, 384-390.</w:t>
      </w:r>
    </w:p>
    <w:p w:rsidR="00000A46" w:rsidRPr="00063CFA" w:rsidRDefault="00000A46" w:rsidP="00000A46">
      <w:pPr>
        <w:pStyle w:val="EndNoteBibliography"/>
        <w:ind w:left="720" w:hanging="720"/>
      </w:pPr>
      <w:r w:rsidRPr="00063CFA">
        <w:t xml:space="preserve">Rees, C., Knight, L., &amp; Wilkinson, C. (2007). “User Involvement Is a Sine Qua Non, Almost, in Medical Education”: Learning with Rather than Just About Health and Social Care Service Users. </w:t>
      </w:r>
      <w:r w:rsidRPr="00063CFA">
        <w:rPr>
          <w:i/>
        </w:rPr>
        <w:t xml:space="preserve">Advances in Health Sciences Education, </w:t>
      </w:r>
      <w:r w:rsidRPr="00063CFA">
        <w:t>12, 359-390.</w:t>
      </w:r>
    </w:p>
    <w:p w:rsidR="00000A46" w:rsidRPr="00063CFA" w:rsidRDefault="00000A46" w:rsidP="00000A46">
      <w:pPr>
        <w:pStyle w:val="EndNoteBibliography"/>
        <w:ind w:left="720" w:hanging="720"/>
      </w:pPr>
      <w:r w:rsidRPr="00063CFA">
        <w:t xml:space="preserve">Spencer, J., Blackmore, D., Heard, S., McCrorie, P., McHaffie, D., Scherpbier, A., et al. (2000). Patient-oriented learning: a review of the role of the patient in the education of medical students. </w:t>
      </w:r>
      <w:r w:rsidRPr="00063CFA">
        <w:rPr>
          <w:i/>
        </w:rPr>
        <w:t xml:space="preserve">Medical Education, </w:t>
      </w:r>
      <w:r w:rsidRPr="00063CFA">
        <w:t>34, 851-857.</w:t>
      </w:r>
    </w:p>
    <w:p w:rsidR="00000A46" w:rsidRPr="00063CFA" w:rsidRDefault="00000A46" w:rsidP="00000A46">
      <w:pPr>
        <w:pStyle w:val="EndNoteBibliography"/>
        <w:ind w:left="720" w:hanging="720"/>
      </w:pPr>
      <w:r w:rsidRPr="00063CFA">
        <w:t>Spencer, J., Godolphin, W., Karpenko, N., &amp; Towle, A. (2011). Can patients be teachers? Involving patients and service users in healthcare professional's education. London: The Health Foundation.</w:t>
      </w:r>
    </w:p>
    <w:p w:rsidR="00000A46" w:rsidRPr="00063CFA" w:rsidRDefault="00000A46" w:rsidP="00000A46">
      <w:pPr>
        <w:pStyle w:val="EndNoteBibliography"/>
        <w:ind w:left="720" w:hanging="720"/>
      </w:pPr>
      <w:r w:rsidRPr="00063CFA">
        <w:t xml:space="preserve">Spencer, J., &amp; McKimm, J. (2010). Patient involvement in medical education. In T. Swanwick (Ed.), </w:t>
      </w:r>
      <w:r w:rsidRPr="00063CFA">
        <w:rPr>
          <w:i/>
        </w:rPr>
        <w:t>Understanding medical education: evidence, theory and practice</w:t>
      </w:r>
      <w:r w:rsidRPr="00063CFA">
        <w:t xml:space="preserve"> pp. 181-194). Chichester: Wiley-Blackwell.</w:t>
      </w:r>
    </w:p>
    <w:p w:rsidR="00000A46" w:rsidRPr="00063CFA" w:rsidRDefault="00000A46" w:rsidP="00000A46">
      <w:pPr>
        <w:pStyle w:val="EndNoteBibliography"/>
        <w:ind w:left="720" w:hanging="720"/>
      </w:pPr>
      <w:r w:rsidRPr="00063CFA">
        <w:t xml:space="preserve">Stacy, R., &amp; Spencer, J. (1999). Patients as teachers: a qualitative study of patients' views on their role in a community-based undergraduate project. </w:t>
      </w:r>
      <w:r w:rsidRPr="00063CFA">
        <w:rPr>
          <w:i/>
        </w:rPr>
        <w:t xml:space="preserve">Medical Education, </w:t>
      </w:r>
      <w:r w:rsidRPr="00063CFA">
        <w:t>33, 688-694.</w:t>
      </w:r>
    </w:p>
    <w:p w:rsidR="00000A46" w:rsidRPr="00063CFA" w:rsidRDefault="00000A46" w:rsidP="00000A46">
      <w:pPr>
        <w:pStyle w:val="EndNoteBibliography"/>
        <w:ind w:left="720" w:hanging="720"/>
      </w:pPr>
      <w:r w:rsidRPr="00063CFA">
        <w:t>Stark, P., Bax, N., Spencer, J., &amp; Hague, M. (2008). Involving patients as educators in undergraduate education.  (p. 6). University of Sheffield.</w:t>
      </w:r>
    </w:p>
    <w:p w:rsidR="00000A46" w:rsidRPr="00063CFA" w:rsidRDefault="00000A46" w:rsidP="00000A46">
      <w:pPr>
        <w:pStyle w:val="EndNoteBibliography"/>
        <w:ind w:left="720" w:hanging="720"/>
      </w:pPr>
      <w:r w:rsidRPr="00063CFA">
        <w:t xml:space="preserve">Towle, A., Bainbridge, L., Godolphin, W., Katz, A., Kline, C., Lown, B., et al. (2010). Active patient involvement in the education of health professionals. </w:t>
      </w:r>
      <w:r w:rsidRPr="00063CFA">
        <w:rPr>
          <w:i/>
        </w:rPr>
        <w:t xml:space="preserve">Medical Education, </w:t>
      </w:r>
      <w:r w:rsidRPr="00063CFA">
        <w:t>44, 64-74.</w:t>
      </w:r>
    </w:p>
    <w:p w:rsidR="00000A46" w:rsidRPr="00063CFA" w:rsidRDefault="00000A46" w:rsidP="00000A46">
      <w:pPr>
        <w:pStyle w:val="EndNoteBibliography"/>
        <w:ind w:left="720" w:hanging="720"/>
      </w:pPr>
      <w:r w:rsidRPr="00063CFA">
        <w:t xml:space="preserve">Wang-Cheng, R.M., Barnas, G.P., Sigmann, P., Riendl, P.A., &amp; Young, M.J. (1989). Bedside case presentations: why patients like them but learners don't. </w:t>
      </w:r>
      <w:r w:rsidRPr="00063CFA">
        <w:rPr>
          <w:i/>
        </w:rPr>
        <w:t xml:space="preserve">Journal of General Internal Medicine, </w:t>
      </w:r>
      <w:r w:rsidRPr="00063CFA">
        <w:t>4, 284-287.</w:t>
      </w:r>
    </w:p>
    <w:p w:rsidR="00000A46" w:rsidRPr="00063CFA" w:rsidRDefault="00000A46" w:rsidP="00000A46">
      <w:pPr>
        <w:pStyle w:val="EndNoteBibliography"/>
        <w:ind w:left="720" w:hanging="720"/>
      </w:pPr>
      <w:r w:rsidRPr="00063CFA">
        <w:t xml:space="preserve">Weissmann, P.F., Branch, W.T., Gracey, C.F., Haidet, P., &amp; Frankel, R.M. (2006). Role Modeling Humanistic Behavior: Learning Bedside Manner from the Experts. </w:t>
      </w:r>
      <w:r w:rsidRPr="00063CFA">
        <w:rPr>
          <w:i/>
        </w:rPr>
        <w:t xml:space="preserve">Academic Medicine, </w:t>
      </w:r>
      <w:r w:rsidRPr="00063CFA">
        <w:t>81, 661-667.</w:t>
      </w:r>
    </w:p>
    <w:p w:rsidR="00000A46" w:rsidRPr="00063CFA" w:rsidRDefault="00000A46" w:rsidP="00000A46">
      <w:pPr>
        <w:pStyle w:val="EndNoteBibliography"/>
        <w:ind w:left="720" w:hanging="720"/>
      </w:pPr>
      <w:r w:rsidRPr="00063CFA">
        <w:t xml:space="preserve">Wykurz, G. (1999). Patients in medical education: from passive participants to active partners. </w:t>
      </w:r>
      <w:r w:rsidRPr="00063CFA">
        <w:rPr>
          <w:i/>
        </w:rPr>
        <w:t xml:space="preserve">Medical Education, </w:t>
      </w:r>
      <w:r w:rsidRPr="00063CFA">
        <w:t>33, 634-636.</w:t>
      </w:r>
    </w:p>
    <w:p w:rsidR="00000A46" w:rsidRPr="00063CFA" w:rsidRDefault="00000A46" w:rsidP="00000A46">
      <w:pPr>
        <w:pStyle w:val="EndNoteBibliography"/>
        <w:ind w:left="720" w:hanging="720"/>
      </w:pPr>
      <w:r w:rsidRPr="00063CFA">
        <w:t xml:space="preserve">Wykurz, G., &amp; Kelly, D. (2002). Developing the role of patients as teachers: literature review. </w:t>
      </w:r>
      <w:r w:rsidRPr="00063CFA">
        <w:rPr>
          <w:i/>
        </w:rPr>
        <w:t xml:space="preserve">BMJ, </w:t>
      </w:r>
      <w:r w:rsidRPr="00063CFA">
        <w:t>325, 818-821.</w:t>
      </w:r>
    </w:p>
    <w:p w:rsidR="00000A46" w:rsidRDefault="00000A46" w:rsidP="00000A46">
      <w:pPr>
        <w:spacing w:line="480" w:lineRule="auto"/>
      </w:pPr>
    </w:p>
    <w:p w:rsidR="00B02A30" w:rsidRDefault="00B02A30"/>
    <w:sectPr w:rsidR="00B02A30" w:rsidSect="00B02A3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000A46"/>
    <w:rsid w:val="00000A46"/>
    <w:rsid w:val="008A1BFF"/>
    <w:rsid w:val="00B02A30"/>
    <w:rsid w:val="00F4242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A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00A46"/>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IntenseReference">
    <w:name w:val="Intense Reference"/>
    <w:basedOn w:val="DefaultParagraphFont"/>
    <w:uiPriority w:val="32"/>
    <w:qFormat/>
    <w:rsid w:val="00000A46"/>
    <w:rPr>
      <w:b/>
      <w:bCs/>
      <w:smallCaps/>
      <w:color w:val="auto"/>
      <w:spacing w:val="5"/>
      <w:u w:val="single"/>
    </w:rPr>
  </w:style>
  <w:style w:type="paragraph" w:customStyle="1" w:styleId="EndNoteBibliography">
    <w:name w:val="EndNote Bibliography"/>
    <w:basedOn w:val="Normal"/>
    <w:link w:val="EndNoteBibliographyChar"/>
    <w:rsid w:val="00000A46"/>
    <w:pPr>
      <w:spacing w:after="0" w:line="240" w:lineRule="auto"/>
    </w:pPr>
    <w:rPr>
      <w:rFonts w:ascii="Cambria" w:eastAsiaTheme="minorEastAsia" w:hAnsi="Cambria"/>
      <w:noProof/>
      <w:sz w:val="24"/>
      <w:szCs w:val="24"/>
      <w:lang w:val="en-US"/>
    </w:rPr>
  </w:style>
  <w:style w:type="character" w:customStyle="1" w:styleId="EndNoteBibliographyChar">
    <w:name w:val="EndNote Bibliography Char"/>
    <w:basedOn w:val="DefaultParagraphFont"/>
    <w:link w:val="EndNoteBibliography"/>
    <w:rsid w:val="00000A46"/>
    <w:rPr>
      <w:rFonts w:ascii="Cambria" w:eastAsiaTheme="minorEastAsia" w:hAnsi="Cambria"/>
      <w:noProof/>
      <w:sz w:val="24"/>
      <w:szCs w:val="24"/>
      <w:lang w:val="en-U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1125</Words>
  <Characters>6419</Characters>
  <Application>Microsoft Office Word</Application>
  <DocSecurity>0</DocSecurity>
  <Lines>53</Lines>
  <Paragraphs>15</Paragraphs>
  <ScaleCrop>false</ScaleCrop>
  <Company>Microsoft</Company>
  <LinksUpToDate>false</LinksUpToDate>
  <CharactersWithSpaces>7529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0010767</dc:creator>
  <cp:lastModifiedBy>0010767</cp:lastModifiedBy>
  <cp:revision>1</cp:revision>
  <dcterms:created xsi:type="dcterms:W3CDTF">2016-05-24T05:09:00Z</dcterms:created>
  <dcterms:modified xsi:type="dcterms:W3CDTF">2016-05-24T05:10:00Z</dcterms:modified>
</cp:coreProperties>
</file>