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01E64" w14:textId="299CA204" w:rsidR="008B62EA" w:rsidRDefault="00AF1A57" w:rsidP="00D3170B">
      <w:pPr>
        <w:pStyle w:val="Heading1"/>
      </w:pPr>
      <w:r>
        <w:t>Interview T</w:t>
      </w:r>
      <w:r w:rsidR="007D50C2">
        <w:t xml:space="preserve">opic Guide </w:t>
      </w:r>
    </w:p>
    <w:p w14:paraId="15B648F6" w14:textId="77777777" w:rsidR="00D3170B" w:rsidRPr="00D3170B" w:rsidRDefault="00D3170B" w:rsidP="00D3170B"/>
    <w:tbl>
      <w:tblPr>
        <w:tblStyle w:val="TableGrid"/>
        <w:tblW w:w="0" w:type="auto"/>
        <w:tblLook w:val="04A0" w:firstRow="1" w:lastRow="0" w:firstColumn="1" w:lastColumn="0" w:noHBand="0" w:noVBand="1"/>
      </w:tblPr>
      <w:tblGrid>
        <w:gridCol w:w="1724"/>
        <w:gridCol w:w="7598"/>
      </w:tblGrid>
      <w:tr w:rsidR="00B37255" w14:paraId="57ACFB13" w14:textId="77777777" w:rsidTr="003A4B7C">
        <w:tc>
          <w:tcPr>
            <w:tcW w:w="1724" w:type="dxa"/>
          </w:tcPr>
          <w:p w14:paraId="6D8C4125" w14:textId="77777777" w:rsidR="00B37255" w:rsidRPr="00AF1A57" w:rsidRDefault="00B37255" w:rsidP="007D50C2">
            <w:pPr>
              <w:rPr>
                <w:b/>
                <w:bCs/>
              </w:rPr>
            </w:pPr>
            <w:r w:rsidRPr="00AF1A57">
              <w:rPr>
                <w:b/>
                <w:bCs/>
              </w:rPr>
              <w:t>Topic</w:t>
            </w:r>
          </w:p>
        </w:tc>
        <w:tc>
          <w:tcPr>
            <w:tcW w:w="7598" w:type="dxa"/>
          </w:tcPr>
          <w:p w14:paraId="3FA5D36E" w14:textId="77777777" w:rsidR="00B37255" w:rsidRPr="00AF1A57" w:rsidRDefault="00B37255" w:rsidP="007D50C2">
            <w:pPr>
              <w:rPr>
                <w:b/>
                <w:bCs/>
              </w:rPr>
            </w:pPr>
            <w:r w:rsidRPr="00AF1A57">
              <w:rPr>
                <w:b/>
                <w:bCs/>
              </w:rPr>
              <w:t xml:space="preserve">Justification </w:t>
            </w:r>
          </w:p>
        </w:tc>
      </w:tr>
      <w:tr w:rsidR="00B37255" w14:paraId="714E87F0" w14:textId="77777777" w:rsidTr="003A4B7C">
        <w:tc>
          <w:tcPr>
            <w:tcW w:w="1724" w:type="dxa"/>
          </w:tcPr>
          <w:p w14:paraId="2228F91F" w14:textId="77777777" w:rsidR="00B37255" w:rsidRDefault="00B37255" w:rsidP="007D50C2">
            <w:r>
              <w:t xml:space="preserve">Diagnosis </w:t>
            </w:r>
          </w:p>
        </w:tc>
        <w:tc>
          <w:tcPr>
            <w:tcW w:w="7598" w:type="dxa"/>
          </w:tcPr>
          <w:p w14:paraId="6DF1D392" w14:textId="3845C45F" w:rsidR="00B37255" w:rsidRDefault="00B37255" w:rsidP="00B37255">
            <w:r>
              <w:t xml:space="preserve">People may have had different experiences based on when they were diagnosed with their condition. If they were diagnosed because they were struggling they may have a more negative view of their condition than someone who was picked up on </w:t>
            </w:r>
            <w:r w:rsidRPr="00B37255">
              <w:t xml:space="preserve">screening. Rowlands </w:t>
            </w:r>
            <w:r>
              <w:t>et al. found that depending on how an individual ‘framed’ their condition</w:t>
            </w:r>
            <w:r w:rsidR="003A4B7C">
              <w:t xml:space="preserve"> they had different views of their condition</w:t>
            </w:r>
            <w:r>
              <w:t>.</w:t>
            </w:r>
            <w:r>
              <w:fldChar w:fldCharType="begin"/>
            </w:r>
            <w:r>
              <w:instrText xml:space="preserve"> ADDIN EN.CITE &lt;EndNote&gt;&lt;Cite&gt;&lt;Author&gt;Rowlands&lt;/Author&gt;&lt;Year&gt;2013&lt;/Year&gt;&lt;IDText&gt;Medical students’ perceptions and understanding of their specific learning difficulties&lt;/IDText&gt;&lt;DisplayText&gt;&lt;style face="superscript"&gt;1&lt;/style&gt;&lt;/DisplayText&gt;&lt;record&gt;&lt;urls&gt;&lt;related-urls&gt;&lt;url&gt;http://dx.doi.org/10.5116/ijme.524f.cd3f&lt;/url&gt;&lt;/related-urls&gt;&lt;/urls&gt;&lt;isbn&gt;2042-6372 (Electronic)&lt;/isbn&gt;&lt;titles&gt;&lt;title&gt;Medical students’ perceptions and understanding of their specific learning difficulties&lt;/title&gt;&lt;secondary-title&gt;Int J Med Educ&lt;/secondary-title&gt;&lt;/titles&gt;&lt;pages&gt;200-6&lt;/pages&gt;&lt;contributors&gt;&lt;authors&gt;&lt;author&gt;Rowlands, A.&lt;/author&gt;&lt;author&gt;Abbott, S.&lt;/author&gt;&lt;author&gt;Bevere, G.&lt;/author&gt;&lt;author&gt;Roberts, C. M.&lt;/author&gt;&lt;/authors&gt;&lt;/contributors&gt;&lt;language&gt;eng&lt;/language&gt;&lt;added-date format="utc"&gt;1478428093&lt;/added-date&gt;&lt;ref-type name="Book Section"&gt;5&lt;/ref-type&gt;&lt;auth-address&gt;Barts and the London School of Medicine and Dentistry, Queen Mary University of London, UKSchool of Health Sciences, City University, London, UKDyslexia and Disability Department, Queen Mary University of London, UK&lt;/auth-address&gt;&lt;dates&gt;&lt;year&gt;2013&lt;/year&gt;&lt;/dates&gt;&lt;rec-number&gt;42&lt;/rec-number&gt;&lt;last-updated-date format="utc"&gt;1478428093&lt;/last-updated-date&gt;&lt;electronic-resource-num&gt;10.5116/ijme.524f.cd3f&lt;/electronic-resource-num&gt;&lt;volume&gt;4&lt;/volume&gt;&lt;/record&gt;&lt;/Cite&gt;&lt;/EndNote&gt;</w:instrText>
            </w:r>
            <w:r>
              <w:fldChar w:fldCharType="separate"/>
            </w:r>
            <w:r w:rsidRPr="00D47083">
              <w:rPr>
                <w:noProof/>
                <w:vertAlign w:val="superscript"/>
              </w:rPr>
              <w:t>1</w:t>
            </w:r>
            <w:r>
              <w:fldChar w:fldCharType="end"/>
            </w:r>
            <w:r>
              <w:t xml:space="preserve">  </w:t>
            </w:r>
          </w:p>
        </w:tc>
      </w:tr>
      <w:tr w:rsidR="00B37255" w14:paraId="1DDC2464" w14:textId="77777777" w:rsidTr="003A4B7C">
        <w:tc>
          <w:tcPr>
            <w:tcW w:w="1724" w:type="dxa"/>
          </w:tcPr>
          <w:p w14:paraId="6CC204C9" w14:textId="77777777" w:rsidR="00B37255" w:rsidRDefault="00B37255" w:rsidP="007D50C2">
            <w:r>
              <w:t>Life before Medical School</w:t>
            </w:r>
          </w:p>
        </w:tc>
        <w:tc>
          <w:tcPr>
            <w:tcW w:w="7598" w:type="dxa"/>
          </w:tcPr>
          <w:p w14:paraId="7B585DD5" w14:textId="678B4A0D" w:rsidR="00B37255" w:rsidRDefault="00B37255" w:rsidP="007D50C2">
            <w:r>
              <w:t>Students with severe dyspraxia are</w:t>
            </w:r>
            <w:r w:rsidR="003A4B7C">
              <w:t xml:space="preserve"> more</w:t>
            </w:r>
            <w:r>
              <w:t xml:space="preserve"> likely to have had interventions before they came to medical school. Some doctors with a diagnosis before medical school may have had doubts about whether they could undertake a medical degree. </w:t>
            </w:r>
          </w:p>
          <w:p w14:paraId="0814B7CF" w14:textId="61456A6B" w:rsidR="00B37255" w:rsidRDefault="00B37255" w:rsidP="003A4B7C">
            <w:r>
              <w:t>If they had struggled before medical school then they might be used to having to work hard, but others who started to</w:t>
            </w:r>
            <w:r w:rsidR="003A4B7C">
              <w:t xml:space="preserve"> struggle whilst at university</w:t>
            </w:r>
            <w:r>
              <w:t xml:space="preserve"> may have had more trouble adapting.</w:t>
            </w:r>
          </w:p>
        </w:tc>
      </w:tr>
      <w:tr w:rsidR="00B37255" w14:paraId="55D97AA9" w14:textId="77777777" w:rsidTr="003A4B7C">
        <w:tc>
          <w:tcPr>
            <w:tcW w:w="1724" w:type="dxa"/>
          </w:tcPr>
          <w:p w14:paraId="216CDFE7" w14:textId="193FF0F7" w:rsidR="00B37255" w:rsidRDefault="00B37255" w:rsidP="007D50C2">
            <w:r>
              <w:t xml:space="preserve">Experiences at Medical School </w:t>
            </w:r>
          </w:p>
        </w:tc>
        <w:tc>
          <w:tcPr>
            <w:tcW w:w="7598" w:type="dxa"/>
          </w:tcPr>
          <w:p w14:paraId="06A07C9E" w14:textId="1FA6DD28" w:rsidR="00B37255" w:rsidRDefault="00B37255" w:rsidP="007D50C2">
            <w:r>
              <w:t xml:space="preserve">The experience at medical school will be the main focus. This will be where they are developing their new skills and therefore </w:t>
            </w:r>
            <w:r w:rsidR="000F74A8">
              <w:t xml:space="preserve">dyspraxic students </w:t>
            </w:r>
            <w:r>
              <w:t xml:space="preserve">may find it harder to learn new practical skills. </w:t>
            </w:r>
          </w:p>
        </w:tc>
      </w:tr>
      <w:tr w:rsidR="00B37255" w14:paraId="013F1D79" w14:textId="77777777" w:rsidTr="003A4B7C">
        <w:tc>
          <w:tcPr>
            <w:tcW w:w="1724" w:type="dxa"/>
          </w:tcPr>
          <w:p w14:paraId="13438741" w14:textId="207839EB" w:rsidR="00B37255" w:rsidRDefault="00B37255" w:rsidP="007D50C2">
            <w:r>
              <w:t xml:space="preserve">Current Job </w:t>
            </w:r>
          </w:p>
        </w:tc>
        <w:tc>
          <w:tcPr>
            <w:tcW w:w="7598" w:type="dxa"/>
          </w:tcPr>
          <w:p w14:paraId="7BF50148" w14:textId="77777777" w:rsidR="00B37255" w:rsidRDefault="00B37255" w:rsidP="007D50C2">
            <w:r>
              <w:t xml:space="preserve">See above </w:t>
            </w:r>
          </w:p>
        </w:tc>
      </w:tr>
      <w:tr w:rsidR="00B37255" w14:paraId="61516462" w14:textId="77777777" w:rsidTr="003A4B7C">
        <w:tc>
          <w:tcPr>
            <w:tcW w:w="1724" w:type="dxa"/>
          </w:tcPr>
          <w:p w14:paraId="6D5A573D" w14:textId="77777777" w:rsidR="00B37255" w:rsidRDefault="00B37255" w:rsidP="007D50C2">
            <w:r>
              <w:t xml:space="preserve">Coping Strategies </w:t>
            </w:r>
          </w:p>
        </w:tc>
        <w:tc>
          <w:tcPr>
            <w:tcW w:w="7598" w:type="dxa"/>
          </w:tcPr>
          <w:p w14:paraId="2EE9FB10" w14:textId="77777777" w:rsidR="00B37255" w:rsidRDefault="00B37255" w:rsidP="007D50C2">
            <w:r>
              <w:t xml:space="preserve">If they are finding certain skills </w:t>
            </w:r>
            <w:proofErr w:type="gramStart"/>
            <w:r>
              <w:t>harder</w:t>
            </w:r>
            <w:proofErr w:type="gramEnd"/>
            <w:r>
              <w:t xml:space="preserve"> then they will begin to start to develop coping strategies to help make these skills easier to do. These coping strategies may vary from person to person and will also depend on what the particular problem that they are trying to encounter is.</w:t>
            </w:r>
          </w:p>
        </w:tc>
      </w:tr>
      <w:tr w:rsidR="00B37255" w14:paraId="1BA1947D" w14:textId="77777777" w:rsidTr="003A4B7C">
        <w:tc>
          <w:tcPr>
            <w:tcW w:w="1724" w:type="dxa"/>
          </w:tcPr>
          <w:p w14:paraId="0A850010" w14:textId="77777777" w:rsidR="00B37255" w:rsidRDefault="00B37255" w:rsidP="007D50C2">
            <w:r>
              <w:t>Support</w:t>
            </w:r>
          </w:p>
        </w:tc>
        <w:tc>
          <w:tcPr>
            <w:tcW w:w="7598" w:type="dxa"/>
          </w:tcPr>
          <w:p w14:paraId="1F04F116" w14:textId="4F74E3ED" w:rsidR="00B37255" w:rsidRDefault="00B37255" w:rsidP="007D50C2">
            <w:r>
              <w:t>This is interesting as many people with dyslexia get given support and not all of them use that support</w:t>
            </w:r>
            <w:r w:rsidR="000F74A8">
              <w:t xml:space="preserve"> to the best of its use</w:t>
            </w:r>
            <w:r>
              <w:t xml:space="preserve">. It would be interesting to see what support is currently being given to </w:t>
            </w:r>
            <w:proofErr w:type="spellStart"/>
            <w:r>
              <w:t>dyspraxic</w:t>
            </w:r>
            <w:proofErr w:type="spellEnd"/>
            <w:r>
              <w:t xml:space="preserve"> </w:t>
            </w:r>
            <w:r w:rsidR="00F77398">
              <w:t>doctors,</w:t>
            </w:r>
            <w:r>
              <w:t xml:space="preserve"> and</w:t>
            </w:r>
            <w:r w:rsidR="00F77398">
              <w:t xml:space="preserve"> what</w:t>
            </w:r>
            <w:r>
              <w:t xml:space="preserve"> support they find useful.</w:t>
            </w:r>
          </w:p>
        </w:tc>
      </w:tr>
      <w:tr w:rsidR="00B37255" w14:paraId="7EF64925" w14:textId="77777777" w:rsidTr="003A4B7C">
        <w:tc>
          <w:tcPr>
            <w:tcW w:w="1724" w:type="dxa"/>
          </w:tcPr>
          <w:p w14:paraId="20CA3B6E" w14:textId="77777777" w:rsidR="00B37255" w:rsidRDefault="00B37255" w:rsidP="007D50C2">
            <w:r>
              <w:t>Disclosure</w:t>
            </w:r>
          </w:p>
        </w:tc>
        <w:tc>
          <w:tcPr>
            <w:tcW w:w="7598" w:type="dxa"/>
          </w:tcPr>
          <w:p w14:paraId="5DE03FA3" w14:textId="22ADA102" w:rsidR="005741B4" w:rsidRDefault="00CA2441" w:rsidP="00CA2441">
            <w:r>
              <w:t xml:space="preserve">On speaking to leading </w:t>
            </w:r>
            <w:r w:rsidR="00B40835">
              <w:t>m</w:t>
            </w:r>
            <w:r>
              <w:t>e</w:t>
            </w:r>
            <w:r w:rsidR="00B37255">
              <w:t>mbers of 2 Foundation Schools</w:t>
            </w:r>
            <w:r w:rsidR="00B40835">
              <w:t>,</w:t>
            </w:r>
            <w:r w:rsidR="00B37255">
              <w:t xml:space="preserve"> both have said that they </w:t>
            </w:r>
            <w:r w:rsidR="00C704BA">
              <w:t>do not</w:t>
            </w:r>
            <w:r w:rsidR="00B37255">
              <w:t xml:space="preserve"> get many people with dyspraxia in their Foundation Schools. </w:t>
            </w:r>
            <w:r w:rsidR="005741B4">
              <w:t>We wonder if this may reflect an issue with disclosure.</w:t>
            </w:r>
            <w:bookmarkStart w:id="0" w:name="_GoBack"/>
            <w:bookmarkEnd w:id="0"/>
          </w:p>
        </w:tc>
      </w:tr>
      <w:tr w:rsidR="00B37255" w14:paraId="17FBD227" w14:textId="77777777" w:rsidTr="003A4B7C">
        <w:tc>
          <w:tcPr>
            <w:tcW w:w="1724" w:type="dxa"/>
          </w:tcPr>
          <w:p w14:paraId="49611716" w14:textId="77777777" w:rsidR="00B37255" w:rsidRDefault="00B37255" w:rsidP="007D50C2">
            <w:r>
              <w:t>Career</w:t>
            </w:r>
          </w:p>
        </w:tc>
        <w:tc>
          <w:tcPr>
            <w:tcW w:w="7598" w:type="dxa"/>
          </w:tcPr>
          <w:p w14:paraId="4C19E1E4" w14:textId="66DD01FA" w:rsidR="00B37255" w:rsidRDefault="00B37255" w:rsidP="00E403EA">
            <w:r>
              <w:t xml:space="preserve">I.e. </w:t>
            </w:r>
            <w:r w:rsidR="002432A3">
              <w:t xml:space="preserve">may </w:t>
            </w:r>
            <w:proofErr w:type="spellStart"/>
            <w:r>
              <w:t>dyspraxic</w:t>
            </w:r>
            <w:proofErr w:type="spellEnd"/>
            <w:r>
              <w:t xml:space="preserve"> doctors choose to avoid surgery</w:t>
            </w:r>
            <w:r w:rsidR="002432A3">
              <w:t>?</w:t>
            </w:r>
          </w:p>
        </w:tc>
      </w:tr>
      <w:tr w:rsidR="000F74A8" w14:paraId="5B732957" w14:textId="77777777" w:rsidTr="003A4B7C">
        <w:tc>
          <w:tcPr>
            <w:tcW w:w="1724" w:type="dxa"/>
          </w:tcPr>
          <w:p w14:paraId="4191E158" w14:textId="331E41EC" w:rsidR="000F74A8" w:rsidRDefault="000F74A8" w:rsidP="007D50C2">
            <w:r w:rsidRPr="000F74A8">
              <w:t>If they have both dyslexia and dyspraxia: “Which affects you more?”</w:t>
            </w:r>
          </w:p>
        </w:tc>
        <w:tc>
          <w:tcPr>
            <w:tcW w:w="7598" w:type="dxa"/>
          </w:tcPr>
          <w:p w14:paraId="147EB1AE" w14:textId="336F5ED4" w:rsidR="000F74A8" w:rsidRDefault="00D3170B" w:rsidP="00E403EA">
            <w:r>
              <w:t xml:space="preserve">This would be for just </w:t>
            </w:r>
            <w:r w:rsidR="002432A3">
              <w:t xml:space="preserve">participants </w:t>
            </w:r>
            <w:r>
              <w:t xml:space="preserve">with both conditions. It may be that </w:t>
            </w:r>
            <w:r w:rsidR="002432A3">
              <w:t xml:space="preserve">they feel that </w:t>
            </w:r>
            <w:r>
              <w:t xml:space="preserve">the conditions affect them more at different times i.e. lectures dyslexia is worse and dyspraxia is worse when on the wards. </w:t>
            </w:r>
          </w:p>
        </w:tc>
      </w:tr>
    </w:tbl>
    <w:p w14:paraId="32B9F258" w14:textId="77777777" w:rsidR="007D50C2" w:rsidRDefault="007D50C2" w:rsidP="007D50C2"/>
    <w:p w14:paraId="2292DB15" w14:textId="77777777" w:rsidR="008315E6" w:rsidRDefault="008B177C" w:rsidP="007D50C2">
      <w:pPr>
        <w:rPr>
          <w:b/>
        </w:rPr>
      </w:pPr>
      <w:r>
        <w:rPr>
          <w:b/>
        </w:rPr>
        <w:t xml:space="preserve">Topics: </w:t>
      </w:r>
    </w:p>
    <w:p w14:paraId="76EB888C" w14:textId="77777777" w:rsidR="008B177C" w:rsidRDefault="008B177C" w:rsidP="008B177C">
      <w:pPr>
        <w:pStyle w:val="ListParagraph"/>
        <w:numPr>
          <w:ilvl w:val="0"/>
          <w:numId w:val="2"/>
        </w:numPr>
        <w:rPr>
          <w:b/>
        </w:rPr>
      </w:pPr>
      <w:r>
        <w:rPr>
          <w:b/>
        </w:rPr>
        <w:t xml:space="preserve">Diagnosis </w:t>
      </w:r>
    </w:p>
    <w:p w14:paraId="44E24D7B" w14:textId="77777777" w:rsidR="008B177C" w:rsidRDefault="008B177C" w:rsidP="008B177C">
      <w:pPr>
        <w:pStyle w:val="ListParagraph"/>
        <w:numPr>
          <w:ilvl w:val="0"/>
          <w:numId w:val="2"/>
        </w:numPr>
        <w:rPr>
          <w:b/>
        </w:rPr>
      </w:pPr>
      <w:r>
        <w:rPr>
          <w:b/>
        </w:rPr>
        <w:t xml:space="preserve">Pre-Medical School </w:t>
      </w:r>
    </w:p>
    <w:p w14:paraId="38C353CE" w14:textId="77777777" w:rsidR="008B177C" w:rsidRDefault="008B177C" w:rsidP="008B177C">
      <w:pPr>
        <w:pStyle w:val="ListParagraph"/>
        <w:numPr>
          <w:ilvl w:val="0"/>
          <w:numId w:val="2"/>
        </w:numPr>
        <w:rPr>
          <w:b/>
        </w:rPr>
      </w:pPr>
      <w:r>
        <w:rPr>
          <w:b/>
        </w:rPr>
        <w:t>Medical School</w:t>
      </w:r>
    </w:p>
    <w:p w14:paraId="3872E3CC" w14:textId="77777777" w:rsidR="008B177C" w:rsidRDefault="008B177C" w:rsidP="008B177C">
      <w:pPr>
        <w:pStyle w:val="ListParagraph"/>
        <w:numPr>
          <w:ilvl w:val="1"/>
          <w:numId w:val="2"/>
        </w:numPr>
        <w:rPr>
          <w:b/>
        </w:rPr>
      </w:pPr>
      <w:r>
        <w:rPr>
          <w:b/>
        </w:rPr>
        <w:t xml:space="preserve">Placement </w:t>
      </w:r>
    </w:p>
    <w:p w14:paraId="2A99DA69" w14:textId="77777777" w:rsidR="00D763E1" w:rsidRPr="00D763E1" w:rsidRDefault="008B177C" w:rsidP="00D763E1">
      <w:pPr>
        <w:pStyle w:val="ListParagraph"/>
        <w:numPr>
          <w:ilvl w:val="0"/>
          <w:numId w:val="2"/>
        </w:numPr>
        <w:rPr>
          <w:b/>
        </w:rPr>
      </w:pPr>
      <w:r>
        <w:rPr>
          <w:b/>
        </w:rPr>
        <w:t xml:space="preserve">Employment </w:t>
      </w:r>
    </w:p>
    <w:p w14:paraId="6B5CA4B1" w14:textId="77777777" w:rsidR="008B177C" w:rsidRDefault="008B177C" w:rsidP="008B177C">
      <w:pPr>
        <w:pStyle w:val="ListParagraph"/>
        <w:numPr>
          <w:ilvl w:val="0"/>
          <w:numId w:val="2"/>
        </w:numPr>
        <w:rPr>
          <w:b/>
        </w:rPr>
      </w:pPr>
      <w:r>
        <w:rPr>
          <w:b/>
        </w:rPr>
        <w:t xml:space="preserve">Coping Strategies </w:t>
      </w:r>
    </w:p>
    <w:p w14:paraId="5C26FD21" w14:textId="77777777" w:rsidR="008B177C" w:rsidRDefault="008B177C" w:rsidP="008B177C">
      <w:pPr>
        <w:pStyle w:val="ListParagraph"/>
        <w:numPr>
          <w:ilvl w:val="0"/>
          <w:numId w:val="2"/>
        </w:numPr>
        <w:rPr>
          <w:b/>
        </w:rPr>
      </w:pPr>
      <w:r>
        <w:rPr>
          <w:b/>
        </w:rPr>
        <w:t xml:space="preserve">Support </w:t>
      </w:r>
    </w:p>
    <w:p w14:paraId="5EC9CB4E" w14:textId="77777777" w:rsidR="008B177C" w:rsidRDefault="008B177C" w:rsidP="008B177C">
      <w:pPr>
        <w:pStyle w:val="ListParagraph"/>
        <w:numPr>
          <w:ilvl w:val="0"/>
          <w:numId w:val="2"/>
        </w:numPr>
        <w:rPr>
          <w:b/>
        </w:rPr>
      </w:pPr>
      <w:r>
        <w:rPr>
          <w:b/>
        </w:rPr>
        <w:t xml:space="preserve">Disclosure </w:t>
      </w:r>
    </w:p>
    <w:p w14:paraId="7E8953E3" w14:textId="77777777" w:rsidR="008B177C" w:rsidRDefault="008B177C" w:rsidP="008B177C">
      <w:pPr>
        <w:pStyle w:val="ListParagraph"/>
        <w:numPr>
          <w:ilvl w:val="0"/>
          <w:numId w:val="2"/>
        </w:numPr>
        <w:rPr>
          <w:b/>
        </w:rPr>
      </w:pPr>
      <w:r>
        <w:rPr>
          <w:b/>
        </w:rPr>
        <w:t>Career Choice</w:t>
      </w:r>
    </w:p>
    <w:p w14:paraId="75642286" w14:textId="254ABFC5" w:rsidR="00D763E1" w:rsidRDefault="00D763E1" w:rsidP="008B177C">
      <w:pPr>
        <w:pStyle w:val="ListParagraph"/>
        <w:numPr>
          <w:ilvl w:val="0"/>
          <w:numId w:val="2"/>
        </w:numPr>
        <w:rPr>
          <w:b/>
        </w:rPr>
      </w:pPr>
      <w:r>
        <w:rPr>
          <w:b/>
        </w:rPr>
        <w:t>(If they have both</w:t>
      </w:r>
      <w:r w:rsidR="00D249F7">
        <w:rPr>
          <w:b/>
        </w:rPr>
        <w:t xml:space="preserve"> dyslexia and dyspraxia</w:t>
      </w:r>
      <w:r>
        <w:rPr>
          <w:b/>
        </w:rPr>
        <w:t xml:space="preserve">: </w:t>
      </w:r>
      <w:r w:rsidR="00D249F7">
        <w:rPr>
          <w:b/>
        </w:rPr>
        <w:t>“W</w:t>
      </w:r>
      <w:r>
        <w:rPr>
          <w:b/>
        </w:rPr>
        <w:t xml:space="preserve">hich </w:t>
      </w:r>
      <w:r w:rsidR="00D249F7">
        <w:rPr>
          <w:b/>
        </w:rPr>
        <w:t>affects</w:t>
      </w:r>
      <w:r>
        <w:rPr>
          <w:b/>
        </w:rPr>
        <w:t xml:space="preserve"> </w:t>
      </w:r>
      <w:r w:rsidR="00D249F7">
        <w:rPr>
          <w:b/>
        </w:rPr>
        <w:t xml:space="preserve">you </w:t>
      </w:r>
      <w:r>
        <w:rPr>
          <w:b/>
        </w:rPr>
        <w:t>more?</w:t>
      </w:r>
      <w:r w:rsidR="00D249F7">
        <w:rPr>
          <w:b/>
        </w:rPr>
        <w:t>”</w:t>
      </w:r>
      <w:r>
        <w:rPr>
          <w:b/>
        </w:rPr>
        <w:t>)</w:t>
      </w:r>
      <w:r w:rsidR="00D249F7">
        <w:rPr>
          <w:b/>
        </w:rPr>
        <w:t xml:space="preserve"> </w:t>
      </w:r>
    </w:p>
    <w:p w14:paraId="6335D832" w14:textId="77777777" w:rsidR="00D47083" w:rsidRDefault="00D47083" w:rsidP="008B177C">
      <w:pPr>
        <w:rPr>
          <w:b/>
        </w:rPr>
      </w:pPr>
    </w:p>
    <w:p w14:paraId="444267E8" w14:textId="77777777" w:rsidR="00D47083" w:rsidRDefault="00D47083" w:rsidP="008B177C">
      <w:pPr>
        <w:rPr>
          <w:b/>
        </w:rPr>
      </w:pPr>
    </w:p>
    <w:p w14:paraId="7A19B416" w14:textId="77777777" w:rsidR="00D47083" w:rsidRPr="00D47083" w:rsidRDefault="00D47083" w:rsidP="00D47083">
      <w:pPr>
        <w:pStyle w:val="EndNoteBibliography"/>
        <w:rPr>
          <w:noProof/>
        </w:rPr>
      </w:pPr>
      <w:r>
        <w:rPr>
          <w:b/>
        </w:rPr>
        <w:fldChar w:fldCharType="begin"/>
      </w:r>
      <w:r>
        <w:rPr>
          <w:b/>
        </w:rPr>
        <w:instrText xml:space="preserve"> ADDIN EN.REFLIST </w:instrText>
      </w:r>
      <w:r>
        <w:rPr>
          <w:b/>
        </w:rPr>
        <w:fldChar w:fldCharType="separate"/>
      </w:r>
      <w:r w:rsidRPr="00D47083">
        <w:rPr>
          <w:noProof/>
        </w:rPr>
        <w:t>1.</w:t>
      </w:r>
      <w:r w:rsidRPr="00D47083">
        <w:rPr>
          <w:noProof/>
        </w:rPr>
        <w:tab/>
        <w:t>Rowlands A, Abbott S, Bevere G, Roberts CM. Medical students’ perceptions and understanding of their specific learning difficulties.  Int j med educ. 42013; p.200-6.</w:t>
      </w:r>
    </w:p>
    <w:p w14:paraId="1D8D60A6" w14:textId="01822D8A" w:rsidR="008B177C" w:rsidRPr="008B177C" w:rsidRDefault="00D47083" w:rsidP="008B177C">
      <w:pPr>
        <w:rPr>
          <w:b/>
        </w:rPr>
      </w:pPr>
      <w:r>
        <w:rPr>
          <w:b/>
        </w:rPr>
        <w:fldChar w:fldCharType="end"/>
      </w:r>
    </w:p>
    <w:sectPr w:rsidR="008B177C" w:rsidRPr="008B177C" w:rsidSect="00D3170B">
      <w:pgSz w:w="11900" w:h="16840"/>
      <w:pgMar w:top="56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17D97"/>
    <w:multiLevelType w:val="hybridMultilevel"/>
    <w:tmpl w:val="A788A5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8033B5"/>
    <w:multiLevelType w:val="hybridMultilevel"/>
    <w:tmpl w:val="CD1AD9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BSMS)&lt;/Style&gt;&lt;LeftDelim&gt;{&lt;/LeftDelim&gt;&lt;RightDelim&gt;}&lt;/RightDelim&gt;&lt;FontName&gt;Cambria&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7D50C2"/>
    <w:rsid w:val="000F74A8"/>
    <w:rsid w:val="00101B23"/>
    <w:rsid w:val="0010446C"/>
    <w:rsid w:val="002432A3"/>
    <w:rsid w:val="002743ED"/>
    <w:rsid w:val="002D243A"/>
    <w:rsid w:val="00385E8A"/>
    <w:rsid w:val="003A4B7C"/>
    <w:rsid w:val="00445DF4"/>
    <w:rsid w:val="00475137"/>
    <w:rsid w:val="005741B4"/>
    <w:rsid w:val="005A56E8"/>
    <w:rsid w:val="006B71DD"/>
    <w:rsid w:val="007468DC"/>
    <w:rsid w:val="007D50C2"/>
    <w:rsid w:val="008315E6"/>
    <w:rsid w:val="008B177C"/>
    <w:rsid w:val="008B62EA"/>
    <w:rsid w:val="008C0601"/>
    <w:rsid w:val="0092183E"/>
    <w:rsid w:val="009438CE"/>
    <w:rsid w:val="009F7AF9"/>
    <w:rsid w:val="00A676ED"/>
    <w:rsid w:val="00AF1A57"/>
    <w:rsid w:val="00B37255"/>
    <w:rsid w:val="00B40835"/>
    <w:rsid w:val="00C704BA"/>
    <w:rsid w:val="00CA2441"/>
    <w:rsid w:val="00CC2426"/>
    <w:rsid w:val="00D249F7"/>
    <w:rsid w:val="00D3170B"/>
    <w:rsid w:val="00D47083"/>
    <w:rsid w:val="00D50032"/>
    <w:rsid w:val="00D763E1"/>
    <w:rsid w:val="00E403EA"/>
    <w:rsid w:val="00F23D20"/>
    <w:rsid w:val="00F7739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1BBEF7"/>
  <w14:defaultImageDpi w14:val="300"/>
  <w15:docId w15:val="{9500312F-CCC4-5D4E-A85B-74968D2E3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6E8"/>
    <w:rPr>
      <w:iCs/>
      <w:sz w:val="21"/>
      <w:szCs w:val="21"/>
      <w:lang w:val="en-US"/>
    </w:rPr>
  </w:style>
  <w:style w:type="paragraph" w:styleId="Heading1">
    <w:name w:val="heading 1"/>
    <w:basedOn w:val="Normal"/>
    <w:next w:val="Normal"/>
    <w:link w:val="Heading1Char"/>
    <w:uiPriority w:val="9"/>
    <w:qFormat/>
    <w:rsid w:val="007D50C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0C2"/>
    <w:rPr>
      <w:rFonts w:asciiTheme="majorHAnsi" w:eastAsiaTheme="majorEastAsia" w:hAnsiTheme="majorHAnsi" w:cstheme="majorBidi"/>
      <w:b/>
      <w:bCs/>
      <w:iCs/>
      <w:color w:val="345A8A" w:themeColor="accent1" w:themeShade="B5"/>
      <w:sz w:val="32"/>
      <w:szCs w:val="32"/>
      <w:lang w:val="en-US"/>
    </w:rPr>
  </w:style>
  <w:style w:type="paragraph" w:styleId="ListParagraph">
    <w:name w:val="List Paragraph"/>
    <w:basedOn w:val="Normal"/>
    <w:uiPriority w:val="34"/>
    <w:qFormat/>
    <w:rsid w:val="007D50C2"/>
    <w:pPr>
      <w:ind w:left="720"/>
      <w:contextualSpacing/>
    </w:pPr>
    <w:rPr>
      <w:rFonts w:ascii="Times New Roman" w:eastAsia="Times New Roman" w:hAnsi="Times New Roman" w:cs="Times New Roman"/>
      <w:iCs w:val="0"/>
      <w:sz w:val="24"/>
      <w:szCs w:val="24"/>
      <w:lang w:val="en-GB" w:eastAsia="en-GB"/>
    </w:rPr>
  </w:style>
  <w:style w:type="table" w:styleId="TableGrid">
    <w:name w:val="Table Grid"/>
    <w:basedOn w:val="TableNormal"/>
    <w:uiPriority w:val="59"/>
    <w:rsid w:val="007D5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49F7"/>
    <w:rPr>
      <w:sz w:val="18"/>
      <w:szCs w:val="18"/>
    </w:rPr>
  </w:style>
  <w:style w:type="paragraph" w:styleId="CommentText">
    <w:name w:val="annotation text"/>
    <w:basedOn w:val="Normal"/>
    <w:link w:val="CommentTextChar"/>
    <w:uiPriority w:val="99"/>
    <w:semiHidden/>
    <w:unhideWhenUsed/>
    <w:rsid w:val="00D249F7"/>
    <w:rPr>
      <w:sz w:val="24"/>
      <w:szCs w:val="24"/>
    </w:rPr>
  </w:style>
  <w:style w:type="character" w:customStyle="1" w:styleId="CommentTextChar">
    <w:name w:val="Comment Text Char"/>
    <w:basedOn w:val="DefaultParagraphFont"/>
    <w:link w:val="CommentText"/>
    <w:uiPriority w:val="99"/>
    <w:semiHidden/>
    <w:rsid w:val="00D249F7"/>
    <w:rPr>
      <w:iCs/>
      <w:lang w:val="en-US"/>
    </w:rPr>
  </w:style>
  <w:style w:type="paragraph" w:styleId="CommentSubject">
    <w:name w:val="annotation subject"/>
    <w:basedOn w:val="CommentText"/>
    <w:next w:val="CommentText"/>
    <w:link w:val="CommentSubjectChar"/>
    <w:uiPriority w:val="99"/>
    <w:semiHidden/>
    <w:unhideWhenUsed/>
    <w:rsid w:val="00D249F7"/>
    <w:rPr>
      <w:b/>
      <w:bCs/>
      <w:sz w:val="20"/>
      <w:szCs w:val="20"/>
    </w:rPr>
  </w:style>
  <w:style w:type="character" w:customStyle="1" w:styleId="CommentSubjectChar">
    <w:name w:val="Comment Subject Char"/>
    <w:basedOn w:val="CommentTextChar"/>
    <w:link w:val="CommentSubject"/>
    <w:uiPriority w:val="99"/>
    <w:semiHidden/>
    <w:rsid w:val="00D249F7"/>
    <w:rPr>
      <w:b/>
      <w:bCs/>
      <w:iCs/>
      <w:sz w:val="20"/>
      <w:szCs w:val="20"/>
      <w:lang w:val="en-US"/>
    </w:rPr>
  </w:style>
  <w:style w:type="paragraph" w:styleId="BalloonText">
    <w:name w:val="Balloon Text"/>
    <w:basedOn w:val="Normal"/>
    <w:link w:val="BalloonTextChar"/>
    <w:uiPriority w:val="99"/>
    <w:semiHidden/>
    <w:unhideWhenUsed/>
    <w:rsid w:val="00D249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49F7"/>
    <w:rPr>
      <w:rFonts w:ascii="Lucida Grande" w:hAnsi="Lucida Grande" w:cs="Lucida Grande"/>
      <w:iCs/>
      <w:sz w:val="18"/>
      <w:szCs w:val="18"/>
      <w:lang w:val="en-US"/>
    </w:rPr>
  </w:style>
  <w:style w:type="paragraph" w:customStyle="1" w:styleId="EndNoteBibliographyTitle">
    <w:name w:val="EndNote Bibliography Title"/>
    <w:basedOn w:val="Normal"/>
    <w:rsid w:val="00D47083"/>
    <w:pPr>
      <w:jc w:val="center"/>
    </w:pPr>
    <w:rPr>
      <w:rFonts w:ascii="Cambria" w:hAnsi="Cambria"/>
      <w:sz w:val="20"/>
    </w:rPr>
  </w:style>
  <w:style w:type="paragraph" w:customStyle="1" w:styleId="EndNoteBibliography">
    <w:name w:val="EndNote Bibliography"/>
    <w:basedOn w:val="Normal"/>
    <w:rsid w:val="00D47083"/>
    <w:rPr>
      <w:rFonts w:ascii="Cambria" w:hAnsi="Cambr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595</Words>
  <Characters>3392</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Walker</dc:creator>
  <cp:keywords/>
  <dc:description/>
  <cp:lastModifiedBy>Seb Shaw</cp:lastModifiedBy>
  <cp:revision>13</cp:revision>
  <dcterms:created xsi:type="dcterms:W3CDTF">2016-11-06T10:24:00Z</dcterms:created>
  <dcterms:modified xsi:type="dcterms:W3CDTF">2020-03-08T08:15:00Z</dcterms:modified>
</cp:coreProperties>
</file>