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9D362B" w14:textId="77777777" w:rsidR="000334E4" w:rsidRPr="00925D9B" w:rsidRDefault="000334E4" w:rsidP="000334E4">
      <w:pPr>
        <w:jc w:val="center"/>
        <w:rPr>
          <w:rFonts w:ascii="Times New Roman" w:hAnsi="Times New Roman" w:cs="Times New Roman"/>
          <w:b/>
          <w:bCs/>
          <w:sz w:val="32"/>
          <w:szCs w:val="32"/>
          <w:lang w:val="fr-FR"/>
        </w:rPr>
      </w:pPr>
      <w:bookmarkStart w:id="0" w:name="_Hlk156226133"/>
      <w:r w:rsidRPr="00925D9B">
        <w:rPr>
          <w:rFonts w:ascii="Times New Roman" w:hAnsi="Times New Roman" w:cs="Times New Roman"/>
          <w:b/>
          <w:bCs/>
          <w:sz w:val="32"/>
          <w:szCs w:val="32"/>
          <w:lang w:val="fr-FR"/>
        </w:rPr>
        <w:t>SUPPLEMENTAL INFORMATION</w:t>
      </w:r>
    </w:p>
    <w:bookmarkEnd w:id="0"/>
    <w:p w14:paraId="5BC47FAE" w14:textId="77777777" w:rsidR="000334E4" w:rsidRPr="00925D9B" w:rsidRDefault="000334E4" w:rsidP="000334E4">
      <w:pPr>
        <w:rPr>
          <w:rFonts w:ascii="Times New Roman" w:hAnsi="Times New Roman" w:cs="Times New Roman"/>
          <w:b/>
          <w:bCs/>
          <w:sz w:val="24"/>
          <w:szCs w:val="24"/>
          <w:lang w:val="fr-FR"/>
        </w:rPr>
      </w:pPr>
    </w:p>
    <w:p w14:paraId="6A0AE6D8" w14:textId="2A303106" w:rsidR="00E42008" w:rsidRPr="008E6B55" w:rsidRDefault="00E42008" w:rsidP="00E42008">
      <w:pPr>
        <w:spacing w:after="0" w:line="240" w:lineRule="auto"/>
        <w:jc w:val="center"/>
        <w:textAlignment w:val="baseline"/>
        <w:rPr>
          <w:rFonts w:ascii="Times New Roman" w:eastAsia="Times New Roman" w:hAnsi="Times New Roman" w:cs="Times New Roman"/>
          <w:b/>
          <w:bCs/>
          <w:sz w:val="28"/>
          <w:szCs w:val="28"/>
          <w:lang w:val="fr-FR" w:eastAsia="en-CA"/>
          <w14:ligatures w14:val="standardContextual"/>
        </w:rPr>
      </w:pPr>
      <w:r w:rsidRPr="008E6B55">
        <w:rPr>
          <w:rFonts w:ascii="Times New Roman" w:eastAsia="Times New Roman" w:hAnsi="Times New Roman" w:cs="Times New Roman"/>
          <w:b/>
          <w:bCs/>
          <w:sz w:val="28"/>
          <w:szCs w:val="28"/>
          <w:lang w:val="fr-FR" w:eastAsia="en-CA"/>
          <w14:ligatures w14:val="standardContextual"/>
        </w:rPr>
        <w:t xml:space="preserve">Appendix </w:t>
      </w:r>
      <w:proofErr w:type="gramStart"/>
      <w:r w:rsidRPr="008E6B55">
        <w:rPr>
          <w:rFonts w:ascii="Times New Roman" w:eastAsia="Times New Roman" w:hAnsi="Times New Roman" w:cs="Times New Roman"/>
          <w:b/>
          <w:bCs/>
          <w:sz w:val="28"/>
          <w:szCs w:val="28"/>
          <w:lang w:val="fr-FR" w:eastAsia="en-CA"/>
          <w14:ligatures w14:val="standardContextual"/>
        </w:rPr>
        <w:t>A:</w:t>
      </w:r>
      <w:proofErr w:type="gramEnd"/>
      <w:r w:rsidRPr="008E6B55">
        <w:rPr>
          <w:rFonts w:ascii="Times New Roman" w:eastAsia="Times New Roman" w:hAnsi="Times New Roman" w:cs="Times New Roman"/>
          <w:b/>
          <w:bCs/>
          <w:sz w:val="28"/>
          <w:szCs w:val="28"/>
          <w:lang w:val="fr-FR" w:eastAsia="en-CA"/>
          <w14:ligatures w14:val="standardContextual"/>
        </w:rPr>
        <w:t xml:space="preserve"> </w:t>
      </w:r>
      <w:r w:rsidR="00BB28ED" w:rsidRPr="008E6B55">
        <w:rPr>
          <w:rFonts w:ascii="Times New Roman" w:eastAsia="Times New Roman" w:hAnsi="Times New Roman" w:cs="Times New Roman"/>
          <w:b/>
          <w:bCs/>
          <w:sz w:val="28"/>
          <w:szCs w:val="28"/>
          <w:lang w:val="fr-FR" w:eastAsia="en-CA"/>
          <w14:ligatures w14:val="standardContextual"/>
        </w:rPr>
        <w:t>Participants</w:t>
      </w:r>
    </w:p>
    <w:p w14:paraId="38D5756D" w14:textId="77777777" w:rsidR="00BB28ED" w:rsidRDefault="00BB28ED" w:rsidP="00E42008">
      <w:pPr>
        <w:spacing w:after="0" w:line="240" w:lineRule="auto"/>
        <w:jc w:val="center"/>
        <w:textAlignment w:val="baseline"/>
        <w:rPr>
          <w:rFonts w:ascii="Times New Roman" w:eastAsia="Times New Roman" w:hAnsi="Times New Roman" w:cs="Times New Roman"/>
          <w:sz w:val="24"/>
          <w:szCs w:val="24"/>
          <w:lang w:val="fr-FR" w:eastAsia="en-CA"/>
          <w14:ligatures w14:val="standardContextual"/>
        </w:rPr>
      </w:pPr>
    </w:p>
    <w:p w14:paraId="32C798C0" w14:textId="77777777" w:rsidR="005062D3" w:rsidRPr="008E6B55" w:rsidRDefault="005062D3" w:rsidP="00E42008">
      <w:pPr>
        <w:spacing w:after="0" w:line="240" w:lineRule="auto"/>
        <w:jc w:val="center"/>
        <w:textAlignment w:val="baseline"/>
        <w:rPr>
          <w:rFonts w:ascii="Times New Roman" w:eastAsia="Times New Roman" w:hAnsi="Times New Roman" w:cs="Times New Roman"/>
          <w:sz w:val="24"/>
          <w:szCs w:val="24"/>
          <w:lang w:val="fr-FR" w:eastAsia="en-CA"/>
          <w14:ligatures w14:val="standardContextual"/>
        </w:rPr>
      </w:pPr>
    </w:p>
    <w:p w14:paraId="67710B41" w14:textId="23CB4257" w:rsidR="001502C7" w:rsidRPr="008E6B55" w:rsidRDefault="00BB28ED" w:rsidP="00BB28ED">
      <w:pPr>
        <w:spacing w:after="0" w:line="240" w:lineRule="auto"/>
        <w:textAlignment w:val="baseline"/>
        <w:rPr>
          <w:rFonts w:ascii="Times New Roman" w:eastAsia="Times New Roman" w:hAnsi="Times New Roman" w:cs="Times New Roman"/>
          <w:b/>
          <w:bCs/>
          <w:sz w:val="24"/>
          <w:szCs w:val="24"/>
          <w:u w:val="single"/>
          <w:lang w:val="fr-FR" w:eastAsia="en-CA"/>
          <w14:ligatures w14:val="standardContextual"/>
        </w:rPr>
      </w:pPr>
      <w:r w:rsidRPr="008E6B55">
        <w:rPr>
          <w:rFonts w:ascii="Times New Roman" w:eastAsia="Times New Roman" w:hAnsi="Times New Roman" w:cs="Times New Roman"/>
          <w:b/>
          <w:bCs/>
          <w:sz w:val="24"/>
          <w:szCs w:val="24"/>
          <w:u w:val="single"/>
          <w:lang w:val="fr-FR" w:eastAsia="en-CA"/>
          <w14:ligatures w14:val="standardContextual"/>
        </w:rPr>
        <w:t xml:space="preserve">Participant </w:t>
      </w:r>
      <w:r w:rsidR="005062D3">
        <w:rPr>
          <w:rFonts w:ascii="Times New Roman" w:eastAsia="Times New Roman" w:hAnsi="Times New Roman" w:cs="Times New Roman"/>
          <w:b/>
          <w:bCs/>
          <w:sz w:val="24"/>
          <w:szCs w:val="24"/>
          <w:u w:val="single"/>
          <w:lang w:val="fr-FR" w:eastAsia="en-CA"/>
          <w14:ligatures w14:val="standardContextual"/>
        </w:rPr>
        <w:t>R</w:t>
      </w:r>
      <w:r w:rsidRPr="008E6B55">
        <w:rPr>
          <w:rFonts w:ascii="Times New Roman" w:eastAsia="Times New Roman" w:hAnsi="Times New Roman" w:cs="Times New Roman"/>
          <w:b/>
          <w:bCs/>
          <w:sz w:val="24"/>
          <w:szCs w:val="24"/>
          <w:u w:val="single"/>
          <w:lang w:val="fr-FR" w:eastAsia="en-CA"/>
          <w14:ligatures w14:val="standardContextual"/>
        </w:rPr>
        <w:t xml:space="preserve">ole </w:t>
      </w:r>
      <w:r w:rsidR="005062D3">
        <w:rPr>
          <w:rFonts w:ascii="Times New Roman" w:eastAsia="Times New Roman" w:hAnsi="Times New Roman" w:cs="Times New Roman"/>
          <w:b/>
          <w:bCs/>
          <w:sz w:val="24"/>
          <w:szCs w:val="24"/>
          <w:u w:val="single"/>
          <w:lang w:val="fr-FR" w:eastAsia="en-CA"/>
          <w14:ligatures w14:val="standardContextual"/>
        </w:rPr>
        <w:t>D</w:t>
      </w:r>
      <w:r w:rsidRPr="008E6B55">
        <w:rPr>
          <w:rFonts w:ascii="Times New Roman" w:eastAsia="Times New Roman" w:hAnsi="Times New Roman" w:cs="Times New Roman"/>
          <w:b/>
          <w:bCs/>
          <w:sz w:val="24"/>
          <w:szCs w:val="24"/>
          <w:u w:val="single"/>
          <w:lang w:val="fr-FR" w:eastAsia="en-CA"/>
          <w14:ligatures w14:val="standardContextual"/>
        </w:rPr>
        <w:t xml:space="preserve">efinitions </w:t>
      </w:r>
    </w:p>
    <w:p w14:paraId="29F45C41" w14:textId="77777777" w:rsidR="00BB28ED" w:rsidRPr="008E6B55" w:rsidRDefault="00BB28ED" w:rsidP="00BB28ED">
      <w:pPr>
        <w:spacing w:after="0" w:line="240" w:lineRule="auto"/>
        <w:textAlignment w:val="baseline"/>
        <w:rPr>
          <w:rFonts w:ascii="Times New Roman" w:eastAsia="Times New Roman" w:hAnsi="Times New Roman" w:cs="Times New Roman"/>
          <w:b/>
          <w:bCs/>
          <w:sz w:val="24"/>
          <w:szCs w:val="24"/>
          <w:u w:val="single"/>
          <w:lang w:val="fr-FR" w:eastAsia="en-CA"/>
          <w14:ligatures w14:val="standardContextual"/>
        </w:rPr>
      </w:pPr>
    </w:p>
    <w:p w14:paraId="1F6CC280" w14:textId="3F1B0C70" w:rsidR="00876676" w:rsidRPr="00876676" w:rsidRDefault="00876676" w:rsidP="00876676">
      <w:pPr>
        <w:spacing w:line="360" w:lineRule="auto"/>
        <w:rPr>
          <w:rFonts w:ascii="Times New Roman" w:hAnsi="Times New Roman" w:cs="Times New Roman"/>
          <w:sz w:val="24"/>
          <w:szCs w:val="24"/>
        </w:rPr>
      </w:pPr>
      <w:r w:rsidRPr="00876676">
        <w:rPr>
          <w:rFonts w:ascii="Times New Roman" w:hAnsi="Times New Roman" w:cs="Times New Roman"/>
          <w:sz w:val="24"/>
          <w:szCs w:val="24"/>
        </w:rPr>
        <w:t>Below are the definitions of the participant groups in this study</w:t>
      </w:r>
      <w:r w:rsidR="005062D3">
        <w:rPr>
          <w:rFonts w:ascii="Times New Roman" w:hAnsi="Times New Roman" w:cs="Times New Roman"/>
          <w:sz w:val="24"/>
          <w:szCs w:val="24"/>
        </w:rPr>
        <w:t>. Also, see the note below for how we defined clinical teachers in this study.</w:t>
      </w:r>
    </w:p>
    <w:p w14:paraId="475C745A" w14:textId="36F1A7F2" w:rsidR="001502C7" w:rsidRPr="00741339" w:rsidRDefault="00741339" w:rsidP="00741339">
      <w:pPr>
        <w:tabs>
          <w:tab w:val="left" w:pos="720"/>
          <w:tab w:val="left" w:pos="1440"/>
          <w:tab w:val="left" w:pos="2880"/>
        </w:tabs>
        <w:spacing w:line="360" w:lineRule="auto"/>
        <w:rPr>
          <w:rFonts w:ascii="Times New Roman" w:eastAsia="Times New Roman" w:hAnsi="Times New Roman" w:cs="Times New Roman"/>
          <w:sz w:val="24"/>
          <w:szCs w:val="24"/>
        </w:rPr>
      </w:pPr>
      <w:r w:rsidRPr="00741339">
        <w:rPr>
          <w:rFonts w:ascii="Times New Roman" w:eastAsia="Times New Roman" w:hAnsi="Times New Roman" w:cs="Times New Roman"/>
          <w:b/>
          <w:bCs/>
          <w:sz w:val="24"/>
          <w:szCs w:val="24"/>
          <w:lang w:val="en-US"/>
        </w:rPr>
        <w:t>Managers</w:t>
      </w:r>
      <w:r>
        <w:rPr>
          <w:rFonts w:ascii="Times New Roman" w:eastAsia="Times New Roman" w:hAnsi="Times New Roman" w:cs="Times New Roman"/>
          <w:b/>
          <w:bCs/>
          <w:i/>
          <w:iCs/>
          <w:sz w:val="24"/>
          <w:szCs w:val="24"/>
          <w:lang w:val="en-US"/>
        </w:rPr>
        <w:t xml:space="preserve"> </w:t>
      </w:r>
      <w:r w:rsidRPr="005062D3">
        <w:rPr>
          <w:rFonts w:ascii="Times New Roman" w:eastAsia="Times New Roman" w:hAnsi="Times New Roman" w:cs="Times New Roman"/>
          <w:i/>
          <w:iCs/>
          <w:sz w:val="24"/>
          <w:szCs w:val="24"/>
          <w:lang w:val="en-US"/>
        </w:rPr>
        <w:t>(non-clinical administrative leaders)</w:t>
      </w:r>
      <w:r>
        <w:rPr>
          <w:rFonts w:ascii="Times New Roman" w:eastAsia="Times New Roman" w:hAnsi="Times New Roman" w:cs="Times New Roman"/>
          <w:b/>
          <w:bCs/>
          <w:i/>
          <w:iCs/>
          <w:sz w:val="24"/>
          <w:szCs w:val="24"/>
          <w:lang w:val="en-US"/>
        </w:rPr>
        <w:t xml:space="preserve"> </w:t>
      </w:r>
      <w:r w:rsidR="001502C7" w:rsidRPr="00741339">
        <w:rPr>
          <w:rFonts w:ascii="Times New Roman" w:eastAsia="Times New Roman" w:hAnsi="Times New Roman" w:cs="Times New Roman"/>
          <w:sz w:val="24"/>
          <w:szCs w:val="24"/>
          <w:lang w:val="en-US"/>
        </w:rPr>
        <w:t>provide strategic administrative leadership and oversight in their respective areas</w:t>
      </w:r>
      <w:r>
        <w:rPr>
          <w:rFonts w:ascii="Times New Roman" w:eastAsia="Times New Roman" w:hAnsi="Times New Roman" w:cs="Times New Roman"/>
          <w:sz w:val="24"/>
          <w:szCs w:val="24"/>
          <w:lang w:val="en-US"/>
        </w:rPr>
        <w:t>. They</w:t>
      </w:r>
      <w:r w:rsidR="001502C7" w:rsidRPr="0074133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typically manage the operational</w:t>
      </w:r>
      <w:r w:rsidR="001502C7" w:rsidRPr="0074133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efficiency of</w:t>
      </w:r>
      <w:r w:rsidR="001502C7" w:rsidRPr="00741339">
        <w:rPr>
          <w:rFonts w:ascii="Times New Roman" w:eastAsia="Times New Roman" w:hAnsi="Times New Roman" w:cs="Times New Roman"/>
          <w:sz w:val="24"/>
          <w:szCs w:val="24"/>
          <w:lang w:val="en-US"/>
        </w:rPr>
        <w:t xml:space="preserve"> </w:t>
      </w:r>
      <w:r w:rsidR="005148CD">
        <w:rPr>
          <w:rFonts w:ascii="Times New Roman" w:eastAsia="Times New Roman" w:hAnsi="Times New Roman" w:cs="Times New Roman"/>
          <w:sz w:val="24"/>
          <w:szCs w:val="24"/>
          <w:lang w:val="en-US"/>
        </w:rPr>
        <w:t xml:space="preserve">a </w:t>
      </w:r>
      <w:r w:rsidR="001502C7" w:rsidRPr="00741339">
        <w:rPr>
          <w:rFonts w:ascii="Times New Roman" w:eastAsia="Times New Roman" w:hAnsi="Times New Roman" w:cs="Times New Roman"/>
          <w:sz w:val="24"/>
          <w:szCs w:val="24"/>
          <w:lang w:val="en-US"/>
        </w:rPr>
        <w:t>medical education program, center, department or an office</w:t>
      </w:r>
      <w:r>
        <w:rPr>
          <w:rFonts w:ascii="Times New Roman" w:eastAsia="Times New Roman" w:hAnsi="Times New Roman" w:cs="Times New Roman"/>
          <w:sz w:val="24"/>
          <w:szCs w:val="24"/>
          <w:lang w:val="en-US"/>
        </w:rPr>
        <w:t xml:space="preserve">, </w:t>
      </w:r>
      <w:r w:rsidR="001502C7" w:rsidRPr="00741339">
        <w:rPr>
          <w:rFonts w:ascii="Times New Roman" w:eastAsia="Times New Roman" w:hAnsi="Times New Roman" w:cs="Times New Roman"/>
          <w:sz w:val="24"/>
          <w:szCs w:val="24"/>
          <w:lang w:val="en-US"/>
        </w:rPr>
        <w:t>to meet the goals and institutional mission and visions, as well as to contribute to the overall excellence of the school of medicine.</w:t>
      </w:r>
    </w:p>
    <w:p w14:paraId="40E886BF" w14:textId="3D0410AA" w:rsidR="001502C7" w:rsidRPr="00741339" w:rsidRDefault="001502C7" w:rsidP="00741339">
      <w:pPr>
        <w:spacing w:line="360" w:lineRule="auto"/>
        <w:rPr>
          <w:rFonts w:ascii="Times New Roman" w:eastAsia="Times New Roman" w:hAnsi="Times New Roman" w:cs="Times New Roman"/>
          <w:sz w:val="24"/>
          <w:szCs w:val="24"/>
        </w:rPr>
      </w:pPr>
      <w:r w:rsidRPr="00741339">
        <w:rPr>
          <w:rFonts w:ascii="Times New Roman" w:eastAsia="Times New Roman" w:hAnsi="Times New Roman" w:cs="Times New Roman"/>
          <w:b/>
          <w:bCs/>
          <w:sz w:val="24"/>
          <w:szCs w:val="24"/>
          <w:lang w:val="en-US"/>
        </w:rPr>
        <w:t>Vice-deans</w:t>
      </w:r>
      <w:r w:rsidR="00741339">
        <w:rPr>
          <w:rFonts w:ascii="Times New Roman" w:eastAsia="Times New Roman" w:hAnsi="Times New Roman" w:cs="Times New Roman"/>
          <w:b/>
          <w:bCs/>
          <w:sz w:val="24"/>
          <w:szCs w:val="24"/>
          <w:lang w:val="en-US"/>
        </w:rPr>
        <w:t xml:space="preserve"> </w:t>
      </w:r>
      <w:r w:rsidR="00741339" w:rsidRPr="005062D3">
        <w:rPr>
          <w:rFonts w:ascii="Times New Roman" w:eastAsia="Times New Roman" w:hAnsi="Times New Roman" w:cs="Times New Roman"/>
          <w:sz w:val="24"/>
          <w:szCs w:val="24"/>
          <w:lang w:val="en-US"/>
        </w:rPr>
        <w:t>(</w:t>
      </w:r>
      <w:r w:rsidR="00741339" w:rsidRPr="005062D3">
        <w:rPr>
          <w:rFonts w:ascii="Times New Roman" w:eastAsia="Times New Roman" w:hAnsi="Times New Roman" w:cs="Times New Roman"/>
          <w:i/>
          <w:iCs/>
          <w:sz w:val="24"/>
          <w:szCs w:val="24"/>
          <w:lang w:val="en-US"/>
        </w:rPr>
        <w:t>clinical organizational leaders</w:t>
      </w:r>
      <w:r w:rsidR="00741339" w:rsidRPr="005062D3">
        <w:rPr>
          <w:rFonts w:ascii="Times New Roman" w:eastAsia="Times New Roman" w:hAnsi="Times New Roman" w:cs="Times New Roman"/>
          <w:sz w:val="24"/>
          <w:szCs w:val="24"/>
          <w:lang w:val="en-US"/>
        </w:rPr>
        <w:t>)</w:t>
      </w:r>
      <w:r w:rsidRPr="00741339">
        <w:rPr>
          <w:rFonts w:ascii="Times New Roman" w:eastAsia="Times New Roman" w:hAnsi="Times New Roman" w:cs="Times New Roman"/>
          <w:sz w:val="24"/>
          <w:szCs w:val="24"/>
          <w:lang w:val="en-US"/>
        </w:rPr>
        <w:t xml:space="preserve"> hold key senior leadership positions responsible for governing the direction and operations of their medical education program, center, department or an office, including for ‘hiring’ or pay. They generally assume academic and/or administrative responsibilities delegated by the dean. </w:t>
      </w:r>
      <w:r w:rsidR="005148CD">
        <w:rPr>
          <w:rFonts w:ascii="Times New Roman" w:eastAsia="Times New Roman" w:hAnsi="Times New Roman" w:cs="Times New Roman"/>
          <w:sz w:val="24"/>
          <w:szCs w:val="24"/>
          <w:lang w:val="en-US"/>
        </w:rPr>
        <w:t>Vice-deans</w:t>
      </w:r>
      <w:r w:rsidRPr="00741339">
        <w:rPr>
          <w:rFonts w:ascii="Times New Roman" w:eastAsia="Times New Roman" w:hAnsi="Times New Roman" w:cs="Times New Roman"/>
          <w:sz w:val="24"/>
          <w:szCs w:val="24"/>
          <w:lang w:val="en-US"/>
        </w:rPr>
        <w:t xml:space="preserve"> play a pivotal role in shaping institutional policies, fostering collaboration, and ensuring the overall excellence and effectiveness of the</w:t>
      </w:r>
      <w:r w:rsidR="00741339">
        <w:rPr>
          <w:rFonts w:ascii="Times New Roman" w:eastAsia="Times New Roman" w:hAnsi="Times New Roman" w:cs="Times New Roman"/>
          <w:sz w:val="24"/>
          <w:szCs w:val="24"/>
          <w:lang w:val="en-US"/>
        </w:rPr>
        <w:t>ir</w:t>
      </w:r>
      <w:r w:rsidRPr="00741339">
        <w:rPr>
          <w:rFonts w:ascii="Times New Roman" w:eastAsia="Times New Roman" w:hAnsi="Times New Roman" w:cs="Times New Roman"/>
          <w:sz w:val="24"/>
          <w:szCs w:val="24"/>
          <w:lang w:val="en-US"/>
        </w:rPr>
        <w:t xml:space="preserve"> school of medicine.</w:t>
      </w:r>
    </w:p>
    <w:p w14:paraId="3386365D" w14:textId="1FAB1E77" w:rsidR="001502C7" w:rsidRPr="00741339" w:rsidRDefault="001502C7" w:rsidP="00741339">
      <w:pPr>
        <w:tabs>
          <w:tab w:val="left" w:pos="3889"/>
        </w:tabs>
        <w:spacing w:line="360" w:lineRule="auto"/>
        <w:rPr>
          <w:rFonts w:ascii="Times New Roman" w:eastAsia="Times New Roman" w:hAnsi="Times New Roman" w:cs="Times New Roman"/>
          <w:sz w:val="24"/>
          <w:szCs w:val="24"/>
        </w:rPr>
      </w:pPr>
      <w:r w:rsidRPr="00741339">
        <w:rPr>
          <w:rFonts w:ascii="Times New Roman" w:eastAsia="Times New Roman" w:hAnsi="Times New Roman" w:cs="Times New Roman"/>
          <w:b/>
          <w:bCs/>
          <w:sz w:val="24"/>
          <w:szCs w:val="24"/>
          <w:lang w:val="en-US"/>
        </w:rPr>
        <w:t>Assistant deans</w:t>
      </w:r>
      <w:r w:rsidRPr="00741339">
        <w:rPr>
          <w:rFonts w:ascii="Times New Roman" w:eastAsia="Times New Roman" w:hAnsi="Times New Roman" w:cs="Times New Roman"/>
          <w:sz w:val="24"/>
          <w:szCs w:val="24"/>
          <w:lang w:val="en-US"/>
        </w:rPr>
        <w:t xml:space="preserve"> </w:t>
      </w:r>
      <w:r w:rsidR="00741339" w:rsidRPr="005062D3">
        <w:rPr>
          <w:rFonts w:ascii="Times New Roman" w:eastAsia="Times New Roman" w:hAnsi="Times New Roman" w:cs="Times New Roman"/>
          <w:sz w:val="24"/>
          <w:szCs w:val="24"/>
          <w:lang w:val="en-US"/>
        </w:rPr>
        <w:t>(</w:t>
      </w:r>
      <w:r w:rsidR="00741339" w:rsidRPr="005062D3">
        <w:rPr>
          <w:rFonts w:ascii="Times New Roman" w:eastAsia="Times New Roman" w:hAnsi="Times New Roman" w:cs="Times New Roman"/>
          <w:i/>
          <w:iCs/>
          <w:sz w:val="24"/>
          <w:szCs w:val="24"/>
          <w:lang w:val="en-US"/>
        </w:rPr>
        <w:t>clinical organizational leaders</w:t>
      </w:r>
      <w:r w:rsidR="00741339" w:rsidRPr="005062D3">
        <w:rPr>
          <w:rFonts w:ascii="Times New Roman" w:eastAsia="Times New Roman" w:hAnsi="Times New Roman" w:cs="Times New Roman"/>
          <w:sz w:val="24"/>
          <w:szCs w:val="24"/>
          <w:lang w:val="en-US"/>
        </w:rPr>
        <w:t>)</w:t>
      </w:r>
      <w:r w:rsidR="00741339">
        <w:rPr>
          <w:rFonts w:ascii="Times New Roman" w:eastAsia="Times New Roman" w:hAnsi="Times New Roman" w:cs="Times New Roman"/>
          <w:b/>
          <w:bCs/>
          <w:sz w:val="24"/>
          <w:szCs w:val="24"/>
          <w:lang w:val="en-US"/>
        </w:rPr>
        <w:t xml:space="preserve"> </w:t>
      </w:r>
      <w:r w:rsidRPr="00741339">
        <w:rPr>
          <w:rFonts w:ascii="Times New Roman" w:eastAsia="Times New Roman" w:hAnsi="Times New Roman" w:cs="Times New Roman"/>
          <w:sz w:val="24"/>
          <w:szCs w:val="24"/>
          <w:lang w:val="en-US"/>
        </w:rPr>
        <w:t>direct some academic and administration tasks of a medical education program, center, department or an office, including provision of support and guidance (e.g., academic support, clinical placements, and curriculum implementation). Some are also responsible for special educational projects or programs assigned to them by the Dean or a Vice-Dean.</w:t>
      </w:r>
    </w:p>
    <w:p w14:paraId="24F74E3F" w14:textId="37213F08" w:rsidR="00BB28ED" w:rsidRDefault="001502C7" w:rsidP="00741339">
      <w:pPr>
        <w:tabs>
          <w:tab w:val="left" w:pos="3889"/>
        </w:tabs>
        <w:spacing w:line="360" w:lineRule="auto"/>
        <w:rPr>
          <w:rFonts w:ascii="Times New Roman" w:eastAsia="Times New Roman" w:hAnsi="Times New Roman" w:cs="Times New Roman"/>
          <w:sz w:val="24"/>
          <w:szCs w:val="24"/>
          <w:lang w:val="en-US"/>
        </w:rPr>
      </w:pPr>
      <w:r w:rsidRPr="00741339">
        <w:rPr>
          <w:rFonts w:ascii="Times New Roman" w:eastAsia="Times New Roman" w:hAnsi="Times New Roman" w:cs="Times New Roman"/>
          <w:b/>
          <w:bCs/>
          <w:sz w:val="24"/>
          <w:szCs w:val="24"/>
          <w:lang w:val="en-US"/>
        </w:rPr>
        <w:t>Clinical department</w:t>
      </w:r>
      <w:r w:rsidR="00741339">
        <w:rPr>
          <w:rFonts w:ascii="Times New Roman" w:eastAsia="Times New Roman" w:hAnsi="Times New Roman" w:cs="Times New Roman"/>
          <w:b/>
          <w:bCs/>
          <w:sz w:val="24"/>
          <w:szCs w:val="24"/>
          <w:lang w:val="en-US"/>
        </w:rPr>
        <w:t xml:space="preserve"> or division</w:t>
      </w:r>
      <w:r w:rsidRPr="00741339">
        <w:rPr>
          <w:rFonts w:ascii="Times New Roman" w:eastAsia="Times New Roman" w:hAnsi="Times New Roman" w:cs="Times New Roman"/>
          <w:b/>
          <w:bCs/>
          <w:sz w:val="24"/>
          <w:szCs w:val="24"/>
          <w:lang w:val="en-US"/>
        </w:rPr>
        <w:t xml:space="preserve"> chair/head</w:t>
      </w:r>
      <w:r w:rsidR="00741339">
        <w:rPr>
          <w:rFonts w:ascii="Times New Roman" w:eastAsia="Times New Roman" w:hAnsi="Times New Roman" w:cs="Times New Roman"/>
          <w:b/>
          <w:bCs/>
          <w:sz w:val="24"/>
          <w:szCs w:val="24"/>
          <w:lang w:val="en-US"/>
        </w:rPr>
        <w:t xml:space="preserve"> </w:t>
      </w:r>
      <w:r w:rsidR="00741339" w:rsidRPr="005062D3">
        <w:rPr>
          <w:rFonts w:ascii="Times New Roman" w:eastAsia="Times New Roman" w:hAnsi="Times New Roman" w:cs="Times New Roman"/>
          <w:sz w:val="24"/>
          <w:szCs w:val="24"/>
          <w:lang w:val="en-US"/>
        </w:rPr>
        <w:t>(</w:t>
      </w:r>
      <w:r w:rsidR="00741339" w:rsidRPr="005062D3">
        <w:rPr>
          <w:rFonts w:ascii="Times New Roman" w:eastAsia="Times New Roman" w:hAnsi="Times New Roman" w:cs="Times New Roman"/>
          <w:i/>
          <w:iCs/>
          <w:sz w:val="24"/>
          <w:szCs w:val="24"/>
          <w:lang w:val="en-US"/>
        </w:rPr>
        <w:t>clinical organizational leaders</w:t>
      </w:r>
      <w:r w:rsidR="00741339" w:rsidRPr="005062D3">
        <w:rPr>
          <w:rFonts w:ascii="Times New Roman" w:eastAsia="Times New Roman" w:hAnsi="Times New Roman" w:cs="Times New Roman"/>
          <w:sz w:val="24"/>
          <w:szCs w:val="24"/>
          <w:lang w:val="en-US"/>
        </w:rPr>
        <w:t>)</w:t>
      </w:r>
      <w:r w:rsidRPr="00741339">
        <w:rPr>
          <w:rFonts w:ascii="Times New Roman" w:eastAsia="Times New Roman" w:hAnsi="Times New Roman" w:cs="Times New Roman"/>
          <w:b/>
          <w:bCs/>
          <w:sz w:val="24"/>
          <w:szCs w:val="24"/>
          <w:lang w:val="en-US"/>
        </w:rPr>
        <w:t xml:space="preserve"> </w:t>
      </w:r>
      <w:r w:rsidR="00741339">
        <w:rPr>
          <w:rFonts w:ascii="Times New Roman" w:eastAsia="Times New Roman" w:hAnsi="Times New Roman" w:cs="Times New Roman"/>
          <w:sz w:val="24"/>
          <w:szCs w:val="24"/>
          <w:lang w:val="en-US"/>
        </w:rPr>
        <w:t>are clinical leaders</w:t>
      </w:r>
      <w:r w:rsidRPr="00741339">
        <w:rPr>
          <w:rFonts w:ascii="Times New Roman" w:eastAsia="Times New Roman" w:hAnsi="Times New Roman" w:cs="Times New Roman"/>
          <w:sz w:val="24"/>
          <w:szCs w:val="24"/>
          <w:lang w:val="en-US"/>
        </w:rPr>
        <w:t xml:space="preserve"> that govern and coordinate the clinical activities of a clinical department. They ensure coaching, mentoring and support of department members, and are typically involved in the appointment process of clinical faculty, and approval of academic activities in the department. </w:t>
      </w:r>
    </w:p>
    <w:p w14:paraId="169241E2" w14:textId="3A192A95" w:rsidR="00470F6D" w:rsidRDefault="00470F6D" w:rsidP="00741339">
      <w:pPr>
        <w:tabs>
          <w:tab w:val="left" w:pos="3889"/>
        </w:tabs>
        <w:spacing w:line="360" w:lineRule="auto"/>
        <w:rPr>
          <w:rFonts w:ascii="Times New Roman" w:eastAsia="Times New Roman" w:hAnsi="Times New Roman" w:cs="Times New Roman"/>
          <w:sz w:val="24"/>
          <w:szCs w:val="24"/>
          <w:lang w:val="en-US"/>
        </w:rPr>
      </w:pPr>
      <w:r w:rsidRPr="00470F6D">
        <w:rPr>
          <w:rFonts w:ascii="Times New Roman" w:eastAsia="Times New Roman" w:hAnsi="Times New Roman" w:cs="Times New Roman"/>
          <w:b/>
          <w:bCs/>
          <w:sz w:val="24"/>
          <w:szCs w:val="24"/>
          <w:lang w:val="en-US"/>
        </w:rPr>
        <w:t>Director of development or recognition</w:t>
      </w:r>
      <w:r>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sz w:val="24"/>
          <w:szCs w:val="24"/>
          <w:lang w:val="en-US"/>
        </w:rPr>
        <w:t>(</w:t>
      </w:r>
      <w:r w:rsidRPr="005062D3">
        <w:rPr>
          <w:rFonts w:ascii="Times New Roman" w:eastAsia="Times New Roman" w:hAnsi="Times New Roman" w:cs="Times New Roman"/>
          <w:i/>
          <w:iCs/>
          <w:sz w:val="24"/>
          <w:szCs w:val="24"/>
          <w:lang w:val="en-US"/>
        </w:rPr>
        <w:t>clinical or non-clinical leaders</w:t>
      </w:r>
      <w:r>
        <w:rPr>
          <w:rFonts w:ascii="Times New Roman" w:eastAsia="Times New Roman" w:hAnsi="Times New Roman" w:cs="Times New Roman"/>
          <w:sz w:val="24"/>
          <w:szCs w:val="24"/>
          <w:lang w:val="en-US"/>
        </w:rPr>
        <w:t>) are directors of faculty and curriculum development, or directors of the recognition and rewards for faculty.</w:t>
      </w:r>
    </w:p>
    <w:p w14:paraId="5722ACAA" w14:textId="4C4FDAEC" w:rsidR="00BB28ED" w:rsidRDefault="005062D3" w:rsidP="005062D3">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Education leads </w:t>
      </w:r>
      <w:r>
        <w:rPr>
          <w:rFonts w:ascii="Times New Roman" w:eastAsia="Times New Roman" w:hAnsi="Times New Roman" w:cs="Times New Roman"/>
          <w:b/>
          <w:bCs/>
          <w:sz w:val="24"/>
          <w:szCs w:val="24"/>
          <w:lang w:val="en-US"/>
        </w:rPr>
        <w:t>(</w:t>
      </w:r>
      <w:r w:rsidRPr="00741339">
        <w:rPr>
          <w:rFonts w:ascii="Times New Roman" w:eastAsia="Times New Roman" w:hAnsi="Times New Roman" w:cs="Times New Roman"/>
          <w:b/>
          <w:bCs/>
          <w:i/>
          <w:iCs/>
          <w:sz w:val="24"/>
          <w:szCs w:val="24"/>
          <w:lang w:val="en-US"/>
        </w:rPr>
        <w:t>clinical organizational leaders</w:t>
      </w:r>
      <w:r>
        <w:rPr>
          <w:rFonts w:ascii="Times New Roman" w:eastAsia="Times New Roman" w:hAnsi="Times New Roman" w:cs="Times New Roman"/>
          <w:b/>
          <w:bCs/>
          <w:sz w:val="24"/>
          <w:szCs w:val="24"/>
          <w:lang w:val="en-US"/>
        </w:rPr>
        <w:t xml:space="preserve">) </w:t>
      </w:r>
      <w:r w:rsidRPr="00C71FD4">
        <w:rPr>
          <w:rFonts w:ascii="Times New Roman" w:eastAsia="Times New Roman" w:hAnsi="Times New Roman" w:cs="Times New Roman"/>
          <w:sz w:val="24"/>
          <w:szCs w:val="24"/>
          <w:lang w:val="en-US"/>
        </w:rPr>
        <w:t>are clinical leaders who</w:t>
      </w:r>
      <w:r>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sz w:val="24"/>
          <w:szCs w:val="24"/>
          <w:lang w:val="en-US"/>
        </w:rPr>
        <w:t xml:space="preserve">are responsible </w:t>
      </w:r>
      <w:r w:rsidRPr="00F57692">
        <w:rPr>
          <w:rFonts w:ascii="Times New Roman" w:eastAsia="Times New Roman" w:hAnsi="Times New Roman" w:cs="Times New Roman"/>
          <w:sz w:val="24"/>
          <w:szCs w:val="24"/>
          <w:lang w:val="en-US"/>
        </w:rPr>
        <w:t xml:space="preserve">for overseeing teaching in a specific group of clinical postings </w:t>
      </w:r>
      <w:r>
        <w:rPr>
          <w:rFonts w:ascii="Times New Roman" w:eastAsia="Times New Roman" w:hAnsi="Times New Roman" w:cs="Times New Roman"/>
          <w:sz w:val="24"/>
          <w:szCs w:val="24"/>
          <w:lang w:val="en-US"/>
        </w:rPr>
        <w:t xml:space="preserve">at their respective healthcare sites. They </w:t>
      </w:r>
      <w:r>
        <w:rPr>
          <w:rFonts w:ascii="Times New Roman" w:eastAsia="Times New Roman" w:hAnsi="Times New Roman" w:cs="Times New Roman"/>
          <w:sz w:val="24"/>
          <w:szCs w:val="24"/>
          <w:lang w:val="en-US"/>
        </w:rPr>
        <w:lastRenderedPageBreak/>
        <w:t xml:space="preserve">usually hold administrative responsibilities and are </w:t>
      </w:r>
      <w:r w:rsidRPr="00F57692">
        <w:rPr>
          <w:rFonts w:ascii="Times New Roman" w:eastAsia="Times New Roman" w:hAnsi="Times New Roman" w:cs="Times New Roman"/>
          <w:sz w:val="24"/>
          <w:szCs w:val="24"/>
          <w:lang w:val="en-US"/>
        </w:rPr>
        <w:t>tasked with overseeing curriculum development and reforms to ensure alignment with national standards.</w:t>
      </w:r>
    </w:p>
    <w:p w14:paraId="26F98F26" w14:textId="77777777" w:rsidR="005062D3" w:rsidRPr="005062D3" w:rsidRDefault="005062D3" w:rsidP="005062D3">
      <w:pPr>
        <w:spacing w:line="360" w:lineRule="auto"/>
        <w:rPr>
          <w:rFonts w:ascii="Times New Roman" w:hAnsi="Times New Roman" w:cs="Times New Roman"/>
          <w:b/>
          <w:bCs/>
          <w:sz w:val="24"/>
          <w:szCs w:val="24"/>
        </w:rPr>
      </w:pPr>
    </w:p>
    <w:p w14:paraId="423D7A50" w14:textId="0264FF1C" w:rsidR="00876676" w:rsidRPr="00BB28ED" w:rsidRDefault="005062D3" w:rsidP="00BB28ED">
      <w:pPr>
        <w:pStyle w:val="ListParagraph"/>
        <w:numPr>
          <w:ilvl w:val="0"/>
          <w:numId w:val="34"/>
        </w:numPr>
        <w:autoSpaceDE w:val="0"/>
        <w:autoSpaceDN w:val="0"/>
        <w:adjustRightInd w:val="0"/>
        <w:spacing w:line="360" w:lineRule="auto"/>
        <w:rPr>
          <w:rFonts w:ascii="Times New Roman" w:hAnsi="Times New Roman" w:cs="Times New Roman"/>
          <w:b/>
          <w:bCs/>
          <w:sz w:val="24"/>
          <w:szCs w:val="24"/>
          <w:u w:val="single"/>
        </w:rPr>
      </w:pPr>
      <w:r>
        <w:rPr>
          <w:rFonts w:ascii="Times New Roman" w:hAnsi="Times New Roman" w:cs="Times New Roman"/>
          <w:sz w:val="24"/>
          <w:szCs w:val="24"/>
        </w:rPr>
        <w:t>Please note that t</w:t>
      </w:r>
      <w:r w:rsidR="00876676" w:rsidRPr="00BB28ED">
        <w:rPr>
          <w:rFonts w:ascii="Times New Roman" w:hAnsi="Times New Roman" w:cs="Times New Roman"/>
          <w:sz w:val="24"/>
          <w:szCs w:val="24"/>
        </w:rPr>
        <w:t>he meaning of “clinical teach</w:t>
      </w:r>
      <w:r>
        <w:rPr>
          <w:rFonts w:ascii="Times New Roman" w:hAnsi="Times New Roman" w:cs="Times New Roman"/>
          <w:sz w:val="24"/>
          <w:szCs w:val="24"/>
        </w:rPr>
        <w:t>er</w:t>
      </w:r>
      <w:r w:rsidR="00876676" w:rsidRPr="00BB28ED">
        <w:rPr>
          <w:rFonts w:ascii="Times New Roman" w:hAnsi="Times New Roman" w:cs="Times New Roman"/>
          <w:sz w:val="24"/>
          <w:szCs w:val="24"/>
        </w:rPr>
        <w:t xml:space="preserve">” varied across the two sites, and also between individual participants. </w:t>
      </w:r>
      <w:r w:rsidR="00BB28ED" w:rsidRPr="00BB28ED">
        <w:rPr>
          <w:rFonts w:ascii="Times New Roman" w:hAnsi="Times New Roman" w:cs="Times New Roman"/>
          <w:sz w:val="24"/>
          <w:szCs w:val="24"/>
        </w:rPr>
        <w:t xml:space="preserve">For example, </w:t>
      </w:r>
      <w:r w:rsidR="005148CD">
        <w:rPr>
          <w:rFonts w:ascii="Times New Roman" w:hAnsi="Times New Roman" w:cs="Times New Roman"/>
          <w:sz w:val="24"/>
          <w:szCs w:val="24"/>
        </w:rPr>
        <w:t>S</w:t>
      </w:r>
      <w:r w:rsidR="00BB28ED" w:rsidRPr="00BB28ED">
        <w:rPr>
          <w:rFonts w:ascii="Times New Roman" w:hAnsi="Times New Roman" w:cs="Times New Roman"/>
          <w:sz w:val="24"/>
          <w:szCs w:val="24"/>
        </w:rPr>
        <w:t>ite 1 identifies clinical teachers as: 1) teaching track faculty, who usually teach years 1-2, and 3-5 at the medical school; 2) clinical educator</w:t>
      </w:r>
      <w:r w:rsidR="00F57692">
        <w:rPr>
          <w:rFonts w:ascii="Times New Roman" w:hAnsi="Times New Roman" w:cs="Times New Roman"/>
          <w:sz w:val="24"/>
          <w:szCs w:val="24"/>
        </w:rPr>
        <w:t>s (with or without</w:t>
      </w:r>
      <w:r w:rsidR="00BB28ED" w:rsidRPr="00BB28ED">
        <w:rPr>
          <w:rFonts w:ascii="Times New Roman" w:hAnsi="Times New Roman" w:cs="Times New Roman"/>
          <w:sz w:val="24"/>
          <w:szCs w:val="24"/>
        </w:rPr>
        <w:t xml:space="preserve"> adjunct appointments</w:t>
      </w:r>
      <w:r w:rsidR="00F57692">
        <w:rPr>
          <w:rFonts w:ascii="Times New Roman" w:hAnsi="Times New Roman" w:cs="Times New Roman"/>
          <w:sz w:val="24"/>
          <w:szCs w:val="24"/>
        </w:rPr>
        <w:t>)</w:t>
      </w:r>
      <w:r w:rsidR="00BB28ED" w:rsidRPr="00BB28ED">
        <w:rPr>
          <w:rFonts w:ascii="Times New Roman" w:hAnsi="Times New Roman" w:cs="Times New Roman"/>
          <w:sz w:val="24"/>
          <w:szCs w:val="24"/>
        </w:rPr>
        <w:t xml:space="preserve"> (often &lt;0.2 FTE) who do </w:t>
      </w:r>
      <w:r w:rsidR="00F57692">
        <w:rPr>
          <w:rFonts w:ascii="Times New Roman" w:hAnsi="Times New Roman" w:cs="Times New Roman"/>
          <w:sz w:val="24"/>
          <w:szCs w:val="24"/>
        </w:rPr>
        <w:t xml:space="preserve">the majority </w:t>
      </w:r>
      <w:r w:rsidR="0035132E">
        <w:rPr>
          <w:rFonts w:ascii="Times New Roman" w:hAnsi="Times New Roman" w:cs="Times New Roman"/>
          <w:sz w:val="24"/>
          <w:szCs w:val="24"/>
        </w:rPr>
        <w:t>of student teaching, most of which occurs</w:t>
      </w:r>
      <w:r w:rsidR="00F57692">
        <w:rPr>
          <w:rFonts w:ascii="Times New Roman" w:hAnsi="Times New Roman" w:cs="Times New Roman"/>
          <w:sz w:val="24"/>
          <w:szCs w:val="24"/>
        </w:rPr>
        <w:t xml:space="preserve"> </w:t>
      </w:r>
      <w:r w:rsidR="00BB28ED" w:rsidRPr="00BB28ED">
        <w:rPr>
          <w:rFonts w:ascii="Times New Roman" w:hAnsi="Times New Roman" w:cs="Times New Roman"/>
          <w:sz w:val="24"/>
          <w:szCs w:val="24"/>
        </w:rPr>
        <w:t xml:space="preserve">in hospitals. </w:t>
      </w:r>
      <w:r w:rsidR="00D04701" w:rsidRPr="00BB28ED">
        <w:rPr>
          <w:rFonts w:ascii="Times New Roman" w:hAnsi="Times New Roman" w:cs="Times New Roman"/>
          <w:sz w:val="24"/>
          <w:szCs w:val="24"/>
        </w:rPr>
        <w:t>In the health professions education</w:t>
      </w:r>
      <w:r w:rsidR="00876676" w:rsidRPr="00BB28ED">
        <w:rPr>
          <w:rFonts w:ascii="Times New Roman" w:hAnsi="Times New Roman" w:cs="Times New Roman"/>
          <w:sz w:val="24"/>
          <w:szCs w:val="24"/>
        </w:rPr>
        <w:t xml:space="preserve"> literature, clinical teachers are often referred to as clinicians with a main focus on patient care and teaching (</w:t>
      </w:r>
      <w:r w:rsidR="00BB28ED">
        <w:rPr>
          <w:rFonts w:ascii="Times New Roman" w:hAnsi="Times New Roman" w:cs="Times New Roman"/>
          <w:sz w:val="24"/>
          <w:szCs w:val="24"/>
        </w:rPr>
        <w:t xml:space="preserve">primarily </w:t>
      </w:r>
      <w:r w:rsidR="00876676" w:rsidRPr="00BB28ED">
        <w:rPr>
          <w:rFonts w:ascii="Times New Roman" w:hAnsi="Times New Roman" w:cs="Times New Roman"/>
          <w:sz w:val="24"/>
          <w:szCs w:val="24"/>
        </w:rPr>
        <w:t xml:space="preserve">in clinical </w:t>
      </w:r>
      <w:r w:rsidR="00BB28ED">
        <w:rPr>
          <w:rFonts w:ascii="Times New Roman" w:hAnsi="Times New Roman" w:cs="Times New Roman"/>
          <w:sz w:val="24"/>
          <w:szCs w:val="24"/>
        </w:rPr>
        <w:t>settings, but also</w:t>
      </w:r>
      <w:r w:rsidR="00876676" w:rsidRPr="00BB28ED">
        <w:rPr>
          <w:rFonts w:ascii="Times New Roman" w:hAnsi="Times New Roman" w:cs="Times New Roman"/>
          <w:sz w:val="24"/>
          <w:szCs w:val="24"/>
        </w:rPr>
        <w:t xml:space="preserve"> didactic settings) </w:t>
      </w:r>
      <w:r w:rsidR="00876676" w:rsidRPr="00BB28ED">
        <w:rPr>
          <w:rFonts w:ascii="Times New Roman" w:hAnsi="Times New Roman" w:cs="Times New Roman"/>
          <w:sz w:val="24"/>
          <w:szCs w:val="24"/>
        </w:rPr>
        <w:fldChar w:fldCharType="begin" w:fldLock="1"/>
      </w:r>
      <w:r w:rsidR="00794766">
        <w:rPr>
          <w:rFonts w:ascii="Times New Roman" w:hAnsi="Times New Roman" w:cs="Times New Roman"/>
          <w:sz w:val="24"/>
          <w:szCs w:val="24"/>
        </w:rPr>
        <w:instrText>ADDIN CSL_CITATION {"citationItems":[{"id":"ITEM-1","itemData":{"DOI":"10.1080/01421590802061613","abstract":"Teaching in the clinical environment is a demanding, complex and often frustrating task, a task many clinicians assume without adequate preparation or orientation. Twelve roles have previously been...","author":[{"dropping-particle":"","family":"Ramani","given":"Dr Subha","non-dropping-particle":"","parse-names":false,"suffix":""},{"dropping-particle":"","family":"Leinster","given":"Sam","non-dropping-particle":"","parse-names":false,"suffix":""}],"container-title":"Medical Teacher","id":"ITEM-1","issue":"4","issued":{"date-parts":[["2008","12","18"]]},"language":"en","page":"347-364","title":"AMEE Guide no. 34: teaching in the clinical environment","type":"article-journal","volume":"30"},"uris":["http://www.mendeley.com/documents/?uuid=07a0b9f0-4d35-4f21-bf90-f1459d2e9b94"]},{"id":"ITEM-2","itemData":{"DOI":"https://doi.org/10.1111/j.1743-498X.2004.00013.x","ISSN":"1743-498X","author":[{"dropping-particle":"","family":"Irby","given":"David M","non-dropping-particle":"","parse-names":false,"suffix":""},{"dropping-particle":"","family":"Bowen","given":"Judith L","non-dropping-particle":"","parse-names":false,"suffix":""}],"container-title":"The Clinical Teacher","id":"ITEM-2","issue":"1","issued":{"date-parts":[["2004","12","18"]]},"language":"en","page":"23-28","title":"Time-efficient strategies for learning and performance","type":"article-journal","volume":"1"},"uris":["http://www.mendeley.com/documents/?uuid=f86125bc-aa70-4726-87a3-83a273be6db2"]},{"id":"ITEM-3","itemData":{"DOI":"10.1016/s0002-9343(00)00737-3","ISSN":"0002-9343","author":[{"dropping-particle":"","family":"Irby","given":"D M","non-dropping-particle":"","parse-names":false,"suffix":""},{"dropping-particle":"","family":"Papadakis","given":"M","non-dropping-particle":"","parse-names":false,"suffix":""}],"container-title":"The American Journal of Medicine","id":"ITEM-3","issue":"3","issued":{"date-parts":[["2001"]]},"language":"eng","page":"231-232","title":"Does good clinical teaching really make a difference?","type":"article-journal","volume":"110"},"uris":["http://www.mendeley.com/documents/?uuid=f432392f-2cce-4203-8cef-2752989edcc9"]},{"id":"ITEM-4","itemData":{"DOI":"10.1097/ACM.0000000000000217","ISSN":"1938-808X","abstract":"PURPOSE: To determine a consensus definition of a clinician-educator and the related domains of competence. METHOD: During September 2010 to March 2011, the authors conducted a two-phase mixed-methods national study in Canada using (1) focus groups of deans of medicine and directors of medical education centers to define the attributes, domains of competence, and core competencies of clinician-educators using a grounded theory analysis, and (2) a survey of 1,130 deans, academic chairs, and residency program directors to validate the focus group results. RESULTS: The 22 focus group participants described being active in clinical practice, applying theory to practice, and engaging in education scholarship-but not holding a particular administrative position-as essential attributes of clinician-educators. Program directors accounted for 68% of the 350 survey respondents, academic chairs for 19%, and deans for 13% (response rate: 31%). Among respondents, 85% endorsed the need for physicians with advanced training in medical education to serve as educational consultants. Domains of clinician-educator competence endorsed by &gt;85% of respondents as important or very important were assessment, communication, curriculum development, education theory, leadership, scholarship, and teaching. With regard to training requirements, 55% endorsed a master's degree in education as effective preparation, whereas 39% considered faculty development programs effective. CONCLUSIONS: On the basis of this study's findings, the authors defined a clinician-educator as a clinician active in health professional practice who applies theory to education practice, engages in education scholarship, and serves as a consultant to other health professionals on education issues.","author":[{"dropping-particle":"","family":"Sherbino","given":"Jonathan","non-dropping-particle":"","parse-names":false,"suffix":""},{"dropping-particle":"","family":"Frank","given":"Jason R","non-dropping-particle":"","parse-names":false,"suffix":""},{"dropping-particle":"","family":"Snell","given":"Linda","non-dropping-particle":"","parse-names":false,"suffix":""}],"container-title":"Academic Medicine: Journal of the Association of American Medical Colleges","id":"ITEM-4","issue":"5","issued":{"date-parts":[["2014"]]},"language":"eng","page":"783-789","title":"Defining the key roles and competencies of the clinician-educator of the 21st century: a national mixed-methods study","type":"article-journal","volume":"89"},"uris":["http://www.mendeley.com/documents/?uuid=3db1fa8f-94b8-4007-94f0-82b34f2c9b37"]}],"mendeley":{"formattedCitation":"&lt;sup&gt;1–4&lt;/sup&gt;","manualFormatting":"(Irby &amp; Papadakis, 2001; David M Irby &amp; Bowen, 2004; Ramani &amp; Leinster, 2009; Sherbino et al., 2014)","plainTextFormattedCitation":"1–4","previouslyFormattedCitation":"&lt;sup&gt;1–4&lt;/sup&gt;"},"properties":{"noteIndex":0},"schema":"https://github.com/citation-style-language/schema/raw/master/csl-citation.json"}</w:instrText>
      </w:r>
      <w:r w:rsidR="00876676" w:rsidRPr="00BB28ED">
        <w:rPr>
          <w:rFonts w:ascii="Times New Roman" w:hAnsi="Times New Roman" w:cs="Times New Roman"/>
          <w:sz w:val="24"/>
          <w:szCs w:val="24"/>
        </w:rPr>
        <w:fldChar w:fldCharType="separate"/>
      </w:r>
      <w:r w:rsidR="00876676" w:rsidRPr="00BB28ED">
        <w:rPr>
          <w:rFonts w:ascii="Times New Roman" w:hAnsi="Times New Roman" w:cs="Times New Roman"/>
          <w:noProof/>
          <w:sz w:val="24"/>
          <w:szCs w:val="24"/>
        </w:rPr>
        <w:t>(Irby &amp; Papadakis, 2001; Irby &amp; Bowen, 2004; Ramani &amp; Leinster, 200</w:t>
      </w:r>
      <w:r w:rsidR="009E0E2D">
        <w:rPr>
          <w:rFonts w:ascii="Times New Roman" w:hAnsi="Times New Roman" w:cs="Times New Roman"/>
          <w:noProof/>
          <w:sz w:val="24"/>
          <w:szCs w:val="24"/>
        </w:rPr>
        <w:t>8</w:t>
      </w:r>
      <w:r w:rsidR="00876676" w:rsidRPr="00BB28ED">
        <w:rPr>
          <w:rFonts w:ascii="Times New Roman" w:hAnsi="Times New Roman" w:cs="Times New Roman"/>
          <w:noProof/>
          <w:sz w:val="24"/>
          <w:szCs w:val="24"/>
        </w:rPr>
        <w:t>; Sherbino et al., 2014)</w:t>
      </w:r>
      <w:r w:rsidR="00876676" w:rsidRPr="00BB28ED">
        <w:rPr>
          <w:rFonts w:ascii="Times New Roman" w:hAnsi="Times New Roman" w:cs="Times New Roman"/>
          <w:sz w:val="24"/>
          <w:szCs w:val="24"/>
        </w:rPr>
        <w:fldChar w:fldCharType="end"/>
      </w:r>
      <w:r w:rsidR="00876676" w:rsidRPr="00BB28ED">
        <w:rPr>
          <w:rFonts w:ascii="Times New Roman" w:hAnsi="Times New Roman" w:cs="Times New Roman"/>
          <w:sz w:val="24"/>
          <w:szCs w:val="24"/>
        </w:rPr>
        <w:t xml:space="preserve">. </w:t>
      </w:r>
      <w:r w:rsidR="00BB28ED">
        <w:rPr>
          <w:rFonts w:ascii="Times New Roman" w:hAnsi="Times New Roman" w:cs="Times New Roman"/>
          <w:sz w:val="24"/>
          <w:szCs w:val="24"/>
        </w:rPr>
        <w:t>To encapsulate the wide scope of meanings for ‘clinical teachers’ at the sites and in the literature,</w:t>
      </w:r>
      <w:r w:rsidR="00D04701" w:rsidRPr="00BB28ED">
        <w:rPr>
          <w:rFonts w:ascii="Times New Roman" w:hAnsi="Times New Roman" w:cs="Times New Roman"/>
          <w:sz w:val="24"/>
          <w:szCs w:val="24"/>
        </w:rPr>
        <w:t xml:space="preserve"> we </w:t>
      </w:r>
      <w:r w:rsidR="00BB28ED">
        <w:rPr>
          <w:rFonts w:ascii="Times New Roman" w:hAnsi="Times New Roman" w:cs="Times New Roman"/>
          <w:sz w:val="24"/>
          <w:szCs w:val="24"/>
        </w:rPr>
        <w:t xml:space="preserve">defined and </w:t>
      </w:r>
      <w:r w:rsidR="00BB28ED" w:rsidRPr="00BB28ED">
        <w:rPr>
          <w:rFonts w:ascii="Times New Roman" w:hAnsi="Times New Roman" w:cs="Times New Roman"/>
          <w:sz w:val="24"/>
          <w:szCs w:val="24"/>
        </w:rPr>
        <w:t>clarified</w:t>
      </w:r>
      <w:r w:rsidR="00D04701" w:rsidRPr="00BB28ED">
        <w:rPr>
          <w:rFonts w:ascii="Times New Roman" w:hAnsi="Times New Roman" w:cs="Times New Roman"/>
          <w:sz w:val="24"/>
          <w:szCs w:val="24"/>
        </w:rPr>
        <w:t xml:space="preserve"> clinical teachers </w:t>
      </w:r>
      <w:r w:rsidR="00BB28ED">
        <w:rPr>
          <w:rFonts w:ascii="Times New Roman" w:hAnsi="Times New Roman" w:cs="Times New Roman"/>
          <w:sz w:val="24"/>
          <w:szCs w:val="24"/>
        </w:rPr>
        <w:t xml:space="preserve">in this multi-sited study </w:t>
      </w:r>
      <w:r w:rsidR="00D04701" w:rsidRPr="00BB28ED">
        <w:rPr>
          <w:rFonts w:ascii="Times New Roman" w:hAnsi="Times New Roman" w:cs="Times New Roman"/>
          <w:sz w:val="24"/>
          <w:szCs w:val="24"/>
        </w:rPr>
        <w:t xml:space="preserve">as </w:t>
      </w:r>
      <w:r w:rsidR="00876676" w:rsidRPr="00BB28ED">
        <w:rPr>
          <w:rFonts w:ascii="Times New Roman" w:hAnsi="Times New Roman" w:cs="Times New Roman"/>
          <w:sz w:val="24"/>
          <w:szCs w:val="24"/>
        </w:rPr>
        <w:t>clinicians who primarily provide patient care and teach</w:t>
      </w:r>
      <w:r w:rsidR="00BB28ED" w:rsidRPr="00BB28ED">
        <w:rPr>
          <w:rFonts w:ascii="Times New Roman" w:hAnsi="Times New Roman" w:cs="Times New Roman"/>
          <w:sz w:val="24"/>
          <w:szCs w:val="24"/>
        </w:rPr>
        <w:t xml:space="preserve"> students or residents</w:t>
      </w:r>
      <w:r w:rsidR="00876676" w:rsidRPr="00BB28ED">
        <w:rPr>
          <w:rFonts w:ascii="Times New Roman" w:hAnsi="Times New Roman" w:cs="Times New Roman"/>
          <w:sz w:val="24"/>
          <w:szCs w:val="24"/>
        </w:rPr>
        <w:t xml:space="preserve"> </w:t>
      </w:r>
      <w:r w:rsidR="00BB28ED" w:rsidRPr="00BB28ED">
        <w:rPr>
          <w:rFonts w:ascii="Times New Roman" w:hAnsi="Times New Roman" w:cs="Times New Roman"/>
          <w:sz w:val="24"/>
          <w:szCs w:val="24"/>
        </w:rPr>
        <w:t>(either in the clinical or didactic setting).</w:t>
      </w:r>
    </w:p>
    <w:p w14:paraId="60FC4AD6" w14:textId="77777777" w:rsidR="005062D3" w:rsidRDefault="005062D3" w:rsidP="00BB28ED">
      <w:pPr>
        <w:spacing w:line="360" w:lineRule="auto"/>
        <w:rPr>
          <w:rFonts w:ascii="Times New Roman" w:eastAsia="Times New Roman" w:hAnsi="Times New Roman" w:cs="Times New Roman"/>
          <w:b/>
          <w:bCs/>
          <w:sz w:val="24"/>
          <w:szCs w:val="24"/>
          <w:u w:val="single"/>
          <w:lang w:eastAsia="en-CA"/>
          <w14:ligatures w14:val="standardContextual"/>
        </w:rPr>
      </w:pPr>
    </w:p>
    <w:p w14:paraId="45665A46" w14:textId="2ED29DCB" w:rsidR="00BB28ED" w:rsidRPr="00BB28ED" w:rsidRDefault="00BB28ED" w:rsidP="00BB28ED">
      <w:pPr>
        <w:spacing w:line="360" w:lineRule="auto"/>
        <w:rPr>
          <w:rFonts w:ascii="Times New Roman" w:hAnsi="Times New Roman" w:cs="Times New Roman"/>
          <w:b/>
          <w:bCs/>
          <w:sz w:val="24"/>
          <w:szCs w:val="24"/>
          <w:u w:val="single"/>
        </w:rPr>
      </w:pPr>
      <w:r w:rsidRPr="00BB28ED">
        <w:rPr>
          <w:rFonts w:ascii="Times New Roman" w:eastAsia="Times New Roman" w:hAnsi="Times New Roman" w:cs="Times New Roman"/>
          <w:b/>
          <w:bCs/>
          <w:sz w:val="24"/>
          <w:szCs w:val="24"/>
          <w:u w:val="single"/>
          <w:lang w:eastAsia="en-CA"/>
          <w14:ligatures w14:val="standardContextual"/>
        </w:rPr>
        <w:t>Participant demographics summary</w:t>
      </w:r>
    </w:p>
    <w:p w14:paraId="54C22020" w14:textId="4E3E7545" w:rsidR="001502C7" w:rsidRPr="00BB28ED" w:rsidRDefault="00BB28ED" w:rsidP="000334E4">
      <w:pPr>
        <w:rPr>
          <w:rFonts w:ascii="Times New Roman" w:hAnsi="Times New Roman" w:cs="Times New Roman"/>
          <w:sz w:val="24"/>
          <w:szCs w:val="24"/>
        </w:rPr>
      </w:pPr>
      <w:r w:rsidRPr="00BB28ED">
        <w:rPr>
          <w:rFonts w:ascii="Times New Roman" w:hAnsi="Times New Roman" w:cs="Times New Roman"/>
          <w:sz w:val="24"/>
          <w:szCs w:val="24"/>
        </w:rPr>
        <w:t xml:space="preserve">See </w:t>
      </w:r>
      <w:r w:rsidRPr="005062D3">
        <w:rPr>
          <w:rFonts w:ascii="Times New Roman" w:hAnsi="Times New Roman" w:cs="Times New Roman"/>
          <w:b/>
          <w:bCs/>
          <w:sz w:val="24"/>
          <w:szCs w:val="24"/>
        </w:rPr>
        <w:t>Table</w:t>
      </w:r>
      <w:r w:rsidR="005062D3" w:rsidRPr="005062D3">
        <w:rPr>
          <w:rFonts w:ascii="Times New Roman" w:hAnsi="Times New Roman" w:cs="Times New Roman"/>
          <w:b/>
          <w:bCs/>
          <w:sz w:val="24"/>
          <w:szCs w:val="24"/>
        </w:rPr>
        <w:t>s</w:t>
      </w:r>
      <w:r w:rsidRPr="005062D3">
        <w:rPr>
          <w:rFonts w:ascii="Times New Roman" w:hAnsi="Times New Roman" w:cs="Times New Roman"/>
          <w:b/>
          <w:bCs/>
          <w:sz w:val="24"/>
          <w:szCs w:val="24"/>
        </w:rPr>
        <w:t xml:space="preserve"> S1</w:t>
      </w:r>
      <w:r w:rsidR="005062D3">
        <w:rPr>
          <w:rFonts w:ascii="Times New Roman" w:hAnsi="Times New Roman" w:cs="Times New Roman"/>
          <w:sz w:val="24"/>
          <w:szCs w:val="24"/>
        </w:rPr>
        <w:t xml:space="preserve"> and </w:t>
      </w:r>
      <w:r w:rsidR="005062D3" w:rsidRPr="005062D3">
        <w:rPr>
          <w:rFonts w:ascii="Times New Roman" w:hAnsi="Times New Roman" w:cs="Times New Roman"/>
          <w:b/>
          <w:bCs/>
          <w:sz w:val="24"/>
          <w:szCs w:val="24"/>
        </w:rPr>
        <w:t>S2</w:t>
      </w:r>
      <w:r w:rsidRPr="00BB28ED">
        <w:rPr>
          <w:rFonts w:ascii="Times New Roman" w:hAnsi="Times New Roman" w:cs="Times New Roman"/>
          <w:sz w:val="24"/>
          <w:szCs w:val="24"/>
        </w:rPr>
        <w:t xml:space="preserve"> below f</w:t>
      </w:r>
      <w:r>
        <w:rPr>
          <w:rFonts w:ascii="Times New Roman" w:hAnsi="Times New Roman" w:cs="Times New Roman"/>
          <w:sz w:val="24"/>
          <w:szCs w:val="24"/>
        </w:rPr>
        <w:t>or the participant demographics</w:t>
      </w:r>
      <w:r w:rsidR="00925D9B">
        <w:rPr>
          <w:rFonts w:ascii="Times New Roman" w:hAnsi="Times New Roman" w:cs="Times New Roman"/>
          <w:sz w:val="24"/>
          <w:szCs w:val="24"/>
        </w:rPr>
        <w:t>.</w:t>
      </w:r>
    </w:p>
    <w:p w14:paraId="4A0925CB" w14:textId="77777777" w:rsidR="00D662D6" w:rsidRDefault="00D662D6" w:rsidP="00D81BAC">
      <w:pPr>
        <w:spacing w:line="360" w:lineRule="auto"/>
        <w:rPr>
          <w:rFonts w:ascii="Times New Roman" w:hAnsi="Times New Roman" w:cs="Times New Roman"/>
        </w:rPr>
      </w:pPr>
    </w:p>
    <w:p w14:paraId="7EF9ACCC" w14:textId="77777777" w:rsidR="00D662D6" w:rsidRPr="00BE1411" w:rsidRDefault="00D662D6" w:rsidP="00D662D6">
      <w:pPr>
        <w:rPr>
          <w:rFonts w:ascii="Times New Roman" w:hAnsi="Times New Roman" w:cs="Times New Roman"/>
          <w:sz w:val="24"/>
          <w:szCs w:val="24"/>
          <w:lang w:val="fr-FR"/>
        </w:rPr>
      </w:pPr>
      <w:r w:rsidRPr="00BE1411">
        <w:rPr>
          <w:rFonts w:ascii="Times New Roman" w:hAnsi="Times New Roman" w:cs="Times New Roman"/>
          <w:b/>
          <w:bCs/>
          <w:sz w:val="24"/>
          <w:szCs w:val="24"/>
          <w:lang w:val="fr-FR"/>
        </w:rPr>
        <w:t>Table S1</w:t>
      </w:r>
      <w:r w:rsidRPr="00BE1411">
        <w:rPr>
          <w:rFonts w:ascii="Times New Roman" w:hAnsi="Times New Roman" w:cs="Times New Roman"/>
          <w:sz w:val="24"/>
          <w:szCs w:val="24"/>
          <w:lang w:val="fr-FR"/>
        </w:rPr>
        <w:t>. Site 1 participant demographics (N=10)</w:t>
      </w:r>
    </w:p>
    <w:tbl>
      <w:tblPr>
        <w:tblStyle w:val="TableGrid"/>
        <w:tblW w:w="8217" w:type="dxa"/>
        <w:tblLook w:val="04A0" w:firstRow="1" w:lastRow="0" w:firstColumn="1" w:lastColumn="0" w:noHBand="0" w:noVBand="1"/>
      </w:tblPr>
      <w:tblGrid>
        <w:gridCol w:w="4673"/>
        <w:gridCol w:w="1843"/>
        <w:gridCol w:w="1701"/>
      </w:tblGrid>
      <w:tr w:rsidR="00D662D6" w14:paraId="2FADA115" w14:textId="77777777" w:rsidTr="00912678">
        <w:tc>
          <w:tcPr>
            <w:tcW w:w="4673" w:type="dxa"/>
          </w:tcPr>
          <w:p w14:paraId="4B66FBCE" w14:textId="77777777" w:rsidR="00D662D6" w:rsidRPr="00D81BAC" w:rsidRDefault="00D662D6" w:rsidP="00D856B6">
            <w:pPr>
              <w:rPr>
                <w:rFonts w:ascii="Times New Roman" w:hAnsi="Times New Roman" w:cs="Times New Roman"/>
                <w:b/>
                <w:bCs/>
                <w:sz w:val="20"/>
                <w:szCs w:val="20"/>
              </w:rPr>
            </w:pPr>
            <w:r>
              <w:rPr>
                <w:rFonts w:ascii="Times New Roman" w:hAnsi="Times New Roman" w:cs="Times New Roman"/>
                <w:b/>
                <w:bCs/>
                <w:sz w:val="20"/>
                <w:szCs w:val="20"/>
              </w:rPr>
              <w:t>Item</w:t>
            </w:r>
          </w:p>
        </w:tc>
        <w:tc>
          <w:tcPr>
            <w:tcW w:w="1843" w:type="dxa"/>
          </w:tcPr>
          <w:p w14:paraId="48D6E4AD" w14:textId="77777777" w:rsidR="00D662D6" w:rsidRDefault="00D662D6" w:rsidP="00D856B6">
            <w:pPr>
              <w:rPr>
                <w:rFonts w:ascii="Times New Roman" w:hAnsi="Times New Roman" w:cs="Times New Roman"/>
                <w:sz w:val="20"/>
                <w:szCs w:val="20"/>
              </w:rPr>
            </w:pPr>
            <w:r>
              <w:rPr>
                <w:rFonts w:ascii="Times New Roman" w:hAnsi="Times New Roman" w:cs="Times New Roman"/>
                <w:sz w:val="20"/>
                <w:szCs w:val="20"/>
              </w:rPr>
              <w:t>N</w:t>
            </w:r>
          </w:p>
        </w:tc>
        <w:tc>
          <w:tcPr>
            <w:tcW w:w="1701" w:type="dxa"/>
          </w:tcPr>
          <w:p w14:paraId="770FAEB1" w14:textId="77777777" w:rsidR="00D662D6" w:rsidRDefault="00D662D6" w:rsidP="00D856B6">
            <w:pPr>
              <w:rPr>
                <w:rFonts w:ascii="Times New Roman" w:hAnsi="Times New Roman" w:cs="Times New Roman"/>
                <w:sz w:val="20"/>
                <w:szCs w:val="20"/>
              </w:rPr>
            </w:pPr>
            <w:r>
              <w:rPr>
                <w:rFonts w:ascii="Times New Roman" w:hAnsi="Times New Roman" w:cs="Times New Roman"/>
                <w:sz w:val="20"/>
                <w:szCs w:val="20"/>
              </w:rPr>
              <w:t>%</w:t>
            </w:r>
          </w:p>
        </w:tc>
      </w:tr>
      <w:tr w:rsidR="00D662D6" w14:paraId="2ED559AD" w14:textId="77777777" w:rsidTr="00912678">
        <w:tc>
          <w:tcPr>
            <w:tcW w:w="4673" w:type="dxa"/>
          </w:tcPr>
          <w:p w14:paraId="330961F2" w14:textId="745D8717" w:rsidR="00D662D6" w:rsidRPr="0059680D" w:rsidRDefault="00D662D6" w:rsidP="00D856B6">
            <w:pPr>
              <w:rPr>
                <w:rFonts w:ascii="Times New Roman" w:hAnsi="Times New Roman" w:cs="Times New Roman"/>
                <w:b/>
                <w:bCs/>
                <w:sz w:val="20"/>
                <w:szCs w:val="20"/>
              </w:rPr>
            </w:pPr>
            <w:r w:rsidRPr="0059680D">
              <w:rPr>
                <w:rFonts w:ascii="Times New Roman" w:hAnsi="Times New Roman" w:cs="Times New Roman"/>
                <w:b/>
                <w:bCs/>
                <w:sz w:val="20"/>
                <w:szCs w:val="20"/>
              </w:rPr>
              <w:t xml:space="preserve">Leadership </w:t>
            </w:r>
            <w:r>
              <w:rPr>
                <w:rFonts w:ascii="Times New Roman" w:hAnsi="Times New Roman" w:cs="Times New Roman"/>
                <w:b/>
                <w:bCs/>
                <w:sz w:val="20"/>
                <w:szCs w:val="20"/>
              </w:rPr>
              <w:t>role/</w:t>
            </w:r>
            <w:r w:rsidRPr="0059680D">
              <w:rPr>
                <w:rFonts w:ascii="Times New Roman" w:hAnsi="Times New Roman" w:cs="Times New Roman"/>
                <w:b/>
                <w:bCs/>
                <w:sz w:val="20"/>
                <w:szCs w:val="20"/>
              </w:rPr>
              <w:t>position</w:t>
            </w:r>
          </w:p>
          <w:p w14:paraId="09FF470D" w14:textId="77777777" w:rsidR="00D662D6" w:rsidRDefault="00D662D6" w:rsidP="00D856B6">
            <w:pPr>
              <w:rPr>
                <w:rFonts w:ascii="Times New Roman" w:hAnsi="Times New Roman" w:cs="Times New Roman"/>
                <w:sz w:val="20"/>
                <w:szCs w:val="20"/>
              </w:rPr>
            </w:pPr>
            <w:r>
              <w:rPr>
                <w:rFonts w:ascii="Times New Roman" w:hAnsi="Times New Roman" w:cs="Times New Roman"/>
                <w:sz w:val="20"/>
                <w:szCs w:val="20"/>
              </w:rPr>
              <w:t xml:space="preserve">   Manager (department, unit)</w:t>
            </w:r>
          </w:p>
          <w:p w14:paraId="215571CD" w14:textId="77777777" w:rsidR="00D662D6" w:rsidRPr="00741339" w:rsidRDefault="00D662D6" w:rsidP="00D856B6">
            <w:pPr>
              <w:rPr>
                <w:rFonts w:ascii="Times New Roman" w:hAnsi="Times New Roman" w:cs="Times New Roman"/>
                <w:sz w:val="20"/>
                <w:szCs w:val="20"/>
              </w:rPr>
            </w:pPr>
            <w:r w:rsidRPr="00741339">
              <w:rPr>
                <w:rFonts w:ascii="Times New Roman" w:hAnsi="Times New Roman" w:cs="Times New Roman"/>
                <w:sz w:val="20"/>
                <w:szCs w:val="20"/>
              </w:rPr>
              <w:t xml:space="preserve">   Assistant Dean</w:t>
            </w:r>
          </w:p>
          <w:p w14:paraId="65FB822A" w14:textId="77777777" w:rsidR="00D662D6" w:rsidRDefault="00D662D6" w:rsidP="00D856B6">
            <w:pPr>
              <w:rPr>
                <w:rFonts w:ascii="Times New Roman" w:hAnsi="Times New Roman" w:cs="Times New Roman"/>
                <w:sz w:val="20"/>
                <w:szCs w:val="20"/>
              </w:rPr>
            </w:pPr>
            <w:r w:rsidRPr="00741339">
              <w:rPr>
                <w:rFonts w:ascii="Times New Roman" w:hAnsi="Times New Roman" w:cs="Times New Roman"/>
                <w:sz w:val="20"/>
                <w:szCs w:val="20"/>
              </w:rPr>
              <w:t xml:space="preserve">   Vice-dean</w:t>
            </w:r>
          </w:p>
          <w:p w14:paraId="3873C2DE" w14:textId="7A92802F" w:rsidR="00470F6D" w:rsidRPr="00741339" w:rsidRDefault="00470F6D" w:rsidP="00D856B6">
            <w:pPr>
              <w:rPr>
                <w:rFonts w:ascii="Times New Roman" w:hAnsi="Times New Roman" w:cs="Times New Roman"/>
                <w:sz w:val="20"/>
                <w:szCs w:val="20"/>
              </w:rPr>
            </w:pPr>
            <w:r>
              <w:rPr>
                <w:rFonts w:ascii="Times New Roman" w:hAnsi="Times New Roman" w:cs="Times New Roman"/>
                <w:sz w:val="20"/>
                <w:szCs w:val="20"/>
              </w:rPr>
              <w:t xml:space="preserve">   Director of development</w:t>
            </w:r>
          </w:p>
          <w:p w14:paraId="7CBD640A" w14:textId="451824EC" w:rsidR="00D662D6" w:rsidRPr="00741339" w:rsidRDefault="00D662D6" w:rsidP="00D856B6">
            <w:pPr>
              <w:rPr>
                <w:rFonts w:ascii="Times New Roman" w:hAnsi="Times New Roman" w:cs="Times New Roman"/>
                <w:sz w:val="20"/>
                <w:szCs w:val="20"/>
              </w:rPr>
            </w:pPr>
            <w:r w:rsidRPr="00741339">
              <w:rPr>
                <w:rFonts w:ascii="Times New Roman" w:hAnsi="Times New Roman" w:cs="Times New Roman"/>
                <w:sz w:val="20"/>
                <w:szCs w:val="20"/>
              </w:rPr>
              <w:t xml:space="preserve">   Principal</w:t>
            </w:r>
            <w:r w:rsidR="005062D3">
              <w:rPr>
                <w:rFonts w:ascii="Times New Roman" w:hAnsi="Times New Roman" w:cs="Times New Roman"/>
                <w:sz w:val="20"/>
                <w:szCs w:val="20"/>
              </w:rPr>
              <w:t>/education</w:t>
            </w:r>
            <w:r w:rsidRPr="00741339">
              <w:rPr>
                <w:rFonts w:ascii="Times New Roman" w:hAnsi="Times New Roman" w:cs="Times New Roman"/>
                <w:sz w:val="20"/>
                <w:szCs w:val="20"/>
              </w:rPr>
              <w:t xml:space="preserve"> lead</w:t>
            </w:r>
          </w:p>
          <w:p w14:paraId="7487F949" w14:textId="78444C88" w:rsidR="00D662D6" w:rsidRDefault="00D662D6" w:rsidP="00D856B6">
            <w:pPr>
              <w:rPr>
                <w:rFonts w:ascii="Times New Roman" w:hAnsi="Times New Roman" w:cs="Times New Roman"/>
                <w:sz w:val="20"/>
                <w:szCs w:val="20"/>
              </w:rPr>
            </w:pPr>
            <w:r w:rsidRPr="00741339">
              <w:rPr>
                <w:rFonts w:ascii="Times New Roman" w:hAnsi="Times New Roman" w:cs="Times New Roman"/>
                <w:sz w:val="20"/>
                <w:szCs w:val="20"/>
              </w:rPr>
              <w:t xml:space="preserve">   </w:t>
            </w:r>
          </w:p>
        </w:tc>
        <w:tc>
          <w:tcPr>
            <w:tcW w:w="1843" w:type="dxa"/>
          </w:tcPr>
          <w:p w14:paraId="1F734C79" w14:textId="77777777" w:rsidR="00D662D6" w:rsidRDefault="00D662D6" w:rsidP="00D856B6">
            <w:pPr>
              <w:rPr>
                <w:rFonts w:ascii="Times New Roman" w:hAnsi="Times New Roman" w:cs="Times New Roman"/>
                <w:sz w:val="20"/>
                <w:szCs w:val="20"/>
              </w:rPr>
            </w:pPr>
          </w:p>
          <w:p w14:paraId="2549879D" w14:textId="144F585E" w:rsidR="00D662D6" w:rsidRDefault="00124749" w:rsidP="00D856B6">
            <w:pPr>
              <w:rPr>
                <w:rFonts w:ascii="Times New Roman" w:hAnsi="Times New Roman" w:cs="Times New Roman"/>
                <w:sz w:val="20"/>
                <w:szCs w:val="20"/>
              </w:rPr>
            </w:pPr>
            <w:r>
              <w:rPr>
                <w:rFonts w:ascii="Times New Roman" w:hAnsi="Times New Roman" w:cs="Times New Roman"/>
                <w:sz w:val="20"/>
                <w:szCs w:val="20"/>
              </w:rPr>
              <w:t>2</w:t>
            </w:r>
          </w:p>
          <w:p w14:paraId="10E45AB8" w14:textId="77777777" w:rsidR="00D662D6" w:rsidRDefault="00D662D6" w:rsidP="00D856B6">
            <w:pPr>
              <w:rPr>
                <w:rFonts w:ascii="Times New Roman" w:hAnsi="Times New Roman" w:cs="Times New Roman"/>
                <w:sz w:val="20"/>
                <w:szCs w:val="20"/>
              </w:rPr>
            </w:pPr>
            <w:r>
              <w:rPr>
                <w:rFonts w:ascii="Times New Roman" w:hAnsi="Times New Roman" w:cs="Times New Roman"/>
                <w:sz w:val="20"/>
                <w:szCs w:val="20"/>
              </w:rPr>
              <w:t>3</w:t>
            </w:r>
          </w:p>
          <w:p w14:paraId="2378FFAA" w14:textId="77777777" w:rsidR="00D662D6" w:rsidRDefault="00D662D6" w:rsidP="00D856B6">
            <w:pPr>
              <w:rPr>
                <w:rFonts w:ascii="Times New Roman" w:hAnsi="Times New Roman" w:cs="Times New Roman"/>
                <w:sz w:val="20"/>
                <w:szCs w:val="20"/>
              </w:rPr>
            </w:pPr>
            <w:r>
              <w:rPr>
                <w:rFonts w:ascii="Times New Roman" w:hAnsi="Times New Roman" w:cs="Times New Roman"/>
                <w:sz w:val="20"/>
                <w:szCs w:val="20"/>
              </w:rPr>
              <w:t>2</w:t>
            </w:r>
          </w:p>
          <w:p w14:paraId="73F4E6C9" w14:textId="2EC30B05" w:rsidR="00D662D6" w:rsidRDefault="005062D3" w:rsidP="00D856B6">
            <w:pPr>
              <w:rPr>
                <w:rFonts w:ascii="Times New Roman" w:hAnsi="Times New Roman" w:cs="Times New Roman"/>
                <w:sz w:val="20"/>
                <w:szCs w:val="20"/>
              </w:rPr>
            </w:pPr>
            <w:r>
              <w:rPr>
                <w:rFonts w:ascii="Times New Roman" w:hAnsi="Times New Roman" w:cs="Times New Roman"/>
                <w:sz w:val="20"/>
                <w:szCs w:val="20"/>
              </w:rPr>
              <w:t>1</w:t>
            </w:r>
          </w:p>
          <w:p w14:paraId="1546988B" w14:textId="115383D9" w:rsidR="00D662D6" w:rsidRDefault="005062D3" w:rsidP="00D856B6">
            <w:pPr>
              <w:rPr>
                <w:rFonts w:ascii="Times New Roman" w:hAnsi="Times New Roman" w:cs="Times New Roman"/>
                <w:sz w:val="20"/>
                <w:szCs w:val="20"/>
              </w:rPr>
            </w:pPr>
            <w:r>
              <w:rPr>
                <w:rFonts w:ascii="Times New Roman" w:hAnsi="Times New Roman" w:cs="Times New Roman"/>
                <w:sz w:val="20"/>
                <w:szCs w:val="20"/>
              </w:rPr>
              <w:t>2</w:t>
            </w:r>
          </w:p>
        </w:tc>
        <w:tc>
          <w:tcPr>
            <w:tcW w:w="1701" w:type="dxa"/>
          </w:tcPr>
          <w:p w14:paraId="6554B068" w14:textId="77777777" w:rsidR="00D662D6" w:rsidRDefault="00D662D6" w:rsidP="00D856B6">
            <w:pPr>
              <w:rPr>
                <w:rFonts w:ascii="Times New Roman" w:hAnsi="Times New Roman" w:cs="Times New Roman"/>
                <w:sz w:val="20"/>
                <w:szCs w:val="20"/>
              </w:rPr>
            </w:pPr>
          </w:p>
          <w:p w14:paraId="77AB59A6" w14:textId="77777777" w:rsidR="00D662D6" w:rsidRDefault="008E714E" w:rsidP="00D856B6">
            <w:pPr>
              <w:rPr>
                <w:rFonts w:ascii="Times New Roman" w:hAnsi="Times New Roman" w:cs="Times New Roman"/>
                <w:sz w:val="20"/>
                <w:szCs w:val="20"/>
              </w:rPr>
            </w:pPr>
            <w:r>
              <w:rPr>
                <w:rFonts w:ascii="Times New Roman" w:hAnsi="Times New Roman" w:cs="Times New Roman"/>
                <w:sz w:val="20"/>
                <w:szCs w:val="20"/>
              </w:rPr>
              <w:t>20%</w:t>
            </w:r>
          </w:p>
          <w:p w14:paraId="0DC62880" w14:textId="77777777" w:rsidR="008E714E" w:rsidRDefault="008E714E" w:rsidP="00D856B6">
            <w:pPr>
              <w:rPr>
                <w:rFonts w:ascii="Times New Roman" w:hAnsi="Times New Roman" w:cs="Times New Roman"/>
                <w:sz w:val="20"/>
                <w:szCs w:val="20"/>
              </w:rPr>
            </w:pPr>
            <w:r>
              <w:rPr>
                <w:rFonts w:ascii="Times New Roman" w:hAnsi="Times New Roman" w:cs="Times New Roman"/>
                <w:sz w:val="20"/>
                <w:szCs w:val="20"/>
              </w:rPr>
              <w:t>30%</w:t>
            </w:r>
          </w:p>
          <w:p w14:paraId="78A134B4" w14:textId="77777777" w:rsidR="008E714E" w:rsidRDefault="008E714E" w:rsidP="00D856B6">
            <w:pPr>
              <w:rPr>
                <w:rFonts w:ascii="Times New Roman" w:hAnsi="Times New Roman" w:cs="Times New Roman"/>
                <w:sz w:val="20"/>
                <w:szCs w:val="20"/>
              </w:rPr>
            </w:pPr>
            <w:r>
              <w:rPr>
                <w:rFonts w:ascii="Times New Roman" w:hAnsi="Times New Roman" w:cs="Times New Roman"/>
                <w:sz w:val="20"/>
                <w:szCs w:val="20"/>
              </w:rPr>
              <w:t>20%</w:t>
            </w:r>
          </w:p>
          <w:p w14:paraId="34949391" w14:textId="77777777" w:rsidR="008E714E" w:rsidRDefault="008E714E" w:rsidP="00D856B6">
            <w:pPr>
              <w:rPr>
                <w:rFonts w:ascii="Times New Roman" w:hAnsi="Times New Roman" w:cs="Times New Roman"/>
                <w:sz w:val="20"/>
                <w:szCs w:val="20"/>
              </w:rPr>
            </w:pPr>
            <w:r>
              <w:rPr>
                <w:rFonts w:ascii="Times New Roman" w:hAnsi="Times New Roman" w:cs="Times New Roman"/>
                <w:sz w:val="20"/>
                <w:szCs w:val="20"/>
              </w:rPr>
              <w:t>10%</w:t>
            </w:r>
          </w:p>
          <w:p w14:paraId="5056D926" w14:textId="5CFF828A" w:rsidR="008E714E" w:rsidRDefault="008E714E" w:rsidP="00D856B6">
            <w:pPr>
              <w:rPr>
                <w:rFonts w:ascii="Times New Roman" w:hAnsi="Times New Roman" w:cs="Times New Roman"/>
                <w:sz w:val="20"/>
                <w:szCs w:val="20"/>
              </w:rPr>
            </w:pPr>
            <w:r>
              <w:rPr>
                <w:rFonts w:ascii="Times New Roman" w:hAnsi="Times New Roman" w:cs="Times New Roman"/>
                <w:sz w:val="20"/>
                <w:szCs w:val="20"/>
              </w:rPr>
              <w:t>20%</w:t>
            </w:r>
          </w:p>
        </w:tc>
      </w:tr>
      <w:tr w:rsidR="00D662D6" w:rsidRPr="00E63C63" w14:paraId="185EB9FF" w14:textId="77777777" w:rsidTr="00912678">
        <w:tc>
          <w:tcPr>
            <w:tcW w:w="4673" w:type="dxa"/>
          </w:tcPr>
          <w:p w14:paraId="0A85EFA4" w14:textId="19AFBD50" w:rsidR="00124749" w:rsidRPr="008E714E" w:rsidRDefault="00D662D6" w:rsidP="00124749">
            <w:pPr>
              <w:rPr>
                <w:rFonts w:ascii="Times New Roman" w:hAnsi="Times New Roman" w:cs="Times New Roman"/>
                <w:b/>
                <w:bCs/>
                <w:sz w:val="20"/>
                <w:szCs w:val="20"/>
              </w:rPr>
            </w:pPr>
            <w:r w:rsidRPr="005062D3">
              <w:rPr>
                <w:rFonts w:ascii="Times New Roman" w:hAnsi="Times New Roman" w:cs="Times New Roman"/>
                <w:b/>
                <w:bCs/>
                <w:sz w:val="20"/>
                <w:szCs w:val="20"/>
              </w:rPr>
              <w:t>Leadership responsibilities related to clinical teaching</w:t>
            </w:r>
          </w:p>
          <w:p w14:paraId="6C7CA361" w14:textId="539CA842" w:rsidR="00124749" w:rsidRPr="00124749" w:rsidRDefault="00124749" w:rsidP="008E714E">
            <w:pPr>
              <w:rPr>
                <w:rFonts w:ascii="Times New Roman" w:hAnsi="Times New Roman" w:cs="Times New Roman"/>
                <w:sz w:val="20"/>
                <w:szCs w:val="20"/>
                <w:highlight w:val="yellow"/>
              </w:rPr>
            </w:pPr>
            <w:r w:rsidRPr="00124749">
              <w:rPr>
                <w:rFonts w:ascii="Times New Roman" w:hAnsi="Times New Roman" w:cs="Times New Roman"/>
                <w:sz w:val="20"/>
                <w:szCs w:val="20"/>
                <w:highlight w:val="yellow"/>
              </w:rPr>
              <w:t xml:space="preserve">  </w:t>
            </w:r>
          </w:p>
          <w:p w14:paraId="787A4FE5" w14:textId="4B2DBCB2" w:rsidR="00912678" w:rsidRDefault="00124749" w:rsidP="008E714E">
            <w:pPr>
              <w:rPr>
                <w:rFonts w:ascii="Times New Roman" w:hAnsi="Times New Roman" w:cs="Times New Roman"/>
                <w:sz w:val="20"/>
                <w:szCs w:val="20"/>
              </w:rPr>
            </w:pPr>
            <w:r w:rsidRPr="008E714E">
              <w:rPr>
                <w:rFonts w:ascii="Times New Roman" w:hAnsi="Times New Roman" w:cs="Times New Roman"/>
                <w:sz w:val="20"/>
                <w:szCs w:val="20"/>
              </w:rPr>
              <w:t xml:space="preserve">  </w:t>
            </w:r>
            <w:r w:rsidR="008E714E" w:rsidRPr="008E714E">
              <w:rPr>
                <w:rFonts w:ascii="Times New Roman" w:hAnsi="Times New Roman" w:cs="Times New Roman"/>
                <w:sz w:val="20"/>
                <w:szCs w:val="20"/>
              </w:rPr>
              <w:t xml:space="preserve">Oversee and/or direct education development and </w:t>
            </w:r>
          </w:p>
          <w:p w14:paraId="345D956C" w14:textId="34ACC65E" w:rsidR="00D662D6" w:rsidRPr="008E714E" w:rsidRDefault="00912678" w:rsidP="008E714E">
            <w:pPr>
              <w:rPr>
                <w:rFonts w:ascii="Times New Roman" w:hAnsi="Times New Roman" w:cs="Times New Roman"/>
                <w:sz w:val="20"/>
                <w:szCs w:val="20"/>
              </w:rPr>
            </w:pPr>
            <w:r>
              <w:rPr>
                <w:rFonts w:ascii="Times New Roman" w:hAnsi="Times New Roman" w:cs="Times New Roman"/>
                <w:sz w:val="20"/>
                <w:szCs w:val="20"/>
              </w:rPr>
              <w:t xml:space="preserve">  </w:t>
            </w:r>
            <w:r w:rsidR="008E714E" w:rsidRPr="008E714E">
              <w:rPr>
                <w:rFonts w:ascii="Times New Roman" w:hAnsi="Times New Roman" w:cs="Times New Roman"/>
                <w:sz w:val="20"/>
                <w:szCs w:val="20"/>
              </w:rPr>
              <w:t xml:space="preserve">education management </w:t>
            </w:r>
          </w:p>
          <w:p w14:paraId="0A1C318A" w14:textId="205A4877" w:rsidR="00D630C1" w:rsidRPr="008E714E" w:rsidRDefault="00D630C1" w:rsidP="00124749">
            <w:pPr>
              <w:rPr>
                <w:rFonts w:ascii="Times New Roman" w:hAnsi="Times New Roman" w:cs="Times New Roman"/>
                <w:sz w:val="20"/>
                <w:szCs w:val="20"/>
              </w:rPr>
            </w:pPr>
          </w:p>
          <w:p w14:paraId="75D8F94A" w14:textId="25C01565" w:rsidR="00D630C1" w:rsidRPr="008E714E" w:rsidRDefault="008E714E" w:rsidP="00124749">
            <w:pPr>
              <w:rPr>
                <w:rFonts w:ascii="Times New Roman" w:hAnsi="Times New Roman" w:cs="Times New Roman"/>
                <w:sz w:val="20"/>
                <w:szCs w:val="20"/>
              </w:rPr>
            </w:pPr>
            <w:r w:rsidRPr="008E714E">
              <w:rPr>
                <w:rFonts w:ascii="Times New Roman" w:hAnsi="Times New Roman" w:cs="Times New Roman"/>
                <w:sz w:val="20"/>
                <w:szCs w:val="20"/>
              </w:rPr>
              <w:t xml:space="preserve">  Oversee</w:t>
            </w:r>
            <w:r w:rsidR="00D630C1" w:rsidRPr="008E714E">
              <w:rPr>
                <w:rFonts w:ascii="Times New Roman" w:hAnsi="Times New Roman" w:cs="Times New Roman"/>
                <w:sz w:val="20"/>
                <w:szCs w:val="20"/>
              </w:rPr>
              <w:t xml:space="preserve"> academic and</w:t>
            </w:r>
            <w:r w:rsidRPr="008E714E">
              <w:rPr>
                <w:rFonts w:ascii="Times New Roman" w:hAnsi="Times New Roman" w:cs="Times New Roman"/>
                <w:sz w:val="20"/>
                <w:szCs w:val="20"/>
              </w:rPr>
              <w:t xml:space="preserve"> </w:t>
            </w:r>
            <w:r w:rsidR="00D630C1" w:rsidRPr="008E714E">
              <w:rPr>
                <w:rFonts w:ascii="Times New Roman" w:hAnsi="Times New Roman" w:cs="Times New Roman"/>
                <w:sz w:val="20"/>
                <w:szCs w:val="20"/>
              </w:rPr>
              <w:t xml:space="preserve">administration tasks </w:t>
            </w:r>
          </w:p>
          <w:p w14:paraId="44EC6B03" w14:textId="77777777" w:rsidR="008E714E" w:rsidRPr="008E714E" w:rsidRDefault="008E714E" w:rsidP="00124749">
            <w:pPr>
              <w:rPr>
                <w:rFonts w:ascii="Times New Roman" w:hAnsi="Times New Roman" w:cs="Times New Roman"/>
                <w:sz w:val="20"/>
                <w:szCs w:val="20"/>
              </w:rPr>
            </w:pPr>
          </w:p>
          <w:p w14:paraId="0FE93B97" w14:textId="77777777" w:rsidR="00912678" w:rsidRDefault="008E714E" w:rsidP="00124749">
            <w:pPr>
              <w:rPr>
                <w:rFonts w:ascii="Times New Roman" w:hAnsi="Times New Roman" w:cs="Times New Roman"/>
                <w:sz w:val="20"/>
                <w:szCs w:val="20"/>
              </w:rPr>
            </w:pPr>
            <w:r w:rsidRPr="008E714E">
              <w:rPr>
                <w:rFonts w:ascii="Times New Roman" w:hAnsi="Times New Roman" w:cs="Times New Roman"/>
                <w:sz w:val="20"/>
                <w:szCs w:val="20"/>
              </w:rPr>
              <w:t xml:space="preserve">  Oversee teaching in clinical</w:t>
            </w:r>
            <w:r>
              <w:rPr>
                <w:rFonts w:ascii="Times New Roman" w:hAnsi="Times New Roman" w:cs="Times New Roman"/>
                <w:sz w:val="20"/>
                <w:szCs w:val="20"/>
              </w:rPr>
              <w:t xml:space="preserve"> </w:t>
            </w:r>
            <w:r w:rsidRPr="008E714E">
              <w:rPr>
                <w:rFonts w:ascii="Times New Roman" w:hAnsi="Times New Roman" w:cs="Times New Roman"/>
                <w:sz w:val="20"/>
                <w:szCs w:val="20"/>
              </w:rPr>
              <w:t xml:space="preserve">postings of healthcare </w:t>
            </w:r>
          </w:p>
          <w:p w14:paraId="65DDBBC7" w14:textId="0A7E16DF" w:rsidR="008E714E" w:rsidRPr="008E714E" w:rsidRDefault="00912678" w:rsidP="00124749">
            <w:pPr>
              <w:rPr>
                <w:rFonts w:ascii="Times New Roman" w:hAnsi="Times New Roman" w:cs="Times New Roman"/>
                <w:sz w:val="20"/>
                <w:szCs w:val="20"/>
              </w:rPr>
            </w:pPr>
            <w:r>
              <w:rPr>
                <w:rFonts w:ascii="Times New Roman" w:hAnsi="Times New Roman" w:cs="Times New Roman"/>
                <w:sz w:val="20"/>
                <w:szCs w:val="20"/>
              </w:rPr>
              <w:t xml:space="preserve">  </w:t>
            </w:r>
            <w:r w:rsidR="008E714E" w:rsidRPr="008E714E">
              <w:rPr>
                <w:rFonts w:ascii="Times New Roman" w:hAnsi="Times New Roman" w:cs="Times New Roman"/>
                <w:sz w:val="20"/>
                <w:szCs w:val="20"/>
              </w:rPr>
              <w:t xml:space="preserve">site </w:t>
            </w:r>
          </w:p>
          <w:p w14:paraId="7ED276D1" w14:textId="77777777" w:rsidR="00D630C1" w:rsidRPr="008E714E" w:rsidRDefault="00D630C1" w:rsidP="00124749">
            <w:pPr>
              <w:rPr>
                <w:rFonts w:ascii="Times New Roman" w:hAnsi="Times New Roman" w:cs="Times New Roman"/>
                <w:sz w:val="20"/>
                <w:szCs w:val="20"/>
              </w:rPr>
            </w:pPr>
          </w:p>
          <w:p w14:paraId="10B028E3" w14:textId="77777777" w:rsidR="009C399C" w:rsidRDefault="008E714E" w:rsidP="00124749">
            <w:pPr>
              <w:rPr>
                <w:rFonts w:ascii="Times New Roman" w:hAnsi="Times New Roman" w:cs="Times New Roman"/>
                <w:sz w:val="20"/>
                <w:szCs w:val="20"/>
              </w:rPr>
            </w:pPr>
            <w:r w:rsidRPr="008E714E">
              <w:rPr>
                <w:rFonts w:ascii="Times New Roman" w:hAnsi="Times New Roman" w:cs="Times New Roman"/>
                <w:sz w:val="20"/>
                <w:szCs w:val="20"/>
              </w:rPr>
              <w:t xml:space="preserve">  </w:t>
            </w:r>
            <w:r w:rsidR="009C399C">
              <w:rPr>
                <w:rFonts w:ascii="Times New Roman" w:hAnsi="Times New Roman" w:cs="Times New Roman"/>
                <w:sz w:val="20"/>
                <w:szCs w:val="20"/>
              </w:rPr>
              <w:t>Oversee</w:t>
            </w:r>
            <w:r w:rsidR="00D630C1" w:rsidRPr="008E714E">
              <w:rPr>
                <w:rFonts w:ascii="Times New Roman" w:hAnsi="Times New Roman" w:cs="Times New Roman"/>
                <w:sz w:val="20"/>
                <w:szCs w:val="20"/>
              </w:rPr>
              <w:t xml:space="preserve"> the direction and</w:t>
            </w:r>
            <w:r>
              <w:rPr>
                <w:rFonts w:ascii="Times New Roman" w:hAnsi="Times New Roman" w:cs="Times New Roman"/>
                <w:sz w:val="20"/>
                <w:szCs w:val="20"/>
              </w:rPr>
              <w:t xml:space="preserve"> </w:t>
            </w:r>
            <w:r w:rsidR="00D630C1" w:rsidRPr="008E714E">
              <w:rPr>
                <w:rFonts w:ascii="Times New Roman" w:hAnsi="Times New Roman" w:cs="Times New Roman"/>
                <w:sz w:val="20"/>
                <w:szCs w:val="20"/>
              </w:rPr>
              <w:t xml:space="preserve">operations of </w:t>
            </w:r>
            <w:r w:rsidR="009C399C">
              <w:rPr>
                <w:rFonts w:ascii="Times New Roman" w:hAnsi="Times New Roman" w:cs="Times New Roman"/>
                <w:sz w:val="20"/>
                <w:szCs w:val="20"/>
              </w:rPr>
              <w:t xml:space="preserve">a </w:t>
            </w:r>
            <w:r w:rsidR="00D630C1" w:rsidRPr="008E714E">
              <w:rPr>
                <w:rFonts w:ascii="Times New Roman" w:hAnsi="Times New Roman" w:cs="Times New Roman"/>
                <w:sz w:val="20"/>
                <w:szCs w:val="20"/>
              </w:rPr>
              <w:t>unit</w:t>
            </w:r>
            <w:r w:rsidR="00912678">
              <w:rPr>
                <w:rFonts w:ascii="Times New Roman" w:hAnsi="Times New Roman" w:cs="Times New Roman"/>
                <w:sz w:val="20"/>
                <w:szCs w:val="20"/>
              </w:rPr>
              <w:t xml:space="preserve"> </w:t>
            </w:r>
            <w:r w:rsidR="009C399C">
              <w:rPr>
                <w:rFonts w:ascii="Times New Roman" w:hAnsi="Times New Roman" w:cs="Times New Roman"/>
                <w:sz w:val="20"/>
                <w:szCs w:val="20"/>
              </w:rPr>
              <w:t xml:space="preserve">   </w:t>
            </w:r>
          </w:p>
          <w:p w14:paraId="251EE3F8" w14:textId="5D2F15DC" w:rsidR="00D630C1" w:rsidRPr="008E714E" w:rsidRDefault="009C399C" w:rsidP="00124749">
            <w:pPr>
              <w:rPr>
                <w:rFonts w:ascii="Times New Roman" w:hAnsi="Times New Roman" w:cs="Times New Roman"/>
                <w:sz w:val="20"/>
                <w:szCs w:val="20"/>
              </w:rPr>
            </w:pPr>
            <w:r>
              <w:rPr>
                <w:rFonts w:ascii="Times New Roman" w:hAnsi="Times New Roman" w:cs="Times New Roman"/>
                <w:sz w:val="20"/>
                <w:szCs w:val="20"/>
              </w:rPr>
              <w:t xml:space="preserve">   </w:t>
            </w:r>
            <w:r w:rsidR="00D630C1" w:rsidRPr="008E714E">
              <w:rPr>
                <w:rFonts w:ascii="Times New Roman" w:hAnsi="Times New Roman" w:cs="Times New Roman"/>
                <w:sz w:val="20"/>
                <w:szCs w:val="20"/>
              </w:rPr>
              <w:t>(education</w:t>
            </w:r>
            <w:r w:rsidR="00912678">
              <w:rPr>
                <w:rFonts w:ascii="Times New Roman" w:hAnsi="Times New Roman" w:cs="Times New Roman"/>
                <w:sz w:val="20"/>
                <w:szCs w:val="20"/>
              </w:rPr>
              <w:t xml:space="preserve"> </w:t>
            </w:r>
            <w:r w:rsidR="00D630C1" w:rsidRPr="008E714E">
              <w:rPr>
                <w:rFonts w:ascii="Times New Roman" w:hAnsi="Times New Roman" w:cs="Times New Roman"/>
                <w:sz w:val="20"/>
                <w:szCs w:val="20"/>
              </w:rPr>
              <w:t>and</w:t>
            </w:r>
            <w:r w:rsidR="008E714E">
              <w:rPr>
                <w:rFonts w:ascii="Times New Roman" w:hAnsi="Times New Roman" w:cs="Times New Roman"/>
                <w:sz w:val="20"/>
                <w:szCs w:val="20"/>
              </w:rPr>
              <w:t xml:space="preserve"> </w:t>
            </w:r>
            <w:r w:rsidR="00D630C1" w:rsidRPr="008E714E">
              <w:rPr>
                <w:rFonts w:ascii="Times New Roman" w:hAnsi="Times New Roman" w:cs="Times New Roman"/>
                <w:sz w:val="20"/>
                <w:szCs w:val="20"/>
              </w:rPr>
              <w:t xml:space="preserve">clinical affairs) </w:t>
            </w:r>
          </w:p>
        </w:tc>
        <w:tc>
          <w:tcPr>
            <w:tcW w:w="1843" w:type="dxa"/>
          </w:tcPr>
          <w:p w14:paraId="0546763D" w14:textId="77777777" w:rsidR="008E714E" w:rsidRDefault="008E714E" w:rsidP="00D856B6">
            <w:pPr>
              <w:rPr>
                <w:rFonts w:ascii="Times New Roman" w:hAnsi="Times New Roman" w:cs="Times New Roman"/>
                <w:sz w:val="20"/>
                <w:szCs w:val="20"/>
              </w:rPr>
            </w:pPr>
          </w:p>
          <w:p w14:paraId="0A089172" w14:textId="77777777" w:rsidR="008E714E" w:rsidRDefault="008E714E" w:rsidP="00D856B6">
            <w:pPr>
              <w:rPr>
                <w:rFonts w:ascii="Times New Roman" w:hAnsi="Times New Roman" w:cs="Times New Roman"/>
                <w:sz w:val="20"/>
                <w:szCs w:val="20"/>
              </w:rPr>
            </w:pPr>
          </w:p>
          <w:p w14:paraId="4496F091" w14:textId="77777777" w:rsidR="008E714E" w:rsidRDefault="008E714E" w:rsidP="00D856B6">
            <w:pPr>
              <w:rPr>
                <w:rFonts w:ascii="Times New Roman" w:hAnsi="Times New Roman" w:cs="Times New Roman"/>
                <w:sz w:val="20"/>
                <w:szCs w:val="20"/>
              </w:rPr>
            </w:pPr>
          </w:p>
          <w:p w14:paraId="5406ABCD" w14:textId="1EF9BAD4" w:rsidR="008E714E" w:rsidRDefault="008E714E" w:rsidP="00D856B6">
            <w:pPr>
              <w:rPr>
                <w:rFonts w:ascii="Times New Roman" w:hAnsi="Times New Roman" w:cs="Times New Roman"/>
                <w:sz w:val="20"/>
                <w:szCs w:val="20"/>
              </w:rPr>
            </w:pPr>
            <w:r>
              <w:rPr>
                <w:rFonts w:ascii="Times New Roman" w:hAnsi="Times New Roman" w:cs="Times New Roman"/>
                <w:sz w:val="20"/>
                <w:szCs w:val="20"/>
              </w:rPr>
              <w:t>3</w:t>
            </w:r>
          </w:p>
          <w:p w14:paraId="7C5018DF" w14:textId="77777777" w:rsidR="008E714E" w:rsidRDefault="008E714E" w:rsidP="00D856B6">
            <w:pPr>
              <w:rPr>
                <w:rFonts w:ascii="Times New Roman" w:hAnsi="Times New Roman" w:cs="Times New Roman"/>
                <w:sz w:val="20"/>
                <w:szCs w:val="20"/>
              </w:rPr>
            </w:pPr>
          </w:p>
          <w:p w14:paraId="0021ACC1" w14:textId="77777777" w:rsidR="008E714E" w:rsidRDefault="008E714E" w:rsidP="00D856B6">
            <w:pPr>
              <w:rPr>
                <w:rFonts w:ascii="Times New Roman" w:hAnsi="Times New Roman" w:cs="Times New Roman"/>
                <w:sz w:val="20"/>
                <w:szCs w:val="20"/>
              </w:rPr>
            </w:pPr>
          </w:p>
          <w:p w14:paraId="1F6BE8DD" w14:textId="09D12D65" w:rsidR="008E714E" w:rsidRDefault="008E714E" w:rsidP="00D856B6">
            <w:pPr>
              <w:rPr>
                <w:rFonts w:ascii="Times New Roman" w:hAnsi="Times New Roman" w:cs="Times New Roman"/>
                <w:sz w:val="20"/>
                <w:szCs w:val="20"/>
              </w:rPr>
            </w:pPr>
            <w:r>
              <w:rPr>
                <w:rFonts w:ascii="Times New Roman" w:hAnsi="Times New Roman" w:cs="Times New Roman"/>
                <w:sz w:val="20"/>
                <w:szCs w:val="20"/>
              </w:rPr>
              <w:t>3</w:t>
            </w:r>
          </w:p>
          <w:p w14:paraId="6FE43692" w14:textId="77777777" w:rsidR="008E714E" w:rsidRDefault="008E714E" w:rsidP="00D856B6">
            <w:pPr>
              <w:rPr>
                <w:rFonts w:ascii="Times New Roman" w:hAnsi="Times New Roman" w:cs="Times New Roman"/>
                <w:sz w:val="20"/>
                <w:szCs w:val="20"/>
              </w:rPr>
            </w:pPr>
          </w:p>
          <w:p w14:paraId="43B8A4C2" w14:textId="0926AF19" w:rsidR="008E714E" w:rsidRPr="008E714E" w:rsidRDefault="008E714E" w:rsidP="00D856B6">
            <w:pPr>
              <w:rPr>
                <w:rFonts w:ascii="Times New Roman" w:hAnsi="Times New Roman" w:cs="Times New Roman"/>
                <w:sz w:val="20"/>
                <w:szCs w:val="20"/>
              </w:rPr>
            </w:pPr>
            <w:r>
              <w:rPr>
                <w:rFonts w:ascii="Times New Roman" w:hAnsi="Times New Roman" w:cs="Times New Roman"/>
                <w:sz w:val="20"/>
                <w:szCs w:val="20"/>
              </w:rPr>
              <w:t>2</w:t>
            </w:r>
          </w:p>
          <w:p w14:paraId="63F619CE" w14:textId="77777777" w:rsidR="008E714E" w:rsidRPr="008E714E" w:rsidRDefault="008E714E" w:rsidP="00D856B6">
            <w:pPr>
              <w:rPr>
                <w:rFonts w:ascii="Times New Roman" w:hAnsi="Times New Roman" w:cs="Times New Roman"/>
                <w:sz w:val="20"/>
                <w:szCs w:val="20"/>
              </w:rPr>
            </w:pPr>
          </w:p>
          <w:p w14:paraId="7A794FF4" w14:textId="77777777" w:rsidR="00E63C63" w:rsidRDefault="00E63C63" w:rsidP="00D856B6">
            <w:pPr>
              <w:rPr>
                <w:rFonts w:ascii="Times New Roman" w:hAnsi="Times New Roman" w:cs="Times New Roman"/>
                <w:sz w:val="20"/>
                <w:szCs w:val="20"/>
              </w:rPr>
            </w:pPr>
          </w:p>
          <w:p w14:paraId="69764190" w14:textId="2C17F573" w:rsidR="00E63C63" w:rsidRDefault="008E714E" w:rsidP="00D856B6">
            <w:pPr>
              <w:rPr>
                <w:rFonts w:ascii="Times New Roman" w:hAnsi="Times New Roman" w:cs="Times New Roman"/>
                <w:sz w:val="20"/>
                <w:szCs w:val="20"/>
              </w:rPr>
            </w:pPr>
            <w:r>
              <w:rPr>
                <w:rFonts w:ascii="Times New Roman" w:hAnsi="Times New Roman" w:cs="Times New Roman"/>
                <w:sz w:val="20"/>
                <w:szCs w:val="20"/>
              </w:rPr>
              <w:t>2</w:t>
            </w:r>
          </w:p>
          <w:p w14:paraId="1307C07A" w14:textId="77777777" w:rsidR="00D630C1" w:rsidRDefault="00D630C1" w:rsidP="00D856B6">
            <w:pPr>
              <w:rPr>
                <w:rFonts w:ascii="Times New Roman" w:hAnsi="Times New Roman" w:cs="Times New Roman"/>
                <w:sz w:val="20"/>
                <w:szCs w:val="20"/>
              </w:rPr>
            </w:pPr>
          </w:p>
          <w:p w14:paraId="2D1C5B17" w14:textId="0ABD1ED2" w:rsidR="00D630C1" w:rsidRPr="00E63C63" w:rsidRDefault="00D630C1" w:rsidP="00D856B6">
            <w:pPr>
              <w:rPr>
                <w:rFonts w:ascii="Times New Roman" w:hAnsi="Times New Roman" w:cs="Times New Roman"/>
                <w:sz w:val="20"/>
                <w:szCs w:val="20"/>
              </w:rPr>
            </w:pPr>
          </w:p>
        </w:tc>
        <w:tc>
          <w:tcPr>
            <w:tcW w:w="1701" w:type="dxa"/>
          </w:tcPr>
          <w:p w14:paraId="04598EAA" w14:textId="77777777" w:rsidR="00D662D6" w:rsidRDefault="00D662D6" w:rsidP="00D856B6">
            <w:pPr>
              <w:rPr>
                <w:rFonts w:ascii="Times New Roman" w:hAnsi="Times New Roman" w:cs="Times New Roman"/>
                <w:sz w:val="20"/>
                <w:szCs w:val="20"/>
              </w:rPr>
            </w:pPr>
          </w:p>
          <w:p w14:paraId="1A78811D" w14:textId="77777777" w:rsidR="008E714E" w:rsidRDefault="008E714E" w:rsidP="00D856B6">
            <w:pPr>
              <w:rPr>
                <w:rFonts w:ascii="Times New Roman" w:hAnsi="Times New Roman" w:cs="Times New Roman"/>
                <w:sz w:val="20"/>
                <w:szCs w:val="20"/>
              </w:rPr>
            </w:pPr>
          </w:p>
          <w:p w14:paraId="778D6200" w14:textId="77777777" w:rsidR="008E714E" w:rsidRDefault="008E714E" w:rsidP="00D856B6">
            <w:pPr>
              <w:rPr>
                <w:rFonts w:ascii="Times New Roman" w:hAnsi="Times New Roman" w:cs="Times New Roman"/>
                <w:sz w:val="20"/>
                <w:szCs w:val="20"/>
              </w:rPr>
            </w:pPr>
          </w:p>
          <w:p w14:paraId="03A99303" w14:textId="77777777" w:rsidR="008E714E" w:rsidRDefault="008E714E" w:rsidP="00D856B6">
            <w:pPr>
              <w:rPr>
                <w:rFonts w:ascii="Times New Roman" w:hAnsi="Times New Roman" w:cs="Times New Roman"/>
                <w:sz w:val="20"/>
                <w:szCs w:val="20"/>
              </w:rPr>
            </w:pPr>
            <w:r>
              <w:rPr>
                <w:rFonts w:ascii="Times New Roman" w:hAnsi="Times New Roman" w:cs="Times New Roman"/>
                <w:sz w:val="20"/>
                <w:szCs w:val="20"/>
              </w:rPr>
              <w:t>30%</w:t>
            </w:r>
          </w:p>
          <w:p w14:paraId="55D63F5C" w14:textId="77777777" w:rsidR="008E714E" w:rsidRDefault="008E714E" w:rsidP="00D856B6">
            <w:pPr>
              <w:rPr>
                <w:rFonts w:ascii="Times New Roman" w:hAnsi="Times New Roman" w:cs="Times New Roman"/>
                <w:sz w:val="20"/>
                <w:szCs w:val="20"/>
              </w:rPr>
            </w:pPr>
          </w:p>
          <w:p w14:paraId="799116F1" w14:textId="77777777" w:rsidR="008E714E" w:rsidRDefault="008E714E" w:rsidP="00D856B6">
            <w:pPr>
              <w:rPr>
                <w:rFonts w:ascii="Times New Roman" w:hAnsi="Times New Roman" w:cs="Times New Roman"/>
                <w:sz w:val="20"/>
                <w:szCs w:val="20"/>
              </w:rPr>
            </w:pPr>
          </w:p>
          <w:p w14:paraId="4C05DDA0" w14:textId="77777777" w:rsidR="008E714E" w:rsidRDefault="008E714E" w:rsidP="00D856B6">
            <w:pPr>
              <w:rPr>
                <w:rFonts w:ascii="Times New Roman" w:hAnsi="Times New Roman" w:cs="Times New Roman"/>
                <w:sz w:val="20"/>
                <w:szCs w:val="20"/>
              </w:rPr>
            </w:pPr>
            <w:r>
              <w:rPr>
                <w:rFonts w:ascii="Times New Roman" w:hAnsi="Times New Roman" w:cs="Times New Roman"/>
                <w:sz w:val="20"/>
                <w:szCs w:val="20"/>
              </w:rPr>
              <w:t>30%</w:t>
            </w:r>
          </w:p>
          <w:p w14:paraId="0B25FD2A" w14:textId="77777777" w:rsidR="008E714E" w:rsidRDefault="008E714E" w:rsidP="00D856B6">
            <w:pPr>
              <w:rPr>
                <w:rFonts w:ascii="Times New Roman" w:hAnsi="Times New Roman" w:cs="Times New Roman"/>
                <w:sz w:val="20"/>
                <w:szCs w:val="20"/>
              </w:rPr>
            </w:pPr>
          </w:p>
          <w:p w14:paraId="2245E71A" w14:textId="77777777" w:rsidR="008E714E" w:rsidRDefault="008E714E" w:rsidP="00D856B6">
            <w:pPr>
              <w:rPr>
                <w:rFonts w:ascii="Times New Roman" w:hAnsi="Times New Roman" w:cs="Times New Roman"/>
                <w:sz w:val="20"/>
                <w:szCs w:val="20"/>
              </w:rPr>
            </w:pPr>
            <w:r>
              <w:rPr>
                <w:rFonts w:ascii="Times New Roman" w:hAnsi="Times New Roman" w:cs="Times New Roman"/>
                <w:sz w:val="20"/>
                <w:szCs w:val="20"/>
              </w:rPr>
              <w:t>20%</w:t>
            </w:r>
          </w:p>
          <w:p w14:paraId="46820BE5" w14:textId="77777777" w:rsidR="008E714E" w:rsidRDefault="008E714E" w:rsidP="00D856B6">
            <w:pPr>
              <w:rPr>
                <w:rFonts w:ascii="Times New Roman" w:hAnsi="Times New Roman" w:cs="Times New Roman"/>
                <w:sz w:val="20"/>
                <w:szCs w:val="20"/>
              </w:rPr>
            </w:pPr>
          </w:p>
          <w:p w14:paraId="0E9E48A7" w14:textId="77777777" w:rsidR="008E714E" w:rsidRDefault="008E714E" w:rsidP="00D856B6">
            <w:pPr>
              <w:rPr>
                <w:rFonts w:ascii="Times New Roman" w:hAnsi="Times New Roman" w:cs="Times New Roman"/>
                <w:sz w:val="20"/>
                <w:szCs w:val="20"/>
              </w:rPr>
            </w:pPr>
          </w:p>
          <w:p w14:paraId="33DF4B76" w14:textId="47916153" w:rsidR="008E714E" w:rsidRPr="00E63C63" w:rsidRDefault="008E714E" w:rsidP="00D856B6">
            <w:pPr>
              <w:rPr>
                <w:rFonts w:ascii="Times New Roman" w:hAnsi="Times New Roman" w:cs="Times New Roman"/>
                <w:sz w:val="20"/>
                <w:szCs w:val="20"/>
              </w:rPr>
            </w:pPr>
            <w:r>
              <w:rPr>
                <w:rFonts w:ascii="Times New Roman" w:hAnsi="Times New Roman" w:cs="Times New Roman"/>
                <w:sz w:val="20"/>
                <w:szCs w:val="20"/>
              </w:rPr>
              <w:t>20%</w:t>
            </w:r>
          </w:p>
        </w:tc>
      </w:tr>
      <w:tr w:rsidR="00D662D6" w14:paraId="4A70035B" w14:textId="77777777" w:rsidTr="00912678">
        <w:tc>
          <w:tcPr>
            <w:tcW w:w="4673" w:type="dxa"/>
          </w:tcPr>
          <w:p w14:paraId="05123419" w14:textId="77777777" w:rsidR="00D662D6" w:rsidRPr="00741339" w:rsidRDefault="00D662D6" w:rsidP="00D856B6">
            <w:pPr>
              <w:rPr>
                <w:rFonts w:ascii="Times New Roman" w:hAnsi="Times New Roman" w:cs="Times New Roman"/>
                <w:b/>
                <w:bCs/>
                <w:sz w:val="20"/>
                <w:szCs w:val="20"/>
                <w:lang w:val="fr-FR"/>
              </w:rPr>
            </w:pPr>
            <w:proofErr w:type="spellStart"/>
            <w:r w:rsidRPr="00741339">
              <w:rPr>
                <w:rFonts w:ascii="Times New Roman" w:hAnsi="Times New Roman" w:cs="Times New Roman"/>
                <w:b/>
                <w:bCs/>
                <w:sz w:val="20"/>
                <w:szCs w:val="20"/>
                <w:lang w:val="fr-FR"/>
              </w:rPr>
              <w:lastRenderedPageBreak/>
              <w:t>Clinical</w:t>
            </w:r>
            <w:proofErr w:type="spellEnd"/>
            <w:r w:rsidRPr="00741339">
              <w:rPr>
                <w:rFonts w:ascii="Times New Roman" w:hAnsi="Times New Roman" w:cs="Times New Roman"/>
                <w:b/>
                <w:bCs/>
                <w:sz w:val="20"/>
                <w:szCs w:val="20"/>
                <w:lang w:val="fr-FR"/>
              </w:rPr>
              <w:t xml:space="preserve"> vs non-</w:t>
            </w:r>
            <w:proofErr w:type="spellStart"/>
            <w:r w:rsidRPr="00741339">
              <w:rPr>
                <w:rFonts w:ascii="Times New Roman" w:hAnsi="Times New Roman" w:cs="Times New Roman"/>
                <w:b/>
                <w:bCs/>
                <w:sz w:val="20"/>
                <w:szCs w:val="20"/>
                <w:lang w:val="fr-FR"/>
              </w:rPr>
              <w:t>clinical</w:t>
            </w:r>
            <w:proofErr w:type="spellEnd"/>
          </w:p>
          <w:p w14:paraId="266548FF" w14:textId="77777777" w:rsidR="00D662D6" w:rsidRPr="00741339" w:rsidRDefault="00D662D6" w:rsidP="00D856B6">
            <w:pPr>
              <w:rPr>
                <w:rFonts w:ascii="Times New Roman" w:hAnsi="Times New Roman" w:cs="Times New Roman"/>
                <w:sz w:val="20"/>
                <w:szCs w:val="20"/>
                <w:lang w:val="fr-FR"/>
              </w:rPr>
            </w:pPr>
            <w:r w:rsidRPr="00741339">
              <w:rPr>
                <w:rFonts w:ascii="Times New Roman" w:hAnsi="Times New Roman" w:cs="Times New Roman"/>
                <w:sz w:val="20"/>
                <w:szCs w:val="20"/>
                <w:lang w:val="fr-FR"/>
              </w:rPr>
              <w:t xml:space="preserve">  </w:t>
            </w:r>
            <w:proofErr w:type="spellStart"/>
            <w:r w:rsidRPr="00741339">
              <w:rPr>
                <w:rFonts w:ascii="Times New Roman" w:hAnsi="Times New Roman" w:cs="Times New Roman"/>
                <w:sz w:val="20"/>
                <w:szCs w:val="20"/>
                <w:lang w:val="fr-FR"/>
              </w:rPr>
              <w:t>Clinical</w:t>
            </w:r>
            <w:proofErr w:type="spellEnd"/>
            <w:r w:rsidRPr="00741339">
              <w:rPr>
                <w:rFonts w:ascii="Times New Roman" w:hAnsi="Times New Roman" w:cs="Times New Roman"/>
                <w:sz w:val="20"/>
                <w:szCs w:val="20"/>
                <w:lang w:val="fr-FR"/>
              </w:rPr>
              <w:t xml:space="preserve"> </w:t>
            </w:r>
          </w:p>
          <w:p w14:paraId="54B1B16D" w14:textId="77777777" w:rsidR="00D662D6" w:rsidRDefault="00D662D6" w:rsidP="00D856B6">
            <w:pPr>
              <w:rPr>
                <w:rFonts w:ascii="Times New Roman" w:hAnsi="Times New Roman" w:cs="Times New Roman"/>
                <w:sz w:val="20"/>
                <w:szCs w:val="20"/>
                <w:lang w:val="fr-FR"/>
              </w:rPr>
            </w:pPr>
            <w:r w:rsidRPr="00741339">
              <w:rPr>
                <w:rFonts w:ascii="Times New Roman" w:hAnsi="Times New Roman" w:cs="Times New Roman"/>
                <w:sz w:val="20"/>
                <w:szCs w:val="20"/>
                <w:lang w:val="fr-FR"/>
              </w:rPr>
              <w:t xml:space="preserve">  Non-</w:t>
            </w:r>
            <w:proofErr w:type="spellStart"/>
            <w:r w:rsidRPr="00741339">
              <w:rPr>
                <w:rFonts w:ascii="Times New Roman" w:hAnsi="Times New Roman" w:cs="Times New Roman"/>
                <w:sz w:val="20"/>
                <w:szCs w:val="20"/>
                <w:lang w:val="fr-FR"/>
              </w:rPr>
              <w:t>clinical</w:t>
            </w:r>
            <w:proofErr w:type="spellEnd"/>
          </w:p>
          <w:p w14:paraId="16AE3508" w14:textId="77777777" w:rsidR="00925D9B" w:rsidRPr="00741339" w:rsidRDefault="00925D9B" w:rsidP="00D856B6">
            <w:pPr>
              <w:rPr>
                <w:rFonts w:ascii="Times New Roman" w:hAnsi="Times New Roman" w:cs="Times New Roman"/>
                <w:sz w:val="20"/>
                <w:szCs w:val="20"/>
                <w:lang w:val="fr-FR"/>
              </w:rPr>
            </w:pPr>
          </w:p>
        </w:tc>
        <w:tc>
          <w:tcPr>
            <w:tcW w:w="1843" w:type="dxa"/>
          </w:tcPr>
          <w:p w14:paraId="343537F1" w14:textId="77777777" w:rsidR="00D662D6" w:rsidRPr="00741339" w:rsidRDefault="00D662D6" w:rsidP="00D856B6">
            <w:pPr>
              <w:rPr>
                <w:rFonts w:ascii="Times New Roman" w:hAnsi="Times New Roman" w:cs="Times New Roman"/>
                <w:sz w:val="20"/>
                <w:szCs w:val="20"/>
                <w:lang w:val="fr-FR"/>
              </w:rPr>
            </w:pPr>
          </w:p>
          <w:p w14:paraId="78AFEFB0" w14:textId="13021D09" w:rsidR="00D662D6" w:rsidRDefault="00636F0F" w:rsidP="00D856B6">
            <w:pPr>
              <w:rPr>
                <w:rFonts w:ascii="Times New Roman" w:hAnsi="Times New Roman" w:cs="Times New Roman"/>
                <w:sz w:val="20"/>
                <w:szCs w:val="20"/>
              </w:rPr>
            </w:pPr>
            <w:r>
              <w:rPr>
                <w:rFonts w:ascii="Times New Roman" w:hAnsi="Times New Roman" w:cs="Times New Roman"/>
                <w:sz w:val="20"/>
                <w:szCs w:val="20"/>
              </w:rPr>
              <w:t>6</w:t>
            </w:r>
          </w:p>
          <w:p w14:paraId="108B3CA9" w14:textId="19B6C6FA" w:rsidR="00D662D6" w:rsidRDefault="00636F0F" w:rsidP="00D856B6">
            <w:pPr>
              <w:rPr>
                <w:rFonts w:ascii="Times New Roman" w:hAnsi="Times New Roman" w:cs="Times New Roman"/>
                <w:sz w:val="20"/>
                <w:szCs w:val="20"/>
              </w:rPr>
            </w:pPr>
            <w:r>
              <w:rPr>
                <w:rFonts w:ascii="Times New Roman" w:hAnsi="Times New Roman" w:cs="Times New Roman"/>
                <w:sz w:val="20"/>
                <w:szCs w:val="20"/>
              </w:rPr>
              <w:t>4</w:t>
            </w:r>
          </w:p>
        </w:tc>
        <w:tc>
          <w:tcPr>
            <w:tcW w:w="1701" w:type="dxa"/>
          </w:tcPr>
          <w:p w14:paraId="48A2CD7A" w14:textId="77777777" w:rsidR="00D662D6" w:rsidRDefault="00D662D6" w:rsidP="00D856B6">
            <w:pPr>
              <w:rPr>
                <w:rFonts w:ascii="Times New Roman" w:hAnsi="Times New Roman" w:cs="Times New Roman"/>
                <w:sz w:val="20"/>
                <w:szCs w:val="20"/>
              </w:rPr>
            </w:pPr>
          </w:p>
          <w:p w14:paraId="28B18FFF" w14:textId="5B9253E0" w:rsidR="00D662D6" w:rsidRDefault="00636F0F" w:rsidP="00D856B6">
            <w:pPr>
              <w:rPr>
                <w:rFonts w:ascii="Times New Roman" w:hAnsi="Times New Roman" w:cs="Times New Roman"/>
                <w:sz w:val="20"/>
                <w:szCs w:val="20"/>
              </w:rPr>
            </w:pPr>
            <w:r>
              <w:rPr>
                <w:rFonts w:ascii="Times New Roman" w:hAnsi="Times New Roman" w:cs="Times New Roman"/>
                <w:sz w:val="20"/>
                <w:szCs w:val="20"/>
              </w:rPr>
              <w:t>6</w:t>
            </w:r>
            <w:r w:rsidR="00D662D6">
              <w:rPr>
                <w:rFonts w:ascii="Times New Roman" w:hAnsi="Times New Roman" w:cs="Times New Roman"/>
                <w:sz w:val="20"/>
                <w:szCs w:val="20"/>
              </w:rPr>
              <w:t>0%</w:t>
            </w:r>
          </w:p>
          <w:p w14:paraId="3EEDF8D6" w14:textId="527CD4A9" w:rsidR="00D662D6" w:rsidRDefault="00636F0F" w:rsidP="00D856B6">
            <w:pPr>
              <w:rPr>
                <w:rFonts w:ascii="Times New Roman" w:hAnsi="Times New Roman" w:cs="Times New Roman"/>
                <w:sz w:val="20"/>
                <w:szCs w:val="20"/>
              </w:rPr>
            </w:pPr>
            <w:r>
              <w:rPr>
                <w:rFonts w:ascii="Times New Roman" w:hAnsi="Times New Roman" w:cs="Times New Roman"/>
                <w:sz w:val="20"/>
                <w:szCs w:val="20"/>
              </w:rPr>
              <w:t>4</w:t>
            </w:r>
            <w:r w:rsidR="00925D9B">
              <w:rPr>
                <w:rFonts w:ascii="Times New Roman" w:hAnsi="Times New Roman" w:cs="Times New Roman"/>
                <w:sz w:val="20"/>
                <w:szCs w:val="20"/>
              </w:rPr>
              <w:t>0</w:t>
            </w:r>
            <w:r w:rsidR="00D662D6">
              <w:rPr>
                <w:rFonts w:ascii="Times New Roman" w:hAnsi="Times New Roman" w:cs="Times New Roman"/>
                <w:sz w:val="20"/>
                <w:szCs w:val="20"/>
              </w:rPr>
              <w:t>%</w:t>
            </w:r>
          </w:p>
        </w:tc>
      </w:tr>
      <w:tr w:rsidR="00D662D6" w14:paraId="4C8C6D02" w14:textId="77777777" w:rsidTr="00912678">
        <w:tc>
          <w:tcPr>
            <w:tcW w:w="4673" w:type="dxa"/>
          </w:tcPr>
          <w:p w14:paraId="463D9D30" w14:textId="5AF05BD6" w:rsidR="00D662D6" w:rsidRPr="00B6459D" w:rsidRDefault="00D662D6" w:rsidP="00D856B6">
            <w:pPr>
              <w:rPr>
                <w:rFonts w:ascii="Times New Roman" w:hAnsi="Times New Roman" w:cs="Times New Roman"/>
                <w:b/>
                <w:bCs/>
                <w:sz w:val="20"/>
                <w:szCs w:val="20"/>
              </w:rPr>
            </w:pPr>
            <w:r w:rsidRPr="00B6459D">
              <w:rPr>
                <w:rFonts w:ascii="Times New Roman" w:hAnsi="Times New Roman" w:cs="Times New Roman"/>
                <w:b/>
                <w:bCs/>
                <w:sz w:val="20"/>
                <w:szCs w:val="20"/>
              </w:rPr>
              <w:t xml:space="preserve">Years of </w:t>
            </w:r>
            <w:r w:rsidR="00BE1411">
              <w:rPr>
                <w:rFonts w:ascii="Times New Roman" w:hAnsi="Times New Roman" w:cs="Times New Roman"/>
                <w:b/>
                <w:bCs/>
                <w:sz w:val="20"/>
                <w:szCs w:val="20"/>
              </w:rPr>
              <w:t>e</w:t>
            </w:r>
            <w:r w:rsidRPr="00B6459D">
              <w:rPr>
                <w:rFonts w:ascii="Times New Roman" w:hAnsi="Times New Roman" w:cs="Times New Roman"/>
                <w:b/>
                <w:bCs/>
                <w:sz w:val="20"/>
                <w:szCs w:val="20"/>
              </w:rPr>
              <w:t>xperience</w:t>
            </w:r>
            <w:r w:rsidR="00BE1411">
              <w:rPr>
                <w:rFonts w:ascii="Times New Roman" w:hAnsi="Times New Roman" w:cs="Times New Roman"/>
                <w:b/>
                <w:bCs/>
                <w:sz w:val="20"/>
                <w:szCs w:val="20"/>
              </w:rPr>
              <w:t xml:space="preserve"> in leadership role</w:t>
            </w:r>
            <w:r w:rsidR="00925D9B" w:rsidRPr="00B6459D">
              <w:rPr>
                <w:rFonts w:ascii="Times New Roman" w:hAnsi="Times New Roman" w:cs="Times New Roman"/>
                <w:b/>
                <w:bCs/>
                <w:sz w:val="20"/>
                <w:szCs w:val="20"/>
              </w:rPr>
              <w:t xml:space="preserve"> (range)</w:t>
            </w:r>
          </w:p>
          <w:p w14:paraId="08F0B6C5" w14:textId="003A2510" w:rsidR="00925D9B" w:rsidRPr="00B6459D" w:rsidRDefault="00925D9B" w:rsidP="00D856B6">
            <w:pPr>
              <w:rPr>
                <w:rFonts w:ascii="Times New Roman" w:hAnsi="Times New Roman" w:cs="Times New Roman"/>
                <w:sz w:val="20"/>
                <w:szCs w:val="20"/>
              </w:rPr>
            </w:pPr>
            <w:r w:rsidRPr="00B6459D">
              <w:rPr>
                <w:rFonts w:ascii="Times New Roman" w:hAnsi="Times New Roman" w:cs="Times New Roman"/>
                <w:sz w:val="20"/>
                <w:szCs w:val="20"/>
              </w:rPr>
              <w:t xml:space="preserve">  1-3 years</w:t>
            </w:r>
          </w:p>
          <w:p w14:paraId="63F162AA" w14:textId="62C16AB6" w:rsidR="00925D9B" w:rsidRPr="00B6459D" w:rsidRDefault="00925D9B" w:rsidP="00D856B6">
            <w:pPr>
              <w:rPr>
                <w:rFonts w:ascii="Times New Roman" w:hAnsi="Times New Roman" w:cs="Times New Roman"/>
                <w:sz w:val="20"/>
                <w:szCs w:val="20"/>
              </w:rPr>
            </w:pPr>
            <w:r w:rsidRPr="00B6459D">
              <w:rPr>
                <w:rFonts w:ascii="Times New Roman" w:hAnsi="Times New Roman" w:cs="Times New Roman"/>
                <w:sz w:val="20"/>
                <w:szCs w:val="20"/>
              </w:rPr>
              <w:t xml:space="preserve">  4-6 years</w:t>
            </w:r>
          </w:p>
          <w:p w14:paraId="40C215FD" w14:textId="77777777" w:rsidR="00925D9B" w:rsidRPr="00B6459D" w:rsidRDefault="00925D9B" w:rsidP="00D856B6">
            <w:pPr>
              <w:rPr>
                <w:rFonts w:ascii="Times New Roman" w:hAnsi="Times New Roman" w:cs="Times New Roman"/>
                <w:sz w:val="20"/>
                <w:szCs w:val="20"/>
              </w:rPr>
            </w:pPr>
            <w:r w:rsidRPr="00B6459D">
              <w:rPr>
                <w:rFonts w:ascii="Times New Roman" w:hAnsi="Times New Roman" w:cs="Times New Roman"/>
                <w:sz w:val="20"/>
                <w:szCs w:val="20"/>
              </w:rPr>
              <w:t xml:space="preserve">  7+ years</w:t>
            </w:r>
          </w:p>
          <w:p w14:paraId="1875A83D" w14:textId="4F8F1FC1" w:rsidR="00D662D6" w:rsidRPr="00B6459D" w:rsidRDefault="00D662D6" w:rsidP="00D856B6">
            <w:pPr>
              <w:rPr>
                <w:rFonts w:ascii="Times New Roman" w:hAnsi="Times New Roman" w:cs="Times New Roman"/>
                <w:sz w:val="20"/>
                <w:szCs w:val="20"/>
              </w:rPr>
            </w:pPr>
            <w:r w:rsidRPr="00B6459D">
              <w:rPr>
                <w:rFonts w:ascii="Times New Roman" w:hAnsi="Times New Roman" w:cs="Times New Roman"/>
                <w:b/>
                <w:bCs/>
                <w:sz w:val="20"/>
                <w:szCs w:val="20"/>
              </w:rPr>
              <w:tab/>
            </w:r>
          </w:p>
        </w:tc>
        <w:tc>
          <w:tcPr>
            <w:tcW w:w="1843" w:type="dxa"/>
          </w:tcPr>
          <w:p w14:paraId="1B38DC74" w14:textId="77777777" w:rsidR="00D662D6" w:rsidRDefault="00D662D6" w:rsidP="00D856B6">
            <w:pPr>
              <w:rPr>
                <w:rFonts w:ascii="Times New Roman" w:hAnsi="Times New Roman" w:cs="Times New Roman"/>
                <w:sz w:val="20"/>
                <w:szCs w:val="20"/>
              </w:rPr>
            </w:pPr>
          </w:p>
          <w:p w14:paraId="1972F1D3" w14:textId="77777777" w:rsidR="00584222" w:rsidRDefault="00584222" w:rsidP="00D856B6">
            <w:pPr>
              <w:rPr>
                <w:rFonts w:ascii="Times New Roman" w:hAnsi="Times New Roman" w:cs="Times New Roman"/>
                <w:sz w:val="20"/>
                <w:szCs w:val="20"/>
              </w:rPr>
            </w:pPr>
            <w:r>
              <w:rPr>
                <w:rFonts w:ascii="Times New Roman" w:hAnsi="Times New Roman" w:cs="Times New Roman"/>
                <w:sz w:val="20"/>
                <w:szCs w:val="20"/>
              </w:rPr>
              <w:t>2</w:t>
            </w:r>
          </w:p>
          <w:p w14:paraId="00E69524" w14:textId="60719454" w:rsidR="00584222" w:rsidRDefault="00584222" w:rsidP="00D856B6">
            <w:pPr>
              <w:rPr>
                <w:rFonts w:ascii="Times New Roman" w:hAnsi="Times New Roman" w:cs="Times New Roman"/>
                <w:sz w:val="20"/>
                <w:szCs w:val="20"/>
              </w:rPr>
            </w:pPr>
            <w:r>
              <w:rPr>
                <w:rFonts w:ascii="Times New Roman" w:hAnsi="Times New Roman" w:cs="Times New Roman"/>
                <w:sz w:val="20"/>
                <w:szCs w:val="20"/>
              </w:rPr>
              <w:t>3</w:t>
            </w:r>
          </w:p>
          <w:p w14:paraId="74C3E939" w14:textId="465E44F5" w:rsidR="00584222" w:rsidRDefault="00584222" w:rsidP="00D856B6">
            <w:pPr>
              <w:rPr>
                <w:rFonts w:ascii="Times New Roman" w:hAnsi="Times New Roman" w:cs="Times New Roman"/>
                <w:sz w:val="20"/>
                <w:szCs w:val="20"/>
              </w:rPr>
            </w:pPr>
            <w:r>
              <w:rPr>
                <w:rFonts w:ascii="Times New Roman" w:hAnsi="Times New Roman" w:cs="Times New Roman"/>
                <w:sz w:val="20"/>
                <w:szCs w:val="20"/>
              </w:rPr>
              <w:t>5</w:t>
            </w:r>
          </w:p>
        </w:tc>
        <w:tc>
          <w:tcPr>
            <w:tcW w:w="1701" w:type="dxa"/>
          </w:tcPr>
          <w:p w14:paraId="6DC47675" w14:textId="77777777" w:rsidR="00D662D6" w:rsidRDefault="00D662D6" w:rsidP="00D856B6">
            <w:pPr>
              <w:rPr>
                <w:rFonts w:ascii="Times New Roman" w:hAnsi="Times New Roman" w:cs="Times New Roman"/>
                <w:sz w:val="20"/>
                <w:szCs w:val="20"/>
              </w:rPr>
            </w:pPr>
          </w:p>
          <w:p w14:paraId="0FFDA07D" w14:textId="03A9CC52" w:rsidR="00584222" w:rsidRDefault="00584222" w:rsidP="00D856B6">
            <w:pPr>
              <w:rPr>
                <w:rFonts w:ascii="Times New Roman" w:hAnsi="Times New Roman" w:cs="Times New Roman"/>
                <w:sz w:val="20"/>
                <w:szCs w:val="20"/>
              </w:rPr>
            </w:pPr>
            <w:r>
              <w:rPr>
                <w:rFonts w:ascii="Times New Roman" w:hAnsi="Times New Roman" w:cs="Times New Roman"/>
                <w:sz w:val="20"/>
                <w:szCs w:val="20"/>
              </w:rPr>
              <w:t>20%</w:t>
            </w:r>
          </w:p>
          <w:p w14:paraId="1202561D" w14:textId="6BA0C4B9" w:rsidR="00584222" w:rsidRDefault="00584222" w:rsidP="00D856B6">
            <w:pPr>
              <w:rPr>
                <w:rFonts w:ascii="Times New Roman" w:hAnsi="Times New Roman" w:cs="Times New Roman"/>
                <w:sz w:val="20"/>
                <w:szCs w:val="20"/>
              </w:rPr>
            </w:pPr>
            <w:r>
              <w:rPr>
                <w:rFonts w:ascii="Times New Roman" w:hAnsi="Times New Roman" w:cs="Times New Roman"/>
                <w:sz w:val="20"/>
                <w:szCs w:val="20"/>
              </w:rPr>
              <w:t>30%</w:t>
            </w:r>
          </w:p>
          <w:p w14:paraId="1AD73156" w14:textId="62067CE0" w:rsidR="00584222" w:rsidRDefault="00584222" w:rsidP="00D856B6">
            <w:pPr>
              <w:rPr>
                <w:rFonts w:ascii="Times New Roman" w:hAnsi="Times New Roman" w:cs="Times New Roman"/>
                <w:sz w:val="20"/>
                <w:szCs w:val="20"/>
              </w:rPr>
            </w:pPr>
            <w:r>
              <w:rPr>
                <w:rFonts w:ascii="Times New Roman" w:hAnsi="Times New Roman" w:cs="Times New Roman"/>
                <w:sz w:val="20"/>
                <w:szCs w:val="20"/>
              </w:rPr>
              <w:t>50%</w:t>
            </w:r>
          </w:p>
        </w:tc>
      </w:tr>
    </w:tbl>
    <w:p w14:paraId="423ECB7B" w14:textId="77777777" w:rsidR="00D662D6" w:rsidRPr="00753373" w:rsidRDefault="00D662D6" w:rsidP="00D662D6">
      <w:pPr>
        <w:rPr>
          <w:rFonts w:ascii="Times New Roman" w:hAnsi="Times New Roman" w:cs="Times New Roman"/>
          <w:sz w:val="20"/>
          <w:szCs w:val="20"/>
        </w:rPr>
      </w:pPr>
    </w:p>
    <w:p w14:paraId="130E5B0D" w14:textId="77777777" w:rsidR="008E6B55" w:rsidRDefault="008E6B55" w:rsidP="00D81BAC">
      <w:pPr>
        <w:spacing w:line="360" w:lineRule="auto"/>
        <w:rPr>
          <w:rFonts w:ascii="Times New Roman" w:hAnsi="Times New Roman" w:cs="Times New Roman"/>
        </w:rPr>
      </w:pPr>
    </w:p>
    <w:p w14:paraId="3D69A0CD" w14:textId="24BDFF80" w:rsidR="00E02195" w:rsidRPr="00BE1411" w:rsidRDefault="00E02195" w:rsidP="00E02195">
      <w:pPr>
        <w:rPr>
          <w:rFonts w:ascii="Times New Roman" w:hAnsi="Times New Roman" w:cs="Times New Roman"/>
          <w:sz w:val="24"/>
          <w:szCs w:val="24"/>
          <w:lang w:val="fr-FR"/>
        </w:rPr>
      </w:pPr>
      <w:r w:rsidRPr="00BE1411">
        <w:rPr>
          <w:rFonts w:ascii="Times New Roman" w:hAnsi="Times New Roman" w:cs="Times New Roman"/>
          <w:b/>
          <w:bCs/>
          <w:sz w:val="24"/>
          <w:szCs w:val="24"/>
          <w:lang w:val="fr-FR"/>
        </w:rPr>
        <w:t>Table S2</w:t>
      </w:r>
      <w:r w:rsidRPr="00BE1411">
        <w:rPr>
          <w:rFonts w:ascii="Times New Roman" w:hAnsi="Times New Roman" w:cs="Times New Roman"/>
          <w:sz w:val="24"/>
          <w:szCs w:val="24"/>
          <w:lang w:val="fr-FR"/>
        </w:rPr>
        <w:t>. Site 2 participant demographics (N=13)</w:t>
      </w:r>
    </w:p>
    <w:tbl>
      <w:tblPr>
        <w:tblStyle w:val="TableGrid"/>
        <w:tblW w:w="8217" w:type="dxa"/>
        <w:tblLook w:val="04A0" w:firstRow="1" w:lastRow="0" w:firstColumn="1" w:lastColumn="0" w:noHBand="0" w:noVBand="1"/>
      </w:tblPr>
      <w:tblGrid>
        <w:gridCol w:w="4673"/>
        <w:gridCol w:w="1843"/>
        <w:gridCol w:w="1701"/>
      </w:tblGrid>
      <w:tr w:rsidR="008E6B55" w14:paraId="3761A8CE" w14:textId="77777777" w:rsidTr="00840E4E">
        <w:tc>
          <w:tcPr>
            <w:tcW w:w="4673" w:type="dxa"/>
            <w:shd w:val="clear" w:color="auto" w:fill="D9D9D9" w:themeFill="background1" w:themeFillShade="D9"/>
          </w:tcPr>
          <w:p w14:paraId="4D0A90DD" w14:textId="77777777" w:rsidR="00E02195" w:rsidRPr="00D81BAC" w:rsidRDefault="00E02195" w:rsidP="00D856B6">
            <w:pPr>
              <w:rPr>
                <w:rFonts w:ascii="Times New Roman" w:hAnsi="Times New Roman" w:cs="Times New Roman"/>
                <w:b/>
                <w:bCs/>
                <w:sz w:val="20"/>
                <w:szCs w:val="20"/>
              </w:rPr>
            </w:pPr>
            <w:r>
              <w:rPr>
                <w:rFonts w:ascii="Times New Roman" w:hAnsi="Times New Roman" w:cs="Times New Roman"/>
                <w:b/>
                <w:bCs/>
                <w:sz w:val="20"/>
                <w:szCs w:val="20"/>
              </w:rPr>
              <w:t>Item</w:t>
            </w:r>
          </w:p>
        </w:tc>
        <w:tc>
          <w:tcPr>
            <w:tcW w:w="1843" w:type="dxa"/>
            <w:shd w:val="clear" w:color="auto" w:fill="D9D9D9" w:themeFill="background1" w:themeFillShade="D9"/>
          </w:tcPr>
          <w:p w14:paraId="29643B3D" w14:textId="169A4FE3" w:rsidR="00E02195" w:rsidRPr="008E6B55" w:rsidRDefault="00E02195" w:rsidP="00D856B6">
            <w:pPr>
              <w:rPr>
                <w:rFonts w:ascii="Times New Roman" w:hAnsi="Times New Roman" w:cs="Times New Roman"/>
                <w:b/>
                <w:bCs/>
                <w:sz w:val="20"/>
                <w:szCs w:val="20"/>
              </w:rPr>
            </w:pPr>
            <w:r w:rsidRPr="008E6B55">
              <w:rPr>
                <w:rFonts w:ascii="Times New Roman" w:hAnsi="Times New Roman" w:cs="Times New Roman"/>
                <w:b/>
                <w:bCs/>
                <w:sz w:val="20"/>
                <w:szCs w:val="20"/>
              </w:rPr>
              <w:t>N</w:t>
            </w:r>
          </w:p>
        </w:tc>
        <w:tc>
          <w:tcPr>
            <w:tcW w:w="1701" w:type="dxa"/>
            <w:shd w:val="clear" w:color="auto" w:fill="D9D9D9" w:themeFill="background1" w:themeFillShade="D9"/>
          </w:tcPr>
          <w:p w14:paraId="05415B8B" w14:textId="77777777" w:rsidR="00E02195" w:rsidRPr="008E6B55" w:rsidRDefault="00E02195" w:rsidP="00D856B6">
            <w:pPr>
              <w:rPr>
                <w:rFonts w:ascii="Times New Roman" w:hAnsi="Times New Roman" w:cs="Times New Roman"/>
                <w:b/>
                <w:bCs/>
                <w:sz w:val="20"/>
                <w:szCs w:val="20"/>
              </w:rPr>
            </w:pPr>
            <w:r w:rsidRPr="008E6B55">
              <w:rPr>
                <w:rFonts w:ascii="Times New Roman" w:hAnsi="Times New Roman" w:cs="Times New Roman"/>
                <w:b/>
                <w:bCs/>
                <w:sz w:val="20"/>
                <w:szCs w:val="20"/>
              </w:rPr>
              <w:t>%</w:t>
            </w:r>
          </w:p>
        </w:tc>
      </w:tr>
      <w:tr w:rsidR="00E02195" w14:paraId="06509D80" w14:textId="77777777" w:rsidTr="00840E4E">
        <w:tc>
          <w:tcPr>
            <w:tcW w:w="4673" w:type="dxa"/>
          </w:tcPr>
          <w:p w14:paraId="3895C15A" w14:textId="77777777" w:rsidR="00E02195" w:rsidRPr="0059680D" w:rsidRDefault="00E02195" w:rsidP="00D856B6">
            <w:pPr>
              <w:rPr>
                <w:rFonts w:ascii="Times New Roman" w:hAnsi="Times New Roman" w:cs="Times New Roman"/>
                <w:b/>
                <w:bCs/>
                <w:sz w:val="20"/>
                <w:szCs w:val="20"/>
              </w:rPr>
            </w:pPr>
            <w:r w:rsidRPr="0059680D">
              <w:rPr>
                <w:rFonts w:ascii="Times New Roman" w:hAnsi="Times New Roman" w:cs="Times New Roman"/>
                <w:b/>
                <w:bCs/>
                <w:sz w:val="20"/>
                <w:szCs w:val="20"/>
              </w:rPr>
              <w:t xml:space="preserve">Leadership </w:t>
            </w:r>
            <w:r>
              <w:rPr>
                <w:rFonts w:ascii="Times New Roman" w:hAnsi="Times New Roman" w:cs="Times New Roman"/>
                <w:b/>
                <w:bCs/>
                <w:sz w:val="20"/>
                <w:szCs w:val="20"/>
              </w:rPr>
              <w:t>role/</w:t>
            </w:r>
            <w:r w:rsidRPr="0059680D">
              <w:rPr>
                <w:rFonts w:ascii="Times New Roman" w:hAnsi="Times New Roman" w:cs="Times New Roman"/>
                <w:b/>
                <w:bCs/>
                <w:sz w:val="20"/>
                <w:szCs w:val="20"/>
              </w:rPr>
              <w:t>position</w:t>
            </w:r>
          </w:p>
          <w:p w14:paraId="55F7E1A4" w14:textId="513FC1E5" w:rsidR="008E6B55" w:rsidRPr="00741339" w:rsidRDefault="00E02195" w:rsidP="00D856B6">
            <w:pPr>
              <w:rPr>
                <w:rFonts w:ascii="Times New Roman" w:hAnsi="Times New Roman" w:cs="Times New Roman"/>
                <w:sz w:val="20"/>
                <w:szCs w:val="20"/>
              </w:rPr>
            </w:pPr>
            <w:r>
              <w:rPr>
                <w:rFonts w:ascii="Times New Roman" w:hAnsi="Times New Roman" w:cs="Times New Roman"/>
                <w:sz w:val="20"/>
                <w:szCs w:val="20"/>
              </w:rPr>
              <w:t xml:space="preserve">   Manager (department, unit)</w:t>
            </w:r>
          </w:p>
          <w:p w14:paraId="67EA8229" w14:textId="15FE5F43" w:rsidR="008E6B55" w:rsidRDefault="00E02195" w:rsidP="00D856B6">
            <w:pPr>
              <w:rPr>
                <w:rFonts w:ascii="Times New Roman" w:hAnsi="Times New Roman" w:cs="Times New Roman"/>
                <w:sz w:val="20"/>
                <w:szCs w:val="20"/>
              </w:rPr>
            </w:pPr>
            <w:r w:rsidRPr="00741339">
              <w:rPr>
                <w:rFonts w:ascii="Times New Roman" w:hAnsi="Times New Roman" w:cs="Times New Roman"/>
                <w:sz w:val="20"/>
                <w:szCs w:val="20"/>
              </w:rPr>
              <w:t xml:space="preserve">   Vice-dean</w:t>
            </w:r>
          </w:p>
          <w:p w14:paraId="7A4A910D" w14:textId="5A99447C" w:rsidR="008E6B55" w:rsidRDefault="00E02195" w:rsidP="00D856B6">
            <w:pPr>
              <w:rPr>
                <w:rFonts w:ascii="Times New Roman" w:hAnsi="Times New Roman" w:cs="Times New Roman"/>
                <w:sz w:val="20"/>
                <w:szCs w:val="20"/>
              </w:rPr>
            </w:pPr>
            <w:r>
              <w:rPr>
                <w:rFonts w:ascii="Times New Roman" w:hAnsi="Times New Roman" w:cs="Times New Roman"/>
                <w:sz w:val="20"/>
                <w:szCs w:val="20"/>
              </w:rPr>
              <w:t xml:space="preserve">   Assistant</w:t>
            </w:r>
            <w:r w:rsidR="00470F6D">
              <w:rPr>
                <w:rFonts w:ascii="Times New Roman" w:hAnsi="Times New Roman" w:cs="Times New Roman"/>
                <w:sz w:val="20"/>
                <w:szCs w:val="20"/>
              </w:rPr>
              <w:t>/associate</w:t>
            </w:r>
            <w:r>
              <w:rPr>
                <w:rFonts w:ascii="Times New Roman" w:hAnsi="Times New Roman" w:cs="Times New Roman"/>
                <w:sz w:val="20"/>
                <w:szCs w:val="20"/>
              </w:rPr>
              <w:t xml:space="preserve"> dean</w:t>
            </w:r>
          </w:p>
          <w:p w14:paraId="67991F0D" w14:textId="44E53D43" w:rsidR="008E6B55" w:rsidRDefault="00470F6D" w:rsidP="00D856B6">
            <w:pPr>
              <w:rPr>
                <w:rFonts w:ascii="Times New Roman" w:hAnsi="Times New Roman" w:cs="Times New Roman"/>
                <w:sz w:val="20"/>
                <w:szCs w:val="20"/>
              </w:rPr>
            </w:pPr>
            <w:r>
              <w:rPr>
                <w:rFonts w:ascii="Times New Roman" w:hAnsi="Times New Roman" w:cs="Times New Roman"/>
                <w:sz w:val="20"/>
                <w:szCs w:val="20"/>
              </w:rPr>
              <w:t xml:space="preserve">   Department head</w:t>
            </w:r>
          </w:p>
          <w:p w14:paraId="088A4CA5" w14:textId="011E751C" w:rsidR="00470F6D" w:rsidRPr="00741339" w:rsidRDefault="00470F6D" w:rsidP="00D856B6">
            <w:pPr>
              <w:rPr>
                <w:rFonts w:ascii="Times New Roman" w:hAnsi="Times New Roman" w:cs="Times New Roman"/>
                <w:sz w:val="20"/>
                <w:szCs w:val="20"/>
              </w:rPr>
            </w:pPr>
            <w:r>
              <w:rPr>
                <w:rFonts w:ascii="Times New Roman" w:hAnsi="Times New Roman" w:cs="Times New Roman"/>
                <w:sz w:val="20"/>
                <w:szCs w:val="20"/>
              </w:rPr>
              <w:t xml:space="preserve">   Director of development and</w:t>
            </w:r>
            <w:r w:rsidR="008E714E">
              <w:rPr>
                <w:rFonts w:ascii="Times New Roman" w:hAnsi="Times New Roman" w:cs="Times New Roman"/>
                <w:sz w:val="20"/>
                <w:szCs w:val="20"/>
              </w:rPr>
              <w:t>/or</w:t>
            </w:r>
            <w:r>
              <w:rPr>
                <w:rFonts w:ascii="Times New Roman" w:hAnsi="Times New Roman" w:cs="Times New Roman"/>
                <w:sz w:val="20"/>
                <w:szCs w:val="20"/>
              </w:rPr>
              <w:t xml:space="preserve"> recognition</w:t>
            </w:r>
          </w:p>
          <w:p w14:paraId="289B2A9B" w14:textId="44985FB1" w:rsidR="00E02195" w:rsidRDefault="00E02195" w:rsidP="00470F6D">
            <w:pPr>
              <w:rPr>
                <w:rFonts w:ascii="Times New Roman" w:hAnsi="Times New Roman" w:cs="Times New Roman"/>
                <w:sz w:val="20"/>
                <w:szCs w:val="20"/>
              </w:rPr>
            </w:pPr>
            <w:r w:rsidRPr="00741339">
              <w:rPr>
                <w:rFonts w:ascii="Times New Roman" w:hAnsi="Times New Roman" w:cs="Times New Roman"/>
                <w:sz w:val="20"/>
                <w:szCs w:val="20"/>
              </w:rPr>
              <w:t xml:space="preserve">   </w:t>
            </w:r>
          </w:p>
        </w:tc>
        <w:tc>
          <w:tcPr>
            <w:tcW w:w="1843" w:type="dxa"/>
          </w:tcPr>
          <w:p w14:paraId="63BE52C6" w14:textId="77777777" w:rsidR="00E02195" w:rsidRPr="008E6B55" w:rsidRDefault="00E02195" w:rsidP="00D856B6">
            <w:pPr>
              <w:rPr>
                <w:rFonts w:ascii="Times New Roman" w:hAnsi="Times New Roman" w:cs="Times New Roman"/>
                <w:sz w:val="20"/>
                <w:szCs w:val="20"/>
              </w:rPr>
            </w:pPr>
          </w:p>
          <w:p w14:paraId="27C6E364" w14:textId="446E0F40" w:rsidR="008E6B55" w:rsidRPr="008E6B55" w:rsidRDefault="00B973A7" w:rsidP="00D856B6">
            <w:pPr>
              <w:rPr>
                <w:rFonts w:ascii="Times New Roman" w:hAnsi="Times New Roman" w:cs="Times New Roman"/>
                <w:sz w:val="20"/>
                <w:szCs w:val="20"/>
              </w:rPr>
            </w:pPr>
            <w:r w:rsidRPr="008E6B55">
              <w:rPr>
                <w:rFonts w:ascii="Times New Roman" w:hAnsi="Times New Roman" w:cs="Times New Roman"/>
                <w:sz w:val="20"/>
                <w:szCs w:val="20"/>
              </w:rPr>
              <w:t xml:space="preserve">4 </w:t>
            </w:r>
          </w:p>
          <w:p w14:paraId="7E3E3B24" w14:textId="4D4BD5BD" w:rsidR="008E6B55" w:rsidRPr="008E6B55" w:rsidRDefault="00E02195" w:rsidP="00D856B6">
            <w:pPr>
              <w:rPr>
                <w:rFonts w:ascii="Times New Roman" w:hAnsi="Times New Roman" w:cs="Times New Roman"/>
                <w:sz w:val="20"/>
                <w:szCs w:val="20"/>
              </w:rPr>
            </w:pPr>
            <w:r w:rsidRPr="008E6B55">
              <w:rPr>
                <w:rFonts w:ascii="Times New Roman" w:hAnsi="Times New Roman" w:cs="Times New Roman"/>
                <w:sz w:val="20"/>
                <w:szCs w:val="20"/>
              </w:rPr>
              <w:t>3</w:t>
            </w:r>
            <w:r w:rsidR="00B973A7" w:rsidRPr="008E6B55">
              <w:rPr>
                <w:rFonts w:ascii="Times New Roman" w:hAnsi="Times New Roman" w:cs="Times New Roman"/>
                <w:sz w:val="20"/>
                <w:szCs w:val="20"/>
              </w:rPr>
              <w:t xml:space="preserve"> </w:t>
            </w:r>
          </w:p>
          <w:p w14:paraId="424F12F8" w14:textId="7153A0C1" w:rsidR="008E6B55" w:rsidRPr="008E6B55" w:rsidRDefault="00E02195" w:rsidP="00D856B6">
            <w:pPr>
              <w:rPr>
                <w:rFonts w:ascii="Times New Roman" w:hAnsi="Times New Roman" w:cs="Times New Roman"/>
                <w:sz w:val="20"/>
                <w:szCs w:val="20"/>
              </w:rPr>
            </w:pPr>
            <w:r w:rsidRPr="008E6B55">
              <w:rPr>
                <w:rFonts w:ascii="Times New Roman" w:hAnsi="Times New Roman" w:cs="Times New Roman"/>
                <w:sz w:val="20"/>
                <w:szCs w:val="20"/>
              </w:rPr>
              <w:t>2</w:t>
            </w:r>
            <w:r w:rsidR="00470F6D" w:rsidRPr="008E6B55">
              <w:rPr>
                <w:rFonts w:ascii="Times New Roman" w:hAnsi="Times New Roman" w:cs="Times New Roman"/>
                <w:sz w:val="20"/>
                <w:szCs w:val="20"/>
              </w:rPr>
              <w:t xml:space="preserve"> </w:t>
            </w:r>
          </w:p>
          <w:p w14:paraId="49A25F2C" w14:textId="304AF7F0" w:rsidR="008E6B55" w:rsidRPr="008E6B55" w:rsidRDefault="00470F6D" w:rsidP="00D856B6">
            <w:pPr>
              <w:rPr>
                <w:rFonts w:ascii="Times New Roman" w:hAnsi="Times New Roman" w:cs="Times New Roman"/>
                <w:sz w:val="20"/>
                <w:szCs w:val="20"/>
              </w:rPr>
            </w:pPr>
            <w:r w:rsidRPr="008E6B55">
              <w:rPr>
                <w:rFonts w:ascii="Times New Roman" w:hAnsi="Times New Roman" w:cs="Times New Roman"/>
                <w:sz w:val="20"/>
                <w:szCs w:val="20"/>
              </w:rPr>
              <w:t xml:space="preserve">2 </w:t>
            </w:r>
          </w:p>
          <w:p w14:paraId="75AFDB64" w14:textId="4BCEB19C" w:rsidR="00E02195" w:rsidRPr="008E6B55" w:rsidRDefault="00470F6D" w:rsidP="00D856B6">
            <w:pPr>
              <w:rPr>
                <w:rFonts w:ascii="Times New Roman" w:hAnsi="Times New Roman" w:cs="Times New Roman"/>
                <w:sz w:val="20"/>
                <w:szCs w:val="20"/>
              </w:rPr>
            </w:pPr>
            <w:r w:rsidRPr="008E6B55">
              <w:rPr>
                <w:rFonts w:ascii="Times New Roman" w:hAnsi="Times New Roman" w:cs="Times New Roman"/>
                <w:sz w:val="20"/>
                <w:szCs w:val="20"/>
              </w:rPr>
              <w:t xml:space="preserve">2 </w:t>
            </w:r>
          </w:p>
        </w:tc>
        <w:tc>
          <w:tcPr>
            <w:tcW w:w="1701" w:type="dxa"/>
          </w:tcPr>
          <w:p w14:paraId="76808B01" w14:textId="77777777" w:rsidR="00E02195" w:rsidRPr="008E6B55" w:rsidRDefault="00E02195" w:rsidP="00D856B6">
            <w:pPr>
              <w:rPr>
                <w:rFonts w:ascii="Times New Roman" w:hAnsi="Times New Roman" w:cs="Times New Roman"/>
                <w:sz w:val="20"/>
                <w:szCs w:val="20"/>
              </w:rPr>
            </w:pPr>
          </w:p>
          <w:p w14:paraId="684E358B" w14:textId="47167459" w:rsidR="008E6B55" w:rsidRPr="008E6B55" w:rsidRDefault="008E6B55" w:rsidP="00D856B6">
            <w:pPr>
              <w:rPr>
                <w:rFonts w:ascii="Times New Roman" w:hAnsi="Times New Roman" w:cs="Times New Roman"/>
                <w:sz w:val="20"/>
                <w:szCs w:val="20"/>
              </w:rPr>
            </w:pPr>
            <w:r w:rsidRPr="008E6B55">
              <w:rPr>
                <w:rFonts w:ascii="Times New Roman" w:hAnsi="Times New Roman" w:cs="Times New Roman"/>
                <w:sz w:val="20"/>
                <w:szCs w:val="20"/>
              </w:rPr>
              <w:t>31%</w:t>
            </w:r>
          </w:p>
          <w:p w14:paraId="261F6BFB" w14:textId="437A6315" w:rsidR="008E6B55" w:rsidRPr="008E6B55" w:rsidRDefault="008E6B55" w:rsidP="00D856B6">
            <w:pPr>
              <w:rPr>
                <w:rFonts w:ascii="Times New Roman" w:hAnsi="Times New Roman" w:cs="Times New Roman"/>
                <w:sz w:val="20"/>
                <w:szCs w:val="20"/>
              </w:rPr>
            </w:pPr>
            <w:r w:rsidRPr="008E6B55">
              <w:rPr>
                <w:rFonts w:ascii="Times New Roman" w:hAnsi="Times New Roman" w:cs="Times New Roman"/>
                <w:sz w:val="20"/>
                <w:szCs w:val="20"/>
              </w:rPr>
              <w:t>23%</w:t>
            </w:r>
          </w:p>
          <w:p w14:paraId="6E7AC413" w14:textId="4937F3EC" w:rsidR="008E6B55" w:rsidRPr="008E6B55" w:rsidRDefault="008E6B55" w:rsidP="00D856B6">
            <w:pPr>
              <w:rPr>
                <w:rFonts w:ascii="Times New Roman" w:hAnsi="Times New Roman" w:cs="Times New Roman"/>
                <w:sz w:val="20"/>
                <w:szCs w:val="20"/>
              </w:rPr>
            </w:pPr>
            <w:r w:rsidRPr="008E6B55">
              <w:rPr>
                <w:rFonts w:ascii="Times New Roman" w:hAnsi="Times New Roman" w:cs="Times New Roman"/>
                <w:sz w:val="20"/>
                <w:szCs w:val="20"/>
              </w:rPr>
              <w:t>15%</w:t>
            </w:r>
          </w:p>
          <w:p w14:paraId="6601237C" w14:textId="02956FAB" w:rsidR="008E6B55" w:rsidRPr="008E6B55" w:rsidRDefault="008E6B55" w:rsidP="00D856B6">
            <w:pPr>
              <w:rPr>
                <w:rFonts w:ascii="Times New Roman" w:hAnsi="Times New Roman" w:cs="Times New Roman"/>
                <w:sz w:val="20"/>
                <w:szCs w:val="20"/>
              </w:rPr>
            </w:pPr>
            <w:r w:rsidRPr="008E6B55">
              <w:rPr>
                <w:rFonts w:ascii="Times New Roman" w:hAnsi="Times New Roman" w:cs="Times New Roman"/>
                <w:sz w:val="20"/>
                <w:szCs w:val="20"/>
              </w:rPr>
              <w:t>15%</w:t>
            </w:r>
          </w:p>
          <w:p w14:paraId="3C6192FC" w14:textId="04032E8C" w:rsidR="008E6B55" w:rsidRPr="008E6B55" w:rsidRDefault="008E6B55" w:rsidP="00D856B6">
            <w:pPr>
              <w:rPr>
                <w:rFonts w:ascii="Times New Roman" w:hAnsi="Times New Roman" w:cs="Times New Roman"/>
                <w:sz w:val="20"/>
                <w:szCs w:val="20"/>
              </w:rPr>
            </w:pPr>
            <w:r w:rsidRPr="008E6B55">
              <w:rPr>
                <w:rFonts w:ascii="Times New Roman" w:hAnsi="Times New Roman" w:cs="Times New Roman"/>
                <w:sz w:val="20"/>
                <w:szCs w:val="20"/>
              </w:rPr>
              <w:t>15%</w:t>
            </w:r>
          </w:p>
        </w:tc>
      </w:tr>
      <w:tr w:rsidR="00E02195" w14:paraId="12841460" w14:textId="77777777" w:rsidTr="00840E4E">
        <w:tc>
          <w:tcPr>
            <w:tcW w:w="4673" w:type="dxa"/>
          </w:tcPr>
          <w:p w14:paraId="5DB6E3B5" w14:textId="4DA20B85" w:rsidR="00E02195" w:rsidRPr="00F206DB" w:rsidRDefault="0026619F" w:rsidP="00D856B6">
            <w:pPr>
              <w:rPr>
                <w:rFonts w:ascii="Times New Roman" w:hAnsi="Times New Roman" w:cs="Times New Roman"/>
                <w:b/>
                <w:bCs/>
                <w:sz w:val="20"/>
                <w:szCs w:val="20"/>
              </w:rPr>
            </w:pPr>
            <w:r w:rsidRPr="00F206DB">
              <w:rPr>
                <w:rFonts w:ascii="Times New Roman" w:hAnsi="Times New Roman" w:cs="Times New Roman"/>
                <w:b/>
                <w:bCs/>
                <w:sz w:val="20"/>
                <w:szCs w:val="20"/>
              </w:rPr>
              <w:t>Main</w:t>
            </w:r>
            <w:r w:rsidR="00E02195" w:rsidRPr="00F206DB">
              <w:rPr>
                <w:rFonts w:ascii="Times New Roman" w:hAnsi="Times New Roman" w:cs="Times New Roman"/>
                <w:b/>
                <w:bCs/>
                <w:sz w:val="20"/>
                <w:szCs w:val="20"/>
              </w:rPr>
              <w:t xml:space="preserve"> responsibilities related to clinical teaching</w:t>
            </w:r>
          </w:p>
          <w:p w14:paraId="0D34C1EB" w14:textId="77777777" w:rsidR="00840E4E" w:rsidRDefault="00E02195" w:rsidP="00931904">
            <w:pPr>
              <w:rPr>
                <w:rFonts w:ascii="Times New Roman" w:hAnsi="Times New Roman" w:cs="Times New Roman"/>
                <w:sz w:val="20"/>
                <w:szCs w:val="20"/>
              </w:rPr>
            </w:pPr>
            <w:r w:rsidRPr="00F206DB">
              <w:rPr>
                <w:rFonts w:ascii="Times New Roman" w:hAnsi="Times New Roman" w:cs="Times New Roman"/>
                <w:sz w:val="20"/>
                <w:szCs w:val="20"/>
              </w:rPr>
              <w:t xml:space="preserve">  </w:t>
            </w:r>
          </w:p>
          <w:p w14:paraId="7016E999" w14:textId="6DAA10E0" w:rsidR="00840E4E" w:rsidRDefault="00E02195" w:rsidP="00931904">
            <w:pPr>
              <w:rPr>
                <w:rFonts w:ascii="Times New Roman" w:hAnsi="Times New Roman" w:cs="Times New Roman"/>
                <w:sz w:val="20"/>
                <w:szCs w:val="20"/>
              </w:rPr>
            </w:pPr>
            <w:r w:rsidRPr="00F206DB">
              <w:rPr>
                <w:rFonts w:ascii="Times New Roman" w:hAnsi="Times New Roman" w:cs="Times New Roman"/>
                <w:sz w:val="20"/>
                <w:szCs w:val="20"/>
              </w:rPr>
              <w:t xml:space="preserve"> </w:t>
            </w:r>
            <w:r w:rsidR="00840E4E">
              <w:rPr>
                <w:rFonts w:ascii="Times New Roman" w:hAnsi="Times New Roman" w:cs="Times New Roman"/>
                <w:sz w:val="20"/>
                <w:szCs w:val="20"/>
              </w:rPr>
              <w:t xml:space="preserve"> </w:t>
            </w:r>
            <w:r w:rsidR="0063523C">
              <w:rPr>
                <w:rFonts w:ascii="Times New Roman" w:hAnsi="Times New Roman" w:cs="Times New Roman"/>
                <w:sz w:val="20"/>
                <w:szCs w:val="20"/>
              </w:rPr>
              <w:t xml:space="preserve"> </w:t>
            </w:r>
            <w:r w:rsidR="00931904" w:rsidRPr="00F206DB">
              <w:rPr>
                <w:rFonts w:ascii="Times New Roman" w:hAnsi="Times New Roman" w:cs="Times New Roman"/>
                <w:sz w:val="20"/>
                <w:szCs w:val="20"/>
              </w:rPr>
              <w:t xml:space="preserve">Oversee education work, admins and clinical teachers </w:t>
            </w:r>
          </w:p>
          <w:p w14:paraId="402E7895" w14:textId="30B1497C" w:rsidR="00931904" w:rsidRDefault="00840E4E" w:rsidP="006017DB">
            <w:pPr>
              <w:rPr>
                <w:rFonts w:ascii="Times New Roman" w:hAnsi="Times New Roman" w:cs="Times New Roman"/>
                <w:sz w:val="20"/>
                <w:szCs w:val="20"/>
              </w:rPr>
            </w:pPr>
            <w:r>
              <w:rPr>
                <w:rFonts w:ascii="Times New Roman" w:hAnsi="Times New Roman" w:cs="Times New Roman"/>
                <w:sz w:val="20"/>
                <w:szCs w:val="20"/>
              </w:rPr>
              <w:t xml:space="preserve">   </w:t>
            </w:r>
            <w:r w:rsidR="00931904" w:rsidRPr="00F206DB">
              <w:rPr>
                <w:rFonts w:ascii="Times New Roman" w:hAnsi="Times New Roman" w:cs="Times New Roman"/>
                <w:sz w:val="20"/>
                <w:szCs w:val="20"/>
              </w:rPr>
              <w:t>in program, clinical department or division</w:t>
            </w:r>
          </w:p>
          <w:p w14:paraId="1EAB1256" w14:textId="77777777" w:rsidR="008E6B55" w:rsidRPr="00F206DB" w:rsidRDefault="008E6B55" w:rsidP="006017DB">
            <w:pPr>
              <w:rPr>
                <w:rFonts w:ascii="Times New Roman" w:hAnsi="Times New Roman" w:cs="Times New Roman"/>
                <w:sz w:val="20"/>
                <w:szCs w:val="20"/>
              </w:rPr>
            </w:pPr>
          </w:p>
          <w:p w14:paraId="6AAB9B32" w14:textId="77777777" w:rsidR="00840E4E" w:rsidRDefault="00931904" w:rsidP="006017DB">
            <w:pPr>
              <w:rPr>
                <w:rFonts w:ascii="Times New Roman" w:hAnsi="Times New Roman" w:cs="Times New Roman"/>
                <w:sz w:val="20"/>
                <w:szCs w:val="20"/>
              </w:rPr>
            </w:pPr>
            <w:r w:rsidRPr="00F206DB">
              <w:rPr>
                <w:rFonts w:ascii="Times New Roman" w:hAnsi="Times New Roman" w:cs="Times New Roman"/>
                <w:sz w:val="20"/>
                <w:szCs w:val="20"/>
              </w:rPr>
              <w:t xml:space="preserve">   </w:t>
            </w:r>
            <w:r w:rsidR="001A33D6" w:rsidRPr="00F206DB">
              <w:rPr>
                <w:rFonts w:ascii="Times New Roman" w:hAnsi="Times New Roman" w:cs="Times New Roman"/>
                <w:sz w:val="20"/>
                <w:szCs w:val="20"/>
              </w:rPr>
              <w:t>Oversee f</w:t>
            </w:r>
            <w:r w:rsidR="006017DB" w:rsidRPr="00F206DB">
              <w:rPr>
                <w:rFonts w:ascii="Times New Roman" w:hAnsi="Times New Roman" w:cs="Times New Roman"/>
                <w:sz w:val="20"/>
                <w:szCs w:val="20"/>
              </w:rPr>
              <w:t>aculty recognition</w:t>
            </w:r>
            <w:r w:rsidR="001A33D6" w:rsidRPr="00F206DB">
              <w:rPr>
                <w:rFonts w:ascii="Times New Roman" w:hAnsi="Times New Roman" w:cs="Times New Roman"/>
                <w:sz w:val="20"/>
                <w:szCs w:val="20"/>
              </w:rPr>
              <w:t xml:space="preserve"> </w:t>
            </w:r>
            <w:r w:rsidR="0026619F" w:rsidRPr="00F206DB">
              <w:rPr>
                <w:rFonts w:ascii="Times New Roman" w:hAnsi="Times New Roman" w:cs="Times New Roman"/>
                <w:sz w:val="20"/>
                <w:szCs w:val="20"/>
              </w:rPr>
              <w:t>o</w:t>
            </w:r>
            <w:r w:rsidR="006017DB" w:rsidRPr="00F206DB">
              <w:rPr>
                <w:rFonts w:ascii="Times New Roman" w:hAnsi="Times New Roman" w:cs="Times New Roman"/>
                <w:sz w:val="20"/>
                <w:szCs w:val="20"/>
              </w:rPr>
              <w:t>perations</w:t>
            </w:r>
            <w:r w:rsidR="001A33D6" w:rsidRPr="00F206DB">
              <w:rPr>
                <w:rFonts w:ascii="Times New Roman" w:hAnsi="Times New Roman" w:cs="Times New Roman"/>
                <w:sz w:val="20"/>
                <w:szCs w:val="20"/>
              </w:rPr>
              <w:t xml:space="preserve"> (awards, </w:t>
            </w:r>
          </w:p>
          <w:p w14:paraId="4C4A7709" w14:textId="3C60C538" w:rsidR="00E02195" w:rsidRDefault="00840E4E" w:rsidP="006017DB">
            <w:pPr>
              <w:rPr>
                <w:rFonts w:ascii="Times New Roman" w:hAnsi="Times New Roman" w:cs="Times New Roman"/>
                <w:sz w:val="20"/>
                <w:szCs w:val="20"/>
              </w:rPr>
            </w:pPr>
            <w:r>
              <w:rPr>
                <w:rFonts w:ascii="Times New Roman" w:hAnsi="Times New Roman" w:cs="Times New Roman"/>
                <w:sz w:val="20"/>
                <w:szCs w:val="20"/>
              </w:rPr>
              <w:t xml:space="preserve">   </w:t>
            </w:r>
            <w:r w:rsidR="001A33D6" w:rsidRPr="00F206DB">
              <w:rPr>
                <w:rFonts w:ascii="Times New Roman" w:hAnsi="Times New Roman" w:cs="Times New Roman"/>
                <w:sz w:val="20"/>
                <w:szCs w:val="20"/>
              </w:rPr>
              <w:t>promotion)</w:t>
            </w:r>
          </w:p>
          <w:p w14:paraId="673E7D53" w14:textId="30644F8A" w:rsidR="00BA3809" w:rsidRDefault="00BA3809" w:rsidP="006017DB">
            <w:pPr>
              <w:rPr>
                <w:rFonts w:ascii="Times New Roman" w:hAnsi="Times New Roman" w:cs="Times New Roman"/>
                <w:sz w:val="20"/>
                <w:szCs w:val="20"/>
              </w:rPr>
            </w:pPr>
          </w:p>
          <w:p w14:paraId="72B206D1" w14:textId="77777777" w:rsidR="00840E4E" w:rsidRDefault="00BA3809" w:rsidP="00BA3809">
            <w:pPr>
              <w:rPr>
                <w:rFonts w:ascii="Times New Roman" w:hAnsi="Times New Roman" w:cs="Times New Roman"/>
                <w:sz w:val="20"/>
                <w:szCs w:val="20"/>
              </w:rPr>
            </w:pPr>
            <w:r>
              <w:rPr>
                <w:rFonts w:ascii="Times New Roman" w:hAnsi="Times New Roman" w:cs="Times New Roman"/>
                <w:sz w:val="20"/>
                <w:szCs w:val="20"/>
              </w:rPr>
              <w:t xml:space="preserve"> </w:t>
            </w:r>
            <w:r w:rsidR="0026619F">
              <w:rPr>
                <w:rFonts w:ascii="Times New Roman" w:hAnsi="Times New Roman" w:cs="Times New Roman"/>
                <w:sz w:val="20"/>
                <w:szCs w:val="20"/>
              </w:rPr>
              <w:t xml:space="preserve"> </w:t>
            </w:r>
            <w:r>
              <w:rPr>
                <w:rFonts w:ascii="Times New Roman" w:hAnsi="Times New Roman" w:cs="Times New Roman"/>
                <w:sz w:val="20"/>
                <w:szCs w:val="20"/>
              </w:rPr>
              <w:t xml:space="preserve"> Oversee provision of support</w:t>
            </w:r>
            <w:r w:rsidR="00840E4E">
              <w:rPr>
                <w:rFonts w:ascii="Times New Roman" w:hAnsi="Times New Roman" w:cs="Times New Roman"/>
                <w:sz w:val="20"/>
                <w:szCs w:val="20"/>
              </w:rPr>
              <w:t xml:space="preserve"> </w:t>
            </w:r>
            <w:r>
              <w:rPr>
                <w:rFonts w:ascii="Times New Roman" w:hAnsi="Times New Roman" w:cs="Times New Roman"/>
                <w:sz w:val="20"/>
                <w:szCs w:val="20"/>
              </w:rPr>
              <w:t xml:space="preserve">resources for faculty </w:t>
            </w:r>
            <w:r w:rsidR="00840E4E">
              <w:rPr>
                <w:rFonts w:ascii="Times New Roman" w:hAnsi="Times New Roman" w:cs="Times New Roman"/>
                <w:sz w:val="20"/>
                <w:szCs w:val="20"/>
              </w:rPr>
              <w:t xml:space="preserve">    </w:t>
            </w:r>
          </w:p>
          <w:p w14:paraId="63C6964D" w14:textId="406EA5AE" w:rsidR="00BA3809" w:rsidRDefault="00840E4E" w:rsidP="00BA3809">
            <w:pPr>
              <w:rPr>
                <w:rFonts w:ascii="Times New Roman" w:hAnsi="Times New Roman" w:cs="Times New Roman"/>
                <w:sz w:val="20"/>
                <w:szCs w:val="20"/>
              </w:rPr>
            </w:pPr>
            <w:r>
              <w:rPr>
                <w:rFonts w:ascii="Times New Roman" w:hAnsi="Times New Roman" w:cs="Times New Roman"/>
                <w:sz w:val="20"/>
                <w:szCs w:val="20"/>
              </w:rPr>
              <w:t xml:space="preserve">   </w:t>
            </w:r>
            <w:r w:rsidR="00BA3809">
              <w:rPr>
                <w:rFonts w:ascii="Times New Roman" w:hAnsi="Times New Roman" w:cs="Times New Roman"/>
                <w:sz w:val="20"/>
                <w:szCs w:val="20"/>
              </w:rPr>
              <w:t>(e.g., protecte</w:t>
            </w:r>
            <w:r>
              <w:rPr>
                <w:rFonts w:ascii="Times New Roman" w:hAnsi="Times New Roman" w:cs="Times New Roman"/>
                <w:sz w:val="20"/>
                <w:szCs w:val="20"/>
              </w:rPr>
              <w:t>d</w:t>
            </w:r>
            <w:r w:rsidR="00BA3809">
              <w:rPr>
                <w:rFonts w:ascii="Times New Roman" w:hAnsi="Times New Roman" w:cs="Times New Roman"/>
                <w:sz w:val="20"/>
                <w:szCs w:val="20"/>
              </w:rPr>
              <w:t xml:space="preserve"> time, parking, support staff)</w:t>
            </w:r>
          </w:p>
          <w:p w14:paraId="0E337B23" w14:textId="154CF1B4" w:rsidR="001A33D6" w:rsidRDefault="00BA3809" w:rsidP="006017DB">
            <w:pPr>
              <w:rPr>
                <w:rFonts w:ascii="Times New Roman" w:hAnsi="Times New Roman" w:cs="Times New Roman"/>
                <w:sz w:val="20"/>
                <w:szCs w:val="20"/>
              </w:rPr>
            </w:pPr>
            <w:r>
              <w:rPr>
                <w:rFonts w:ascii="Times New Roman" w:hAnsi="Times New Roman" w:cs="Times New Roman"/>
                <w:sz w:val="20"/>
                <w:szCs w:val="20"/>
              </w:rPr>
              <w:t xml:space="preserve">  </w:t>
            </w:r>
          </w:p>
          <w:p w14:paraId="0D066554" w14:textId="77777777" w:rsidR="00840E4E" w:rsidRDefault="00E02195" w:rsidP="00D856B6">
            <w:pPr>
              <w:rPr>
                <w:rFonts w:ascii="Times New Roman" w:hAnsi="Times New Roman" w:cs="Times New Roman"/>
                <w:sz w:val="20"/>
                <w:szCs w:val="20"/>
              </w:rPr>
            </w:pPr>
            <w:r>
              <w:rPr>
                <w:rFonts w:ascii="Times New Roman" w:hAnsi="Times New Roman" w:cs="Times New Roman"/>
                <w:sz w:val="20"/>
                <w:szCs w:val="20"/>
              </w:rPr>
              <w:t xml:space="preserve">  </w:t>
            </w:r>
            <w:r w:rsidR="0026619F">
              <w:rPr>
                <w:rFonts w:ascii="Times New Roman" w:hAnsi="Times New Roman" w:cs="Times New Roman"/>
                <w:sz w:val="20"/>
                <w:szCs w:val="20"/>
              </w:rPr>
              <w:t xml:space="preserve"> </w:t>
            </w:r>
            <w:r w:rsidR="001A33D6">
              <w:rPr>
                <w:rFonts w:ascii="Times New Roman" w:hAnsi="Times New Roman" w:cs="Times New Roman"/>
                <w:sz w:val="20"/>
                <w:szCs w:val="20"/>
              </w:rPr>
              <w:t>Oversee f</w:t>
            </w:r>
            <w:r w:rsidR="006017DB">
              <w:rPr>
                <w:rFonts w:ascii="Times New Roman" w:hAnsi="Times New Roman" w:cs="Times New Roman"/>
                <w:sz w:val="20"/>
                <w:szCs w:val="20"/>
              </w:rPr>
              <w:t>aculty development training</w:t>
            </w:r>
            <w:r w:rsidR="0026619F">
              <w:rPr>
                <w:rFonts w:ascii="Times New Roman" w:hAnsi="Times New Roman" w:cs="Times New Roman"/>
                <w:sz w:val="20"/>
                <w:szCs w:val="20"/>
              </w:rPr>
              <w:t xml:space="preserve"> (in clinical dep </w:t>
            </w:r>
          </w:p>
          <w:p w14:paraId="1E056545" w14:textId="2491FD60" w:rsidR="006017DB" w:rsidRDefault="00840E4E" w:rsidP="00D856B6">
            <w:pPr>
              <w:rPr>
                <w:rFonts w:ascii="Times New Roman" w:hAnsi="Times New Roman" w:cs="Times New Roman"/>
                <w:sz w:val="20"/>
                <w:szCs w:val="20"/>
              </w:rPr>
            </w:pPr>
            <w:r>
              <w:rPr>
                <w:rFonts w:ascii="Times New Roman" w:hAnsi="Times New Roman" w:cs="Times New Roman"/>
                <w:sz w:val="20"/>
                <w:szCs w:val="20"/>
              </w:rPr>
              <w:t xml:space="preserve">   </w:t>
            </w:r>
            <w:r w:rsidR="0026619F">
              <w:rPr>
                <w:rFonts w:ascii="Times New Roman" w:hAnsi="Times New Roman" w:cs="Times New Roman"/>
                <w:sz w:val="20"/>
                <w:szCs w:val="20"/>
              </w:rPr>
              <w:t>or at med school)</w:t>
            </w:r>
          </w:p>
          <w:p w14:paraId="5076D351" w14:textId="6985DB42" w:rsidR="001A33D6" w:rsidRDefault="001A33D6" w:rsidP="001A33D6">
            <w:pPr>
              <w:rPr>
                <w:rFonts w:ascii="Times New Roman" w:hAnsi="Times New Roman" w:cs="Times New Roman"/>
                <w:sz w:val="20"/>
                <w:szCs w:val="20"/>
              </w:rPr>
            </w:pPr>
          </w:p>
          <w:p w14:paraId="73FC6C58" w14:textId="175706AB" w:rsidR="00BA3809" w:rsidRDefault="00BA3809" w:rsidP="001A33D6">
            <w:pPr>
              <w:rPr>
                <w:rFonts w:ascii="Times New Roman" w:hAnsi="Times New Roman" w:cs="Times New Roman"/>
                <w:sz w:val="20"/>
                <w:szCs w:val="20"/>
              </w:rPr>
            </w:pPr>
            <w:r>
              <w:rPr>
                <w:rFonts w:ascii="Times New Roman" w:hAnsi="Times New Roman" w:cs="Times New Roman"/>
                <w:sz w:val="20"/>
                <w:szCs w:val="20"/>
              </w:rPr>
              <w:t xml:space="preserve">   Oversee resident education and assessment</w:t>
            </w:r>
          </w:p>
          <w:p w14:paraId="174DAD7B" w14:textId="77777777" w:rsidR="00BA3809" w:rsidRDefault="00BA3809" w:rsidP="001A33D6">
            <w:pPr>
              <w:rPr>
                <w:rFonts w:ascii="Times New Roman" w:hAnsi="Times New Roman" w:cs="Times New Roman"/>
                <w:sz w:val="20"/>
                <w:szCs w:val="20"/>
              </w:rPr>
            </w:pPr>
          </w:p>
          <w:p w14:paraId="04832003" w14:textId="2E8B9BF3" w:rsidR="00E02195" w:rsidRPr="0026619F" w:rsidRDefault="001A33D6" w:rsidP="00D856B6">
            <w:pPr>
              <w:rPr>
                <w:rFonts w:ascii="Times New Roman" w:hAnsi="Times New Roman" w:cs="Times New Roman"/>
                <w:sz w:val="20"/>
                <w:szCs w:val="20"/>
              </w:rPr>
            </w:pPr>
            <w:r>
              <w:rPr>
                <w:rFonts w:ascii="Times New Roman" w:hAnsi="Times New Roman" w:cs="Times New Roman"/>
                <w:sz w:val="20"/>
                <w:szCs w:val="20"/>
              </w:rPr>
              <w:t xml:space="preserve">   Oversee faculty engagement operations</w:t>
            </w:r>
          </w:p>
        </w:tc>
        <w:tc>
          <w:tcPr>
            <w:tcW w:w="1843" w:type="dxa"/>
          </w:tcPr>
          <w:p w14:paraId="49B6E14A" w14:textId="77777777" w:rsidR="006017DB" w:rsidRDefault="006017DB" w:rsidP="00D856B6">
            <w:pPr>
              <w:rPr>
                <w:rFonts w:ascii="Times New Roman" w:hAnsi="Times New Roman" w:cs="Times New Roman"/>
                <w:sz w:val="20"/>
                <w:szCs w:val="20"/>
              </w:rPr>
            </w:pPr>
          </w:p>
          <w:p w14:paraId="6B927AF6" w14:textId="77777777" w:rsidR="00840E4E" w:rsidRPr="008E6B55" w:rsidRDefault="00840E4E" w:rsidP="00D856B6">
            <w:pPr>
              <w:rPr>
                <w:rFonts w:ascii="Times New Roman" w:hAnsi="Times New Roman" w:cs="Times New Roman"/>
                <w:sz w:val="20"/>
                <w:szCs w:val="20"/>
              </w:rPr>
            </w:pPr>
          </w:p>
          <w:p w14:paraId="79B8EAC3" w14:textId="4DA898B6" w:rsidR="006017DB" w:rsidRPr="008E6B55" w:rsidRDefault="00931904" w:rsidP="00D856B6">
            <w:pPr>
              <w:rPr>
                <w:rFonts w:ascii="Times New Roman" w:hAnsi="Times New Roman" w:cs="Times New Roman"/>
                <w:sz w:val="20"/>
                <w:szCs w:val="20"/>
              </w:rPr>
            </w:pPr>
            <w:r w:rsidRPr="008E6B55">
              <w:rPr>
                <w:rFonts w:ascii="Times New Roman" w:hAnsi="Times New Roman" w:cs="Times New Roman"/>
                <w:sz w:val="20"/>
                <w:szCs w:val="20"/>
              </w:rPr>
              <w:t>4</w:t>
            </w:r>
          </w:p>
          <w:p w14:paraId="0F31F7FA" w14:textId="77777777" w:rsidR="0026619F" w:rsidRPr="008E6B55" w:rsidRDefault="0026619F" w:rsidP="00D856B6">
            <w:pPr>
              <w:rPr>
                <w:rFonts w:ascii="Times New Roman" w:hAnsi="Times New Roman" w:cs="Times New Roman"/>
                <w:sz w:val="20"/>
                <w:szCs w:val="20"/>
              </w:rPr>
            </w:pPr>
          </w:p>
          <w:p w14:paraId="0592BF0F" w14:textId="77777777" w:rsidR="00931904" w:rsidRPr="008E6B55" w:rsidRDefault="00931904" w:rsidP="00D856B6">
            <w:pPr>
              <w:rPr>
                <w:rFonts w:ascii="Times New Roman" w:hAnsi="Times New Roman" w:cs="Times New Roman"/>
                <w:sz w:val="20"/>
                <w:szCs w:val="20"/>
              </w:rPr>
            </w:pPr>
          </w:p>
          <w:p w14:paraId="346E5F50" w14:textId="60AD396B" w:rsidR="00BA3809" w:rsidRPr="008E6B55" w:rsidRDefault="00931904" w:rsidP="00D856B6">
            <w:pPr>
              <w:rPr>
                <w:rFonts w:ascii="Times New Roman" w:hAnsi="Times New Roman" w:cs="Times New Roman"/>
                <w:sz w:val="20"/>
                <w:szCs w:val="20"/>
              </w:rPr>
            </w:pPr>
            <w:r w:rsidRPr="008E6B55">
              <w:rPr>
                <w:rFonts w:ascii="Times New Roman" w:hAnsi="Times New Roman" w:cs="Times New Roman"/>
                <w:sz w:val="20"/>
                <w:szCs w:val="20"/>
              </w:rPr>
              <w:t>3</w:t>
            </w:r>
            <w:r w:rsidR="0026619F" w:rsidRPr="008E6B55">
              <w:rPr>
                <w:rFonts w:ascii="Times New Roman" w:hAnsi="Times New Roman" w:cs="Times New Roman"/>
                <w:sz w:val="20"/>
                <w:szCs w:val="20"/>
              </w:rPr>
              <w:t xml:space="preserve"> </w:t>
            </w:r>
          </w:p>
          <w:p w14:paraId="28DC1A94" w14:textId="77777777" w:rsidR="00BA3809" w:rsidRPr="008E6B55" w:rsidRDefault="00BA3809" w:rsidP="00D856B6">
            <w:pPr>
              <w:rPr>
                <w:rFonts w:ascii="Times New Roman" w:hAnsi="Times New Roman" w:cs="Times New Roman"/>
                <w:sz w:val="20"/>
                <w:szCs w:val="20"/>
              </w:rPr>
            </w:pPr>
          </w:p>
          <w:p w14:paraId="5352B4E7" w14:textId="77777777" w:rsidR="0026619F" w:rsidRPr="008E6B55" w:rsidRDefault="0026619F" w:rsidP="00D856B6">
            <w:pPr>
              <w:rPr>
                <w:rFonts w:ascii="Times New Roman" w:hAnsi="Times New Roman" w:cs="Times New Roman"/>
                <w:sz w:val="20"/>
                <w:szCs w:val="20"/>
              </w:rPr>
            </w:pPr>
          </w:p>
          <w:p w14:paraId="51CDC624" w14:textId="7080A6FE" w:rsidR="0026619F" w:rsidRPr="008E6B55" w:rsidRDefault="0026619F" w:rsidP="00D856B6">
            <w:pPr>
              <w:rPr>
                <w:rFonts w:ascii="Times New Roman" w:hAnsi="Times New Roman" w:cs="Times New Roman"/>
                <w:sz w:val="20"/>
                <w:szCs w:val="20"/>
              </w:rPr>
            </w:pPr>
            <w:r w:rsidRPr="008E6B55">
              <w:rPr>
                <w:rFonts w:ascii="Times New Roman" w:hAnsi="Times New Roman" w:cs="Times New Roman"/>
                <w:sz w:val="20"/>
                <w:szCs w:val="20"/>
              </w:rPr>
              <w:t xml:space="preserve">2 </w:t>
            </w:r>
          </w:p>
          <w:p w14:paraId="3CD2D757" w14:textId="77777777" w:rsidR="00931904" w:rsidRPr="008E6B55" w:rsidRDefault="00931904" w:rsidP="00D856B6">
            <w:pPr>
              <w:rPr>
                <w:rFonts w:ascii="Times New Roman" w:hAnsi="Times New Roman" w:cs="Times New Roman"/>
                <w:sz w:val="20"/>
                <w:szCs w:val="20"/>
              </w:rPr>
            </w:pPr>
          </w:p>
          <w:p w14:paraId="1EFE8745" w14:textId="77777777" w:rsidR="00931904" w:rsidRPr="008E6B55" w:rsidRDefault="00931904" w:rsidP="00D856B6">
            <w:pPr>
              <w:rPr>
                <w:rFonts w:ascii="Times New Roman" w:hAnsi="Times New Roman" w:cs="Times New Roman"/>
                <w:sz w:val="20"/>
                <w:szCs w:val="20"/>
              </w:rPr>
            </w:pPr>
          </w:p>
          <w:p w14:paraId="58ED0B13" w14:textId="39B36A9E" w:rsidR="0026619F" w:rsidRPr="008E6B55" w:rsidRDefault="0026619F" w:rsidP="00D856B6">
            <w:pPr>
              <w:rPr>
                <w:rFonts w:ascii="Times New Roman" w:hAnsi="Times New Roman" w:cs="Times New Roman"/>
                <w:sz w:val="20"/>
                <w:szCs w:val="20"/>
              </w:rPr>
            </w:pPr>
            <w:r w:rsidRPr="008E6B55">
              <w:rPr>
                <w:rFonts w:ascii="Times New Roman" w:hAnsi="Times New Roman" w:cs="Times New Roman"/>
                <w:sz w:val="20"/>
                <w:szCs w:val="20"/>
              </w:rPr>
              <w:t xml:space="preserve">2 </w:t>
            </w:r>
          </w:p>
          <w:p w14:paraId="3D83D0B1" w14:textId="77777777" w:rsidR="0026619F" w:rsidRPr="008E6B55" w:rsidRDefault="0026619F" w:rsidP="00D856B6">
            <w:pPr>
              <w:rPr>
                <w:rFonts w:ascii="Times New Roman" w:hAnsi="Times New Roman" w:cs="Times New Roman"/>
                <w:sz w:val="20"/>
                <w:szCs w:val="20"/>
              </w:rPr>
            </w:pPr>
          </w:p>
          <w:p w14:paraId="1B4FE20A" w14:textId="6CB16F2F" w:rsidR="0026619F" w:rsidRPr="008E6B55" w:rsidRDefault="0026619F" w:rsidP="00D856B6">
            <w:pPr>
              <w:rPr>
                <w:rFonts w:ascii="Times New Roman" w:hAnsi="Times New Roman" w:cs="Times New Roman"/>
                <w:sz w:val="20"/>
                <w:szCs w:val="20"/>
              </w:rPr>
            </w:pPr>
            <w:r w:rsidRPr="008E6B55">
              <w:rPr>
                <w:rFonts w:ascii="Times New Roman" w:hAnsi="Times New Roman" w:cs="Times New Roman"/>
                <w:sz w:val="20"/>
                <w:szCs w:val="20"/>
              </w:rPr>
              <w:t xml:space="preserve"> </w:t>
            </w:r>
          </w:p>
          <w:p w14:paraId="66789112" w14:textId="543868AB" w:rsidR="0026619F" w:rsidRPr="008E6B55" w:rsidRDefault="0026619F" w:rsidP="00D856B6">
            <w:pPr>
              <w:rPr>
                <w:rFonts w:ascii="Times New Roman" w:hAnsi="Times New Roman" w:cs="Times New Roman"/>
                <w:sz w:val="20"/>
                <w:szCs w:val="20"/>
              </w:rPr>
            </w:pPr>
            <w:r w:rsidRPr="008E6B55">
              <w:rPr>
                <w:rFonts w:ascii="Times New Roman" w:hAnsi="Times New Roman" w:cs="Times New Roman"/>
                <w:sz w:val="20"/>
                <w:szCs w:val="20"/>
              </w:rPr>
              <w:t xml:space="preserve">1 </w:t>
            </w:r>
          </w:p>
          <w:p w14:paraId="7196994E" w14:textId="77777777" w:rsidR="0026619F" w:rsidRPr="008E6B55" w:rsidRDefault="0026619F" w:rsidP="00D856B6">
            <w:pPr>
              <w:rPr>
                <w:rFonts w:ascii="Times New Roman" w:hAnsi="Times New Roman" w:cs="Times New Roman"/>
                <w:sz w:val="20"/>
                <w:szCs w:val="20"/>
              </w:rPr>
            </w:pPr>
          </w:p>
          <w:p w14:paraId="510E41E4" w14:textId="15473B36" w:rsidR="001A33D6" w:rsidRPr="008E6B55" w:rsidRDefault="0026619F" w:rsidP="00D856B6">
            <w:pPr>
              <w:rPr>
                <w:rFonts w:ascii="Times New Roman" w:hAnsi="Times New Roman" w:cs="Times New Roman"/>
                <w:sz w:val="20"/>
                <w:szCs w:val="20"/>
              </w:rPr>
            </w:pPr>
            <w:r w:rsidRPr="008E6B55">
              <w:rPr>
                <w:rFonts w:ascii="Times New Roman" w:hAnsi="Times New Roman" w:cs="Times New Roman"/>
                <w:sz w:val="20"/>
                <w:szCs w:val="20"/>
              </w:rPr>
              <w:t xml:space="preserve">1 </w:t>
            </w:r>
          </w:p>
          <w:p w14:paraId="356FBC87" w14:textId="1876689D" w:rsidR="001A33D6" w:rsidRPr="008E6B55" w:rsidRDefault="001A33D6" w:rsidP="00D856B6">
            <w:pPr>
              <w:rPr>
                <w:rFonts w:ascii="Times New Roman" w:hAnsi="Times New Roman" w:cs="Times New Roman"/>
                <w:sz w:val="20"/>
                <w:szCs w:val="20"/>
              </w:rPr>
            </w:pPr>
          </w:p>
        </w:tc>
        <w:tc>
          <w:tcPr>
            <w:tcW w:w="1701" w:type="dxa"/>
          </w:tcPr>
          <w:p w14:paraId="5A47A4DA" w14:textId="77777777" w:rsidR="00E02195" w:rsidRPr="008E6B55" w:rsidRDefault="00E02195" w:rsidP="00D856B6">
            <w:pPr>
              <w:rPr>
                <w:rFonts w:ascii="Times New Roman" w:hAnsi="Times New Roman" w:cs="Times New Roman"/>
                <w:sz w:val="20"/>
                <w:szCs w:val="20"/>
              </w:rPr>
            </w:pPr>
          </w:p>
          <w:p w14:paraId="612D22F8" w14:textId="77777777" w:rsidR="00931904" w:rsidRPr="008E6B55" w:rsidRDefault="00931904" w:rsidP="00D856B6">
            <w:pPr>
              <w:rPr>
                <w:rFonts w:ascii="Times New Roman" w:hAnsi="Times New Roman" w:cs="Times New Roman"/>
                <w:sz w:val="20"/>
                <w:szCs w:val="20"/>
              </w:rPr>
            </w:pPr>
          </w:p>
          <w:p w14:paraId="3093FA13" w14:textId="36785EAE" w:rsidR="00F206DB" w:rsidRPr="008E6B55" w:rsidRDefault="00F206DB" w:rsidP="00D856B6">
            <w:pPr>
              <w:rPr>
                <w:rFonts w:ascii="Times New Roman" w:hAnsi="Times New Roman" w:cs="Times New Roman"/>
                <w:sz w:val="20"/>
                <w:szCs w:val="20"/>
              </w:rPr>
            </w:pPr>
            <w:r w:rsidRPr="008E6B55">
              <w:rPr>
                <w:rFonts w:ascii="Times New Roman" w:hAnsi="Times New Roman" w:cs="Times New Roman"/>
                <w:sz w:val="20"/>
                <w:szCs w:val="20"/>
              </w:rPr>
              <w:t>31%</w:t>
            </w:r>
          </w:p>
          <w:p w14:paraId="1BBB625D" w14:textId="77777777" w:rsidR="00840E4E" w:rsidRDefault="00840E4E" w:rsidP="00D856B6">
            <w:pPr>
              <w:rPr>
                <w:rFonts w:ascii="Times New Roman" w:hAnsi="Times New Roman" w:cs="Times New Roman"/>
                <w:sz w:val="20"/>
                <w:szCs w:val="20"/>
              </w:rPr>
            </w:pPr>
          </w:p>
          <w:p w14:paraId="22BDCD08" w14:textId="77777777" w:rsidR="00840E4E" w:rsidRDefault="00840E4E" w:rsidP="00D856B6">
            <w:pPr>
              <w:rPr>
                <w:rFonts w:ascii="Times New Roman" w:hAnsi="Times New Roman" w:cs="Times New Roman"/>
                <w:sz w:val="20"/>
                <w:szCs w:val="20"/>
              </w:rPr>
            </w:pPr>
          </w:p>
          <w:p w14:paraId="7D4DFB97" w14:textId="3D91C0DE" w:rsidR="00F206DB" w:rsidRPr="008E6B55" w:rsidRDefault="00840E4E" w:rsidP="00D856B6">
            <w:pPr>
              <w:rPr>
                <w:rFonts w:ascii="Times New Roman" w:hAnsi="Times New Roman" w:cs="Times New Roman"/>
                <w:sz w:val="20"/>
                <w:szCs w:val="20"/>
              </w:rPr>
            </w:pPr>
            <w:r>
              <w:rPr>
                <w:rFonts w:ascii="Times New Roman" w:hAnsi="Times New Roman" w:cs="Times New Roman"/>
                <w:sz w:val="20"/>
                <w:szCs w:val="20"/>
              </w:rPr>
              <w:t>2</w:t>
            </w:r>
            <w:r w:rsidR="00F206DB" w:rsidRPr="008E6B55">
              <w:rPr>
                <w:rFonts w:ascii="Times New Roman" w:hAnsi="Times New Roman" w:cs="Times New Roman"/>
                <w:sz w:val="20"/>
                <w:szCs w:val="20"/>
              </w:rPr>
              <w:t>3%</w:t>
            </w:r>
          </w:p>
          <w:p w14:paraId="772E06B3" w14:textId="77777777" w:rsidR="00F206DB" w:rsidRPr="008E6B55" w:rsidRDefault="00F206DB" w:rsidP="00D856B6">
            <w:pPr>
              <w:rPr>
                <w:rFonts w:ascii="Times New Roman" w:hAnsi="Times New Roman" w:cs="Times New Roman"/>
                <w:sz w:val="20"/>
                <w:szCs w:val="20"/>
              </w:rPr>
            </w:pPr>
          </w:p>
          <w:p w14:paraId="7127A364" w14:textId="77777777" w:rsidR="00F206DB" w:rsidRPr="008E6B55" w:rsidRDefault="00F206DB" w:rsidP="00D856B6">
            <w:pPr>
              <w:rPr>
                <w:rFonts w:ascii="Times New Roman" w:hAnsi="Times New Roman" w:cs="Times New Roman"/>
                <w:sz w:val="20"/>
                <w:szCs w:val="20"/>
              </w:rPr>
            </w:pPr>
          </w:p>
          <w:p w14:paraId="71F0D6AE" w14:textId="77777777" w:rsidR="00F206DB" w:rsidRPr="008E6B55" w:rsidRDefault="00F206DB" w:rsidP="00D856B6">
            <w:pPr>
              <w:rPr>
                <w:rFonts w:ascii="Times New Roman" w:hAnsi="Times New Roman" w:cs="Times New Roman"/>
                <w:sz w:val="20"/>
                <w:szCs w:val="20"/>
              </w:rPr>
            </w:pPr>
            <w:r w:rsidRPr="008E6B55">
              <w:rPr>
                <w:rFonts w:ascii="Times New Roman" w:hAnsi="Times New Roman" w:cs="Times New Roman"/>
                <w:sz w:val="20"/>
                <w:szCs w:val="20"/>
              </w:rPr>
              <w:t>15%</w:t>
            </w:r>
          </w:p>
          <w:p w14:paraId="32A127FB" w14:textId="77777777" w:rsidR="00F206DB" w:rsidRPr="008E6B55" w:rsidRDefault="00F206DB" w:rsidP="00D856B6">
            <w:pPr>
              <w:rPr>
                <w:rFonts w:ascii="Times New Roman" w:hAnsi="Times New Roman" w:cs="Times New Roman"/>
                <w:sz w:val="20"/>
                <w:szCs w:val="20"/>
              </w:rPr>
            </w:pPr>
          </w:p>
          <w:p w14:paraId="545B0175" w14:textId="77777777" w:rsidR="00F206DB" w:rsidRPr="008E6B55" w:rsidRDefault="00F206DB" w:rsidP="00D856B6">
            <w:pPr>
              <w:rPr>
                <w:rFonts w:ascii="Times New Roman" w:hAnsi="Times New Roman" w:cs="Times New Roman"/>
                <w:sz w:val="20"/>
                <w:szCs w:val="20"/>
              </w:rPr>
            </w:pPr>
          </w:p>
          <w:p w14:paraId="349AC2B7" w14:textId="77777777" w:rsidR="00F206DB" w:rsidRPr="008E6B55" w:rsidRDefault="00F206DB" w:rsidP="00D856B6">
            <w:pPr>
              <w:rPr>
                <w:rFonts w:ascii="Times New Roman" w:hAnsi="Times New Roman" w:cs="Times New Roman"/>
                <w:sz w:val="20"/>
                <w:szCs w:val="20"/>
              </w:rPr>
            </w:pPr>
            <w:r w:rsidRPr="008E6B55">
              <w:rPr>
                <w:rFonts w:ascii="Times New Roman" w:hAnsi="Times New Roman" w:cs="Times New Roman"/>
                <w:sz w:val="20"/>
                <w:szCs w:val="20"/>
              </w:rPr>
              <w:t>15%</w:t>
            </w:r>
          </w:p>
          <w:p w14:paraId="3D9075D8" w14:textId="77777777" w:rsidR="00F206DB" w:rsidRDefault="00F206DB" w:rsidP="00D856B6">
            <w:pPr>
              <w:rPr>
                <w:rFonts w:ascii="Times New Roman" w:hAnsi="Times New Roman" w:cs="Times New Roman"/>
                <w:sz w:val="20"/>
                <w:szCs w:val="20"/>
              </w:rPr>
            </w:pPr>
          </w:p>
          <w:p w14:paraId="70891B16" w14:textId="77777777" w:rsidR="008E6B55" w:rsidRPr="008E6B55" w:rsidRDefault="008E6B55" w:rsidP="00D856B6">
            <w:pPr>
              <w:rPr>
                <w:rFonts w:ascii="Times New Roman" w:hAnsi="Times New Roman" w:cs="Times New Roman"/>
                <w:sz w:val="20"/>
                <w:szCs w:val="20"/>
              </w:rPr>
            </w:pPr>
          </w:p>
          <w:p w14:paraId="2C44E815" w14:textId="77777777" w:rsidR="00F206DB" w:rsidRPr="008E6B55" w:rsidRDefault="00F206DB" w:rsidP="00D856B6">
            <w:pPr>
              <w:rPr>
                <w:rFonts w:ascii="Times New Roman" w:hAnsi="Times New Roman" w:cs="Times New Roman"/>
                <w:sz w:val="20"/>
                <w:szCs w:val="20"/>
              </w:rPr>
            </w:pPr>
            <w:r w:rsidRPr="008E6B55">
              <w:rPr>
                <w:rFonts w:ascii="Times New Roman" w:hAnsi="Times New Roman" w:cs="Times New Roman"/>
                <w:sz w:val="20"/>
                <w:szCs w:val="20"/>
              </w:rPr>
              <w:t>8%</w:t>
            </w:r>
          </w:p>
          <w:p w14:paraId="7CA8D319" w14:textId="77777777" w:rsidR="00F206DB" w:rsidRPr="008E6B55" w:rsidRDefault="00F206DB" w:rsidP="00D856B6">
            <w:pPr>
              <w:rPr>
                <w:rFonts w:ascii="Times New Roman" w:hAnsi="Times New Roman" w:cs="Times New Roman"/>
                <w:sz w:val="20"/>
                <w:szCs w:val="20"/>
              </w:rPr>
            </w:pPr>
          </w:p>
          <w:p w14:paraId="1AA04BAE" w14:textId="5BBC88C8" w:rsidR="00F206DB" w:rsidRPr="008E6B55" w:rsidRDefault="00F206DB" w:rsidP="00D856B6">
            <w:pPr>
              <w:rPr>
                <w:rFonts w:ascii="Times New Roman" w:hAnsi="Times New Roman" w:cs="Times New Roman"/>
                <w:sz w:val="20"/>
                <w:szCs w:val="20"/>
              </w:rPr>
            </w:pPr>
            <w:r w:rsidRPr="008E6B55">
              <w:rPr>
                <w:rFonts w:ascii="Times New Roman" w:hAnsi="Times New Roman" w:cs="Times New Roman"/>
                <w:sz w:val="20"/>
                <w:szCs w:val="20"/>
              </w:rPr>
              <w:t>8%</w:t>
            </w:r>
          </w:p>
        </w:tc>
      </w:tr>
      <w:tr w:rsidR="00E02195" w14:paraId="4024424E" w14:textId="77777777" w:rsidTr="00840E4E">
        <w:tc>
          <w:tcPr>
            <w:tcW w:w="4673" w:type="dxa"/>
          </w:tcPr>
          <w:p w14:paraId="700E6942" w14:textId="77777777" w:rsidR="00E02195" w:rsidRPr="00F206DB" w:rsidRDefault="00E02195" w:rsidP="00D856B6">
            <w:pPr>
              <w:rPr>
                <w:rFonts w:ascii="Times New Roman" w:hAnsi="Times New Roman" w:cs="Times New Roman"/>
                <w:b/>
                <w:bCs/>
                <w:sz w:val="20"/>
                <w:szCs w:val="20"/>
                <w:lang w:val="fr-FR"/>
              </w:rPr>
            </w:pPr>
            <w:proofErr w:type="spellStart"/>
            <w:r w:rsidRPr="00F206DB">
              <w:rPr>
                <w:rFonts w:ascii="Times New Roman" w:hAnsi="Times New Roman" w:cs="Times New Roman"/>
                <w:b/>
                <w:bCs/>
                <w:sz w:val="20"/>
                <w:szCs w:val="20"/>
                <w:lang w:val="fr-FR"/>
              </w:rPr>
              <w:t>Clinical</w:t>
            </w:r>
            <w:proofErr w:type="spellEnd"/>
            <w:r w:rsidRPr="00F206DB">
              <w:rPr>
                <w:rFonts w:ascii="Times New Roman" w:hAnsi="Times New Roman" w:cs="Times New Roman"/>
                <w:b/>
                <w:bCs/>
                <w:sz w:val="20"/>
                <w:szCs w:val="20"/>
                <w:lang w:val="fr-FR"/>
              </w:rPr>
              <w:t xml:space="preserve"> vs non-</w:t>
            </w:r>
            <w:proofErr w:type="spellStart"/>
            <w:r w:rsidRPr="00F206DB">
              <w:rPr>
                <w:rFonts w:ascii="Times New Roman" w:hAnsi="Times New Roman" w:cs="Times New Roman"/>
                <w:b/>
                <w:bCs/>
                <w:sz w:val="20"/>
                <w:szCs w:val="20"/>
                <w:lang w:val="fr-FR"/>
              </w:rPr>
              <w:t>clinical</w:t>
            </w:r>
            <w:proofErr w:type="spellEnd"/>
          </w:p>
          <w:p w14:paraId="73E906A1" w14:textId="77777777" w:rsidR="00E02195" w:rsidRPr="00F206DB" w:rsidRDefault="00E02195" w:rsidP="00D856B6">
            <w:pPr>
              <w:rPr>
                <w:rFonts w:ascii="Times New Roman" w:hAnsi="Times New Roman" w:cs="Times New Roman"/>
                <w:sz w:val="20"/>
                <w:szCs w:val="20"/>
                <w:lang w:val="fr-FR"/>
              </w:rPr>
            </w:pPr>
            <w:r w:rsidRPr="00F206DB">
              <w:rPr>
                <w:rFonts w:ascii="Times New Roman" w:hAnsi="Times New Roman" w:cs="Times New Roman"/>
                <w:sz w:val="20"/>
                <w:szCs w:val="20"/>
                <w:lang w:val="fr-FR"/>
              </w:rPr>
              <w:t xml:space="preserve">  </w:t>
            </w:r>
            <w:proofErr w:type="spellStart"/>
            <w:r w:rsidRPr="00F206DB">
              <w:rPr>
                <w:rFonts w:ascii="Times New Roman" w:hAnsi="Times New Roman" w:cs="Times New Roman"/>
                <w:sz w:val="20"/>
                <w:szCs w:val="20"/>
                <w:lang w:val="fr-FR"/>
              </w:rPr>
              <w:t>Clinical</w:t>
            </w:r>
            <w:proofErr w:type="spellEnd"/>
            <w:r w:rsidRPr="00F206DB">
              <w:rPr>
                <w:rFonts w:ascii="Times New Roman" w:hAnsi="Times New Roman" w:cs="Times New Roman"/>
                <w:sz w:val="20"/>
                <w:szCs w:val="20"/>
                <w:lang w:val="fr-FR"/>
              </w:rPr>
              <w:t xml:space="preserve"> </w:t>
            </w:r>
          </w:p>
          <w:p w14:paraId="4DB03FDB" w14:textId="77777777" w:rsidR="00E02195" w:rsidRPr="00F206DB" w:rsidRDefault="00E02195" w:rsidP="00D856B6">
            <w:pPr>
              <w:rPr>
                <w:rFonts w:ascii="Times New Roman" w:hAnsi="Times New Roman" w:cs="Times New Roman"/>
                <w:sz w:val="20"/>
                <w:szCs w:val="20"/>
                <w:lang w:val="fr-FR"/>
              </w:rPr>
            </w:pPr>
            <w:r w:rsidRPr="00F206DB">
              <w:rPr>
                <w:rFonts w:ascii="Times New Roman" w:hAnsi="Times New Roman" w:cs="Times New Roman"/>
                <w:sz w:val="20"/>
                <w:szCs w:val="20"/>
                <w:lang w:val="fr-FR"/>
              </w:rPr>
              <w:t xml:space="preserve">  Non-</w:t>
            </w:r>
            <w:proofErr w:type="spellStart"/>
            <w:r w:rsidRPr="00F206DB">
              <w:rPr>
                <w:rFonts w:ascii="Times New Roman" w:hAnsi="Times New Roman" w:cs="Times New Roman"/>
                <w:sz w:val="20"/>
                <w:szCs w:val="20"/>
                <w:lang w:val="fr-FR"/>
              </w:rPr>
              <w:t>clinical</w:t>
            </w:r>
            <w:proofErr w:type="spellEnd"/>
          </w:p>
        </w:tc>
        <w:tc>
          <w:tcPr>
            <w:tcW w:w="1843" w:type="dxa"/>
          </w:tcPr>
          <w:p w14:paraId="7D8E87A7" w14:textId="77777777" w:rsidR="00E02195" w:rsidRPr="00F206DB" w:rsidRDefault="00E02195" w:rsidP="00D856B6">
            <w:pPr>
              <w:rPr>
                <w:rFonts w:ascii="Times New Roman" w:hAnsi="Times New Roman" w:cs="Times New Roman"/>
                <w:sz w:val="20"/>
                <w:szCs w:val="20"/>
                <w:lang w:val="fr-FR"/>
              </w:rPr>
            </w:pPr>
          </w:p>
          <w:p w14:paraId="5FF6FC5D" w14:textId="4C7386E4" w:rsidR="00E02195" w:rsidRPr="00BA1601" w:rsidRDefault="00BA1601" w:rsidP="00D856B6">
            <w:pPr>
              <w:rPr>
                <w:rFonts w:ascii="Times New Roman" w:hAnsi="Times New Roman" w:cs="Times New Roman"/>
                <w:sz w:val="20"/>
                <w:szCs w:val="20"/>
                <w:lang w:val="fr-FR"/>
              </w:rPr>
            </w:pPr>
            <w:r>
              <w:rPr>
                <w:rFonts w:ascii="Times New Roman" w:hAnsi="Times New Roman" w:cs="Times New Roman"/>
                <w:sz w:val="20"/>
                <w:szCs w:val="20"/>
                <w:lang w:val="fr-FR"/>
              </w:rPr>
              <w:t>8</w:t>
            </w:r>
          </w:p>
          <w:p w14:paraId="213C6ECD" w14:textId="3F2D6A89" w:rsidR="00E02195" w:rsidRPr="00F206DB" w:rsidRDefault="00BA1601" w:rsidP="00D856B6">
            <w:pPr>
              <w:rPr>
                <w:rFonts w:ascii="Times New Roman" w:hAnsi="Times New Roman" w:cs="Times New Roman"/>
                <w:sz w:val="20"/>
                <w:szCs w:val="20"/>
              </w:rPr>
            </w:pPr>
            <w:r>
              <w:rPr>
                <w:rFonts w:ascii="Times New Roman" w:hAnsi="Times New Roman" w:cs="Times New Roman"/>
                <w:sz w:val="20"/>
                <w:szCs w:val="20"/>
              </w:rPr>
              <w:t>5</w:t>
            </w:r>
          </w:p>
        </w:tc>
        <w:tc>
          <w:tcPr>
            <w:tcW w:w="1701" w:type="dxa"/>
          </w:tcPr>
          <w:p w14:paraId="26738158" w14:textId="77777777" w:rsidR="00E02195" w:rsidRPr="00F206DB" w:rsidRDefault="00E02195" w:rsidP="00D856B6">
            <w:pPr>
              <w:rPr>
                <w:rFonts w:ascii="Times New Roman" w:hAnsi="Times New Roman" w:cs="Times New Roman"/>
                <w:sz w:val="20"/>
                <w:szCs w:val="20"/>
              </w:rPr>
            </w:pPr>
          </w:p>
          <w:p w14:paraId="3835E2C3" w14:textId="41250BFA" w:rsidR="00E02195" w:rsidRPr="00F206DB" w:rsidRDefault="00F206DB" w:rsidP="00D856B6">
            <w:pPr>
              <w:rPr>
                <w:rFonts w:ascii="Times New Roman" w:hAnsi="Times New Roman" w:cs="Times New Roman"/>
                <w:sz w:val="20"/>
                <w:szCs w:val="20"/>
              </w:rPr>
            </w:pPr>
            <w:r w:rsidRPr="00F206DB">
              <w:rPr>
                <w:rFonts w:ascii="Times New Roman" w:hAnsi="Times New Roman" w:cs="Times New Roman"/>
                <w:sz w:val="20"/>
                <w:szCs w:val="20"/>
              </w:rPr>
              <w:t>6</w:t>
            </w:r>
            <w:r w:rsidR="00BA1601">
              <w:rPr>
                <w:rFonts w:ascii="Times New Roman" w:hAnsi="Times New Roman" w:cs="Times New Roman"/>
                <w:sz w:val="20"/>
                <w:szCs w:val="20"/>
              </w:rPr>
              <w:t>1.5</w:t>
            </w:r>
            <w:r w:rsidR="00E02195" w:rsidRPr="00F206DB">
              <w:rPr>
                <w:rFonts w:ascii="Times New Roman" w:hAnsi="Times New Roman" w:cs="Times New Roman"/>
                <w:sz w:val="20"/>
                <w:szCs w:val="20"/>
              </w:rPr>
              <w:t>%</w:t>
            </w:r>
          </w:p>
          <w:p w14:paraId="06492BDC" w14:textId="5B2925FA" w:rsidR="00E02195" w:rsidRPr="00F206DB" w:rsidRDefault="00F206DB" w:rsidP="00D856B6">
            <w:pPr>
              <w:rPr>
                <w:rFonts w:ascii="Times New Roman" w:hAnsi="Times New Roman" w:cs="Times New Roman"/>
                <w:sz w:val="20"/>
                <w:szCs w:val="20"/>
              </w:rPr>
            </w:pPr>
            <w:r w:rsidRPr="00F206DB">
              <w:rPr>
                <w:rFonts w:ascii="Times New Roman" w:hAnsi="Times New Roman" w:cs="Times New Roman"/>
                <w:sz w:val="20"/>
                <w:szCs w:val="20"/>
              </w:rPr>
              <w:t>3</w:t>
            </w:r>
            <w:r w:rsidR="00BA1601">
              <w:rPr>
                <w:rFonts w:ascii="Times New Roman" w:hAnsi="Times New Roman" w:cs="Times New Roman"/>
                <w:sz w:val="20"/>
                <w:szCs w:val="20"/>
              </w:rPr>
              <w:t>8.5</w:t>
            </w:r>
            <w:r w:rsidRPr="00F206DB">
              <w:rPr>
                <w:rFonts w:ascii="Times New Roman" w:hAnsi="Times New Roman" w:cs="Times New Roman"/>
                <w:sz w:val="20"/>
                <w:szCs w:val="20"/>
              </w:rPr>
              <w:t>%</w:t>
            </w:r>
          </w:p>
        </w:tc>
      </w:tr>
      <w:tr w:rsidR="00E02195" w14:paraId="2E42CE14" w14:textId="77777777" w:rsidTr="00840E4E">
        <w:tc>
          <w:tcPr>
            <w:tcW w:w="4673" w:type="dxa"/>
          </w:tcPr>
          <w:p w14:paraId="4A108AB2" w14:textId="515B4F6B" w:rsidR="00E02195" w:rsidRPr="00F206DB" w:rsidRDefault="00E02195" w:rsidP="00D856B6">
            <w:pPr>
              <w:rPr>
                <w:rFonts w:ascii="Times New Roman" w:hAnsi="Times New Roman" w:cs="Times New Roman"/>
                <w:b/>
                <w:bCs/>
                <w:sz w:val="20"/>
                <w:szCs w:val="20"/>
              </w:rPr>
            </w:pPr>
            <w:r w:rsidRPr="00F206DB">
              <w:rPr>
                <w:rFonts w:ascii="Times New Roman" w:hAnsi="Times New Roman" w:cs="Times New Roman"/>
                <w:b/>
                <w:bCs/>
                <w:sz w:val="20"/>
                <w:szCs w:val="20"/>
              </w:rPr>
              <w:t xml:space="preserve">Years of </w:t>
            </w:r>
            <w:r w:rsidR="00470F6D" w:rsidRPr="00F206DB">
              <w:rPr>
                <w:rFonts w:ascii="Times New Roman" w:hAnsi="Times New Roman" w:cs="Times New Roman"/>
                <w:b/>
                <w:bCs/>
                <w:sz w:val="20"/>
                <w:szCs w:val="20"/>
              </w:rPr>
              <w:t>e</w:t>
            </w:r>
            <w:r w:rsidRPr="00F206DB">
              <w:rPr>
                <w:rFonts w:ascii="Times New Roman" w:hAnsi="Times New Roman" w:cs="Times New Roman"/>
                <w:b/>
                <w:bCs/>
                <w:sz w:val="20"/>
                <w:szCs w:val="20"/>
              </w:rPr>
              <w:t>xperienc</w:t>
            </w:r>
            <w:r w:rsidR="00470F6D" w:rsidRPr="00F206DB">
              <w:rPr>
                <w:rFonts w:ascii="Times New Roman" w:hAnsi="Times New Roman" w:cs="Times New Roman"/>
                <w:b/>
                <w:bCs/>
                <w:sz w:val="20"/>
                <w:szCs w:val="20"/>
              </w:rPr>
              <w:t xml:space="preserve">e in </w:t>
            </w:r>
            <w:r w:rsidR="00BE1411">
              <w:rPr>
                <w:rFonts w:ascii="Times New Roman" w:hAnsi="Times New Roman" w:cs="Times New Roman"/>
                <w:b/>
                <w:bCs/>
                <w:sz w:val="20"/>
                <w:szCs w:val="20"/>
              </w:rPr>
              <w:t xml:space="preserve">leadership </w:t>
            </w:r>
            <w:r w:rsidR="00470F6D" w:rsidRPr="00F206DB">
              <w:rPr>
                <w:rFonts w:ascii="Times New Roman" w:hAnsi="Times New Roman" w:cs="Times New Roman"/>
                <w:b/>
                <w:bCs/>
                <w:sz w:val="20"/>
                <w:szCs w:val="20"/>
              </w:rPr>
              <w:t>role (range)</w:t>
            </w:r>
          </w:p>
          <w:p w14:paraId="61F77C28" w14:textId="58F3A1AB" w:rsidR="00FA3579" w:rsidRPr="00F206DB" w:rsidRDefault="00470F6D" w:rsidP="00D856B6">
            <w:pPr>
              <w:rPr>
                <w:rFonts w:ascii="Times New Roman" w:hAnsi="Times New Roman" w:cs="Times New Roman"/>
                <w:sz w:val="20"/>
                <w:szCs w:val="20"/>
              </w:rPr>
            </w:pPr>
            <w:r w:rsidRPr="00F206DB">
              <w:rPr>
                <w:rFonts w:ascii="Times New Roman" w:hAnsi="Times New Roman" w:cs="Times New Roman"/>
                <w:b/>
                <w:bCs/>
                <w:sz w:val="20"/>
                <w:szCs w:val="20"/>
              </w:rPr>
              <w:t xml:space="preserve">  </w:t>
            </w:r>
            <w:r w:rsidRPr="00F206DB">
              <w:rPr>
                <w:rFonts w:ascii="Times New Roman" w:hAnsi="Times New Roman" w:cs="Times New Roman"/>
                <w:sz w:val="20"/>
                <w:szCs w:val="20"/>
              </w:rPr>
              <w:t>1-3</w:t>
            </w:r>
          </w:p>
          <w:p w14:paraId="7207113E" w14:textId="158DFB75" w:rsidR="00FA3579" w:rsidRPr="00F206DB" w:rsidRDefault="00470F6D" w:rsidP="00D856B6">
            <w:pPr>
              <w:rPr>
                <w:rFonts w:ascii="Times New Roman" w:hAnsi="Times New Roman" w:cs="Times New Roman"/>
                <w:sz w:val="20"/>
                <w:szCs w:val="20"/>
              </w:rPr>
            </w:pPr>
            <w:r w:rsidRPr="00F206DB">
              <w:rPr>
                <w:rFonts w:ascii="Times New Roman" w:hAnsi="Times New Roman" w:cs="Times New Roman"/>
                <w:sz w:val="20"/>
                <w:szCs w:val="20"/>
              </w:rPr>
              <w:t xml:space="preserve">  4-6</w:t>
            </w:r>
          </w:p>
          <w:p w14:paraId="5BC93A1E" w14:textId="4E51BEAD" w:rsidR="00E02195" w:rsidRPr="00F206DB" w:rsidRDefault="00470F6D" w:rsidP="00D856B6">
            <w:pPr>
              <w:rPr>
                <w:rFonts w:ascii="Times New Roman" w:hAnsi="Times New Roman" w:cs="Times New Roman"/>
                <w:sz w:val="20"/>
                <w:szCs w:val="20"/>
              </w:rPr>
            </w:pPr>
            <w:r w:rsidRPr="00F206DB">
              <w:rPr>
                <w:rFonts w:ascii="Times New Roman" w:hAnsi="Times New Roman" w:cs="Times New Roman"/>
                <w:sz w:val="20"/>
                <w:szCs w:val="20"/>
              </w:rPr>
              <w:t xml:space="preserve">  7+</w:t>
            </w:r>
          </w:p>
        </w:tc>
        <w:tc>
          <w:tcPr>
            <w:tcW w:w="1843" w:type="dxa"/>
          </w:tcPr>
          <w:p w14:paraId="32E1612F" w14:textId="77777777" w:rsidR="00E02195" w:rsidRPr="00F206DB" w:rsidRDefault="00E02195" w:rsidP="00D856B6">
            <w:pPr>
              <w:rPr>
                <w:rFonts w:ascii="Times New Roman" w:hAnsi="Times New Roman" w:cs="Times New Roman"/>
                <w:sz w:val="20"/>
                <w:szCs w:val="20"/>
              </w:rPr>
            </w:pPr>
          </w:p>
          <w:p w14:paraId="26BD0726" w14:textId="02F48549" w:rsidR="00F206DB" w:rsidRPr="00F206DB" w:rsidRDefault="00F206DB" w:rsidP="00D856B6">
            <w:pPr>
              <w:rPr>
                <w:rFonts w:ascii="Times New Roman" w:hAnsi="Times New Roman" w:cs="Times New Roman"/>
                <w:sz w:val="20"/>
                <w:szCs w:val="20"/>
              </w:rPr>
            </w:pPr>
            <w:r w:rsidRPr="00F206DB">
              <w:rPr>
                <w:rFonts w:ascii="Times New Roman" w:hAnsi="Times New Roman" w:cs="Times New Roman"/>
                <w:sz w:val="20"/>
                <w:szCs w:val="20"/>
              </w:rPr>
              <w:t>3</w:t>
            </w:r>
          </w:p>
          <w:p w14:paraId="14235986" w14:textId="79A9E375" w:rsidR="00F206DB" w:rsidRPr="00F206DB" w:rsidRDefault="00F206DB" w:rsidP="00D856B6">
            <w:pPr>
              <w:rPr>
                <w:rFonts w:ascii="Times New Roman" w:hAnsi="Times New Roman" w:cs="Times New Roman"/>
                <w:sz w:val="20"/>
                <w:szCs w:val="20"/>
              </w:rPr>
            </w:pPr>
            <w:r w:rsidRPr="00F206DB">
              <w:rPr>
                <w:rFonts w:ascii="Times New Roman" w:hAnsi="Times New Roman" w:cs="Times New Roman"/>
                <w:sz w:val="20"/>
                <w:szCs w:val="20"/>
              </w:rPr>
              <w:t>5</w:t>
            </w:r>
          </w:p>
          <w:p w14:paraId="51C7838A" w14:textId="310CC3C5" w:rsidR="00FA3579" w:rsidRPr="00F206DB" w:rsidRDefault="00F206DB" w:rsidP="00D856B6">
            <w:pPr>
              <w:rPr>
                <w:rFonts w:ascii="Times New Roman" w:hAnsi="Times New Roman" w:cs="Times New Roman"/>
                <w:sz w:val="20"/>
                <w:szCs w:val="20"/>
              </w:rPr>
            </w:pPr>
            <w:r w:rsidRPr="00F206DB">
              <w:rPr>
                <w:rFonts w:ascii="Times New Roman" w:hAnsi="Times New Roman" w:cs="Times New Roman"/>
                <w:sz w:val="20"/>
                <w:szCs w:val="20"/>
              </w:rPr>
              <w:t>5</w:t>
            </w:r>
          </w:p>
        </w:tc>
        <w:tc>
          <w:tcPr>
            <w:tcW w:w="1701" w:type="dxa"/>
          </w:tcPr>
          <w:p w14:paraId="20E0CE29" w14:textId="77777777" w:rsidR="00E02195" w:rsidRPr="00F206DB" w:rsidRDefault="00E02195" w:rsidP="00D856B6">
            <w:pPr>
              <w:rPr>
                <w:rFonts w:ascii="Times New Roman" w:hAnsi="Times New Roman" w:cs="Times New Roman"/>
                <w:sz w:val="20"/>
                <w:szCs w:val="20"/>
              </w:rPr>
            </w:pPr>
          </w:p>
          <w:p w14:paraId="67E51218" w14:textId="05880A94" w:rsidR="00F206DB" w:rsidRPr="00F206DB" w:rsidRDefault="00F206DB" w:rsidP="00D856B6">
            <w:pPr>
              <w:rPr>
                <w:rFonts w:ascii="Times New Roman" w:hAnsi="Times New Roman" w:cs="Times New Roman"/>
                <w:sz w:val="20"/>
                <w:szCs w:val="20"/>
              </w:rPr>
            </w:pPr>
            <w:r w:rsidRPr="00F206DB">
              <w:rPr>
                <w:rFonts w:ascii="Times New Roman" w:hAnsi="Times New Roman" w:cs="Times New Roman"/>
                <w:sz w:val="20"/>
                <w:szCs w:val="20"/>
              </w:rPr>
              <w:t>23%</w:t>
            </w:r>
          </w:p>
          <w:p w14:paraId="37645003" w14:textId="4F0A78C0" w:rsidR="00F206DB" w:rsidRPr="00F206DB" w:rsidRDefault="00F206DB" w:rsidP="00D856B6">
            <w:pPr>
              <w:rPr>
                <w:rFonts w:ascii="Times New Roman" w:hAnsi="Times New Roman" w:cs="Times New Roman"/>
                <w:sz w:val="20"/>
                <w:szCs w:val="20"/>
              </w:rPr>
            </w:pPr>
            <w:r w:rsidRPr="00F206DB">
              <w:rPr>
                <w:rFonts w:ascii="Times New Roman" w:hAnsi="Times New Roman" w:cs="Times New Roman"/>
                <w:sz w:val="20"/>
                <w:szCs w:val="20"/>
              </w:rPr>
              <w:t>38.5%</w:t>
            </w:r>
          </w:p>
          <w:p w14:paraId="6E0E1B86" w14:textId="0037E689" w:rsidR="00F206DB" w:rsidRPr="00F206DB" w:rsidRDefault="00F206DB" w:rsidP="00D856B6">
            <w:pPr>
              <w:rPr>
                <w:rFonts w:ascii="Times New Roman" w:hAnsi="Times New Roman" w:cs="Times New Roman"/>
                <w:sz w:val="20"/>
                <w:szCs w:val="20"/>
              </w:rPr>
            </w:pPr>
            <w:r w:rsidRPr="00F206DB">
              <w:rPr>
                <w:rFonts w:ascii="Times New Roman" w:hAnsi="Times New Roman" w:cs="Times New Roman"/>
                <w:sz w:val="20"/>
                <w:szCs w:val="20"/>
              </w:rPr>
              <w:t>38.5%</w:t>
            </w:r>
          </w:p>
        </w:tc>
      </w:tr>
    </w:tbl>
    <w:p w14:paraId="32769DF7" w14:textId="77777777" w:rsidR="00BE1411" w:rsidRDefault="00BE1411" w:rsidP="00470F6D">
      <w:pPr>
        <w:rPr>
          <w:rFonts w:ascii="Times New Roman" w:hAnsi="Times New Roman" w:cs="Times New Roman"/>
          <w:b/>
          <w:bCs/>
          <w:sz w:val="24"/>
          <w:szCs w:val="24"/>
        </w:rPr>
        <w:sectPr w:rsidR="00BE1411" w:rsidSect="008E714E">
          <w:headerReference w:type="default" r:id="rId8"/>
          <w:pgSz w:w="12240" w:h="15840"/>
          <w:pgMar w:top="1134" w:right="1134" w:bottom="1134" w:left="1134" w:header="708" w:footer="708" w:gutter="0"/>
          <w:cols w:space="708"/>
          <w:docGrid w:linePitch="360"/>
        </w:sectPr>
      </w:pPr>
    </w:p>
    <w:p w14:paraId="6985D06A" w14:textId="77777777" w:rsidR="00BE1411" w:rsidRDefault="00BE1411" w:rsidP="00BE1411">
      <w:pPr>
        <w:jc w:val="center"/>
        <w:rPr>
          <w:rFonts w:ascii="Times New Roman" w:hAnsi="Times New Roman" w:cs="Times New Roman"/>
          <w:b/>
          <w:bCs/>
          <w:sz w:val="28"/>
          <w:szCs w:val="28"/>
        </w:rPr>
      </w:pPr>
      <w:r w:rsidRPr="00BE1411">
        <w:rPr>
          <w:rFonts w:ascii="Times New Roman" w:hAnsi="Times New Roman" w:cs="Times New Roman"/>
          <w:b/>
          <w:bCs/>
          <w:sz w:val="28"/>
          <w:szCs w:val="28"/>
        </w:rPr>
        <w:lastRenderedPageBreak/>
        <w:t>Appendix B: Coding Schem</w:t>
      </w:r>
      <w:r>
        <w:rPr>
          <w:rFonts w:ascii="Times New Roman" w:hAnsi="Times New Roman" w:cs="Times New Roman"/>
          <w:b/>
          <w:bCs/>
          <w:sz w:val="28"/>
          <w:szCs w:val="28"/>
        </w:rPr>
        <w:t>e</w:t>
      </w:r>
    </w:p>
    <w:p w14:paraId="65D22484" w14:textId="556E2C1E" w:rsidR="00BE1411" w:rsidRPr="00BE1411" w:rsidRDefault="005148CD" w:rsidP="00BE1411">
      <w:pPr>
        <w:rPr>
          <w:rFonts w:ascii="Times New Roman" w:hAnsi="Times New Roman" w:cs="Times New Roman"/>
          <w:sz w:val="28"/>
          <w:szCs w:val="28"/>
        </w:rPr>
      </w:pPr>
      <w:r w:rsidRPr="009E0E2D">
        <w:rPr>
          <w:rFonts w:ascii="Times New Roman" w:hAnsi="Times New Roman" w:cs="Times New Roman"/>
          <w:b/>
          <w:bCs/>
          <w:sz w:val="24"/>
          <w:szCs w:val="24"/>
        </w:rPr>
        <w:t>Table S3</w:t>
      </w:r>
      <w:r>
        <w:rPr>
          <w:rFonts w:ascii="Times New Roman" w:hAnsi="Times New Roman" w:cs="Times New Roman"/>
          <w:sz w:val="24"/>
          <w:szCs w:val="24"/>
        </w:rPr>
        <w:t xml:space="preserve"> </w:t>
      </w:r>
      <w:r w:rsidRPr="00BE1411">
        <w:rPr>
          <w:rFonts w:ascii="Times New Roman" w:hAnsi="Times New Roman" w:cs="Times New Roman"/>
          <w:sz w:val="24"/>
          <w:szCs w:val="24"/>
        </w:rPr>
        <w:t>below displays the preliminary set of codes (directed codes) that align with our research questions. The codes were developed a priori based on the study protocol, interview guide and relevant literature</w:t>
      </w:r>
      <w:r>
        <w:rPr>
          <w:rFonts w:ascii="Times New Roman" w:hAnsi="Times New Roman" w:cs="Times New Roman"/>
          <w:sz w:val="24"/>
          <w:szCs w:val="24"/>
        </w:rPr>
        <w:t xml:space="preserve">. </w:t>
      </w:r>
      <w:r w:rsidR="00BE1411" w:rsidRPr="00BE1411">
        <w:rPr>
          <w:rFonts w:ascii="Times New Roman" w:hAnsi="Times New Roman" w:cs="Times New Roman"/>
          <w:sz w:val="24"/>
          <w:szCs w:val="24"/>
        </w:rPr>
        <w:t xml:space="preserve">The two coders (AWF and JL) performed directed coding of the interview transcripts to uncover themes related to our research objectives: 1) to examine how clinical teaching excellence is assessed, supported, and recognized; and 2) </w:t>
      </w:r>
      <w:r>
        <w:rPr>
          <w:rFonts w:ascii="Times New Roman" w:hAnsi="Times New Roman" w:cs="Times New Roman"/>
          <w:sz w:val="24"/>
          <w:szCs w:val="24"/>
        </w:rPr>
        <w:t>t</w:t>
      </w:r>
      <w:r w:rsidR="00BE1411" w:rsidRPr="00BE1411">
        <w:rPr>
          <w:rFonts w:ascii="Times New Roman" w:hAnsi="Times New Roman" w:cs="Times New Roman"/>
          <w:sz w:val="24"/>
          <w:szCs w:val="24"/>
        </w:rPr>
        <w:t xml:space="preserve">o explore the challenges and best practices to better value teaching excellence. For </w:t>
      </w:r>
      <w:r w:rsidR="00BC3D8E">
        <w:rPr>
          <w:rFonts w:ascii="Times New Roman" w:hAnsi="Times New Roman" w:cs="Times New Roman"/>
          <w:sz w:val="24"/>
          <w:szCs w:val="24"/>
        </w:rPr>
        <w:t xml:space="preserve">a few </w:t>
      </w:r>
      <w:r w:rsidR="00BE1411" w:rsidRPr="00BE1411">
        <w:rPr>
          <w:rFonts w:ascii="Times New Roman" w:hAnsi="Times New Roman" w:cs="Times New Roman"/>
          <w:sz w:val="24"/>
          <w:szCs w:val="24"/>
        </w:rPr>
        <w:t>codes that did not fit into predetermined categories, the two coders also performed open coding to allow for other concepts/themes to emerge naturally from the interview transcripts.</w:t>
      </w:r>
      <w:r w:rsidR="00BC3D8E">
        <w:rPr>
          <w:rFonts w:ascii="Times New Roman" w:hAnsi="Times New Roman" w:cs="Times New Roman"/>
          <w:sz w:val="24"/>
          <w:szCs w:val="24"/>
        </w:rPr>
        <w:t xml:space="preserve"> </w:t>
      </w:r>
    </w:p>
    <w:p w14:paraId="2CD1E39C" w14:textId="142C99ED" w:rsidR="00BE1411" w:rsidRPr="00BE1411" w:rsidRDefault="00BE1411" w:rsidP="00BE1411">
      <w:pPr>
        <w:pStyle w:val="ListParagraph"/>
        <w:numPr>
          <w:ilvl w:val="0"/>
          <w:numId w:val="34"/>
        </w:numPr>
        <w:spacing w:line="278" w:lineRule="auto"/>
        <w:rPr>
          <w:rFonts w:ascii="Times New Roman" w:hAnsi="Times New Roman" w:cs="Times New Roman"/>
          <w:i/>
          <w:iCs/>
          <w:sz w:val="24"/>
          <w:szCs w:val="24"/>
        </w:rPr>
      </w:pPr>
      <w:r w:rsidRPr="00BE1411">
        <w:rPr>
          <w:rFonts w:ascii="Times New Roman" w:hAnsi="Times New Roman" w:cs="Times New Roman"/>
          <w:i/>
          <w:iCs/>
          <w:sz w:val="24"/>
          <w:szCs w:val="24"/>
        </w:rPr>
        <w:t>Please note that this coding scheme had been developed prior to beginning analysis, and was subject to minor revisions (e.g., re-categorizations) over the course of coding and analysis.</w:t>
      </w:r>
    </w:p>
    <w:p w14:paraId="41B77D22" w14:textId="77777777" w:rsidR="00BE1411" w:rsidRPr="00BE1411" w:rsidRDefault="00BE1411">
      <w:pPr>
        <w:spacing w:line="278" w:lineRule="auto"/>
        <w:rPr>
          <w:rFonts w:ascii="Times New Roman" w:hAnsi="Times New Roman" w:cs="Times New Roman"/>
          <w:b/>
          <w:bCs/>
          <w:sz w:val="24"/>
          <w:szCs w:val="24"/>
          <w:lang w:val="en-US"/>
        </w:rPr>
      </w:pPr>
    </w:p>
    <w:p w14:paraId="1093DB01" w14:textId="7AC6F495" w:rsidR="00BE1411" w:rsidRPr="00E93FC9" w:rsidRDefault="00BE1411" w:rsidP="00BE1411">
      <w:pPr>
        <w:rPr>
          <w:rFonts w:ascii="Times New Roman" w:hAnsi="Times New Roman" w:cs="Times New Roman"/>
          <w:lang w:val="en-US"/>
        </w:rPr>
      </w:pPr>
      <w:r w:rsidRPr="00E93FC9">
        <w:rPr>
          <w:rFonts w:ascii="Times New Roman" w:hAnsi="Times New Roman" w:cs="Times New Roman"/>
          <w:b/>
          <w:bCs/>
          <w:lang w:val="en-US"/>
        </w:rPr>
        <w:t xml:space="preserve">Table </w:t>
      </w:r>
      <w:r w:rsidR="009E0E2D" w:rsidRPr="00E93FC9">
        <w:rPr>
          <w:rFonts w:ascii="Times New Roman" w:hAnsi="Times New Roman" w:cs="Times New Roman"/>
          <w:b/>
          <w:bCs/>
          <w:lang w:val="en-US"/>
        </w:rPr>
        <w:t>S3</w:t>
      </w:r>
      <w:r w:rsidRPr="00E93FC9">
        <w:rPr>
          <w:rFonts w:ascii="Times New Roman" w:hAnsi="Times New Roman" w:cs="Times New Roman"/>
          <w:b/>
          <w:bCs/>
          <w:lang w:val="en-US"/>
        </w:rPr>
        <w:t xml:space="preserve">. </w:t>
      </w:r>
      <w:r w:rsidRPr="00E93FC9">
        <w:rPr>
          <w:rFonts w:ascii="Times New Roman" w:hAnsi="Times New Roman" w:cs="Times New Roman"/>
          <w:lang w:val="en-US"/>
        </w:rPr>
        <w:t xml:space="preserve">Directed coding categories </w:t>
      </w:r>
    </w:p>
    <w:tbl>
      <w:tblPr>
        <w:tblStyle w:val="TableGrid"/>
        <w:tblW w:w="0" w:type="auto"/>
        <w:tblLook w:val="04A0" w:firstRow="1" w:lastRow="0" w:firstColumn="1" w:lastColumn="0" w:noHBand="0" w:noVBand="1"/>
      </w:tblPr>
      <w:tblGrid>
        <w:gridCol w:w="4957"/>
        <w:gridCol w:w="8505"/>
      </w:tblGrid>
      <w:tr w:rsidR="00BE1411" w:rsidRPr="00E93FC9" w14:paraId="0CE78CFA" w14:textId="77777777" w:rsidTr="007351AF">
        <w:trPr>
          <w:trHeight w:val="283"/>
        </w:trPr>
        <w:tc>
          <w:tcPr>
            <w:tcW w:w="4957" w:type="dxa"/>
          </w:tcPr>
          <w:p w14:paraId="13457E92" w14:textId="77777777" w:rsidR="00BE1411" w:rsidRPr="00E93FC9" w:rsidRDefault="00BE1411" w:rsidP="007351AF">
            <w:pPr>
              <w:spacing w:line="276" w:lineRule="auto"/>
              <w:rPr>
                <w:rFonts w:ascii="Times New Roman" w:hAnsi="Times New Roman" w:cs="Times New Roman"/>
                <w:b/>
                <w:bCs/>
                <w:lang w:val="en-US"/>
              </w:rPr>
            </w:pPr>
            <w:r w:rsidRPr="00E93FC9">
              <w:rPr>
                <w:rFonts w:ascii="Times New Roman" w:hAnsi="Times New Roman" w:cs="Times New Roman"/>
                <w:b/>
                <w:bCs/>
                <w:lang w:val="en-US"/>
              </w:rPr>
              <w:t>Coding categories and subcategories</w:t>
            </w:r>
          </w:p>
        </w:tc>
        <w:tc>
          <w:tcPr>
            <w:tcW w:w="8505" w:type="dxa"/>
          </w:tcPr>
          <w:p w14:paraId="6C156C45" w14:textId="77777777" w:rsidR="00BE1411" w:rsidRPr="00E93FC9" w:rsidRDefault="00BE1411" w:rsidP="007351AF">
            <w:pPr>
              <w:spacing w:line="276" w:lineRule="auto"/>
              <w:rPr>
                <w:rFonts w:ascii="Times New Roman" w:hAnsi="Times New Roman" w:cs="Times New Roman"/>
                <w:b/>
                <w:bCs/>
                <w:lang w:val="en-US"/>
              </w:rPr>
            </w:pPr>
            <w:r w:rsidRPr="00E93FC9">
              <w:rPr>
                <w:rFonts w:ascii="Times New Roman" w:hAnsi="Times New Roman" w:cs="Times New Roman"/>
                <w:b/>
                <w:bCs/>
                <w:lang w:val="en-US"/>
              </w:rPr>
              <w:t>Definition and examples</w:t>
            </w:r>
          </w:p>
        </w:tc>
      </w:tr>
      <w:tr w:rsidR="00BE1411" w:rsidRPr="00E93FC9" w14:paraId="68D1F9AD" w14:textId="77777777" w:rsidTr="007351AF">
        <w:trPr>
          <w:trHeight w:val="301"/>
        </w:trPr>
        <w:tc>
          <w:tcPr>
            <w:tcW w:w="4957" w:type="dxa"/>
          </w:tcPr>
          <w:p w14:paraId="2A181AAE" w14:textId="77777777" w:rsidR="00BE1411" w:rsidRPr="00E93FC9" w:rsidRDefault="00BE1411" w:rsidP="00BE1411">
            <w:pPr>
              <w:pStyle w:val="ListParagraph"/>
              <w:numPr>
                <w:ilvl w:val="0"/>
                <w:numId w:val="20"/>
              </w:numPr>
              <w:spacing w:line="276" w:lineRule="auto"/>
              <w:rPr>
                <w:rFonts w:ascii="Times New Roman" w:hAnsi="Times New Roman" w:cs="Times New Roman"/>
                <w:lang w:val="en-US"/>
              </w:rPr>
            </w:pPr>
            <w:r w:rsidRPr="00E93FC9">
              <w:rPr>
                <w:rStyle w:val="Strong"/>
                <w:rFonts w:ascii="Times New Roman" w:hAnsi="Times New Roman" w:cs="Times New Roman"/>
              </w:rPr>
              <w:t>Beliefs and/or understanding (meaning of TE)</w:t>
            </w:r>
          </w:p>
        </w:tc>
        <w:tc>
          <w:tcPr>
            <w:tcW w:w="8505" w:type="dxa"/>
          </w:tcPr>
          <w:p w14:paraId="79C4401A" w14:textId="77777777" w:rsidR="00BE1411" w:rsidRPr="00E93FC9" w:rsidRDefault="00BE1411" w:rsidP="007351AF">
            <w:pPr>
              <w:rPr>
                <w:rFonts w:ascii="Times New Roman" w:hAnsi="Times New Roman" w:cs="Times New Roman"/>
                <w:lang w:val="en-US"/>
              </w:rPr>
            </w:pPr>
            <w:r w:rsidRPr="00E93FC9">
              <w:rPr>
                <w:rFonts w:ascii="Times New Roman" w:hAnsi="Times New Roman" w:cs="Times New Roman"/>
                <w:lang w:val="en-US"/>
              </w:rPr>
              <w:t xml:space="preserve">This refers to the beliefs and understanding of the meaning of excellence in clinical teaching. For this study, this refers to the beliefs and understanding of the organizational and administrative leaders.  </w:t>
            </w:r>
          </w:p>
          <w:p w14:paraId="78DC1CCE" w14:textId="77777777" w:rsidR="00BE1411" w:rsidRPr="00E93FC9" w:rsidRDefault="00BE1411" w:rsidP="007351AF">
            <w:pPr>
              <w:rPr>
                <w:rFonts w:ascii="Times New Roman" w:hAnsi="Times New Roman" w:cs="Times New Roman"/>
                <w:lang w:val="en-US"/>
              </w:rPr>
            </w:pPr>
          </w:p>
          <w:p w14:paraId="2F49F250" w14:textId="77777777" w:rsidR="00BE1411" w:rsidRPr="00E93FC9" w:rsidRDefault="00BE1411" w:rsidP="007351AF">
            <w:pPr>
              <w:rPr>
                <w:rFonts w:ascii="Times New Roman" w:hAnsi="Times New Roman" w:cs="Times New Roman"/>
                <w:lang w:val="en-US"/>
              </w:rPr>
            </w:pPr>
            <w:r w:rsidRPr="00E93FC9">
              <w:rPr>
                <w:rFonts w:ascii="Times New Roman" w:hAnsi="Times New Roman" w:cs="Times New Roman"/>
                <w:lang w:val="en-US"/>
              </w:rPr>
              <w:t xml:space="preserve">The attributes of excellence in clinical teaching can be categorized into clinical competence, teaching competence, relationship with trainees and personal attributes. See definitions below from the health professions education literature. </w:t>
            </w:r>
          </w:p>
          <w:p w14:paraId="42E1BB0F" w14:textId="77777777" w:rsidR="00BE1411" w:rsidRPr="00E93FC9" w:rsidRDefault="00BE1411" w:rsidP="007351AF">
            <w:pPr>
              <w:rPr>
                <w:rFonts w:ascii="Times New Roman" w:hAnsi="Times New Roman" w:cs="Times New Roman"/>
                <w:vertAlign w:val="superscript"/>
                <w:lang w:val="en-US"/>
              </w:rPr>
            </w:pPr>
          </w:p>
        </w:tc>
      </w:tr>
      <w:tr w:rsidR="00BE1411" w:rsidRPr="00E93FC9" w14:paraId="46DECC28" w14:textId="77777777" w:rsidTr="007351AF">
        <w:trPr>
          <w:trHeight w:val="283"/>
        </w:trPr>
        <w:tc>
          <w:tcPr>
            <w:tcW w:w="4957" w:type="dxa"/>
          </w:tcPr>
          <w:p w14:paraId="5A6449C6" w14:textId="77777777" w:rsidR="00BE1411" w:rsidRPr="00E93FC9" w:rsidRDefault="00BE1411" w:rsidP="00BE1411">
            <w:pPr>
              <w:pStyle w:val="ListParagraph"/>
              <w:numPr>
                <w:ilvl w:val="0"/>
                <w:numId w:val="21"/>
              </w:numPr>
              <w:spacing w:line="276" w:lineRule="auto"/>
              <w:rPr>
                <w:rFonts w:ascii="Times New Roman" w:hAnsi="Times New Roman" w:cs="Times New Roman"/>
                <w:lang w:val="en-US"/>
              </w:rPr>
            </w:pPr>
            <w:r w:rsidRPr="00E93FC9">
              <w:rPr>
                <w:rFonts w:ascii="Times New Roman" w:hAnsi="Times New Roman" w:cs="Times New Roman"/>
                <w:lang w:val="en-US"/>
              </w:rPr>
              <w:t xml:space="preserve">Teaching competence </w:t>
            </w:r>
          </w:p>
        </w:tc>
        <w:tc>
          <w:tcPr>
            <w:tcW w:w="8505" w:type="dxa"/>
          </w:tcPr>
          <w:p w14:paraId="546F084C" w14:textId="2FD6157B" w:rsidR="00BE1411" w:rsidRPr="00E93FC9" w:rsidRDefault="00BE1411" w:rsidP="007351AF">
            <w:pPr>
              <w:rPr>
                <w:rFonts w:ascii="Times New Roman" w:hAnsi="Times New Roman" w:cs="Times New Roman"/>
                <w:lang w:val="en-US"/>
              </w:rPr>
            </w:pPr>
            <w:r w:rsidRPr="00E93FC9">
              <w:rPr>
                <w:rFonts w:ascii="Times New Roman" w:hAnsi="Times New Roman" w:cs="Times New Roman"/>
                <w:lang w:val="en-US"/>
              </w:rPr>
              <w:t>This code refers to the skills and abilities of an excellent teacher, such as stimulating student interest, probing student understanding, setting clear roles for students, gearing instructions to students’ level of readiness, providing good feedback, lesson planning, and providing clear explanations (Ber</w:t>
            </w:r>
            <w:r w:rsidR="006C07BC">
              <w:rPr>
                <w:rFonts w:ascii="Times New Roman" w:hAnsi="Times New Roman" w:cs="Times New Roman"/>
                <w:lang w:val="en-US"/>
              </w:rPr>
              <w:t>g</w:t>
            </w:r>
            <w:r w:rsidRPr="00E93FC9">
              <w:rPr>
                <w:rFonts w:ascii="Times New Roman" w:hAnsi="Times New Roman" w:cs="Times New Roman"/>
                <w:lang w:val="en-US"/>
              </w:rPr>
              <w:t>man &amp; Gaitskill, 1990; Arti</w:t>
            </w:r>
            <w:r w:rsidR="006C07BC">
              <w:rPr>
                <w:rFonts w:ascii="Times New Roman" w:hAnsi="Times New Roman" w:cs="Times New Roman"/>
                <w:lang w:val="en-US"/>
              </w:rPr>
              <w:t>m</w:t>
            </w:r>
            <w:r w:rsidRPr="00E93FC9">
              <w:rPr>
                <w:rFonts w:ascii="Times New Roman" w:hAnsi="Times New Roman" w:cs="Times New Roman"/>
                <w:lang w:val="en-US"/>
              </w:rPr>
              <w:t xml:space="preserve"> et al., 2019; Zhang et al., 2022; Berman, 2015)</w:t>
            </w:r>
          </w:p>
          <w:p w14:paraId="429E1D82" w14:textId="77777777" w:rsidR="00BE1411" w:rsidRPr="00E93FC9" w:rsidRDefault="00BE1411" w:rsidP="007351AF">
            <w:pPr>
              <w:rPr>
                <w:rFonts w:ascii="Times New Roman" w:hAnsi="Times New Roman" w:cs="Times New Roman"/>
                <w:lang w:val="en-US"/>
              </w:rPr>
            </w:pPr>
          </w:p>
        </w:tc>
      </w:tr>
      <w:tr w:rsidR="00BE1411" w:rsidRPr="00E93FC9" w14:paraId="5A1D2020" w14:textId="77777777" w:rsidTr="007351AF">
        <w:trPr>
          <w:trHeight w:val="301"/>
        </w:trPr>
        <w:tc>
          <w:tcPr>
            <w:tcW w:w="4957" w:type="dxa"/>
          </w:tcPr>
          <w:p w14:paraId="6C4B02C1" w14:textId="77777777" w:rsidR="00BE1411" w:rsidRPr="00E93FC9" w:rsidRDefault="00BE1411" w:rsidP="00BE1411">
            <w:pPr>
              <w:pStyle w:val="ListParagraph"/>
              <w:numPr>
                <w:ilvl w:val="0"/>
                <w:numId w:val="21"/>
              </w:numPr>
              <w:spacing w:line="276" w:lineRule="auto"/>
              <w:rPr>
                <w:rFonts w:ascii="Times New Roman" w:hAnsi="Times New Roman" w:cs="Times New Roman"/>
                <w:lang w:val="fr-FR"/>
              </w:rPr>
            </w:pPr>
            <w:proofErr w:type="spellStart"/>
            <w:r w:rsidRPr="00E93FC9">
              <w:rPr>
                <w:rFonts w:ascii="Times New Roman" w:hAnsi="Times New Roman" w:cs="Times New Roman"/>
                <w:lang w:val="fr-FR"/>
              </w:rPr>
              <w:t>Clinical</w:t>
            </w:r>
            <w:proofErr w:type="spellEnd"/>
            <w:r w:rsidRPr="00E93FC9">
              <w:rPr>
                <w:rFonts w:ascii="Times New Roman" w:hAnsi="Times New Roman" w:cs="Times New Roman"/>
                <w:lang w:val="fr-FR"/>
              </w:rPr>
              <w:t xml:space="preserve"> </w:t>
            </w:r>
            <w:proofErr w:type="spellStart"/>
            <w:r w:rsidRPr="00E93FC9">
              <w:rPr>
                <w:rFonts w:ascii="Times New Roman" w:hAnsi="Times New Roman" w:cs="Times New Roman"/>
                <w:lang w:val="fr-FR"/>
              </w:rPr>
              <w:t>competence</w:t>
            </w:r>
            <w:proofErr w:type="spellEnd"/>
            <w:r w:rsidRPr="00E93FC9">
              <w:rPr>
                <w:rFonts w:ascii="Times New Roman" w:hAnsi="Times New Roman" w:cs="Times New Roman"/>
                <w:lang w:val="fr-FR"/>
              </w:rPr>
              <w:t xml:space="preserve"> </w:t>
            </w:r>
          </w:p>
        </w:tc>
        <w:tc>
          <w:tcPr>
            <w:tcW w:w="8505" w:type="dxa"/>
          </w:tcPr>
          <w:p w14:paraId="14B5995B" w14:textId="4302D870" w:rsidR="00BE1411" w:rsidRPr="00E93FC9" w:rsidRDefault="00BE1411" w:rsidP="007351AF">
            <w:pPr>
              <w:rPr>
                <w:rFonts w:ascii="Times New Roman" w:hAnsi="Times New Roman" w:cs="Times New Roman"/>
                <w:vertAlign w:val="superscript"/>
                <w:lang w:val="en-US"/>
              </w:rPr>
            </w:pPr>
            <w:r w:rsidRPr="00E93FC9">
              <w:rPr>
                <w:rFonts w:ascii="Times New Roman" w:hAnsi="Times New Roman" w:cs="Times New Roman"/>
                <w:lang w:val="en-US"/>
              </w:rPr>
              <w:t>This code refers to the medical knowledge, content expertise (e.g., clinical procedures), clinical skill, supervises and helps in clinical encounters without taking over, interest in care and wellbeing of patients (Ber</w:t>
            </w:r>
            <w:r w:rsidR="006C07BC">
              <w:rPr>
                <w:rFonts w:ascii="Times New Roman" w:hAnsi="Times New Roman" w:cs="Times New Roman"/>
                <w:lang w:val="en-US"/>
              </w:rPr>
              <w:t>g</w:t>
            </w:r>
            <w:r w:rsidRPr="00E93FC9">
              <w:rPr>
                <w:rFonts w:ascii="Times New Roman" w:hAnsi="Times New Roman" w:cs="Times New Roman"/>
                <w:lang w:val="en-US"/>
              </w:rPr>
              <w:t>man &amp; Gaitskill, 1990; Arti</w:t>
            </w:r>
            <w:r w:rsidR="006C07BC">
              <w:rPr>
                <w:rFonts w:ascii="Times New Roman" w:hAnsi="Times New Roman" w:cs="Times New Roman"/>
                <w:lang w:val="en-US"/>
              </w:rPr>
              <w:t>m</w:t>
            </w:r>
            <w:r w:rsidRPr="00E93FC9">
              <w:rPr>
                <w:rFonts w:ascii="Times New Roman" w:hAnsi="Times New Roman" w:cs="Times New Roman"/>
                <w:lang w:val="en-US"/>
              </w:rPr>
              <w:t xml:space="preserve"> et al., 2019; Zhang et al., 2022; Berman, 2015)</w:t>
            </w:r>
          </w:p>
          <w:p w14:paraId="15C8F9A0" w14:textId="77777777" w:rsidR="00BE1411" w:rsidRPr="00E93FC9" w:rsidRDefault="00BE1411" w:rsidP="007351AF">
            <w:pPr>
              <w:rPr>
                <w:rFonts w:ascii="Times New Roman" w:hAnsi="Times New Roman" w:cs="Times New Roman"/>
                <w:lang w:val="en-US"/>
              </w:rPr>
            </w:pPr>
          </w:p>
        </w:tc>
      </w:tr>
      <w:tr w:rsidR="00BE1411" w:rsidRPr="00E93FC9" w14:paraId="793B75A9" w14:textId="77777777" w:rsidTr="007351AF">
        <w:trPr>
          <w:trHeight w:val="301"/>
        </w:trPr>
        <w:tc>
          <w:tcPr>
            <w:tcW w:w="4957" w:type="dxa"/>
          </w:tcPr>
          <w:p w14:paraId="2A6663E3" w14:textId="77777777" w:rsidR="00BE1411" w:rsidRPr="00E93FC9" w:rsidRDefault="00BE1411" w:rsidP="00BE1411">
            <w:pPr>
              <w:pStyle w:val="ListParagraph"/>
              <w:numPr>
                <w:ilvl w:val="0"/>
                <w:numId w:val="21"/>
              </w:numPr>
              <w:spacing w:line="240" w:lineRule="auto"/>
              <w:rPr>
                <w:rFonts w:ascii="Times New Roman" w:hAnsi="Times New Roman" w:cs="Times New Roman"/>
              </w:rPr>
            </w:pPr>
            <w:r w:rsidRPr="00E93FC9">
              <w:rPr>
                <w:rFonts w:ascii="Times New Roman" w:hAnsi="Times New Roman" w:cs="Times New Roman"/>
              </w:rPr>
              <w:lastRenderedPageBreak/>
              <w:t>Relationship with trainees  (interpersonal relationships)</w:t>
            </w:r>
          </w:p>
          <w:p w14:paraId="3512C366" w14:textId="77777777" w:rsidR="00BE1411" w:rsidRPr="00E93FC9" w:rsidRDefault="00BE1411" w:rsidP="007351AF">
            <w:pPr>
              <w:pStyle w:val="ListParagraph"/>
              <w:ind w:left="1080"/>
              <w:rPr>
                <w:rFonts w:ascii="Times New Roman" w:hAnsi="Times New Roman" w:cs="Times New Roman"/>
              </w:rPr>
            </w:pPr>
          </w:p>
        </w:tc>
        <w:tc>
          <w:tcPr>
            <w:tcW w:w="8505" w:type="dxa"/>
          </w:tcPr>
          <w:p w14:paraId="2BDEE1EB" w14:textId="5F3628D6" w:rsidR="00BE1411" w:rsidRPr="00E93FC9" w:rsidRDefault="00BE1411" w:rsidP="007351AF">
            <w:pPr>
              <w:rPr>
                <w:rFonts w:ascii="Times New Roman" w:hAnsi="Times New Roman" w:cs="Times New Roman"/>
                <w:vertAlign w:val="superscript"/>
                <w:lang w:val="en-US"/>
              </w:rPr>
            </w:pPr>
            <w:r w:rsidRPr="00E93FC9">
              <w:rPr>
                <w:rFonts w:ascii="Times New Roman" w:hAnsi="Times New Roman" w:cs="Times New Roman"/>
                <w:lang w:val="en-US"/>
              </w:rPr>
              <w:t>This code refers to faculty skills in interpersonal relationships with trainees. Examples include conveying confidence and respecting students, being honest and direct with students, providing support and encouraging students to bring up problems, permitting freedom of discussion, and being available for students  (Ber</w:t>
            </w:r>
            <w:r w:rsidR="006C07BC">
              <w:rPr>
                <w:rFonts w:ascii="Times New Roman" w:hAnsi="Times New Roman" w:cs="Times New Roman"/>
                <w:lang w:val="en-US"/>
              </w:rPr>
              <w:t>g</w:t>
            </w:r>
            <w:r w:rsidRPr="00E93FC9">
              <w:rPr>
                <w:rFonts w:ascii="Times New Roman" w:hAnsi="Times New Roman" w:cs="Times New Roman"/>
                <w:lang w:val="en-US"/>
              </w:rPr>
              <w:t>man &amp; Gaitskill, 1990; Arti</w:t>
            </w:r>
            <w:r w:rsidR="006C07BC">
              <w:rPr>
                <w:rFonts w:ascii="Times New Roman" w:hAnsi="Times New Roman" w:cs="Times New Roman"/>
                <w:lang w:val="en-US"/>
              </w:rPr>
              <w:t>m</w:t>
            </w:r>
            <w:r w:rsidRPr="00E93FC9">
              <w:rPr>
                <w:rFonts w:ascii="Times New Roman" w:hAnsi="Times New Roman" w:cs="Times New Roman"/>
                <w:lang w:val="en-US"/>
              </w:rPr>
              <w:t xml:space="preserve"> et al., 2019; Zhang et al., 2022; Berman, 2015)</w:t>
            </w:r>
          </w:p>
          <w:p w14:paraId="208DC140" w14:textId="77777777" w:rsidR="00BE1411" w:rsidRPr="00E93FC9" w:rsidRDefault="00BE1411" w:rsidP="007351AF">
            <w:pPr>
              <w:rPr>
                <w:rFonts w:ascii="Times New Roman" w:hAnsi="Times New Roman" w:cs="Times New Roman"/>
                <w:lang w:val="en-US"/>
              </w:rPr>
            </w:pPr>
          </w:p>
        </w:tc>
      </w:tr>
      <w:tr w:rsidR="00BE1411" w:rsidRPr="00E93FC9" w14:paraId="7C869AAF" w14:textId="77777777" w:rsidTr="007351AF">
        <w:trPr>
          <w:trHeight w:val="301"/>
        </w:trPr>
        <w:tc>
          <w:tcPr>
            <w:tcW w:w="4957" w:type="dxa"/>
          </w:tcPr>
          <w:p w14:paraId="791DC42F" w14:textId="261848EC" w:rsidR="00BE1411" w:rsidRPr="00E93FC9" w:rsidRDefault="00BE1411" w:rsidP="00BE1411">
            <w:pPr>
              <w:pStyle w:val="ListParagraph"/>
              <w:numPr>
                <w:ilvl w:val="0"/>
                <w:numId w:val="21"/>
              </w:numPr>
              <w:spacing w:line="240" w:lineRule="auto"/>
              <w:rPr>
                <w:rFonts w:ascii="Times New Roman" w:hAnsi="Times New Roman" w:cs="Times New Roman"/>
                <w:lang w:val="fr-FR"/>
              </w:rPr>
            </w:pPr>
            <w:proofErr w:type="spellStart"/>
            <w:r w:rsidRPr="00E93FC9">
              <w:rPr>
                <w:rFonts w:ascii="Times New Roman" w:hAnsi="Times New Roman" w:cs="Times New Roman"/>
                <w:lang w:val="fr-FR"/>
              </w:rPr>
              <w:t>Personal</w:t>
            </w:r>
            <w:proofErr w:type="spellEnd"/>
            <w:r w:rsidRPr="00E93FC9">
              <w:rPr>
                <w:rFonts w:ascii="Times New Roman" w:hAnsi="Times New Roman" w:cs="Times New Roman"/>
                <w:lang w:val="fr-FR"/>
              </w:rPr>
              <w:t xml:space="preserve"> </w:t>
            </w:r>
            <w:proofErr w:type="spellStart"/>
            <w:r w:rsidRPr="00E93FC9">
              <w:rPr>
                <w:rFonts w:ascii="Times New Roman" w:hAnsi="Times New Roman" w:cs="Times New Roman"/>
                <w:lang w:val="fr-FR"/>
              </w:rPr>
              <w:t>attributes</w:t>
            </w:r>
            <w:proofErr w:type="spellEnd"/>
          </w:p>
          <w:p w14:paraId="05FC3F95" w14:textId="77777777" w:rsidR="00BE1411" w:rsidRPr="00E93FC9" w:rsidRDefault="00BE1411" w:rsidP="007351AF">
            <w:pPr>
              <w:pStyle w:val="ListParagraph"/>
              <w:ind w:left="1080"/>
              <w:rPr>
                <w:rFonts w:ascii="Times New Roman" w:hAnsi="Times New Roman" w:cs="Times New Roman"/>
                <w:lang w:val="fr-FR"/>
              </w:rPr>
            </w:pPr>
          </w:p>
        </w:tc>
        <w:tc>
          <w:tcPr>
            <w:tcW w:w="8505" w:type="dxa"/>
          </w:tcPr>
          <w:p w14:paraId="391FD806" w14:textId="3BC98604" w:rsidR="00BE1411" w:rsidRPr="00E93FC9" w:rsidRDefault="00BE1411" w:rsidP="007351AF">
            <w:pPr>
              <w:rPr>
                <w:rFonts w:ascii="Times New Roman" w:hAnsi="Times New Roman" w:cs="Times New Roman"/>
                <w:lang w:val="en-US"/>
              </w:rPr>
            </w:pPr>
            <w:r w:rsidRPr="00E93FC9">
              <w:rPr>
                <w:rFonts w:ascii="Times New Roman" w:hAnsi="Times New Roman" w:cs="Times New Roman"/>
                <w:lang w:val="en-US"/>
              </w:rPr>
              <w:t>This code refers to the personal characteristics of the faculty, such as enthusiasm for teaching, being dynamic and energetic, being open minded and non-judgmental, accountability (admitting shortcomings and mistakes), having self-control and patience (Ber</w:t>
            </w:r>
            <w:r w:rsidR="006C07BC">
              <w:rPr>
                <w:rFonts w:ascii="Times New Roman" w:hAnsi="Times New Roman" w:cs="Times New Roman"/>
                <w:lang w:val="en-US"/>
              </w:rPr>
              <w:t>g</w:t>
            </w:r>
            <w:r w:rsidRPr="00E93FC9">
              <w:rPr>
                <w:rFonts w:ascii="Times New Roman" w:hAnsi="Times New Roman" w:cs="Times New Roman"/>
                <w:lang w:val="en-US"/>
              </w:rPr>
              <w:t>man &amp; Gaitskill, 1990; Arti</w:t>
            </w:r>
            <w:r w:rsidR="006C07BC">
              <w:rPr>
                <w:rFonts w:ascii="Times New Roman" w:hAnsi="Times New Roman" w:cs="Times New Roman"/>
                <w:lang w:val="en-US"/>
              </w:rPr>
              <w:t>m</w:t>
            </w:r>
            <w:r w:rsidRPr="00E93FC9">
              <w:rPr>
                <w:rFonts w:ascii="Times New Roman" w:hAnsi="Times New Roman" w:cs="Times New Roman"/>
                <w:lang w:val="en-US"/>
              </w:rPr>
              <w:t xml:space="preserve"> et al., 2019; Zhang et al., 2022; Berman, 2015).</w:t>
            </w:r>
          </w:p>
          <w:p w14:paraId="15AF2E0E" w14:textId="77777777" w:rsidR="00BE1411" w:rsidRPr="00E93FC9" w:rsidRDefault="00BE1411" w:rsidP="007351AF">
            <w:pPr>
              <w:rPr>
                <w:rFonts w:ascii="Times New Roman" w:hAnsi="Times New Roman" w:cs="Times New Roman"/>
                <w:lang w:val="en-US"/>
              </w:rPr>
            </w:pPr>
          </w:p>
        </w:tc>
      </w:tr>
      <w:tr w:rsidR="00BE1411" w:rsidRPr="00E93FC9" w14:paraId="5D7B29B4" w14:textId="77777777" w:rsidTr="007351AF">
        <w:trPr>
          <w:trHeight w:val="283"/>
        </w:trPr>
        <w:tc>
          <w:tcPr>
            <w:tcW w:w="4957" w:type="dxa"/>
            <w:shd w:val="clear" w:color="auto" w:fill="auto"/>
          </w:tcPr>
          <w:p w14:paraId="52E93657" w14:textId="77777777" w:rsidR="00BE1411" w:rsidRPr="00E93FC9" w:rsidRDefault="00BE1411" w:rsidP="00BE1411">
            <w:pPr>
              <w:pStyle w:val="ListParagraph"/>
              <w:numPr>
                <w:ilvl w:val="0"/>
                <w:numId w:val="20"/>
              </w:numPr>
              <w:spacing w:line="276" w:lineRule="auto"/>
              <w:rPr>
                <w:rFonts w:ascii="Times New Roman" w:hAnsi="Times New Roman" w:cs="Times New Roman"/>
                <w:b/>
                <w:bCs/>
                <w:lang w:val="en-US"/>
              </w:rPr>
            </w:pPr>
            <w:r w:rsidRPr="00E93FC9">
              <w:rPr>
                <w:rFonts w:ascii="Times New Roman" w:hAnsi="Times New Roman" w:cs="Times New Roman"/>
                <w:b/>
                <w:bCs/>
                <w:lang w:val="en-US"/>
              </w:rPr>
              <w:t xml:space="preserve">Structure </w:t>
            </w:r>
            <w:r w:rsidRPr="00E93FC9">
              <w:rPr>
                <w:rFonts w:ascii="Times New Roman" w:hAnsi="Times New Roman" w:cs="Times New Roman"/>
                <w:lang w:val="en-US"/>
              </w:rPr>
              <w:t>(organizational context, processes)</w:t>
            </w:r>
          </w:p>
        </w:tc>
        <w:tc>
          <w:tcPr>
            <w:tcW w:w="8505" w:type="dxa"/>
            <w:shd w:val="clear" w:color="auto" w:fill="auto"/>
          </w:tcPr>
          <w:p w14:paraId="57D690BB" w14:textId="77777777" w:rsidR="00BE1411" w:rsidRPr="00E93FC9" w:rsidRDefault="00BE1411" w:rsidP="007351AF">
            <w:pPr>
              <w:rPr>
                <w:rFonts w:ascii="Times New Roman" w:hAnsi="Times New Roman" w:cs="Times New Roman"/>
              </w:rPr>
            </w:pPr>
            <w:r w:rsidRPr="00E93FC9">
              <w:rPr>
                <w:rFonts w:ascii="Times New Roman" w:hAnsi="Times New Roman" w:cs="Times New Roman"/>
              </w:rPr>
              <w:t xml:space="preserve">Institutional structure can refer to the physical infrastructure, design of the physical spaces, technological infrastructure, or work infrastructure (arrangement of tasks and responsibilities) </w:t>
            </w:r>
            <w:r w:rsidRPr="00E93FC9">
              <w:rPr>
                <w:rFonts w:ascii="Times New Roman" w:hAnsi="Times New Roman" w:cs="Times New Roman"/>
              </w:rPr>
              <w:fldChar w:fldCharType="begin" w:fldLock="1"/>
            </w:r>
            <w:r w:rsidRPr="00E93FC9">
              <w:rPr>
                <w:rFonts w:ascii="Times New Roman" w:hAnsi="Times New Roman" w:cs="Times New Roman"/>
              </w:rPr>
              <w:instrText>ADDIN CSL_CITATION {"citationItems":[{"id":"ITEM-1","itemData":{"DOI":"10.1186/S13012-022-01245-0","ISSN":"1748-5908","PMID":"36309746","abstract":"Many implementation efforts fail, even with highly developed plans for execution, because contextual factors can be powerful forces working against implementation in the real world. The Consolidated Framework for Implementation Research (CFIR) is one of the most commonly used determinant frameworks to assess these contextual factors; however, it has been over 10&amp;nbsp;years since publication and there is a need for updates. The purpose of this project was to elicit feedback from experienced CFIR users to inform updates to the framework. User feedback was obtained from two sources: (1) a literature review with a systematic search; and (2) a survey of authors who used the CFIR in a published study. Data were combined across both sources and reviewed to identify themes; a consensus approach was used to finalize all CFIR updates. The VA Ann Arbor Healthcare System IRB declared this study exempt from the requirements of 38 CFR 16 based on category 2. The systematic search yielded 376 articles that contained the CFIR in the title and/or abstract and 334 unique authors with contact information; 59 articles included feedback on the CFIR. Forty percent (n = 134/334) of authors completed the survey. The CFIR received positive ratings on most framework sensibility items (e.g., applicability, usability), but respondents also provided recommendations for changes. Overall, updates to the CFIR include revisions to existing domains and constructs as well as the addition, removal, or relocation of constructs. These changes address important critiques of the CFIR, including better centering innovation recipients and adding determinants to equity in implementation. The updates in the CFIR reflect feedback from a growing community of CFIR users. Although there are many updates, constructs can be mapped back to the original CFIR to ensure longitudinal consistency. We encourage&amp;nbsp;users to continue critiquing the CFIR, facilitating the evolution of the framework as implementation science advances.","author":[{"dropping-particle":"","family":"Damschroder","given":"Laura J.","non-dropping-particle":"","parse-names":false,"suffix":""},{"dropping-particle":"","family":"Reardon","given":"Caitlin M.","non-dropping-particle":"","parse-names":false,"suffix":""},{"dropping-particle":"","family":"Widerquist","given":"Marilla A.Opra","non-dropping-particle":"","parse-names":false,"suffix":""},{"dropping-particle":"","family":"Lowery","given":"Julie","non-dropping-particle":"","parse-names":false,"suffix":""}],"container-title":"Implementation Science 2022 17:1","id":"ITEM-1","issue":"1","issued":{"date-parts":[["2022","10","29"]]},"page":"1-16","publisher":"BioMed Central","title":"The updated Consolidated Framework for Implementation Research based on user feedback","type":"article-journal","volume":"17"},"uris":["http://www.mendeley.com/documents/?uuid=9e647b7f-b2a7-30cc-8d33-26e3f838909f"]},{"id":"ITEM-2","itemData":{"DOI":"10.1080/0142159X.2019.1566603","ISSN":"0142-159X","abstract":"Medical education has traditionally focused on the learners, the educators, and the curriculum, while tending to overlook the role of the designed environment. Experience indicates, however, that processes and outcomes of medical education are sensitive to the qualities and disposition of the spaces in which it occurs. This includes the clinical education within the patient care environment, termed the clinical learning environment (CLE). Recognition of this has informed the design of some new clinical learning spaces for the past decade. Competency-based clinical education can drive design requirements that differ materially from those associated with general purpose educational or clinical spaces. In this article, we outline two conceptual frameworks: (i) materialist spatiality and (ii) actor-network theory and consider how they can guide the design of spaces to support competency-based medical education and to guide the evaluation and discussion of the educational impacts of the spaces once built. We illustrate the use of these frameworks through discussion of the educational ambitions that underpinned the design of some recent clinical educational spaces. We close with practical points for consideration by educators and designers.","author":[{"dropping-particle":"","family":"Nordquist","given":"Jonas","non-dropping-particle":"","parse-names":false,"suffix":""},{"dropping-particle":"","family":"Chan","given":"Ming-Ka","non-dropping-particle":"","parse-names":false,"suffix":""},{"dropping-particle":"","family":"Maniate","given":"Jerry","non-dropping-particle":"","parse-names":false,"suffix":""},{"dropping-particle":"","family":"Cook","given":"David","non-dropping-particle":"","parse-names":false,"suffix":""},{"dropping-particle":"","family":"Kelly","given":"Cathal","non-dropping-particle":"","parse-names":false,"suffix":""},{"dropping-particle":"","family":"McDougall","given":"Allan","non-dropping-particle":"","parse-names":false,"suffix":""}],"container-title":"Medical Teacher","id":"ITEM-2","issue":"4","issued":{"date-parts":[["2019","12","18"]]},"page":"403-407","title":"Examining the clinical learning environment through the architectural avenue","type":"article-journal","volume":"41"},"uris":["http://www.mendeley.com/documents/?uuid=42aa927a-e59d-4ad8-990c-f22dee018396"]},{"id":"ITEM-3","itemData":{"DOI":"10.1111/medu.13390","ISSN":"1365-2923","abstract":"CONTEXT: Health care practitioners learn through experience in clinical environments in which supervision is a key component, but how that learning occurs outside the supervision relationship remains largely unknown. This study explores the environmental factors that inform and support workplace learning within a clinical environment. METHODS: An observational study drawing on ethnographic methods was undertaken in a general medicine ward. Observers paid attention to interactions among staff members that involved potential teaching and learning moments that occurred and were visible in the course of routine work. General purpose thematic analysis of field notes was undertaken. RESULTS: A total of 376 observations were undertaken and documented. The findings suggest that place (location of interaction), rhythm (regularity of activities occurring in the ward) and artefacts (objects and equipment) were strong influences on the interactions and exchanges that occurred. Each of these themes had inherent tensions that could promote or inhibit engagement and therefore learning opportunities. Although many learning opportunities were available, not all were taken up or recognised by the participants. CONCLUSIONS: We describe and make explicit how the natural environment of a medical ward and flow of work through patient care contribute to the learning architecture, and how this creates or inhibits opportunities for learning. Awareness of learning opportunities was often tacit and not explicit for either supervisor or learner. We identify strategies through which tensions inherent within space, artefacts and the rhythms of work can be resolved and learning opportunities maximised.","author":[{"dropping-particle":"","family":"Sheehan","given":"Dale","non-dropping-particle":"","parse-names":false,"suffix":""},{"dropping-particle":"","family":"Jowsey","given":"Tanisha","non-dropping-particle":"","parse-names":false,"suffix":""},{"dropping-particle":"","family":"Parwaiz","given":"Mariam","non-dropping-particle":"","parse-names":false,"suffix":""},{"dropping-particle":"","family":"Birch","given":"Mark","non-dropping-particle":"","parse-names":false,"suffix":""},{"dropping-particle":"","family":"Seaton","given":"Philippa","non-dropping-particle":"","parse-names":false,"suffix":""},{"dropping-particle":"","family":"Shaw","given":"Susan","non-dropping-particle":"","parse-names":false,"suffix":""},{"dropping-particle":"","family":"Duggan","given":"Alison","non-dropping-particle":"","parse-names":false,"suffix":""},{"dropping-particle":"","family":"Wilkinson","given":"Tim","non-dropping-particle":"","parse-names":false,"suffix":""}],"container-title":"Medical Education","id":"ITEM-3","issue":"10","issued":{"date-parts":[["2017"]]},"language":"eng","page":"1049-1060","title":"Clinical learning environments: place, artefacts and rhythm","type":"article-journal","volume":"51"},"uris":["http://www.mendeley.com/documents/?uuid=b64eb07f-b96d-4c95-a17a-c3b6ac23fbe5"]}],"mendeley":{"formattedCitation":"(Damschroder et al., 2022; Nordquist et al., 2019; Sheehan et al., 2017)","plainTextFormattedCitation":"(Damschroder et al., 2022; Nordquist et al., 2019; Sheehan et al., 2017)","previouslyFormattedCitation":"(Damschroder et al., 2022; Nordquist et al., 2019; Sheehan et al., 2017)"},"properties":{"noteIndex":0},"schema":"https://github.com/citation-style-language/schema/raw/master/csl-citation.json"}</w:instrText>
            </w:r>
            <w:r w:rsidRPr="00E93FC9">
              <w:rPr>
                <w:rFonts w:ascii="Times New Roman" w:hAnsi="Times New Roman" w:cs="Times New Roman"/>
              </w:rPr>
              <w:fldChar w:fldCharType="separate"/>
            </w:r>
            <w:r w:rsidRPr="00E93FC9">
              <w:rPr>
                <w:rFonts w:ascii="Times New Roman" w:hAnsi="Times New Roman" w:cs="Times New Roman"/>
                <w:noProof/>
              </w:rPr>
              <w:t>(Damschroder et al., 2022; Nordquist et al., 2019; Sheehan et al., 2017)</w:t>
            </w:r>
            <w:r w:rsidRPr="00E93FC9">
              <w:rPr>
                <w:rFonts w:ascii="Times New Roman" w:hAnsi="Times New Roman" w:cs="Times New Roman"/>
              </w:rPr>
              <w:fldChar w:fldCharType="end"/>
            </w:r>
            <w:r w:rsidRPr="00E93FC9">
              <w:rPr>
                <w:rFonts w:ascii="Times New Roman" w:hAnsi="Times New Roman" w:cs="Times New Roman"/>
              </w:rPr>
              <w:t xml:space="preserve"> in place to support and enable the functional performance of the institution. The structural or organizational relationship between a medical school and a teaching hospital influences the governance and management of the various components of an academic medical centre (teaching, research, service) </w:t>
            </w:r>
            <w:r w:rsidRPr="00E93FC9">
              <w:rPr>
                <w:rFonts w:ascii="Times New Roman" w:hAnsi="Times New Roman" w:cs="Times New Roman"/>
              </w:rPr>
              <w:fldChar w:fldCharType="begin" w:fldLock="1"/>
            </w:r>
            <w:r w:rsidRPr="00E93FC9">
              <w:rPr>
                <w:rFonts w:ascii="Times New Roman" w:hAnsi="Times New Roman" w:cs="Times New Roman"/>
              </w:rPr>
              <w:instrText>ADDIN CSL_CITATION {"citationItems":[{"id":"ITEM-1","itemData":{"author":[{"dropping-particle":"","family":"Heyssel","given":"RM","non-dropping-particle":"","parse-names":false,"suffix":""}],"container-title":"Journal of Medical Education","id":"ITEM-1","issue":"3","issued":{"date-parts":[["1984"]]},"page":"162-168","title":"The challenge of governance: the relationship of the teaching hospital to the university","type":"article-journal","volume":"59"},"uris":["http://www.mendeley.com/documents/?uuid=54bdd398-db76-4077-822f-dd53e136d26c"]}],"mendeley":{"formattedCitation":"(Heyssel, 1984)","plainTextFormattedCitation":"(Heyssel, 1984)","previouslyFormattedCitation":"(Heyssel, 1984)"},"properties":{"noteIndex":0},"schema":"https://github.com/citation-style-language/schema/raw/master/csl-citation.json"}</w:instrText>
            </w:r>
            <w:r w:rsidRPr="00E93FC9">
              <w:rPr>
                <w:rFonts w:ascii="Times New Roman" w:hAnsi="Times New Roman" w:cs="Times New Roman"/>
              </w:rPr>
              <w:fldChar w:fldCharType="separate"/>
            </w:r>
            <w:r w:rsidRPr="00E93FC9">
              <w:rPr>
                <w:rFonts w:ascii="Times New Roman" w:hAnsi="Times New Roman" w:cs="Times New Roman"/>
                <w:noProof/>
              </w:rPr>
              <w:t>(Heyssel, 1984)</w:t>
            </w:r>
            <w:r w:rsidRPr="00E93FC9">
              <w:rPr>
                <w:rFonts w:ascii="Times New Roman" w:hAnsi="Times New Roman" w:cs="Times New Roman"/>
              </w:rPr>
              <w:fldChar w:fldCharType="end"/>
            </w:r>
            <w:r w:rsidRPr="00E93FC9">
              <w:rPr>
                <w:rFonts w:ascii="Times New Roman" w:hAnsi="Times New Roman" w:cs="Times New Roman"/>
              </w:rPr>
              <w:t xml:space="preserve">. </w:t>
            </w:r>
          </w:p>
        </w:tc>
      </w:tr>
      <w:tr w:rsidR="00BE1411" w:rsidRPr="00E93FC9" w14:paraId="171885DA" w14:textId="77777777" w:rsidTr="007351AF">
        <w:trPr>
          <w:trHeight w:val="301"/>
        </w:trPr>
        <w:tc>
          <w:tcPr>
            <w:tcW w:w="4957" w:type="dxa"/>
            <w:shd w:val="clear" w:color="auto" w:fill="auto"/>
          </w:tcPr>
          <w:p w14:paraId="58FBBB13" w14:textId="77777777" w:rsidR="00BE1411" w:rsidRPr="00E93FC9" w:rsidRDefault="00BE1411" w:rsidP="00BE1411">
            <w:pPr>
              <w:pStyle w:val="ListParagraph"/>
              <w:numPr>
                <w:ilvl w:val="0"/>
                <w:numId w:val="22"/>
              </w:numPr>
              <w:spacing w:line="276" w:lineRule="auto"/>
              <w:rPr>
                <w:rFonts w:ascii="Times New Roman" w:hAnsi="Times New Roman" w:cs="Times New Roman"/>
                <w:lang w:val="en-US"/>
              </w:rPr>
            </w:pPr>
            <w:r w:rsidRPr="00E93FC9">
              <w:rPr>
                <w:rFonts w:ascii="Times New Roman" w:hAnsi="Times New Roman" w:cs="Times New Roman"/>
                <w:lang w:val="en-US"/>
              </w:rPr>
              <w:t xml:space="preserve">Management of clinical teaching activities </w:t>
            </w:r>
            <w:r w:rsidRPr="00E93FC9">
              <w:rPr>
                <w:rFonts w:ascii="Times New Roman" w:hAnsi="Times New Roman" w:cs="Times New Roman"/>
                <w:vertAlign w:val="superscript"/>
                <w:lang w:val="en-US"/>
              </w:rPr>
              <w:t>a</w:t>
            </w:r>
          </w:p>
        </w:tc>
        <w:tc>
          <w:tcPr>
            <w:tcW w:w="8505" w:type="dxa"/>
            <w:shd w:val="clear" w:color="auto" w:fill="auto"/>
          </w:tcPr>
          <w:p w14:paraId="4C44BC31" w14:textId="30B06B98" w:rsidR="00BE1411" w:rsidRPr="00E93FC9" w:rsidRDefault="00BE1411" w:rsidP="007351AF">
            <w:pPr>
              <w:rPr>
                <w:rFonts w:ascii="Times New Roman" w:hAnsi="Times New Roman" w:cs="Times New Roman"/>
                <w:lang w:val="en-US"/>
              </w:rPr>
            </w:pPr>
            <w:r w:rsidRPr="00E93FC9">
              <w:rPr>
                <w:rFonts w:ascii="Times New Roman" w:hAnsi="Times New Roman" w:cs="Times New Roman"/>
                <w:lang w:val="en-US"/>
              </w:rPr>
              <w:t>This code refers to how the main Faculty is involved in governing clinical teaching activities, including</w:t>
            </w:r>
            <w:r w:rsidR="00FA427E">
              <w:rPr>
                <w:rFonts w:ascii="Times New Roman" w:hAnsi="Times New Roman" w:cs="Times New Roman"/>
                <w:lang w:val="en-US"/>
              </w:rPr>
              <w:t>,</w:t>
            </w:r>
          </w:p>
          <w:p w14:paraId="03F47A0C" w14:textId="77777777" w:rsidR="00BE1411" w:rsidRPr="00E93FC9" w:rsidRDefault="00BE1411" w:rsidP="007351AF">
            <w:pPr>
              <w:rPr>
                <w:rFonts w:ascii="Times New Roman" w:hAnsi="Times New Roman" w:cs="Times New Roman"/>
                <w:lang w:val="en-US"/>
              </w:rPr>
            </w:pPr>
          </w:p>
          <w:p w14:paraId="54FAD475" w14:textId="77777777" w:rsidR="00BE1411" w:rsidRPr="00E93FC9" w:rsidRDefault="00BE1411" w:rsidP="00BE1411">
            <w:pPr>
              <w:pStyle w:val="ListParagraph"/>
              <w:numPr>
                <w:ilvl w:val="0"/>
                <w:numId w:val="24"/>
              </w:numPr>
              <w:spacing w:line="240" w:lineRule="auto"/>
              <w:rPr>
                <w:rFonts w:ascii="Times New Roman" w:hAnsi="Times New Roman" w:cs="Times New Roman"/>
                <w:lang w:val="en-US"/>
              </w:rPr>
            </w:pPr>
            <w:r w:rsidRPr="00E93FC9">
              <w:rPr>
                <w:rFonts w:ascii="Times New Roman" w:hAnsi="Times New Roman" w:cs="Times New Roman"/>
                <w:lang w:val="en-US"/>
              </w:rPr>
              <w:t xml:space="preserve">how they collaborate with the affiliated teaching hospitals (i.e., the structural relationship with partners) to manage the teaching activities. </w:t>
            </w:r>
          </w:p>
          <w:p w14:paraId="35B56BE3" w14:textId="77777777" w:rsidR="00BE1411" w:rsidRPr="00E93FC9" w:rsidRDefault="00BE1411" w:rsidP="00BE1411">
            <w:pPr>
              <w:pStyle w:val="ListParagraph"/>
              <w:numPr>
                <w:ilvl w:val="0"/>
                <w:numId w:val="24"/>
              </w:numPr>
              <w:spacing w:line="240" w:lineRule="auto"/>
              <w:rPr>
                <w:rFonts w:ascii="Times New Roman" w:hAnsi="Times New Roman" w:cs="Times New Roman"/>
                <w:lang w:val="en-US"/>
              </w:rPr>
            </w:pPr>
            <w:r w:rsidRPr="00E93FC9">
              <w:rPr>
                <w:rFonts w:ascii="Times New Roman" w:hAnsi="Times New Roman" w:cs="Times New Roman"/>
                <w:lang w:val="en-US"/>
              </w:rPr>
              <w:t xml:space="preserve">how clinical teachers are appointed and how their tasks and responsibilities are managed by the institution. </w:t>
            </w:r>
          </w:p>
          <w:p w14:paraId="0BF8C613" w14:textId="77777777" w:rsidR="00BE1411" w:rsidRPr="00E93FC9" w:rsidRDefault="00BE1411" w:rsidP="00BE1411">
            <w:pPr>
              <w:pStyle w:val="ListParagraph"/>
              <w:numPr>
                <w:ilvl w:val="0"/>
                <w:numId w:val="24"/>
              </w:numPr>
              <w:spacing w:line="240" w:lineRule="auto"/>
              <w:rPr>
                <w:rFonts w:ascii="Times New Roman" w:hAnsi="Times New Roman" w:cs="Times New Roman"/>
                <w:lang w:val="en-US"/>
              </w:rPr>
            </w:pPr>
            <w:r w:rsidRPr="00E93FC9">
              <w:rPr>
                <w:rFonts w:ascii="Times New Roman" w:hAnsi="Times New Roman" w:cs="Times New Roman"/>
                <w:lang w:val="en-US"/>
              </w:rPr>
              <w:t>management of resources between the sites in terms of human and financial resources (internal vs external)</w:t>
            </w:r>
          </w:p>
          <w:p w14:paraId="61D37BE0" w14:textId="77777777" w:rsidR="00BE1411" w:rsidRPr="00E93FC9" w:rsidRDefault="00BE1411" w:rsidP="007351AF">
            <w:pPr>
              <w:rPr>
                <w:rFonts w:ascii="Times New Roman" w:hAnsi="Times New Roman" w:cs="Times New Roman"/>
                <w:lang w:val="en-US"/>
              </w:rPr>
            </w:pPr>
          </w:p>
          <w:p w14:paraId="09442A54" w14:textId="77777777" w:rsidR="00BE1411" w:rsidRPr="00E93FC9" w:rsidRDefault="00BE1411" w:rsidP="007351AF">
            <w:pPr>
              <w:rPr>
                <w:rFonts w:ascii="Times New Roman" w:hAnsi="Times New Roman" w:cs="Times New Roman"/>
                <w:lang w:val="en-US"/>
              </w:rPr>
            </w:pPr>
            <w:r w:rsidRPr="00E93FC9">
              <w:rPr>
                <w:rFonts w:ascii="Times New Roman" w:hAnsi="Times New Roman" w:cs="Times New Roman"/>
                <w:lang w:val="en-US"/>
              </w:rPr>
              <w:t>For example, how the clerkship clinician’s teaching responsibilities are managed by Site 2 and the specific department in their teaching hospital, and how the full-time equivalence (FTE) process works at Site 1.</w:t>
            </w:r>
          </w:p>
        </w:tc>
      </w:tr>
      <w:tr w:rsidR="00BE1411" w:rsidRPr="00E93FC9" w14:paraId="7421A78B" w14:textId="77777777" w:rsidTr="007351AF">
        <w:trPr>
          <w:trHeight w:val="283"/>
        </w:trPr>
        <w:tc>
          <w:tcPr>
            <w:tcW w:w="4957" w:type="dxa"/>
            <w:shd w:val="clear" w:color="auto" w:fill="auto"/>
          </w:tcPr>
          <w:p w14:paraId="22D3AB8D" w14:textId="77777777" w:rsidR="00BE1411" w:rsidRPr="00E93FC9" w:rsidRDefault="00BE1411" w:rsidP="00BE1411">
            <w:pPr>
              <w:pStyle w:val="ListParagraph"/>
              <w:numPr>
                <w:ilvl w:val="0"/>
                <w:numId w:val="22"/>
              </w:numPr>
              <w:spacing w:line="276" w:lineRule="auto"/>
              <w:rPr>
                <w:rFonts w:ascii="Times New Roman" w:hAnsi="Times New Roman" w:cs="Times New Roman"/>
                <w:lang w:val="en-US"/>
              </w:rPr>
            </w:pPr>
            <w:r w:rsidRPr="00E93FC9">
              <w:rPr>
                <w:rFonts w:ascii="Times New Roman" w:hAnsi="Times New Roman" w:cs="Times New Roman"/>
                <w:lang w:val="en-US"/>
              </w:rPr>
              <w:t xml:space="preserve">Balancing of responsibilities </w:t>
            </w:r>
            <w:r w:rsidRPr="00E93FC9">
              <w:rPr>
                <w:rFonts w:ascii="Times New Roman" w:hAnsi="Times New Roman" w:cs="Times New Roman"/>
                <w:vertAlign w:val="superscript"/>
                <w:lang w:val="en-US"/>
              </w:rPr>
              <w:t>b</w:t>
            </w:r>
          </w:p>
        </w:tc>
        <w:tc>
          <w:tcPr>
            <w:tcW w:w="8505" w:type="dxa"/>
            <w:shd w:val="clear" w:color="auto" w:fill="auto"/>
          </w:tcPr>
          <w:p w14:paraId="2D691245" w14:textId="77777777" w:rsidR="00BE1411" w:rsidRPr="00E93FC9" w:rsidRDefault="00BE1411" w:rsidP="007351AF">
            <w:pPr>
              <w:rPr>
                <w:rFonts w:ascii="Times New Roman" w:hAnsi="Times New Roman" w:cs="Times New Roman"/>
                <w:lang w:val="en-US"/>
              </w:rPr>
            </w:pPr>
            <w:r w:rsidRPr="00E93FC9">
              <w:rPr>
                <w:rFonts w:ascii="Times New Roman" w:hAnsi="Times New Roman" w:cs="Times New Roman"/>
                <w:lang w:val="en-US"/>
              </w:rPr>
              <w:t xml:space="preserve">This code refers to how clinical teachers balance their responsibilities </w:t>
            </w:r>
            <w:r w:rsidRPr="00E93FC9">
              <w:rPr>
                <w:rFonts w:ascii="Times New Roman" w:hAnsi="Times New Roman" w:cs="Times New Roman"/>
                <w:lang w:val="en-US"/>
              </w:rPr>
              <w:fldChar w:fldCharType="begin" w:fldLock="1"/>
            </w:r>
            <w:r w:rsidRPr="00E93FC9">
              <w:rPr>
                <w:rFonts w:ascii="Times New Roman" w:hAnsi="Times New Roman" w:cs="Times New Roman"/>
                <w:lang w:val="en-US"/>
              </w:rPr>
              <w:instrText>ADDIN CSL_CITATION {"citationItems":[{"id":"ITEM-1","itemData":{"DOI":"10.1111/medu.13475","ISSN":"1365-2923","abstract":"CONTEXT: The tension between service and training in pressured health care environments can have a detrimental impact on training quality and job satisfaction. Yet the management literature proposes that competing demands are inherent in organisational settings: it is not the demands as such that lead to negative outcomes but how people and organisations react to opposing tensions. We explored how key stakeholders responded to competing service-training demands in a surgical setting that had recently gone through a highly-publicised organisational crisis. METHODS: This was an explanatory case study of a general surgery unit. Public documents informed the research questions and the data were triangulated with semi-structured interviews (n = 14) with key stakeholders. Data coding and analysis were initially inductive but, after the themes emerged, we used a paradox lens to group themes into four contextual dimensions: performing, organising, belonging and learning. RESULTS: Tensions were apparent in the data, with managers, surgeons and trainees or residents in conflict with each other because of different goals or priorities and divergent perspectives on the same issue of balancing service and training (performing). This adversely impacted on relationships across and within groups (belonging, learning) and led to individuals prioritising their own goals rather than working for the 'greater good' (performing, belonging). Yet although relationships and communication improved, the approach to getting a better balance maintained the 'compartmentalisation' of training (organising) rather than acknowledging that training and service cannot be separated. DISCUSSION: Stakeholder responses to the tensions provided temporary relief but were unlikely to lead to real change if the tension between service and training was considered to be an interdependent and persistent paradox. Reframing the service-training paradox in this way may encourage adjusting responses to create effective working partnerships. Our findings add to the body of knowledge on this topic, and will resonate with all those engaged in surgical and other postgraduate training.","author":[{"dropping-particle":"","family":"Cleland","given":"Jennifer","non-dropping-particle":"","parse-names":false,"suffix":""},{"dropping-particle":"","family":"Roberts","given":"Ruby","non-dropping-particle":"","parse-names":false,"suffix":""},{"dropping-particle":"","family":"Kitto","given":"Simon","non-dropping-particle":"","parse-names":false,"suffix":""},{"dropping-particle":"","family":"Strand","given":"Pia","non-dropping-particle":"","parse-names":false,"suffix":""},{"dropping-particle":"","family":"Johnston","given":"Peter","non-dropping-particle":"","parse-names":false,"suffix":""}],"container-title":"Medical Education","id":"ITEM-1","issue":"3","issued":{"date-parts":[["2018"]]},"language":"eng","page":"288-301","title":"Using paradox theory to understand responses to tensions between service and training in general surgery","type":"article-journal","volume":"52"},"uris":["http://www.mendeley.com/documents/?uuid=f051e5d0-38e9-4e83-9b18-fcb76ea1d92a"]},{"id":"ITEM-2","itemData":{"DOI":"10.1097/ACM.0000000000002403","ISSN":"1040-2446","abstract":"Purpose  Most clinical teachers have not been trained to teach, and faculty development for clinical teachers is undermined by poor attendance, inadequate knowledge transfer, and unsustainability. A crucial question for faculty developers to consider is how clinicians become teachers “on the job.” Such knowledge is important in the design of future workplace-based faculty development initiatives. The authors conducted a scoping review of research on the relationship between becoming a clinical teacher and the clinical environments in which those teachers work. Method In June 2017, using the scoping review design described by Levac et al (2010), the authors searched 12 databases. They subjected the articles discovered to four phases of screening, using iteratively developed inclusion/exclusion criteria. They charted data from the final selection of articles and used thematic analysis to synthesize findings. Results Thirty-four research reports met the inclusion criteria. Most (n = 24) took an individualist stance toward identity, focusing on how teachers individually construct their teacher identity in tension with their clinician identities. Only 10 studies conceptualized clinical teacher identity formation as a social relational phenomenon, negotiated within hierarchical social structures. Twenty-nine of the included studies made little or no use of explicit theoretical frameworks, which limited their rigor and transferability. Conclusions Clinicians reconciled their identities as teachers with their identities as clinicians by juggling the two, finding mutuality between them, or forging merged identities that minimized tensions between educational and clinical roles. They did so in hierarchical social settings where patient care and research were prioritized above teaching.","author":[{"dropping-particle":"","family":"Cantillon","given":"Peter","non-dropping-particle":"","parse-names":false,"suffix":""},{"dropping-particle":"","family":"Dornan","given":"Tim","non-dropping-particle":"","parse-names":false,"suffix":""},{"dropping-particle":"","family":"Grave","given":"Willem","non-dropping-particle":"De","parse-names":false,"suffix":""}],"container-title":"Academic Medicine","id":"ITEM-2","issue":"10","issued":{"date-parts":[["2019","1","27"]]},"language":"en-US","page":"1610-1618","title":"Becoming a Clinical Teacher: Identity Formation in Context","type":"article-journal","volume":"94"},"uris":["http://www.mendeley.com/documents/?uuid=28357837-2caa-4017-9569-2f08ebada406"]}],"mendeley":{"formattedCitation":"(Cantillon et al., 2019; Cleland et al., 2018)","plainTextFormattedCitation":"(Cantillon et al., 2019; Cleland et al., 2018)","previouslyFormattedCitation":"(Cantillon et al., 2019; Cleland et al., 2018)"},"properties":{"noteIndex":0},"schema":"https://github.com/citation-style-language/schema/raw/master/csl-citation.json"}</w:instrText>
            </w:r>
            <w:r w:rsidRPr="00E93FC9">
              <w:rPr>
                <w:rFonts w:ascii="Times New Roman" w:hAnsi="Times New Roman" w:cs="Times New Roman"/>
                <w:lang w:val="en-US"/>
              </w:rPr>
              <w:fldChar w:fldCharType="separate"/>
            </w:r>
            <w:r w:rsidRPr="00E93FC9">
              <w:rPr>
                <w:rFonts w:ascii="Times New Roman" w:hAnsi="Times New Roman" w:cs="Times New Roman"/>
                <w:noProof/>
                <w:lang w:val="en-US"/>
              </w:rPr>
              <w:t>(Cantillon et al., 2019; Cleland et al., 2018)</w:t>
            </w:r>
            <w:r w:rsidRPr="00E93FC9">
              <w:rPr>
                <w:rFonts w:ascii="Times New Roman" w:hAnsi="Times New Roman" w:cs="Times New Roman"/>
                <w:lang w:val="en-US"/>
              </w:rPr>
              <w:fldChar w:fldCharType="end"/>
            </w:r>
            <w:r w:rsidRPr="00E93FC9">
              <w:rPr>
                <w:rFonts w:ascii="Times New Roman" w:hAnsi="Times New Roman" w:cs="Times New Roman"/>
                <w:lang w:val="en-US"/>
              </w:rPr>
              <w:t xml:space="preserve">, and what support the institution/leaders provide to teaching faculty to help them balance their responsibilities. For example, role conflicts and tensions among clinical teachers due to complexity in balancing their competing work demands between patient care and clinical teaching </w:t>
            </w:r>
            <w:r w:rsidRPr="00E93FC9">
              <w:rPr>
                <w:rFonts w:ascii="Times New Roman" w:hAnsi="Times New Roman" w:cs="Times New Roman"/>
                <w:lang w:val="en-US"/>
              </w:rPr>
              <w:fldChar w:fldCharType="begin" w:fldLock="1"/>
            </w:r>
            <w:r w:rsidRPr="00E93FC9">
              <w:rPr>
                <w:rFonts w:ascii="Times New Roman" w:hAnsi="Times New Roman" w:cs="Times New Roman"/>
                <w:lang w:val="en-US"/>
              </w:rPr>
              <w:instrText>ADDIN CSL_CITATION {"citationItems":[{"id":"ITEM-1","itemData":{"DOI":"10.1097/ACM.0000000000002403","ISSN":"1040-2446","abstract":"Purpose  Most clinical teachers have not been trained to teach, and faculty development for clinical teachers is undermined by poor attendance, inadequate knowledge transfer, and unsustainability. A crucial question for faculty developers to consider is how clinicians become teachers “on the job.” Such knowledge is important in the design of future workplace-based faculty development initiatives. The authors conducted a scoping review of research on the relationship between becoming a clinical teacher and the clinical environments in which those teachers work. Method In June 2017, using the scoping review design described by Levac et al (2010), the authors searched 12 databases. They subjected the articles discovered to four phases of screening, using iteratively developed inclusion/exclusion criteria. They charted data from the final selection of articles and used thematic analysis to synthesize findings. Results Thirty-four research reports met the inclusion criteria. Most (n = 24) took an individualist stance toward identity, focusing on how teachers individually construct their teacher identity in tension with their clinician identities. Only 10 studies conceptualized clinical teacher identity formation as a social relational phenomenon, negotiated within hierarchical social structures. Twenty-nine of the included studies made little or no use of explicit theoretical frameworks, which limited their rigor and transferability. Conclusions Clinicians reconciled their identities as teachers with their identities as clinicians by juggling the two, finding mutuality between them, or forging merged identities that minimized tensions between educational and clinical roles. They did so in hierarchical social settings where patient care and research were prioritized above teaching.","author":[{"dropping-particle":"","family":"Cantillon","given":"Peter","non-dropping-particle":"","parse-names":false,"suffix":""},{"dropping-particle":"","family":"Dornan","given":"Tim","non-dropping-particle":"","parse-names":false,"suffix":""},{"dropping-particle":"","family":"Grave","given":"Willem","non-dropping-particle":"De","parse-names":false,"suffix":""}],"container-title":"Academic Medicine","id":"ITEM-1","issue":"10","issued":{"date-parts":[["2019","1","27"]]},"language":"en-US","page":"1610-1618","title":"Becoming a Clinical Teacher: Identity Formation in Context","type":"article-journal","volume":"94"},"uris":["http://www.mendeley.com/documents/?uuid=28357837-2caa-4017-9569-2f08ebada406"]}],"mendeley":{"formattedCitation":"(Cantillon et al., 2019)","plainTextFormattedCitation":"(Cantillon et al., 2019)","previouslyFormattedCitation":"(Cantillon et al., 2019)"},"properties":{"noteIndex":0},"schema":"https://github.com/citation-style-language/schema/raw/master/csl-citation.json"}</w:instrText>
            </w:r>
            <w:r w:rsidRPr="00E93FC9">
              <w:rPr>
                <w:rFonts w:ascii="Times New Roman" w:hAnsi="Times New Roman" w:cs="Times New Roman"/>
                <w:lang w:val="en-US"/>
              </w:rPr>
              <w:fldChar w:fldCharType="separate"/>
            </w:r>
            <w:r w:rsidRPr="00E93FC9">
              <w:rPr>
                <w:rFonts w:ascii="Times New Roman" w:hAnsi="Times New Roman" w:cs="Times New Roman"/>
                <w:noProof/>
                <w:lang w:val="en-US"/>
              </w:rPr>
              <w:t>(Cantillon et al., 2019)</w:t>
            </w:r>
            <w:r w:rsidRPr="00E93FC9">
              <w:rPr>
                <w:rFonts w:ascii="Times New Roman" w:hAnsi="Times New Roman" w:cs="Times New Roman"/>
                <w:lang w:val="en-US"/>
              </w:rPr>
              <w:fldChar w:fldCharType="end"/>
            </w:r>
            <w:r w:rsidRPr="00E93FC9">
              <w:rPr>
                <w:rFonts w:ascii="Times New Roman" w:hAnsi="Times New Roman" w:cs="Times New Roman"/>
                <w:lang w:val="en-US"/>
              </w:rPr>
              <w:t>.</w:t>
            </w:r>
          </w:p>
          <w:p w14:paraId="32EEB6EF" w14:textId="77777777" w:rsidR="00BE1411" w:rsidRPr="00E93FC9" w:rsidRDefault="00BE1411" w:rsidP="007351AF">
            <w:pPr>
              <w:rPr>
                <w:rFonts w:ascii="Times New Roman" w:hAnsi="Times New Roman" w:cs="Times New Roman"/>
                <w:lang w:val="en-US"/>
              </w:rPr>
            </w:pPr>
          </w:p>
          <w:p w14:paraId="0AECCED0" w14:textId="589FBDF3" w:rsidR="00BE1411" w:rsidRPr="00E93FC9" w:rsidRDefault="00FA427E" w:rsidP="00BE1411">
            <w:pPr>
              <w:pStyle w:val="ListParagraph"/>
              <w:numPr>
                <w:ilvl w:val="0"/>
                <w:numId w:val="25"/>
              </w:numPr>
              <w:spacing w:line="240" w:lineRule="auto"/>
              <w:rPr>
                <w:rFonts w:ascii="Times New Roman" w:hAnsi="Times New Roman" w:cs="Times New Roman"/>
                <w:lang w:val="en-US"/>
              </w:rPr>
            </w:pPr>
            <w:r>
              <w:rPr>
                <w:rFonts w:ascii="Times New Roman" w:hAnsi="Times New Roman" w:cs="Times New Roman"/>
                <w:lang w:val="en-US"/>
              </w:rPr>
              <w:t>Relevant to</w:t>
            </w:r>
            <w:r w:rsidR="00BE1411" w:rsidRPr="00E93FC9">
              <w:rPr>
                <w:rFonts w:ascii="Times New Roman" w:hAnsi="Times New Roman" w:cs="Times New Roman"/>
                <w:lang w:val="en-US"/>
              </w:rPr>
              <w:t xml:space="preserve"> information on the presence of tension in balancing responsibilities. </w:t>
            </w:r>
          </w:p>
          <w:p w14:paraId="39C6A8D3" w14:textId="783D0E54" w:rsidR="00BE1411" w:rsidRPr="00E93FC9" w:rsidRDefault="00FA427E" w:rsidP="00BE1411">
            <w:pPr>
              <w:pStyle w:val="ListParagraph"/>
              <w:numPr>
                <w:ilvl w:val="0"/>
                <w:numId w:val="25"/>
              </w:numPr>
              <w:spacing w:line="240" w:lineRule="auto"/>
              <w:rPr>
                <w:rFonts w:ascii="Times New Roman" w:hAnsi="Times New Roman" w:cs="Times New Roman"/>
                <w:lang w:val="en-US"/>
              </w:rPr>
            </w:pPr>
            <w:r>
              <w:rPr>
                <w:rFonts w:ascii="Times New Roman" w:hAnsi="Times New Roman" w:cs="Times New Roman"/>
                <w:lang w:val="en-US"/>
              </w:rPr>
              <w:t>Relevant to the</w:t>
            </w:r>
            <w:r w:rsidR="00BE1411" w:rsidRPr="00E93FC9">
              <w:rPr>
                <w:rFonts w:ascii="Times New Roman" w:hAnsi="Times New Roman" w:cs="Times New Roman"/>
                <w:lang w:val="en-US"/>
              </w:rPr>
              <w:t xml:space="preserve"> support for balancing tensions, such as protected time through their departments, stipends, support staff and so on. </w:t>
            </w:r>
          </w:p>
          <w:p w14:paraId="15478763" w14:textId="77777777" w:rsidR="00BE1411" w:rsidRPr="00E93FC9" w:rsidRDefault="00BE1411" w:rsidP="007351AF">
            <w:pPr>
              <w:rPr>
                <w:rFonts w:ascii="Times New Roman" w:hAnsi="Times New Roman" w:cs="Times New Roman"/>
                <w:lang w:val="en-US"/>
              </w:rPr>
            </w:pPr>
          </w:p>
        </w:tc>
      </w:tr>
      <w:tr w:rsidR="00BE1411" w:rsidRPr="00E93FC9" w14:paraId="16B7960A" w14:textId="77777777" w:rsidTr="007351AF">
        <w:trPr>
          <w:trHeight w:val="301"/>
        </w:trPr>
        <w:tc>
          <w:tcPr>
            <w:tcW w:w="4957" w:type="dxa"/>
          </w:tcPr>
          <w:p w14:paraId="4A2583BF" w14:textId="77777777" w:rsidR="00BE1411" w:rsidRPr="00E93FC9" w:rsidRDefault="00BE1411" w:rsidP="00BE1411">
            <w:pPr>
              <w:pStyle w:val="ListParagraph"/>
              <w:numPr>
                <w:ilvl w:val="0"/>
                <w:numId w:val="22"/>
              </w:numPr>
              <w:spacing w:line="240" w:lineRule="auto"/>
              <w:rPr>
                <w:rFonts w:ascii="Times New Roman" w:hAnsi="Times New Roman" w:cs="Times New Roman"/>
                <w:lang w:val="en-US"/>
              </w:rPr>
            </w:pPr>
            <w:r w:rsidRPr="00E93FC9">
              <w:rPr>
                <w:rFonts w:ascii="Times New Roman" w:hAnsi="Times New Roman" w:cs="Times New Roman"/>
                <w:lang w:val="en-US"/>
              </w:rPr>
              <w:lastRenderedPageBreak/>
              <w:t>Evaluation and appraisal of clinical teaching</w:t>
            </w:r>
          </w:p>
        </w:tc>
        <w:tc>
          <w:tcPr>
            <w:tcW w:w="8505" w:type="dxa"/>
          </w:tcPr>
          <w:p w14:paraId="1C3C00CB" w14:textId="7266E1A7" w:rsidR="00BE1411" w:rsidRDefault="00BE1411" w:rsidP="007351AF">
            <w:pPr>
              <w:rPr>
                <w:rFonts w:ascii="Times New Roman" w:hAnsi="Times New Roman" w:cs="Times New Roman"/>
                <w:lang w:val="en-US"/>
              </w:rPr>
            </w:pPr>
            <w:r w:rsidRPr="00E93FC9">
              <w:rPr>
                <w:rFonts w:ascii="Times New Roman" w:hAnsi="Times New Roman" w:cs="Times New Roman"/>
                <w:lang w:val="en-US"/>
              </w:rPr>
              <w:t xml:space="preserve">This code refers to the metrics, measures and/or methods used to evaluate teachers, including how ‘teaching excellence’ is evaluated in the institution </w:t>
            </w:r>
            <w:r w:rsidRPr="00E93FC9">
              <w:rPr>
                <w:rFonts w:ascii="Times New Roman" w:hAnsi="Times New Roman" w:cs="Times New Roman"/>
                <w:lang w:val="en-US"/>
              </w:rPr>
              <w:fldChar w:fldCharType="begin" w:fldLock="1"/>
            </w:r>
            <w:r w:rsidRPr="00E93FC9">
              <w:rPr>
                <w:rFonts w:ascii="Times New Roman" w:hAnsi="Times New Roman" w:cs="Times New Roman"/>
                <w:lang w:val="en-US"/>
              </w:rPr>
              <w:instrText>ADDIN CSL_CITATION {"citationItems":[{"id":"ITEM-1","itemData":{"DOI":"10.1080/01421590123039","ISSN":"1466-187X","author":[{"dropping-particle":"","family":"McLean","given":"Michelle","non-dropping-particle":"","parse-names":false,"suffix":""}],"container-title":"Medical Teacher","id":"ITEM-1","issue":"1","issued":{"date-parts":[["2001"]]},"language":"eng","page":"6-11","title":"Rewarding teaching excellence. Can we measure teaching 'excellence'? Who should be the judge?","type":"article-journal","volume":"23"},"uris":["http://www.mendeley.com/documents/?uuid=416878d9-9b14-4906-9e01-60fe258be81b"]},{"id":"ITEM-2","itemData":{"DOI":"10.1097/00001888-199406000-00015","ISSN":"1040-2446","abstract":"PURPOSE: To identify problems in how medical school faculty are evaluated, from the perspectives of faculty and administrators, and to understand how perceptions of the problems differ among those with varying roles within the medical school. METHOD: In March 1992 seven copies of an open-ended questionnaire were sent to each dean at the 126 accredited U.S. medical schools and 16 affiliated Canadian schools. The deans were instructed to complete one form themselves and to distribute one copy each to (1) a faculty affairs dean, (2) a basic science chair, (3) a clinical chair, (4) a member of chair of the school's promotion and tenure committee, (5) a senior faculty member, and (6) a junior faculty member. The authors conducted a content analysis of narrative comments in response to a question that began \"Please identify and briefly describe the most salient problems you observe at your institution in how faculty are evaluated.\" RESULTS: Of a possible 994 responses, 455 (46%) were received. The respondents were from 102 of the 126 U.S. medical schools (81%) and eight of the 16 Canadian schools (50%). Response rates for the respondent subgroups ranged from 27% for the deans to 57% for the clinical chairs. Overall, the most frequently mentioned problems concerned the evaluation of teaching. General complaints about the inadequacy of current methods to evaluate teaching performance were most common--more than one in four respondents raised this issue--but the respondents also had specific complaints about student evaluations of teaching and the insufficient recognition given to teaching in the academic reward system. The frequencies with which other concerns were expressed tended to be related to the respondents' roles. These problems included concerns about the methods and measures used to assess research and scholarship and the quality of clinical care, the nonuniformity of evaluation processes and criteria for promotion among departments, the absence of regular evaluations, and the failure to link the results of evaluation to salary. CONCLUSION: The study population was not random; indeed, it was probably biased toward those who felt strongly (and perhaps negatively) about the current evaluation system. Still, the intensity with which views were expressed was striking. Improving the evaluation of faculty teaching undoubtedly remains one of medical education's greatest challenges.","author":[{"dropping-particle":"","family":"Jones","given":"R F","non-dropping-particle":"","parse-names":false,"suffix":""},{"dropping-particle":"","family":"Froom","given":"J D","non-dropping-particle":"","parse-names":false,"suffix":""}],"container-title":"Academic Medicine: Journal of the Association of American Medical Colleges","id":"ITEM-2","issue":"6","issued":{"date-parts":[["1994"]]},"language":"eng","page":"476-483","title":"Faculty and administration views of problems in faculty evaluation","type":"article-journal","volume":"69"},"uris":["http://www.mendeley.com/documents/?uuid=b008a982-42a7-404d-956d-291d1b10c612"]},{"id":"ITEM-3","itemData":{"DOI":"10.1097/00001888-200009000-00012","ISSN":"1040-2446","abstract":"During the last decade academic medical centers (AMCs) have hired large numbers of clinician-educators to teach and provide clinical care. However, these clinician-educators often do not advance in academic rank, since excellence in clinical care and teaching alone is not adequate justification for advancement. The authors articulate the problems with the present system of recognition for clinician-educators-i.e., the requirement for regional and national reputation, the lack of reliable measures of clinical and teaching excellence, and the lack of training opportunities for young clinician-educators. They call for solutions, including fundamental changes in promotion criteria (e.g., focus criteria for promotion on clinician-educators' accomplishments within their institutions) and the development of valid and feasible methods to measure outcomes of teaching programs. Further, they recommend the development of a new faculty position, a \"clinician-educator researcher,\" to foster the scholarship of discovery in medical education and clinical practice. Investments in clinician-educator researchers will ultimately help AMCs to achieve their threefold mission-excellence in patient care, teaching, and research.","author":[{"dropping-particle":"","family":"Levinson","given":"W","non-dropping-particle":"","parse-names":false,"suffix":""},{"dropping-particle":"","family":"Rubenstein","given":"A","non-dropping-particle":"","parse-names":false,"suffix":""}],"container-title":"Academic Medicine: Journal of the Association of American Medical Colleges","id":"ITEM-3","issue":"9","issued":{"date-parts":[["2000"]]},"language":"eng","page":"906-912","title":"Integrating clinician-educators into Academic Medical Centers: challenges and potential solutions","type":"article-journal","volume":"75"},"uris":["http://www.mendeley.com/documents/?uuid=64b1088b-8a5d-4e69-989d-a25c883c98b3"]}],"mendeley":{"formattedCitation":"(Jones &amp; Froom, 1994; Levinson &amp; Rubenstein, 2000; McLean, 2001)","plainTextFormattedCitation":"(Jones &amp; Froom, 1994; Levinson &amp; Rubenstein, 2000; McLean, 2001)","previouslyFormattedCitation":"(Jones &amp; Froom, 1994; Levinson &amp; Rubenstein, 2000; McLean, 2001)"},"properties":{"noteIndex":0},"schema":"https://github.com/citation-style-language/schema/raw/master/csl-citation.json"}</w:instrText>
            </w:r>
            <w:r w:rsidRPr="00E93FC9">
              <w:rPr>
                <w:rFonts w:ascii="Times New Roman" w:hAnsi="Times New Roman" w:cs="Times New Roman"/>
                <w:lang w:val="en-US"/>
              </w:rPr>
              <w:fldChar w:fldCharType="separate"/>
            </w:r>
            <w:r w:rsidRPr="00E93FC9">
              <w:rPr>
                <w:rFonts w:ascii="Times New Roman" w:hAnsi="Times New Roman" w:cs="Times New Roman"/>
                <w:noProof/>
                <w:lang w:val="en-US"/>
              </w:rPr>
              <w:t>(Jones &amp; Froom, 1994; Levinson &amp; Rubenstein, 2000; McLean, 2001)</w:t>
            </w:r>
            <w:r w:rsidRPr="00E93FC9">
              <w:rPr>
                <w:rFonts w:ascii="Times New Roman" w:hAnsi="Times New Roman" w:cs="Times New Roman"/>
                <w:lang w:val="en-US"/>
              </w:rPr>
              <w:fldChar w:fldCharType="end"/>
            </w:r>
            <w:r w:rsidR="006E71B0">
              <w:rPr>
                <w:rFonts w:ascii="Times New Roman" w:hAnsi="Times New Roman" w:cs="Times New Roman"/>
                <w:lang w:val="en-US"/>
              </w:rPr>
              <w:t>.</w:t>
            </w:r>
          </w:p>
          <w:p w14:paraId="42393A2C" w14:textId="77777777" w:rsidR="006E71B0" w:rsidRPr="00E93FC9" w:rsidRDefault="006E71B0" w:rsidP="007351AF">
            <w:pPr>
              <w:rPr>
                <w:rFonts w:ascii="Times New Roman" w:hAnsi="Times New Roman" w:cs="Times New Roman"/>
                <w:lang w:val="en-US"/>
              </w:rPr>
            </w:pPr>
          </w:p>
          <w:p w14:paraId="44F72D62" w14:textId="77777777" w:rsidR="00BE1411" w:rsidRPr="00E93FC9" w:rsidRDefault="00BE1411" w:rsidP="00BE1411">
            <w:pPr>
              <w:pStyle w:val="ListParagraph"/>
              <w:numPr>
                <w:ilvl w:val="0"/>
                <w:numId w:val="28"/>
              </w:numPr>
              <w:spacing w:line="240" w:lineRule="auto"/>
              <w:rPr>
                <w:rFonts w:ascii="Times New Roman" w:hAnsi="Times New Roman" w:cs="Times New Roman"/>
                <w:lang w:val="en-US"/>
              </w:rPr>
            </w:pPr>
            <w:r w:rsidRPr="00E93FC9">
              <w:rPr>
                <w:rFonts w:ascii="Times New Roman" w:hAnsi="Times New Roman" w:cs="Times New Roman"/>
                <w:lang w:val="en-US"/>
              </w:rPr>
              <w:t xml:space="preserve">Who provides the evaluations? According to the literature it is usually students </w:t>
            </w:r>
            <w:r w:rsidRPr="00E93FC9">
              <w:rPr>
                <w:rFonts w:ascii="Times New Roman" w:hAnsi="Times New Roman" w:cs="Times New Roman"/>
                <w:lang w:val="en-US"/>
              </w:rPr>
              <w:fldChar w:fldCharType="begin" w:fldLock="1"/>
            </w:r>
            <w:r w:rsidRPr="00E93FC9">
              <w:rPr>
                <w:rFonts w:ascii="Times New Roman" w:hAnsi="Times New Roman" w:cs="Times New Roman"/>
                <w:lang w:val="en-US"/>
              </w:rPr>
              <w:instrText>ADDIN CSL_CITATION {"citationItems":[{"id":"ITEM-1","itemData":{"DOI":"10.1080/01421590123039","ISSN":"1466-187X","author":[{"dropping-particle":"","family":"McLean","given":"Michelle","non-dropping-particle":"","parse-names":false,"suffix":""}],"container-title":"Medical Teacher","id":"ITEM-1","issue":"1","issued":{"date-parts":[["2001"]]},"language":"eng","page":"6-11","title":"Rewarding teaching excellence. Can we measure teaching 'excellence'? Who should be the judge?","type":"article-journal","volume":"23"},"uris":["http://www.mendeley.com/documents/?uuid=416878d9-9b14-4906-9e01-60fe258be81b"]},{"id":"ITEM-2","itemData":{"DOI":"10.1097/00001888-199406000-00015","ISSN":"1040-2446","abstract":"PURPOSE: To identify problems in how medical school faculty are evaluated, from the perspectives of faculty and administrators, and to understand how perceptions of the problems differ among those with varying roles within the medical school. METHOD: In March 1992 seven copies of an open-ended questionnaire were sent to each dean at the 126 accredited U.S. medical schools and 16 affiliated Canadian schools. The deans were instructed to complete one form themselves and to distribute one copy each to (1) a faculty affairs dean, (2) a basic science chair, (3) a clinical chair, (4) a member of chair of the school's promotion and tenure committee, (5) a senior faculty member, and (6) a junior faculty member. The authors conducted a content analysis of narrative comments in response to a question that began \"Please identify and briefly describe the most salient problems you observe at your institution in how faculty are evaluated.\" RESULTS: Of a possible 994 responses, 455 (46%) were received. The respondents were from 102 of the 126 U.S. medical schools (81%) and eight of the 16 Canadian schools (50%). Response rates for the respondent subgroups ranged from 27% for the deans to 57% for the clinical chairs. Overall, the most frequently mentioned problems concerned the evaluation of teaching. General complaints about the inadequacy of current methods to evaluate teaching performance were most common--more than one in four respondents raised this issue--but the respondents also had specific complaints about student evaluations of teaching and the insufficient recognition given to teaching in the academic reward system. The frequencies with which other concerns were expressed tended to be related to the respondents' roles. These problems included concerns about the methods and measures used to assess research and scholarship and the quality of clinical care, the nonuniformity of evaluation processes and criteria for promotion among departments, the absence of regular evaluations, and the failure to link the results of evaluation to salary. CONCLUSION: The study population was not random; indeed, it was probably biased toward those who felt strongly (and perhaps negatively) about the current evaluation system. Still, the intensity with which views were expressed was striking. Improving the evaluation of faculty teaching undoubtedly remains one of medical education's greatest challenges.","author":[{"dropping-particle":"","family":"Jones","given":"R F","non-dropping-particle":"","parse-names":false,"suffix":""},{"dropping-particle":"","family":"Froom","given":"J D","non-dropping-particle":"","parse-names":false,"suffix":""}],"container-title":"Academic Medicine: Journal of the Association of American Medical Colleges","id":"ITEM-2","issue":"6","issued":{"date-parts":[["1994"]]},"language":"eng","page":"476-483","title":"Faculty and administration views of problems in faculty evaluation","type":"article-journal","volume":"69"},"uris":["http://www.mendeley.com/documents/?uuid=b008a982-42a7-404d-956d-291d1b10c612"]},{"id":"ITEM-3","itemData":{"DOI":"10.1097/00001888-200009000-00012","ISSN":"1040-2446","abstract":"During the last decade academic medical centers (AMCs) have hired large numbers of clinician-educators to teach and provide clinical care. However, these clinician-educators often do not advance in academic rank, since excellence in clinical care and teaching alone is not adequate justification for advancement. The authors articulate the problems with the present system of recognition for clinician-educators-i.e., the requirement for regional and national reputation, the lack of reliable measures of clinical and teaching excellence, and the lack of training opportunities for young clinician-educators. They call for solutions, including fundamental changes in promotion criteria (e.g., focus criteria for promotion on clinician-educators' accomplishments within their institutions) and the development of valid and feasible methods to measure outcomes of teaching programs. Further, they recommend the development of a new faculty position, a \"clinician-educator researcher,\" to foster the scholarship of discovery in medical education and clinical practice. Investments in clinician-educator researchers will ultimately help AMCs to achieve their threefold mission-excellence in patient care, teaching, and research.","author":[{"dropping-particle":"","family":"Levinson","given":"W","non-dropping-particle":"","parse-names":false,"suffix":""},{"dropping-particle":"","family":"Rubenstein","given":"A","non-dropping-particle":"","parse-names":false,"suffix":""}],"container-title":"Academic Medicine: Journal of the Association of American Medical Colleges","id":"ITEM-3","issue":"9","issued":{"date-parts":[["2000"]]},"language":"eng","page":"906-912","title":"Integrating clinician-educators into Academic Medical Centers: challenges and potential solutions","type":"article-journal","volume":"75"},"uris":["http://www.mendeley.com/documents/?uuid=64b1088b-8a5d-4e69-989d-a25c883c98b3"]}],"mendeley":{"formattedCitation":"(Jones &amp; Froom, 1994; Levinson &amp; Rubenstein, 2000; McLean, 2001)","plainTextFormattedCitation":"(Jones &amp; Froom, 1994; Levinson &amp; Rubenstein, 2000; McLean, 2001)","previouslyFormattedCitation":"(Jones &amp; Froom, 1994; Levinson &amp; Rubenstein, 2000; McLean, 2001)"},"properties":{"noteIndex":0},"schema":"https://github.com/citation-style-language/schema/raw/master/csl-citation.json"}</w:instrText>
            </w:r>
            <w:r w:rsidRPr="00E93FC9">
              <w:rPr>
                <w:rFonts w:ascii="Times New Roman" w:hAnsi="Times New Roman" w:cs="Times New Roman"/>
                <w:lang w:val="en-US"/>
              </w:rPr>
              <w:fldChar w:fldCharType="separate"/>
            </w:r>
            <w:r w:rsidRPr="00E93FC9">
              <w:rPr>
                <w:rFonts w:ascii="Times New Roman" w:hAnsi="Times New Roman" w:cs="Times New Roman"/>
                <w:noProof/>
                <w:lang w:val="en-US"/>
              </w:rPr>
              <w:t>(Jones &amp; Froom, 1994; Levinson &amp; Rubenstein, 2000; McLean, 2001)</w:t>
            </w:r>
            <w:r w:rsidRPr="00E93FC9">
              <w:rPr>
                <w:rFonts w:ascii="Times New Roman" w:hAnsi="Times New Roman" w:cs="Times New Roman"/>
                <w:lang w:val="en-US"/>
              </w:rPr>
              <w:fldChar w:fldCharType="end"/>
            </w:r>
            <w:r w:rsidRPr="00E93FC9">
              <w:rPr>
                <w:rFonts w:ascii="Times New Roman" w:hAnsi="Times New Roman" w:cs="Times New Roman"/>
                <w:lang w:val="en-US"/>
              </w:rPr>
              <w:t>.</w:t>
            </w:r>
          </w:p>
          <w:p w14:paraId="5994E6EF" w14:textId="77777777" w:rsidR="00BE1411" w:rsidRPr="00E93FC9" w:rsidRDefault="00BE1411" w:rsidP="00BE1411">
            <w:pPr>
              <w:pStyle w:val="ListParagraph"/>
              <w:numPr>
                <w:ilvl w:val="0"/>
                <w:numId w:val="28"/>
              </w:numPr>
              <w:spacing w:line="240" w:lineRule="auto"/>
              <w:rPr>
                <w:rFonts w:ascii="Times New Roman" w:hAnsi="Times New Roman" w:cs="Times New Roman"/>
                <w:lang w:val="en-US"/>
              </w:rPr>
            </w:pPr>
            <w:r w:rsidRPr="00E93FC9">
              <w:rPr>
                <w:rFonts w:ascii="Times New Roman" w:hAnsi="Times New Roman" w:cs="Times New Roman"/>
                <w:lang w:val="en-US"/>
              </w:rPr>
              <w:t xml:space="preserve">Reliability or clarity of evaluation metrics </w:t>
            </w:r>
            <w:r w:rsidRPr="00E93FC9">
              <w:rPr>
                <w:rFonts w:ascii="Times New Roman" w:hAnsi="Times New Roman" w:cs="Times New Roman"/>
                <w:lang w:val="en-US"/>
              </w:rPr>
              <w:fldChar w:fldCharType="begin" w:fldLock="1"/>
            </w:r>
            <w:r w:rsidRPr="00E93FC9">
              <w:rPr>
                <w:rFonts w:ascii="Times New Roman" w:hAnsi="Times New Roman" w:cs="Times New Roman"/>
                <w:lang w:val="en-US"/>
              </w:rPr>
              <w:instrText>ADDIN CSL_CITATION {"citationItems":[{"id":"ITEM-1","itemData":{"DOI":"10.1080/01421590123039","ISSN":"1466-187X","author":[{"dropping-particle":"","family":"McLean","given":"Michelle","non-dropping-particle":"","parse-names":false,"suffix":""}],"container-title":"Medical Teacher","id":"ITEM-1","issue":"1","issued":{"date-parts":[["2001"]]},"language":"eng","page":"6-11","title":"Rewarding teaching excellence. Can we measure teaching 'excellence'? Who should be the judge?","type":"article-journal","volume":"23"},"uris":["http://www.mendeley.com/documents/?uuid=416878d9-9b14-4906-9e01-60fe258be81b"]},{"id":"ITEM-2","itemData":{"DOI":"10.1097/00001888-199406000-00015","ISSN":"1040-2446","abstract":"PURPOSE: To identify problems in how medical school faculty are evaluated, from the perspectives of faculty and administrators, and to understand how perceptions of the problems differ among those with varying roles within the medical school. METHOD: In March 1992 seven copies of an open-ended questionnaire were sent to each dean at the 126 accredited U.S. medical schools and 16 affiliated Canadian schools. The deans were instructed to complete one form themselves and to distribute one copy each to (1) a faculty affairs dean, (2) a basic science chair, (3) a clinical chair, (4) a member of chair of the school's promotion and tenure committee, (5) a senior faculty member, and (6) a junior faculty member. The authors conducted a content analysis of narrative comments in response to a question that began \"Please identify and briefly describe the most salient problems you observe at your institution in how faculty are evaluated.\" RESULTS: Of a possible 994 responses, 455 (46%) were received. The respondents were from 102 of the 126 U.S. medical schools (81%) and eight of the 16 Canadian schools (50%). Response rates for the respondent subgroups ranged from 27% for the deans to 57% for the clinical chairs. Overall, the most frequently mentioned problems concerned the evaluation of teaching. General complaints about the inadequacy of current methods to evaluate teaching performance were most common--more than one in four respondents raised this issue--but the respondents also had specific complaints about student evaluations of teaching and the insufficient recognition given to teaching in the academic reward system. The frequencies with which other concerns were expressed tended to be related to the respondents' roles. These problems included concerns about the methods and measures used to assess research and scholarship and the quality of clinical care, the nonuniformity of evaluation processes and criteria for promotion among departments, the absence of regular evaluations, and the failure to link the results of evaluation to salary. CONCLUSION: The study population was not random; indeed, it was probably biased toward those who felt strongly (and perhaps negatively) about the current evaluation system. Still, the intensity with which views were expressed was striking. Improving the evaluation of faculty teaching undoubtedly remains one of medical education's greatest challenges.","author":[{"dropping-particle":"","family":"Jones","given":"R F","non-dropping-particle":"","parse-names":false,"suffix":""},{"dropping-particle":"","family":"Froom","given":"J D","non-dropping-particle":"","parse-names":false,"suffix":""}],"container-title":"Academic Medicine: Journal of the Association of American Medical Colleges","id":"ITEM-2","issue":"6","issued":{"date-parts":[["1994"]]},"language":"eng","page":"476-483","title":"Faculty and administration views of problems in faculty evaluation","type":"article-journal","volume":"69"},"uris":["http://www.mendeley.com/documents/?uuid=b008a982-42a7-404d-956d-291d1b10c612"]},{"id":"ITEM-3","itemData":{"DOI":"10.1097/00001888-200009000-00012","ISSN":"1040-2446","abstract":"During the last decade academic medical centers (AMCs) have hired large numbers of clinician-educators to teach and provide clinical care. However, these clinician-educators often do not advance in academic rank, since excellence in clinical care and teaching alone is not adequate justification for advancement. The authors articulate the problems with the present system of recognition for clinician-educators-i.e., the requirement for regional and national reputation, the lack of reliable measures of clinical and teaching excellence, and the lack of training opportunities for young clinician-educators. They call for solutions, including fundamental changes in promotion criteria (e.g., focus criteria for promotion on clinician-educators' accomplishments within their institutions) and the development of valid and feasible methods to measure outcomes of teaching programs. Further, they recommend the development of a new faculty position, a \"clinician-educator researcher,\" to foster the scholarship of discovery in medical education and clinical practice. Investments in clinician-educator researchers will ultimately help AMCs to achieve their threefold mission-excellence in patient care, teaching, and research.","author":[{"dropping-particle":"","family":"Levinson","given":"W","non-dropping-particle":"","parse-names":false,"suffix":""},{"dropping-particle":"","family":"Rubenstein","given":"A","non-dropping-particle":"","parse-names":false,"suffix":""}],"container-title":"Academic Medicine: Journal of the Association of American Medical Colleges","id":"ITEM-3","issue":"9","issued":{"date-parts":[["2000"]]},"language":"eng","page":"906-912","title":"Integrating clinician-educators into Academic Medical Centers: challenges and potential solutions","type":"article-journal","volume":"75"},"uris":["http://www.mendeley.com/documents/?uuid=64b1088b-8a5d-4e69-989d-a25c883c98b3"]},{"id":"ITEM-4","itemData":{"DOI":"10.36834/CMEJ.73241","ISSN":"1923-1202","abstract":"Background: Over the last 31 years, there have been several institutional efforts to better recognize and reward clinician teachers. However, the perception of inadequate recognition and rewards by clinician teachers for their clinical teaching performance and achievements remains. The objective of this narrative review is two-fold: deepen understanding of the attributes of excellent clinician teachers considered for recognition and reward decisions and identify the barriers clinician teachers face in receiving recognition and rewards.\nMethods: We searched OVID Medline, Embase, Education Source and Web of Science to identify relevant papers published between 1990 and 2020. After screening for eligibility, we conducted a content analysis of the findings from 43 relevant papers to identify key trends and issues in the literature.\nResults: We found the majority of relevant papers from the US context, a paucity of relevant papers from the Canadian context, and a declining international focus on the attributes of excellent clinician teachers and barriers to the recognition and rewarding of clinician teachers since 2010. ‘Provides feedback’, ‘excellent communication skills’, ‘good supervision’, and ‘organizational skills’ were common cognitive attributes considered for recognition and rewards. ‘Stimulates’, ‘passionate and enthusiastic’, and ‘creates supportive environment’, were common non-cognitive attributes considered for recognition and rewards. The devaluation of teaching, unclear criteria, and unreliable metrics were the main barriers to the recognition and rewarding of clinician teachers.\nConclusions: The findings of our narrative review highlight a need for local empirical research on recognition and reward issues to better inform local, context-specific reforms to policies and practices.","author":[{"dropping-particle":"","family":"Fantaye","given":"Arone Wondwossen","non-dropping-particle":"","parse-names":false,"suffix":""},{"dropping-particle":"","family":"Kitto","given":"Simon","non-dropping-particle":"","parse-names":false,"suffix":""},{"dropping-particle":"","family":"Hendry","given":"Paul","non-dropping-particle":"","parse-names":false,"suffix":""},{"dropping-particle":"","family":"Wiesenfeld","given":"Lorne","non-dropping-particle":"","parse-names":false,"suffix":""},{"dropping-particle":"","family":"Whiting","given":"Sharon","non-dropping-particle":"","parse-names":false,"suffix":""},{"dropping-particle":"","family":"Gnyra","given":"Catherine","non-dropping-particle":"","parse-names":false,"suffix":""},{"dropping-particle":"","family":"Fournier","given":"Karine","non-dropping-particle":"","parse-names":false,"suffix":""},{"dropping-particle":"","family":"Lochnan","given":"Heather","non-dropping-particle":"","parse-names":false,"suffix":""}],"container-title":"Canadian Medical Education Journal","id":"ITEM-4","issue":"2","issued":{"date-parts":[["2022","4","1"]]},"page":"57-72","title":"Attributes of excellent clinician teachers and barriers to recognizing and rewarding clinician teachers’ performances and achievements: a narrative review","type":"article-journal","volume":"13"},"uris":["http://www.mendeley.com/documents/?uuid=bf120797-d963-3750-8bf0-0d92b1fa734c"]}],"mendeley":{"formattedCitation":"(Fantaye et al., 2022; Jones &amp; Froom, 1994; Levinson &amp; Rubenstein, 2000; McLean, 2001)","plainTextFormattedCitation":"(Fantaye et al., 2022; Jones &amp; Froom, 1994; Levinson &amp; Rubenstein, 2000; McLean, 2001)","previouslyFormattedCitation":"(Jones &amp; Froom, 1994; Levinson &amp; Rubenstein, 2000; McLean, 2001)"},"properties":{"noteIndex":0},"schema":"https://github.com/citation-style-language/schema/raw/master/csl-citation.json"}</w:instrText>
            </w:r>
            <w:r w:rsidRPr="00E93FC9">
              <w:rPr>
                <w:rFonts w:ascii="Times New Roman" w:hAnsi="Times New Roman" w:cs="Times New Roman"/>
                <w:lang w:val="en-US"/>
              </w:rPr>
              <w:fldChar w:fldCharType="separate"/>
            </w:r>
            <w:r w:rsidRPr="00E93FC9">
              <w:rPr>
                <w:rFonts w:ascii="Times New Roman" w:hAnsi="Times New Roman" w:cs="Times New Roman"/>
                <w:noProof/>
                <w:lang w:val="en-US"/>
              </w:rPr>
              <w:t>(Fantaye et al., 2022; Jones &amp; Froom, 1994; Levinson &amp; Rubenstein, 2000; McLean, 2001)</w:t>
            </w:r>
            <w:r w:rsidRPr="00E93FC9">
              <w:rPr>
                <w:rFonts w:ascii="Times New Roman" w:hAnsi="Times New Roman" w:cs="Times New Roman"/>
                <w:lang w:val="en-US"/>
              </w:rPr>
              <w:fldChar w:fldCharType="end"/>
            </w:r>
            <w:r w:rsidRPr="00E93FC9">
              <w:rPr>
                <w:rFonts w:ascii="Times New Roman" w:hAnsi="Times New Roman" w:cs="Times New Roman"/>
                <w:lang w:val="en-US"/>
              </w:rPr>
              <w:t>.</w:t>
            </w:r>
          </w:p>
          <w:p w14:paraId="406C52F7" w14:textId="77777777" w:rsidR="00BE1411" w:rsidRPr="00E93FC9" w:rsidRDefault="00BE1411" w:rsidP="007351AF">
            <w:pPr>
              <w:rPr>
                <w:rFonts w:ascii="Times New Roman" w:hAnsi="Times New Roman" w:cs="Times New Roman"/>
                <w:lang w:val="en-US"/>
              </w:rPr>
            </w:pPr>
          </w:p>
        </w:tc>
      </w:tr>
      <w:tr w:rsidR="00BE1411" w:rsidRPr="00E93FC9" w14:paraId="01CB615D" w14:textId="77777777" w:rsidTr="007351AF">
        <w:trPr>
          <w:trHeight w:val="301"/>
        </w:trPr>
        <w:tc>
          <w:tcPr>
            <w:tcW w:w="4957" w:type="dxa"/>
          </w:tcPr>
          <w:p w14:paraId="1C03BBFA" w14:textId="77777777" w:rsidR="00BE1411" w:rsidRPr="00E93FC9" w:rsidRDefault="00BE1411" w:rsidP="00BE1411">
            <w:pPr>
              <w:pStyle w:val="ListParagraph"/>
              <w:numPr>
                <w:ilvl w:val="0"/>
                <w:numId w:val="22"/>
              </w:numPr>
              <w:spacing w:line="240" w:lineRule="auto"/>
              <w:rPr>
                <w:rFonts w:ascii="Times New Roman" w:hAnsi="Times New Roman" w:cs="Times New Roman"/>
                <w:lang w:val="en-US"/>
              </w:rPr>
            </w:pPr>
            <w:r w:rsidRPr="00E93FC9">
              <w:rPr>
                <w:rFonts w:ascii="Times New Roman" w:hAnsi="Times New Roman" w:cs="Times New Roman"/>
                <w:lang w:val="en-US"/>
              </w:rPr>
              <w:t>Communication of RR (includes                                mechanisms of communication, and perceptions of communication)</w:t>
            </w:r>
          </w:p>
        </w:tc>
        <w:tc>
          <w:tcPr>
            <w:tcW w:w="8505" w:type="dxa"/>
          </w:tcPr>
          <w:p w14:paraId="564F1E17" w14:textId="77777777" w:rsidR="00BE1411" w:rsidRPr="00E93FC9" w:rsidRDefault="00BE1411" w:rsidP="007351AF">
            <w:pPr>
              <w:rPr>
                <w:rFonts w:ascii="Times New Roman" w:hAnsi="Times New Roman" w:cs="Times New Roman"/>
                <w:lang w:val="en-US"/>
              </w:rPr>
            </w:pPr>
            <w:r w:rsidRPr="00E93FC9">
              <w:rPr>
                <w:rFonts w:ascii="Times New Roman" w:hAnsi="Times New Roman" w:cs="Times New Roman"/>
                <w:lang w:val="en-US"/>
              </w:rPr>
              <w:t xml:space="preserve">This code refers to formal or informal methods of sharing information between or within the institution(s) </w:t>
            </w:r>
            <w:r w:rsidRPr="00E93FC9">
              <w:rPr>
                <w:rFonts w:ascii="Times New Roman" w:hAnsi="Times New Roman" w:cs="Times New Roman"/>
                <w:lang w:val="en-US"/>
              </w:rPr>
              <w:fldChar w:fldCharType="begin" w:fldLock="1"/>
            </w:r>
            <w:r w:rsidRPr="00E93FC9">
              <w:rPr>
                <w:rFonts w:ascii="Times New Roman" w:hAnsi="Times New Roman" w:cs="Times New Roman"/>
                <w:lang w:val="en-US"/>
              </w:rPr>
              <w:instrText>ADDIN CSL_CITATION {"citationItems":[{"id":"ITEM-1","itemData":{"DOI":"10.1111/J.0887-378X.2004.00325.X","ISSN":"0887-378X","PMID":"15595944","abstract":"This article summarizes an extensive literature review addressing the question, How can we spread and sustain innovations in health service delivery and organization? It considers both content (defining and measuring the diffusion of innovation in organizations) and process (reviewing the literature in a systematic and reproducible way). This article discusses (1) a parsimonious and evidence-based model for considering the diffusion of innovations in health service organizations, (2) clear knowledge gaps where further research should be focused, and (3) a robust and transferable methodology for systematically reviewing health service policy and management. Both the model and the method should be tested more widely in a range of contexts.","author":[{"dropping-particle":"","family":"Greenhalgh","given":"Trisha","non-dropping-particle":"","parse-names":false,"suffix":""},{"dropping-particle":"","family":"Robert","given":"Glenn","non-dropping-particle":"","parse-names":false,"suffix":""},{"dropping-particle":"","family":"Macfarlane","given":"Fraser","non-dropping-particle":"","parse-names":false,"suffix":""},{"dropping-particle":"","family":"Bate","given":"Paul","non-dropping-particle":"","parse-names":false,"suffix":""},{"dropping-particle":"","family":"Kyriakidou","given":"Olivia","non-dropping-particle":"","parse-names":false,"suffix":""}],"container-title":"The Milbank quarterly","id":"ITEM-1","issue":"4","issued":{"date-parts":[["2004"]]},"page":"581-629","publisher":"Milbank Q","title":"Diffusion of innovations in service organizations: systematic review and recommendations","type":"article-journal","volume":"82"},"uris":["http://www.mendeley.com/documents/?uuid=30e6a3b7-a3af-3a9d-ba87-81483d4d7ef6"]}],"mendeley":{"formattedCitation":"(Greenhalgh et al., 2004)","plainTextFormattedCitation":"(Greenhalgh et al., 2004)","previouslyFormattedCitation":"(Greenhalgh et al., 2004)"},"properties":{"noteIndex":0},"schema":"https://github.com/citation-style-language/schema/raw/master/csl-citation.json"}</w:instrText>
            </w:r>
            <w:r w:rsidRPr="00E93FC9">
              <w:rPr>
                <w:rFonts w:ascii="Times New Roman" w:hAnsi="Times New Roman" w:cs="Times New Roman"/>
                <w:lang w:val="en-US"/>
              </w:rPr>
              <w:fldChar w:fldCharType="separate"/>
            </w:r>
            <w:r w:rsidRPr="00E93FC9">
              <w:rPr>
                <w:rFonts w:ascii="Times New Roman" w:hAnsi="Times New Roman" w:cs="Times New Roman"/>
                <w:noProof/>
                <w:lang w:val="en-US"/>
              </w:rPr>
              <w:t>(Greenhalgh et al., 2004)</w:t>
            </w:r>
            <w:r w:rsidRPr="00E93FC9">
              <w:rPr>
                <w:rFonts w:ascii="Times New Roman" w:hAnsi="Times New Roman" w:cs="Times New Roman"/>
                <w:lang w:val="en-US"/>
              </w:rPr>
              <w:fldChar w:fldCharType="end"/>
            </w:r>
            <w:r w:rsidRPr="00E93FC9">
              <w:rPr>
                <w:rFonts w:ascii="Times New Roman" w:hAnsi="Times New Roman" w:cs="Times New Roman"/>
                <w:lang w:val="en-US"/>
              </w:rPr>
              <w:t>. For example, sharing information regarding the availability and application process for recognition and rewards for teaching. This may occur through mediums such as emails, web postings, and brochures.</w:t>
            </w:r>
          </w:p>
          <w:p w14:paraId="34424201" w14:textId="77777777" w:rsidR="00BE1411" w:rsidRPr="00E93FC9" w:rsidRDefault="00BE1411" w:rsidP="007351AF">
            <w:pPr>
              <w:rPr>
                <w:rFonts w:ascii="Times New Roman" w:hAnsi="Times New Roman" w:cs="Times New Roman"/>
                <w:lang w:val="en-US"/>
              </w:rPr>
            </w:pPr>
          </w:p>
          <w:p w14:paraId="6CEAFE8C" w14:textId="77777777" w:rsidR="00BE1411" w:rsidRPr="00E93FC9" w:rsidRDefault="00BE1411" w:rsidP="00BE1411">
            <w:pPr>
              <w:pStyle w:val="ListParagraph"/>
              <w:numPr>
                <w:ilvl w:val="0"/>
                <w:numId w:val="26"/>
              </w:numPr>
              <w:spacing w:line="240" w:lineRule="auto"/>
              <w:rPr>
                <w:rFonts w:ascii="Times New Roman" w:hAnsi="Times New Roman" w:cs="Times New Roman"/>
                <w:lang w:val="en-US"/>
              </w:rPr>
            </w:pPr>
            <w:r w:rsidRPr="00E93FC9">
              <w:rPr>
                <w:rFonts w:ascii="Times New Roman" w:hAnsi="Times New Roman" w:cs="Times New Roman"/>
                <w:lang w:val="en-US"/>
              </w:rPr>
              <w:t xml:space="preserve">Communication mechanisms  </w:t>
            </w:r>
          </w:p>
          <w:p w14:paraId="0E342711" w14:textId="77777777" w:rsidR="00BE1411" w:rsidRPr="00E93FC9" w:rsidRDefault="00BE1411" w:rsidP="00BE1411">
            <w:pPr>
              <w:pStyle w:val="ListParagraph"/>
              <w:numPr>
                <w:ilvl w:val="0"/>
                <w:numId w:val="26"/>
              </w:numPr>
              <w:spacing w:line="240" w:lineRule="auto"/>
              <w:rPr>
                <w:rFonts w:ascii="Times New Roman" w:hAnsi="Times New Roman" w:cs="Times New Roman"/>
                <w:lang w:val="en-US"/>
              </w:rPr>
            </w:pPr>
            <w:r w:rsidRPr="00E93FC9">
              <w:rPr>
                <w:rFonts w:ascii="Times New Roman" w:hAnsi="Times New Roman" w:cs="Times New Roman"/>
                <w:lang w:val="en-US"/>
              </w:rPr>
              <w:t xml:space="preserve">Experiences with communication </w:t>
            </w:r>
          </w:p>
        </w:tc>
      </w:tr>
      <w:tr w:rsidR="00BE1411" w:rsidRPr="00E93FC9" w14:paraId="0D39B895" w14:textId="77777777" w:rsidTr="007351AF">
        <w:trPr>
          <w:trHeight w:val="301"/>
        </w:trPr>
        <w:tc>
          <w:tcPr>
            <w:tcW w:w="4957" w:type="dxa"/>
          </w:tcPr>
          <w:p w14:paraId="7262EA60" w14:textId="77777777" w:rsidR="00BE1411" w:rsidRPr="00E93FC9" w:rsidRDefault="00BE1411" w:rsidP="00BE1411">
            <w:pPr>
              <w:pStyle w:val="ListParagraph"/>
              <w:numPr>
                <w:ilvl w:val="0"/>
                <w:numId w:val="20"/>
              </w:numPr>
              <w:spacing w:line="276" w:lineRule="auto"/>
              <w:rPr>
                <w:rFonts w:ascii="Times New Roman" w:hAnsi="Times New Roman" w:cs="Times New Roman"/>
                <w:b/>
                <w:bCs/>
                <w:lang w:val="en-US"/>
              </w:rPr>
            </w:pPr>
            <w:r w:rsidRPr="00E93FC9">
              <w:rPr>
                <w:rFonts w:ascii="Times New Roman" w:hAnsi="Times New Roman" w:cs="Times New Roman"/>
                <w:b/>
                <w:bCs/>
                <w:lang w:val="en-US"/>
              </w:rPr>
              <w:t xml:space="preserve">Culture </w:t>
            </w:r>
            <w:r w:rsidRPr="00E93FC9">
              <w:rPr>
                <w:rFonts w:ascii="Times New Roman" w:hAnsi="Times New Roman" w:cs="Times New Roman"/>
                <w:lang w:val="en-US"/>
              </w:rPr>
              <w:t>(RR, resources)</w:t>
            </w:r>
          </w:p>
        </w:tc>
        <w:tc>
          <w:tcPr>
            <w:tcW w:w="8505" w:type="dxa"/>
          </w:tcPr>
          <w:p w14:paraId="57C64A8E" w14:textId="77777777" w:rsidR="00BE1411" w:rsidRPr="00E93FC9" w:rsidRDefault="00BE1411" w:rsidP="007351AF">
            <w:pPr>
              <w:rPr>
                <w:rFonts w:ascii="Times New Roman" w:hAnsi="Times New Roman" w:cs="Times New Roman"/>
              </w:rPr>
            </w:pPr>
            <w:r w:rsidRPr="00E93FC9">
              <w:rPr>
                <w:rFonts w:ascii="Times New Roman" w:hAnsi="Times New Roman" w:cs="Times New Roman"/>
                <w:lang w:val="en-US"/>
              </w:rPr>
              <w:t xml:space="preserve">This refers to the values, assumptions and norms across an institution. </w:t>
            </w:r>
            <w:r w:rsidRPr="00E93FC9">
              <w:rPr>
                <w:rFonts w:ascii="Times New Roman" w:hAnsi="Times New Roman" w:cs="Times New Roman"/>
              </w:rPr>
              <w:t xml:space="preserve">Institutional culture is rooted in the history, and collectively held in the institution/organization </w:t>
            </w:r>
            <w:r w:rsidRPr="00E93FC9">
              <w:rPr>
                <w:rFonts w:ascii="Times New Roman" w:hAnsi="Times New Roman" w:cs="Times New Roman"/>
              </w:rPr>
              <w:fldChar w:fldCharType="begin" w:fldLock="1"/>
            </w:r>
            <w:r w:rsidRPr="00E93FC9">
              <w:rPr>
                <w:rFonts w:ascii="Times New Roman" w:hAnsi="Times New Roman" w:cs="Times New Roman"/>
              </w:rPr>
              <w:instrText>ADDIN CSL_CITATION {"citationItems":[{"id":"ITEM-1","itemData":{"DOI":"10.2307/258997","ISSN":"03637425","abstract":"Recently, organizational culture researchers have applied quantitative survey methods and identified comparative \"dimensions\" of culture in a way that appears to contradict some of the original foundations of culture research within organizational studies. This new quantitative culture research also bears a strong resemblance to earlier research on organizational climate. This article examines the implications of this development by first considering the differences between the liter- atures on organizational culture and organizational climate and then examining the many similarities between these two literatures. The literatures are compared by focusing on their definition of the phenom- ena, their epistemology and methodology, and their theoretical foun- dations. The implications of the differing theoretical foundations and their underlying assumptions about the phenomenon are discussed at some length, as are some of the consequences of the continued separation of these two literatures. The final discussion focuses on the implications of these developments for future research on organiza- tional cultures and contexts.","author":[{"dropping-particle":"","family":"Denison","given":"Daniel R.","non-dropping-particle":"","parse-names":false,"suffix":""}],"container-title":"The Academy of Management Review","id":"ITEM-1","issue":"3","issued":{"date-parts":[["1996","7"]]},"page":"654","publisher":"Academy of Management","title":"What is the Difference between Organizational Culture and Organizational Climate? A Native's Point of View on a Decade of Paradigm Wars","type":"article-journal","volume":"21"},"uris":["http://www.mendeley.com/documents/?uuid=54610f03-34f7-3aea-b7b2-01eb72c80a25"]}],"mendeley":{"formattedCitation":"(Denison, 1996)","plainTextFormattedCitation":"(Denison, 1996)","previouslyFormattedCitation":"(Denison, 1996)"},"properties":{"noteIndex":0},"schema":"https://github.com/citation-style-language/schema/raw/master/csl-citation.json"}</w:instrText>
            </w:r>
            <w:r w:rsidRPr="00E93FC9">
              <w:rPr>
                <w:rFonts w:ascii="Times New Roman" w:hAnsi="Times New Roman" w:cs="Times New Roman"/>
              </w:rPr>
              <w:fldChar w:fldCharType="separate"/>
            </w:r>
            <w:r w:rsidRPr="00E93FC9">
              <w:rPr>
                <w:rFonts w:ascii="Times New Roman" w:hAnsi="Times New Roman" w:cs="Times New Roman"/>
                <w:noProof/>
              </w:rPr>
              <w:t>(Denison, 1996)</w:t>
            </w:r>
            <w:r w:rsidRPr="00E93FC9">
              <w:rPr>
                <w:rFonts w:ascii="Times New Roman" w:hAnsi="Times New Roman" w:cs="Times New Roman"/>
              </w:rPr>
              <w:fldChar w:fldCharType="end"/>
            </w:r>
            <w:r w:rsidRPr="00E93FC9">
              <w:rPr>
                <w:rFonts w:ascii="Times New Roman" w:hAnsi="Times New Roman" w:cs="Times New Roman"/>
              </w:rPr>
              <w:t xml:space="preserve">, and it is reflected in what is done, how it is done, and who is involved in doing it </w:t>
            </w:r>
            <w:r w:rsidRPr="00E93FC9">
              <w:rPr>
                <w:rFonts w:ascii="Times New Roman" w:hAnsi="Times New Roman" w:cs="Times New Roman"/>
              </w:rPr>
              <w:fldChar w:fldCharType="begin" w:fldLock="1"/>
            </w:r>
            <w:r w:rsidRPr="00E93FC9">
              <w:rPr>
                <w:rFonts w:ascii="Times New Roman" w:hAnsi="Times New Roman" w:cs="Times New Roman"/>
              </w:rPr>
              <w:instrText>ADDIN CSL_CITATION {"citationItems":[{"id":"ITEM-1","itemData":{"DOI":"10.2307/1981868","ISSN":"00221546","abstract":"formality v. informality regarding decision making processes (transparency)\\nFramework of Org. Culture:\\nEnvironment-definition/attitude\\nMission-definition/articulation/used?\\nSocialization-new members/moving up\\nInformation-what/who/how?\\nStrategy-how are decisions made/which strategy/penalties?\\nLeadership-expectations/who/formal v. informal?","author":[{"dropping-particle":"","family":"Tierney","given":"William G.","non-dropping-particle":"","parse-names":false,"suffix":""}],"container-title":"The Journal of Higher Education","id":"ITEM-1","issue":"1","issued":{"date-parts":[["1988","1"]]},"page":"21","publisher":"Informa UK Limited","title":"Organizational Culture in Higher Education: Defining the Essentials","type":"article-journal","volume":"59"},"uris":["http://www.mendeley.com/documents/?uuid=44cac982-42e5-3def-904f-b11ad1481220"]}],"mendeley":{"formattedCitation":"(Tierney, 1988)","plainTextFormattedCitation":"(Tierney, 1988)","previouslyFormattedCitation":"(Tierney, 1988)"},"properties":{"noteIndex":0},"schema":"https://github.com/citation-style-language/schema/raw/master/csl-citation.json"}</w:instrText>
            </w:r>
            <w:r w:rsidRPr="00E93FC9">
              <w:rPr>
                <w:rFonts w:ascii="Times New Roman" w:hAnsi="Times New Roman" w:cs="Times New Roman"/>
              </w:rPr>
              <w:fldChar w:fldCharType="separate"/>
            </w:r>
            <w:r w:rsidRPr="00E93FC9">
              <w:rPr>
                <w:rFonts w:ascii="Times New Roman" w:hAnsi="Times New Roman" w:cs="Times New Roman"/>
                <w:noProof/>
              </w:rPr>
              <w:t>(Tierney, 1988)</w:t>
            </w:r>
            <w:r w:rsidRPr="00E93FC9">
              <w:rPr>
                <w:rFonts w:ascii="Times New Roman" w:hAnsi="Times New Roman" w:cs="Times New Roman"/>
              </w:rPr>
              <w:fldChar w:fldCharType="end"/>
            </w:r>
            <w:r w:rsidRPr="00E93FC9">
              <w:rPr>
                <w:rFonts w:ascii="Times New Roman" w:hAnsi="Times New Roman" w:cs="Times New Roman"/>
              </w:rPr>
              <w:t>. For example, the institutional culture is reflected in the available training and resources, the availability of teaching recognition and rewards, priority of clinical teaching tasks, clarity of promotion applications, faculty engagement, among others.</w:t>
            </w:r>
          </w:p>
          <w:p w14:paraId="6D2706B8" w14:textId="77777777" w:rsidR="00BE1411" w:rsidRPr="00E93FC9" w:rsidRDefault="00BE1411" w:rsidP="007351AF">
            <w:pPr>
              <w:rPr>
                <w:rFonts w:ascii="Times New Roman" w:hAnsi="Times New Roman" w:cs="Times New Roman"/>
                <w:lang w:val="en-US"/>
              </w:rPr>
            </w:pPr>
          </w:p>
        </w:tc>
      </w:tr>
      <w:tr w:rsidR="00BE1411" w:rsidRPr="00E93FC9" w14:paraId="4BE0CDDA" w14:textId="77777777" w:rsidTr="007351AF">
        <w:trPr>
          <w:trHeight w:val="699"/>
        </w:trPr>
        <w:tc>
          <w:tcPr>
            <w:tcW w:w="4957" w:type="dxa"/>
          </w:tcPr>
          <w:p w14:paraId="7A6AE9CB" w14:textId="77777777" w:rsidR="00BE1411" w:rsidRPr="00E93FC9" w:rsidRDefault="00BE1411" w:rsidP="00BE1411">
            <w:pPr>
              <w:pStyle w:val="ListParagraph"/>
              <w:numPr>
                <w:ilvl w:val="0"/>
                <w:numId w:val="23"/>
              </w:numPr>
              <w:spacing w:line="240" w:lineRule="auto"/>
              <w:rPr>
                <w:rFonts w:ascii="Times New Roman" w:hAnsi="Times New Roman" w:cs="Times New Roman"/>
                <w:lang w:val="en-US"/>
              </w:rPr>
            </w:pPr>
            <w:r w:rsidRPr="00E93FC9">
              <w:rPr>
                <w:rFonts w:ascii="Times New Roman" w:hAnsi="Times New Roman" w:cs="Times New Roman"/>
                <w:lang w:val="en-US"/>
              </w:rPr>
              <w:t xml:space="preserve">Training and resources (support system) to develop into high-quality teachers </w:t>
            </w:r>
            <w:r w:rsidRPr="00E93FC9">
              <w:rPr>
                <w:rFonts w:ascii="Times New Roman" w:hAnsi="Times New Roman" w:cs="Times New Roman"/>
                <w:vertAlign w:val="superscript"/>
                <w:lang w:val="en-US"/>
              </w:rPr>
              <w:t>c</w:t>
            </w:r>
          </w:p>
        </w:tc>
        <w:tc>
          <w:tcPr>
            <w:tcW w:w="8505" w:type="dxa"/>
          </w:tcPr>
          <w:p w14:paraId="29C4E5A2" w14:textId="3F1A77CC" w:rsidR="00FA427E" w:rsidRDefault="00BE1411" w:rsidP="007351AF">
            <w:pPr>
              <w:rPr>
                <w:rFonts w:ascii="Times New Roman" w:hAnsi="Times New Roman" w:cs="Times New Roman"/>
                <w:lang w:val="en-US"/>
              </w:rPr>
            </w:pPr>
            <w:r w:rsidRPr="00E93FC9">
              <w:rPr>
                <w:rFonts w:ascii="Times New Roman" w:hAnsi="Times New Roman" w:cs="Times New Roman"/>
                <w:lang w:val="en-US"/>
              </w:rPr>
              <w:t xml:space="preserve">This code refers to the available support systems in place to enable teachers to develop into high-performing clinical teachers that are tasked with educating future physicians </w:t>
            </w:r>
            <w:r w:rsidRPr="00E93FC9">
              <w:rPr>
                <w:rFonts w:ascii="Times New Roman" w:hAnsi="Times New Roman" w:cs="Times New Roman"/>
                <w:lang w:val="en-US"/>
              </w:rPr>
              <w:fldChar w:fldCharType="begin" w:fldLock="1"/>
            </w:r>
            <w:r w:rsidRPr="00E93FC9">
              <w:rPr>
                <w:rFonts w:ascii="Times New Roman" w:hAnsi="Times New Roman" w:cs="Times New Roman"/>
                <w:lang w:val="en-US"/>
              </w:rPr>
              <w:instrText>ADDIN CSL_CITATION {"citationItems":[{"id":"ITEM-1","itemData":{"DOI":"10.1080/01421590802061613","abstract":"Teaching in the clinical environment is a demanding, complex and often frustrating task, a task many clinicians assume without adequate preparation or orientation. Twelve roles have previously been...","author":[{"dropping-particle":"","family":"Ramani","given":"Dr Subha","non-dropping-particle":"","parse-names":false,"suffix":""},{"dropping-particle":"","family":"Leinster","given":"Sam","non-dropping-particle":"","parse-names":false,"suffix":""}],"container-title":"Medical Teacher","id":"ITEM-1","issue":"4","issued":{"date-parts":[["2008","12","18"]]},"language":"en","page":"347-364","title":"AMEE Guide no. 34: teaching in the clinical environment","type":"article-journal","volume":"30"},"uris":["http://www.mendeley.com/documents/?uuid=07a0b9f0-4d35-4f21-bf90-f1459d2e9b94"]},{"id":"ITEM-2","itemData":{"DOI":"10.1080/0142159X.2017.1360473","ISSN":"1466-187X","abstract":"BACKGROUND: Clinical teaching lies at the heart of medical education. However, few studies have explored the embedded nature of teaching and clinical care. The goal of this study was to examine the process of clinical teaching as it naturally, and spontaneously, unfolds in a broad range of authentic contexts with medical students and residents. METHODS: This focused ethnographic study consisted of 160 hours of participant observation and field interviews with three internal medicine teams. Thematic analysis guided data organization and interpretation. FINDINGS: Three overlapping themes emerged: the interconnectedness between clinical work and pedagogy; a multiplicity of teachers; and the influence of space and artifacts on teaching and learning. Clinical teaching, which was deeply embedded in clinical care, was influenced by the acuity of patient problems, learner needs, and the context in which teaching unfolded; it also occurred on a spectrum that included planned, opportunistic, formal, and informal teaching (and learning). CONCLUSIONS: Study findings suggest that clinical teaching, which is marked by an intersection between service and teaching, can be viewed as an example of work-based teaching. They also yield suggestions for the enhancement of clinical teaching in inpatient settings, faculty development, and educational policies that recognize clinical teaching and learning.","author":[{"dropping-particle":"","family":"Steinert","given":"Yvonne","non-dropping-particle":"","parse-names":false,"suffix":""},{"dropping-particle":"","family":"Basi","given":"Mandeep","non-dropping-particle":"","parse-names":false,"suffix":""},{"dropping-particle":"","family":"Nugus","given":"Peter","non-dropping-particle":"","parse-names":false,"suffix":""}],"container-title":"Medical Teacher","id":"ITEM-2","issue":"12","issued":{"date-parts":[["2017"]]},"language":"eng","page":"1238-1244","title":"How physicians teach in the clinical setting: The embedded roles of teaching and clinical care","type":"article-journal","volume":"39"},"uris":["http://www.mendeley.com/documents/?uuid=18e543e1-347c-4223-be24-d3d3e8a26241"]},{"id":"ITEM-3","itemData":{"DOI":"10.1080/01421590600902976","abstract":"Background: Preparing healthcare professionals for teaching is regarded as essential to enhancing teaching effectiveness. Although many reports describe various faculty development interventions, t...","author":[{"dropping-particle":"","family":"Steinert","given":"Yvonne","non-dropping-particle":"","parse-names":false,"suffix":""},{"dropping-particle":"","family":"Mann","given":"Karen","non-dropping-particle":"","parse-names":false,"suffix":""},{"dropping-particle":"","family":"Centeno","given":"Angel","non-dropping-particle":"","parse-names":false,"suffix":""},{"dropping-particle":"","family":"Dolmans","given":"Diana","non-dropping-particle":"","parse-names":false,"suffix":""},{"dropping-particle":"","family":"Spencer","given":"John","non-dropping-particle":"","parse-names":false,"suffix":""},{"dropping-particle":"","family":"Gelula","given":"Mark","non-dropping-particle":"","parse-names":false,"suffix":""},{"dropping-particle":"","family":"Prideaux","given":"David","non-dropping-particle":"","parse-names":false,"suffix":""}],"container-title":"Medical Teacher","id":"ITEM-3","issue":"6","issued":{"date-parts":[["2006","1","11"]]},"language":"en","page":"497-526","title":"A systematic review of faculty development initiatives designed to improve teaching effectiveness in medical education: BEME Guide No. 8","type":"article-journal","volume":"28"},"uris":["http://www.mendeley.com/documents/?uuid=d2b9c16d-38cb-4efa-835d-7e3f40a33c67"]}],"mendeley":{"formattedCitation":"(D. S. Ramani &amp; Leinster, 2008; Steinert et al., 2006, 2017)","plainTextFormattedCitation":"(D. S. Ramani &amp; Leinster, 2008; Steinert et al., 2006, 2017)","previouslyFormattedCitation":"(D. S. Ramani &amp; Leinster, 2008; Steinert et al., 2006, 2017)"},"properties":{"noteIndex":0},"schema":"https://github.com/citation-style-language/schema/raw/master/csl-citation.json"}</w:instrText>
            </w:r>
            <w:r w:rsidRPr="00E93FC9">
              <w:rPr>
                <w:rFonts w:ascii="Times New Roman" w:hAnsi="Times New Roman" w:cs="Times New Roman"/>
                <w:lang w:val="en-US"/>
              </w:rPr>
              <w:fldChar w:fldCharType="separate"/>
            </w:r>
            <w:r w:rsidRPr="00E93FC9">
              <w:rPr>
                <w:rFonts w:ascii="Times New Roman" w:hAnsi="Times New Roman" w:cs="Times New Roman"/>
                <w:noProof/>
                <w:lang w:val="en-US"/>
              </w:rPr>
              <w:t>(Ramani &amp; Leinster, 2008; Steinert et al., 2006, 2017)</w:t>
            </w:r>
            <w:r w:rsidRPr="00E93FC9">
              <w:rPr>
                <w:rFonts w:ascii="Times New Roman" w:hAnsi="Times New Roman" w:cs="Times New Roman"/>
                <w:lang w:val="en-US"/>
              </w:rPr>
              <w:fldChar w:fldCharType="end"/>
            </w:r>
            <w:r w:rsidR="00E93FC9" w:rsidRPr="00E93FC9">
              <w:rPr>
                <w:rFonts w:ascii="Times New Roman" w:hAnsi="Times New Roman" w:cs="Times New Roman"/>
                <w:lang w:val="en-US"/>
              </w:rPr>
              <w:t xml:space="preserve"> (*could fit into ‘structure’ category)</w:t>
            </w:r>
            <w:r w:rsidRPr="00E93FC9">
              <w:rPr>
                <w:rFonts w:ascii="Times New Roman" w:hAnsi="Times New Roman" w:cs="Times New Roman"/>
                <w:lang w:val="en-US"/>
              </w:rPr>
              <w:t>. For example, this can include</w:t>
            </w:r>
            <w:r w:rsidR="00FA427E">
              <w:rPr>
                <w:rFonts w:ascii="Times New Roman" w:hAnsi="Times New Roman" w:cs="Times New Roman"/>
                <w:lang w:val="en-US"/>
              </w:rPr>
              <w:t>,</w:t>
            </w:r>
          </w:p>
          <w:p w14:paraId="385C54AA" w14:textId="77777777" w:rsidR="00FA427E" w:rsidRDefault="00FA427E" w:rsidP="007351AF">
            <w:pPr>
              <w:rPr>
                <w:rFonts w:ascii="Times New Roman" w:hAnsi="Times New Roman" w:cs="Times New Roman"/>
                <w:lang w:val="en-US"/>
              </w:rPr>
            </w:pPr>
          </w:p>
          <w:p w14:paraId="285CF023" w14:textId="7E19E501" w:rsidR="00FA427E" w:rsidRDefault="00FA427E" w:rsidP="00FA427E">
            <w:pPr>
              <w:pStyle w:val="ListParagraph"/>
              <w:numPr>
                <w:ilvl w:val="0"/>
                <w:numId w:val="36"/>
              </w:numPr>
              <w:rPr>
                <w:rFonts w:ascii="Times New Roman" w:hAnsi="Times New Roman" w:cs="Times New Roman"/>
                <w:lang w:val="en-US"/>
              </w:rPr>
            </w:pPr>
            <w:r>
              <w:rPr>
                <w:rFonts w:ascii="Times New Roman" w:hAnsi="Times New Roman" w:cs="Times New Roman"/>
                <w:lang w:val="en-US"/>
              </w:rPr>
              <w:t>C</w:t>
            </w:r>
            <w:r w:rsidR="00BE1411" w:rsidRPr="00FA427E">
              <w:rPr>
                <w:rFonts w:ascii="Times New Roman" w:hAnsi="Times New Roman" w:cs="Times New Roman"/>
                <w:lang w:val="en-US"/>
              </w:rPr>
              <w:t>ontinuing professional development and faculty development workshops</w:t>
            </w:r>
            <w:r>
              <w:rPr>
                <w:rFonts w:ascii="Times New Roman" w:hAnsi="Times New Roman" w:cs="Times New Roman"/>
                <w:lang w:val="en-US"/>
              </w:rPr>
              <w:t xml:space="preserve"> and </w:t>
            </w:r>
            <w:r w:rsidR="00BE1411" w:rsidRPr="00FA427E">
              <w:rPr>
                <w:rFonts w:ascii="Times New Roman" w:hAnsi="Times New Roman" w:cs="Times New Roman"/>
                <w:lang w:val="en-US"/>
              </w:rPr>
              <w:t>courses</w:t>
            </w:r>
          </w:p>
          <w:p w14:paraId="26495584" w14:textId="77777777" w:rsidR="00FA427E" w:rsidRDefault="00FA427E" w:rsidP="00FA427E">
            <w:pPr>
              <w:pStyle w:val="ListParagraph"/>
              <w:numPr>
                <w:ilvl w:val="0"/>
                <w:numId w:val="36"/>
              </w:numPr>
              <w:rPr>
                <w:rFonts w:ascii="Times New Roman" w:hAnsi="Times New Roman" w:cs="Times New Roman"/>
                <w:lang w:val="en-US"/>
              </w:rPr>
            </w:pPr>
            <w:r>
              <w:rPr>
                <w:rFonts w:ascii="Times New Roman" w:hAnsi="Times New Roman" w:cs="Times New Roman"/>
                <w:lang w:val="en-US"/>
              </w:rPr>
              <w:t>Mentoring</w:t>
            </w:r>
          </w:p>
          <w:p w14:paraId="77471A4B" w14:textId="19FCADF1" w:rsidR="00FA427E" w:rsidRDefault="005F42FD" w:rsidP="00FA427E">
            <w:pPr>
              <w:pStyle w:val="ListParagraph"/>
              <w:numPr>
                <w:ilvl w:val="0"/>
                <w:numId w:val="36"/>
              </w:numPr>
              <w:rPr>
                <w:rFonts w:ascii="Times New Roman" w:hAnsi="Times New Roman" w:cs="Times New Roman"/>
                <w:lang w:val="en-US"/>
              </w:rPr>
            </w:pPr>
            <w:r>
              <w:rPr>
                <w:rFonts w:ascii="Times New Roman" w:hAnsi="Times New Roman" w:cs="Times New Roman"/>
                <w:lang w:val="en-US"/>
              </w:rPr>
              <w:lastRenderedPageBreak/>
              <w:t>Teaching RR</w:t>
            </w:r>
            <w:r w:rsidR="00FA427E">
              <w:rPr>
                <w:rFonts w:ascii="Times New Roman" w:hAnsi="Times New Roman" w:cs="Times New Roman"/>
                <w:lang w:val="en-US"/>
              </w:rPr>
              <w:t xml:space="preserve"> guidelines</w:t>
            </w:r>
          </w:p>
          <w:p w14:paraId="6C51B6A4" w14:textId="206E8EED" w:rsidR="00FA427E" w:rsidRDefault="00FA427E" w:rsidP="00FA427E">
            <w:pPr>
              <w:pStyle w:val="ListParagraph"/>
              <w:numPr>
                <w:ilvl w:val="0"/>
                <w:numId w:val="36"/>
              </w:numPr>
              <w:rPr>
                <w:rFonts w:ascii="Times New Roman" w:hAnsi="Times New Roman" w:cs="Times New Roman"/>
                <w:lang w:val="en-US"/>
              </w:rPr>
            </w:pPr>
            <w:r>
              <w:rPr>
                <w:rFonts w:ascii="Times New Roman" w:hAnsi="Times New Roman" w:cs="Times New Roman"/>
                <w:lang w:val="en-US"/>
              </w:rPr>
              <w:t>Protected time</w:t>
            </w:r>
          </w:p>
          <w:p w14:paraId="7297FD64" w14:textId="0EC3E99F" w:rsidR="00BE1411" w:rsidRPr="00FA427E" w:rsidRDefault="00FA427E" w:rsidP="00FA427E">
            <w:pPr>
              <w:pStyle w:val="ListParagraph"/>
              <w:numPr>
                <w:ilvl w:val="0"/>
                <w:numId w:val="36"/>
              </w:numPr>
              <w:rPr>
                <w:rFonts w:ascii="Times New Roman" w:hAnsi="Times New Roman" w:cs="Times New Roman"/>
                <w:lang w:val="en-US"/>
              </w:rPr>
            </w:pPr>
            <w:r>
              <w:rPr>
                <w:rFonts w:ascii="Times New Roman" w:hAnsi="Times New Roman" w:cs="Times New Roman"/>
                <w:lang w:val="en-US"/>
              </w:rPr>
              <w:t>Co</w:t>
            </w:r>
            <w:r w:rsidR="00BE1411" w:rsidRPr="00FA427E">
              <w:rPr>
                <w:rFonts w:ascii="Times New Roman" w:hAnsi="Times New Roman" w:cs="Times New Roman"/>
                <w:lang w:val="en-US"/>
              </w:rPr>
              <w:t xml:space="preserve">nferences </w:t>
            </w:r>
          </w:p>
        </w:tc>
      </w:tr>
      <w:tr w:rsidR="00BE1411" w:rsidRPr="00E93FC9" w14:paraId="59F3462A" w14:textId="77777777" w:rsidTr="007351AF">
        <w:trPr>
          <w:trHeight w:val="699"/>
        </w:trPr>
        <w:tc>
          <w:tcPr>
            <w:tcW w:w="4957" w:type="dxa"/>
          </w:tcPr>
          <w:p w14:paraId="0A460D06" w14:textId="77777777" w:rsidR="00BE1411" w:rsidRPr="00E93FC9" w:rsidRDefault="00BE1411" w:rsidP="00BE1411">
            <w:pPr>
              <w:pStyle w:val="ListParagraph"/>
              <w:numPr>
                <w:ilvl w:val="0"/>
                <w:numId w:val="23"/>
              </w:numPr>
              <w:spacing w:line="276" w:lineRule="auto"/>
              <w:rPr>
                <w:rFonts w:ascii="Times New Roman" w:hAnsi="Times New Roman" w:cs="Times New Roman"/>
                <w:lang w:val="en-US"/>
              </w:rPr>
            </w:pPr>
            <w:r w:rsidRPr="00E93FC9">
              <w:rPr>
                <w:rFonts w:ascii="Times New Roman" w:hAnsi="Times New Roman" w:cs="Times New Roman"/>
                <w:lang w:val="en-US"/>
              </w:rPr>
              <w:lastRenderedPageBreak/>
              <w:t>Recognition and reward type and availability</w:t>
            </w:r>
          </w:p>
        </w:tc>
        <w:tc>
          <w:tcPr>
            <w:tcW w:w="8505" w:type="dxa"/>
          </w:tcPr>
          <w:p w14:paraId="3C6E5714" w14:textId="426C80B2" w:rsidR="00BE1411" w:rsidRPr="00FA427E" w:rsidRDefault="00FA427E" w:rsidP="00FA427E">
            <w:pPr>
              <w:pStyle w:val="NormalWeb"/>
              <w:rPr>
                <w:sz w:val="22"/>
                <w:szCs w:val="22"/>
              </w:rPr>
            </w:pPr>
            <w:r w:rsidRPr="00E93FC9">
              <w:rPr>
                <w:sz w:val="22"/>
                <w:szCs w:val="22"/>
              </w:rPr>
              <w:t xml:space="preserve">Recognition and prestige from extrinsic or intrinsic rewards are valued forms of </w:t>
            </w:r>
            <w:r w:rsidRPr="00E93FC9">
              <w:rPr>
                <w:sz w:val="22"/>
                <w:szCs w:val="22"/>
                <w:u w:val="single"/>
              </w:rPr>
              <w:t>symbolic capital</w:t>
            </w:r>
            <w:r w:rsidRPr="00E93FC9">
              <w:rPr>
                <w:sz w:val="22"/>
                <w:szCs w:val="22"/>
              </w:rPr>
              <w:t xml:space="preserve"> </w:t>
            </w:r>
            <w:r w:rsidRPr="00E93FC9">
              <w:rPr>
                <w:sz w:val="22"/>
                <w:szCs w:val="22"/>
              </w:rPr>
              <w:fldChar w:fldCharType="begin" w:fldLock="1"/>
            </w:r>
            <w:r w:rsidRPr="00E93FC9">
              <w:rPr>
                <w:sz w:val="22"/>
                <w:szCs w:val="22"/>
              </w:rPr>
              <w:instrText>ADDIN CSL_CITATION {"citationItems":[{"id":"ITEM-1","itemData":{"DOI":"10.1177/053901885024002001/ASSET/053901885024002001.FP.PNG_V03","ISSN":"14617412","author":[{"dropping-particle":"","family":"Bourdieu","given":"Pierre","non-dropping-particle":"","parse-names":false,"suffix":""}],"container-title":"Social Science Information","id":"ITEM-1","issue":"2","issued":{"date-parts":[["1985","9","3"]]},"page":"195-220","publisher":"SAGE Publications","title":"The social space and the genesis of groups","type":"article-journal","volume":"24"},"uris":["http://www.mendeley.com/documents/?uuid=53cdf6e3-e1b1-3f4c-9dd2-139ce68a3b78"]},{"id":"ITEM-2","itemData":{"DOI":"10.2307/202060","ISSN":"07352751","abstract":"Summary of some arguments in Distinction. Constructivist structuralism or structuralist constructivism: \"By structuralism I mean that there exist, in the social world itself, and not merely in symbolic systems, language, myth, etc., objective structures which are independent of the consciousness and desires of agents and are capable of guiding or constraining their practices or their representations. By constructivism, I mean that there is a social genesis on the one hand of the patterns of perception, thought and action which are constitutive of what I call the habitus, and on the other hand of social structures, and in particular of what I call fields and groups, especially of what are usually called social classes\"","author":[{"dropping-particle":"","family":"Bourdieu","given":"Pierre","non-dropping-particle":"","parse-names":false,"suffix":""}],"container-title":"Sociological Theory","id":"ITEM-2","issue":"1","issued":{"date-parts":[["1989"]]},"page":"25","publisher":"JSTOR","title":"Social Space and Symbolic Power","type":"article-journal","volume":"7"},"uris":["http://www.mendeley.com/documents/?uuid=a9dc24e7-4b7c-3dfe-b822-a3092f001a32"]}],"mendeley":{"formattedCitation":"(Bourdieu, 1985, 1989)","plainTextFormattedCitation":"(Bourdieu, 1985, 1989)","previouslyFormattedCitation":"(Bourdieu, 1985, 1989)"},"properties":{"noteIndex":0},"schema":"https://github.com/citation-style-language/schema/raw/master/csl-citation.json"}</w:instrText>
            </w:r>
            <w:r w:rsidRPr="00E93FC9">
              <w:rPr>
                <w:sz w:val="22"/>
                <w:szCs w:val="22"/>
              </w:rPr>
              <w:fldChar w:fldCharType="separate"/>
            </w:r>
            <w:r w:rsidRPr="00E93FC9">
              <w:rPr>
                <w:noProof/>
                <w:sz w:val="22"/>
                <w:szCs w:val="22"/>
              </w:rPr>
              <w:t>(Bourdieu, 1985, 1989)</w:t>
            </w:r>
            <w:r w:rsidRPr="00E93FC9">
              <w:rPr>
                <w:sz w:val="22"/>
                <w:szCs w:val="22"/>
              </w:rPr>
              <w:fldChar w:fldCharType="end"/>
            </w:r>
            <w:r w:rsidRPr="00E93FC9">
              <w:rPr>
                <w:sz w:val="22"/>
                <w:szCs w:val="22"/>
              </w:rPr>
              <w:t xml:space="preserve">. </w:t>
            </w:r>
            <w:r w:rsidR="00BE1411" w:rsidRPr="00E93FC9">
              <w:rPr>
                <w:sz w:val="22"/>
                <w:szCs w:val="22"/>
                <w:lang w:val="en-US"/>
              </w:rPr>
              <w:t xml:space="preserve">This code refers to the availability and types of recognition and rewards for clinical teaching </w:t>
            </w:r>
            <w:r w:rsidR="00BE1411" w:rsidRPr="00E93FC9">
              <w:rPr>
                <w:sz w:val="22"/>
                <w:szCs w:val="22"/>
                <w:lang w:val="en-US"/>
              </w:rPr>
              <w:fldChar w:fldCharType="begin" w:fldLock="1"/>
            </w:r>
            <w:r w:rsidR="00BE1411" w:rsidRPr="00E93FC9">
              <w:rPr>
                <w:sz w:val="22"/>
                <w:szCs w:val="22"/>
                <w:lang w:val="en-US"/>
              </w:rPr>
              <w:instrText>ADDIN CSL_CITATION {"citationItems":[{"id":"ITEM-1","itemData":{"DOI":"10.1080/01421590123039","ISSN":"1466-187X","author":[{"dropping-particle":"","family":"McLean","given":"Michelle","non-dropping-particle":"","parse-names":false,"suffix":""}],"container-title":"Medical Teacher","id":"ITEM-1","issue":"1","issued":{"date-parts":[["2001"]]},"language":"eng","page":"6-11","title":"Rewarding teaching excellence. Can we measure teaching 'excellence'? Who should be the judge?","type":"article-journal","volume":"23"},"uris":["http://www.mendeley.com/documents/?uuid=8244df3e-3998-48cc-b21e-a9a7b9f8c5d6"]},{"id":"ITEM-2","itemData":{"DOI":"10.36834/CMEJ.73241","ISSN":"1923-1202","abstract":"Background: Over the last 31 years, there have been several institutional efforts to better recognize and reward clinician teachers. However, the perception of inadequate recognition and rewards by clinician teachers for their clinical teaching performance and achievements remains. The objective of this narrative review is two-fold: deepen understanding of the attributes of excellent clinician teachers considered for recognition and reward decisions and identify the barriers clinician teachers face in receiving recognition and rewards.\nMethods: We searched OVID Medline, Embase, Education Source and Web of Science to identify relevant papers published between 1990 and 2020. After screening for eligibility, we conducted a content analysis of the findings from 43 relevant papers to identify key trends and issues in the literature.\nResults: We found the majority of relevant papers from the US context, a paucity of relevant papers from the Canadian context, and a declining international focus on the attributes of excellent clinician teachers and barriers to the recognition and rewarding of clinician teachers since 2010. ‘Provides feedback’, ‘excellent communication skills’, ‘good supervision’, and ‘organizational skills’ were common cognitive attributes considered for recognition and rewards. ‘Stimulates’, ‘passionate and enthusiastic’, and ‘creates supportive environment’, were common non-cognitive attributes considered for recognition and rewards. The devaluation of teaching, unclear criteria, and unreliable metrics were the main barriers to the recognition and rewarding of clinician teachers.\nConclusions: The findings of our narrative review highlight a need for local empirical research on recognition and reward issues to better inform local, context-specific reforms to policies and practices.","author":[{"dropping-particle":"","family":"Fantaye","given":"Arone Wondwossen","non-dropping-particle":"","parse-names":false,"suffix":""},{"dropping-particle":"","family":"Kitto","given":"Simon","non-dropping-particle":"","parse-names":false,"suffix":""},{"dropping-particle":"","family":"Hendry","given":"Paul","non-dropping-particle":"","parse-names":false,"suffix":""},{"dropping-particle":"","family":"Wiesenfeld","given":"Lorne","non-dropping-particle":"","parse-names":false,"suffix":""},{"dropping-particle":"","family":"Whiting","given":"Sharon","non-dropping-particle":"","parse-names":false,"suffix":""},{"dropping-particle":"","family":"Gnyra","given":"Catherine","non-dropping-particle":"","parse-names":false,"suffix":""},{"dropping-particle":"","family":"Fournier","given":"Karine","non-dropping-particle":"","parse-names":false,"suffix":""},{"dropping-particle":"","family":"Lochnan","given":"Heather","non-dropping-particle":"","parse-names":false,"suffix":""}],"container-title":"Canadian Medical Education Journal","id":"ITEM-2","issue":"2","issued":{"date-parts":[["2022","4","1"]]},"page":"57-72","title":"Attributes of excellent clinician teachers and barriers to recognizing and rewarding clinician teachers’ performances and achievements: a narrative review","type":"article-journal","volume":"13"},"uris":["http://www.mendeley.com/documents/?uuid=bf120797-d963-3750-8bf0-0d92b1fa734c"]}],"mendeley":{"formattedCitation":"(Fantaye et al., 2022; McLean, 2001)","plainTextFormattedCitation":"(Fantaye et al., 2022; McLean, 2001)","previouslyFormattedCitation":"(Fantaye et al., 2022; McLean, 2001)"},"properties":{"noteIndex":0},"schema":"https://github.com/citation-style-language/schema/raw/master/csl-citation.json"}</w:instrText>
            </w:r>
            <w:r w:rsidR="00BE1411" w:rsidRPr="00E93FC9">
              <w:rPr>
                <w:sz w:val="22"/>
                <w:szCs w:val="22"/>
                <w:lang w:val="en-US"/>
              </w:rPr>
              <w:fldChar w:fldCharType="separate"/>
            </w:r>
            <w:r w:rsidR="00BE1411" w:rsidRPr="00E93FC9">
              <w:rPr>
                <w:noProof/>
                <w:sz w:val="22"/>
                <w:szCs w:val="22"/>
                <w:lang w:val="en-US"/>
              </w:rPr>
              <w:t>(Fantaye et al., 2022; McLean, 2001)</w:t>
            </w:r>
            <w:r w:rsidR="00BE1411" w:rsidRPr="00E93FC9">
              <w:rPr>
                <w:sz w:val="22"/>
                <w:szCs w:val="22"/>
                <w:lang w:val="en-US"/>
              </w:rPr>
              <w:fldChar w:fldCharType="end"/>
            </w:r>
            <w:r w:rsidR="00BE1411" w:rsidRPr="00E93FC9">
              <w:rPr>
                <w:sz w:val="22"/>
                <w:szCs w:val="22"/>
                <w:lang w:val="en-US"/>
              </w:rPr>
              <w:t xml:space="preserve">. For example, the types of recognition and rewards can be tangible and extrinsic and intangible/intrinsic  </w:t>
            </w:r>
            <w:r w:rsidR="00BE1411" w:rsidRPr="00E93FC9">
              <w:rPr>
                <w:sz w:val="22"/>
                <w:szCs w:val="22"/>
                <w:lang w:val="en-US"/>
              </w:rPr>
              <w:fldChar w:fldCharType="begin" w:fldLock="1"/>
            </w:r>
            <w:r w:rsidR="00BE1411" w:rsidRPr="00E93FC9">
              <w:rPr>
                <w:sz w:val="22"/>
                <w:szCs w:val="22"/>
                <w:lang w:val="en-US"/>
              </w:rPr>
              <w:instrText>ADDIN CSL_CITATION {"citationItems":[{"id":"ITEM-1","itemData":{"DOI":"10.3109/0142159X.2012.731102","ISSN":"0142-159X","abstract":"Background: Institutional teaching awards have been used widely in higher education since the 1970s. Nevertheless, a comprehensive review of the literature on such awards has not been published sin...","author":[{"dropping-particle":"","family":"Huggett","given":"Kathryn N","non-dropping-particle":"","parse-names":false,"suffix":""},{"dropping-particle":"","family":"Greenberg","given":"Ruth B","non-dropping-particle":"","parse-names":false,"suffix":""},{"dropping-particle":"","family":"Rao","given":"Deepa","non-dropping-particle":"","parse-names":false,"suffix":""},{"dropping-particle":"","family":"Richards","given":"Boyd","non-dropping-particle":"","parse-names":false,"suffix":""},{"dropping-particle":"","family":"Chauvin","given":"Sheila W","non-dropping-particle":"","parse-names":false,"suffix":""},{"dropping-particle":"","family":"Fulton","given":"Tracy B","non-dropping-particle":"","parse-names":false,"suffix":""},{"dropping-particle":"","family":"Kalishman","given":"Summers","non-dropping-particle":"","parse-names":false,"suffix":""},{"dropping-particle":"","family":"Littlefield","given":"John","non-dropping-particle":"","parse-names":false,"suffix":""},{"dropping-particle":"","family":"Perkowski","given":"Linda","non-dropping-particle":"","parse-names":false,"suffix":""},{"dropping-particle":"","family":"Robins","given":"Lynne","non-dropping-particle":"","parse-names":false,"suffix":""},{"dropping-particle":"","family":"Simpson","given":"Deborah","non-dropping-particle":"","parse-names":false,"suffix":""}],"container-title":"Medical Teacher","id":"ITEM-1","issue":"11","issued":{"date-parts":[["2012","12","18"]]},"language":"en","page":"907-919","title":"The design and utility of institutional teaching awards: A literature review","type":"article-journal","volume":"34"},"uris":["http://www.mendeley.com/documents/?uuid=82bd1268-bc6e-495d-b9db-9e80ccb90271"]},{"id":"ITEM-2","itemData":{"DOI":"10.1080/01421590500441786","ISSN":"1466-187X","abstract":"For medical teachers around the world, teaching duties have expanded beyond the classroom and include teaching small groups, assessment, providing instructional materials beyond the syllabus, problem-based learning, learner-centred teaching, clinical teaching on-the-fly--and the list goes on. Faculty development is essential to train medical faculty in essential educational theory and specific teaching skills as well as to encourage a flexible and learner-centred approach to teaching. Finally, self-reflection and critique of teaching techniques are vital to propel medical schools towards promoting and aiming for uncompromising excellence in medical education. The twelve tips described in this article relating to educating teachers, evaluating teaching and eradicating institutional apathy are simple measures that educational leaders can apply to promote excellence in teaching at their parent institutions. The tips introduce a multi-dimensional approach to improving the overall quality of medical education consisting of measures aimed at individual teachers and those aimed at overhauling the teaching climate at medical institutions.","author":[{"dropping-particle":"","family":"Ramani","given":"Subha","non-dropping-particle":"","parse-names":false,"suffix":""}],"container-title":"Medical Teacher","id":"ITEM-2","issue":"1","issued":{"date-parts":[["2006"]]},"language":"eng","page":"19-23","title":"Twelve tips to promote excellence in medical teaching","type":"article-journal","volume":"28"},"uris":["http://www.mendeley.com/documents/?uuid=e1db728a-7c70-4249-9892-6d53dd5011d0"]},{"id":"ITEM-3","itemData":{"DOI":"10.36834/CMEJ.73241","ISSN":"1923-1202","abstract":"Background: Over the last 31 years, there have been several institutional efforts to better recognize and reward clinician teachers. However, the perception of inadequate recognition and rewards by clinician teachers for their clinical teaching performance and achievements remains. The objective of this narrative review is two-fold: deepen understanding of the attributes of excellent clinician teachers considered for recognition and reward decisions and identify the barriers clinician teachers face in receiving recognition and rewards.\nMethods: We searched OVID Medline, Embase, Education Source and Web of Science to identify relevant papers published between 1990 and 2020. After screening for eligibility, we conducted a content analysis of the findings from 43 relevant papers to identify key trends and issues in the literature.\nResults: We found the majority of relevant papers from the US context, a paucity of relevant papers from the Canadian context, and a declining international focus on the attributes of excellent clinician teachers and barriers to the recognition and rewarding of clinician teachers since 2010. ‘Provides feedback’, ‘excellent communication skills’, ‘good supervision’, and ‘organizational skills’ were common cognitive attributes considered for recognition and rewards. ‘Stimulates’, ‘passionate and enthusiastic’, and ‘creates supportive environment’, were common non-cognitive attributes considered for recognition and rewards. The devaluation of teaching, unclear criteria, and unreliable metrics were the main barriers to the recognition and rewarding of clinician teachers.\nConclusions: The findings of our narrative review highlight a need for local empirical research on recognition and reward issues to better inform local, context-specific reforms to policies and practices.","author":[{"dropping-particle":"","family":"Fantaye","given":"Arone Wondwossen","non-dropping-particle":"","parse-names":false,"suffix":""},{"dropping-particle":"","family":"Kitto","given":"Simon","non-dropping-particle":"","parse-names":false,"suffix":""},{"dropping-particle":"","family":"Hendry","given":"Paul","non-dropping-particle":"","parse-names":false,"suffix":""},{"dropping-particle":"","family":"Wiesenfeld","given":"Lorne","non-dropping-particle":"","parse-names":false,"suffix":""},{"dropping-particle":"","family":"Whiting","given":"Sharon","non-dropping-particle":"","parse-names":false,"suffix":""},{"dropping-particle":"","family":"Gnyra","given":"Catherine","non-dropping-particle":"","parse-names":false,"suffix":""},{"dropping-particle":"","family":"Fournier","given":"Karine","non-dropping-particle":"","parse-names":false,"suffix":""},{"dropping-particle":"","family":"Lochnan","given":"Heather","non-dropping-particle":"","parse-names":false,"suffix":""}],"container-title":"Canadian Medical Education Journal","id":"ITEM-3","issue":"2","issued":{"date-parts":[["2022","4","1"]]},"page":"57-72","title":"Attributes of excellent clinician teachers and barriers to recognizing and rewarding clinician teachers’ performances and achievements: a narrative review","type":"article-journal","volume":"13"},"uris":["http://www.mendeley.com/documents/?uuid=bf120797-d963-3750-8bf0-0d92b1fa734c"]}],"mendeley":{"formattedCitation":"(Fantaye et al., 2022; Huggett et al., 2012; S. Ramani, 2006)","plainTextFormattedCitation":"(Fantaye et al., 2022; Huggett et al., 2012; S. Ramani, 2006)","previouslyFormattedCitation":"(Fantaye et al., 2022; Huggett et al., 2012; S. Ramani, 2006)"},"properties":{"noteIndex":0},"schema":"https://github.com/citation-style-language/schema/raw/master/csl-citation.json"}</w:instrText>
            </w:r>
            <w:r w:rsidR="00BE1411" w:rsidRPr="00E93FC9">
              <w:rPr>
                <w:sz w:val="22"/>
                <w:szCs w:val="22"/>
                <w:lang w:val="en-US"/>
              </w:rPr>
              <w:fldChar w:fldCharType="separate"/>
            </w:r>
            <w:r w:rsidR="00BE1411" w:rsidRPr="00E93FC9">
              <w:rPr>
                <w:noProof/>
                <w:sz w:val="22"/>
                <w:szCs w:val="22"/>
                <w:lang w:val="en-US"/>
              </w:rPr>
              <w:t>(Fantaye et al., 2022; Huggett et al., 2012; Ramani, 2006)</w:t>
            </w:r>
            <w:r w:rsidR="00BE1411" w:rsidRPr="00E93FC9">
              <w:rPr>
                <w:sz w:val="22"/>
                <w:szCs w:val="22"/>
                <w:lang w:val="en-US"/>
              </w:rPr>
              <w:fldChar w:fldCharType="end"/>
            </w:r>
            <w:r w:rsidR="006E71B0">
              <w:rPr>
                <w:sz w:val="22"/>
                <w:szCs w:val="22"/>
                <w:lang w:val="en-US"/>
              </w:rPr>
              <w:t>.</w:t>
            </w:r>
          </w:p>
          <w:p w14:paraId="6F32AD20" w14:textId="5BBACBAB" w:rsidR="00A834DD" w:rsidRDefault="00A834DD" w:rsidP="00BE1411">
            <w:pPr>
              <w:pStyle w:val="NormalWeb"/>
              <w:numPr>
                <w:ilvl w:val="0"/>
                <w:numId w:val="27"/>
              </w:numPr>
              <w:rPr>
                <w:sz w:val="22"/>
                <w:szCs w:val="22"/>
              </w:rPr>
            </w:pPr>
            <w:r>
              <w:rPr>
                <w:sz w:val="22"/>
                <w:szCs w:val="22"/>
              </w:rPr>
              <w:t>Extrinsic</w:t>
            </w:r>
            <w:r w:rsidR="00BE1411" w:rsidRPr="00E93FC9">
              <w:rPr>
                <w:sz w:val="22"/>
                <w:szCs w:val="22"/>
              </w:rPr>
              <w:t xml:space="preserve"> recognition and reward</w:t>
            </w:r>
            <w:r>
              <w:rPr>
                <w:sz w:val="22"/>
                <w:szCs w:val="22"/>
              </w:rPr>
              <w:t>s</w:t>
            </w:r>
            <w:r w:rsidR="00BE1411" w:rsidRPr="00E93FC9">
              <w:rPr>
                <w:sz w:val="22"/>
                <w:szCs w:val="22"/>
              </w:rPr>
              <w:t xml:space="preserve"> (awards, </w:t>
            </w:r>
            <w:r w:rsidR="006E71B0">
              <w:rPr>
                <w:sz w:val="22"/>
                <w:szCs w:val="22"/>
              </w:rPr>
              <w:t xml:space="preserve">tenure, promotion, </w:t>
            </w:r>
            <w:r w:rsidR="00BE1411" w:rsidRPr="00E93FC9">
              <w:rPr>
                <w:sz w:val="22"/>
                <w:szCs w:val="22"/>
              </w:rPr>
              <w:t>money, plaque, trophy, ceremony, email blast</w:t>
            </w:r>
          </w:p>
          <w:p w14:paraId="190BE255" w14:textId="1E824595" w:rsidR="00BE1411" w:rsidRPr="00E93FC9" w:rsidRDefault="00A834DD" w:rsidP="00BE1411">
            <w:pPr>
              <w:pStyle w:val="NormalWeb"/>
              <w:numPr>
                <w:ilvl w:val="0"/>
                <w:numId w:val="27"/>
              </w:numPr>
              <w:rPr>
                <w:sz w:val="22"/>
                <w:szCs w:val="22"/>
              </w:rPr>
            </w:pPr>
            <w:r>
              <w:rPr>
                <w:sz w:val="22"/>
                <w:szCs w:val="22"/>
              </w:rPr>
              <w:t>I</w:t>
            </w:r>
            <w:r w:rsidR="00BE1411" w:rsidRPr="00E93FC9">
              <w:rPr>
                <w:sz w:val="22"/>
                <w:szCs w:val="22"/>
              </w:rPr>
              <w:t>ntrinsic</w:t>
            </w:r>
            <w:r>
              <w:rPr>
                <w:sz w:val="22"/>
                <w:szCs w:val="22"/>
              </w:rPr>
              <w:t xml:space="preserve"> recognition and rewards</w:t>
            </w:r>
            <w:r w:rsidR="00BE1411" w:rsidRPr="00E93FC9">
              <w:rPr>
                <w:sz w:val="22"/>
                <w:szCs w:val="22"/>
              </w:rPr>
              <w:t xml:space="preserve"> </w:t>
            </w:r>
            <w:r>
              <w:rPr>
                <w:sz w:val="22"/>
                <w:szCs w:val="22"/>
              </w:rPr>
              <w:t>(</w:t>
            </w:r>
            <w:r w:rsidR="00BE1411" w:rsidRPr="00E93FC9">
              <w:rPr>
                <w:sz w:val="22"/>
                <w:szCs w:val="22"/>
              </w:rPr>
              <w:t>prestige, status</w:t>
            </w:r>
            <w:r w:rsidR="006E71B0">
              <w:rPr>
                <w:sz w:val="22"/>
                <w:szCs w:val="22"/>
              </w:rPr>
              <w:t>, respect</w:t>
            </w:r>
            <w:r w:rsidR="00BE1411" w:rsidRPr="00E93FC9">
              <w:rPr>
                <w:sz w:val="22"/>
                <w:szCs w:val="22"/>
              </w:rPr>
              <w:t>)</w:t>
            </w:r>
          </w:p>
          <w:p w14:paraId="77F694D7" w14:textId="77777777" w:rsidR="00BE1411" w:rsidRPr="00E93FC9" w:rsidRDefault="00BE1411" w:rsidP="00BE1411">
            <w:pPr>
              <w:pStyle w:val="NormalWeb"/>
              <w:numPr>
                <w:ilvl w:val="0"/>
                <w:numId w:val="27"/>
              </w:numPr>
              <w:rPr>
                <w:sz w:val="22"/>
                <w:szCs w:val="22"/>
              </w:rPr>
            </w:pPr>
            <w:r w:rsidRPr="00E93FC9">
              <w:rPr>
                <w:sz w:val="22"/>
                <w:szCs w:val="22"/>
              </w:rPr>
              <w:t>Availability in university, departments or hospital</w:t>
            </w:r>
          </w:p>
          <w:p w14:paraId="49B904A0" w14:textId="58BF7DD6" w:rsidR="00BE1411" w:rsidRPr="00E93FC9" w:rsidRDefault="005F42FD" w:rsidP="00BE1411">
            <w:pPr>
              <w:pStyle w:val="NormalWeb"/>
              <w:numPr>
                <w:ilvl w:val="0"/>
                <w:numId w:val="27"/>
              </w:numPr>
              <w:rPr>
                <w:sz w:val="22"/>
                <w:szCs w:val="22"/>
              </w:rPr>
            </w:pPr>
            <w:r>
              <w:rPr>
                <w:sz w:val="22"/>
                <w:szCs w:val="22"/>
              </w:rPr>
              <w:t>M</w:t>
            </w:r>
            <w:r w:rsidR="00BE1411" w:rsidRPr="00E93FC9">
              <w:rPr>
                <w:sz w:val="22"/>
                <w:szCs w:val="22"/>
              </w:rPr>
              <w:t>otivation or drive to receive recognition and reward.</w:t>
            </w:r>
          </w:p>
        </w:tc>
      </w:tr>
      <w:tr w:rsidR="00BE1411" w:rsidRPr="00E93FC9" w14:paraId="75323F7E" w14:textId="77777777" w:rsidTr="007351AF">
        <w:trPr>
          <w:trHeight w:val="283"/>
        </w:trPr>
        <w:tc>
          <w:tcPr>
            <w:tcW w:w="4957" w:type="dxa"/>
          </w:tcPr>
          <w:p w14:paraId="64D7A381" w14:textId="0CEB1907" w:rsidR="00BE1411" w:rsidRPr="00E93FC9" w:rsidRDefault="00BE1411" w:rsidP="00BE1411">
            <w:pPr>
              <w:pStyle w:val="ListParagraph"/>
              <w:numPr>
                <w:ilvl w:val="0"/>
                <w:numId w:val="23"/>
              </w:numPr>
              <w:spacing w:line="276" w:lineRule="auto"/>
              <w:rPr>
                <w:rFonts w:ascii="Times New Roman" w:hAnsi="Times New Roman" w:cs="Times New Roman"/>
                <w:lang w:val="en-US"/>
              </w:rPr>
            </w:pPr>
            <w:r w:rsidRPr="00E93FC9">
              <w:rPr>
                <w:rFonts w:ascii="Times New Roman" w:hAnsi="Times New Roman" w:cs="Times New Roman"/>
                <w:lang w:val="en-US"/>
              </w:rPr>
              <w:t>Barriers</w:t>
            </w:r>
            <w:r w:rsidR="00C91D42">
              <w:rPr>
                <w:rFonts w:ascii="Times New Roman" w:hAnsi="Times New Roman" w:cs="Times New Roman"/>
                <w:lang w:val="en-US"/>
              </w:rPr>
              <w:t xml:space="preserve">, </w:t>
            </w:r>
            <w:r w:rsidRPr="00E93FC9">
              <w:rPr>
                <w:rFonts w:ascii="Times New Roman" w:hAnsi="Times New Roman" w:cs="Times New Roman"/>
                <w:lang w:val="en-US"/>
              </w:rPr>
              <w:t>areas for improvement</w:t>
            </w:r>
            <w:r w:rsidR="00C91D42">
              <w:rPr>
                <w:rFonts w:ascii="Times New Roman" w:hAnsi="Times New Roman" w:cs="Times New Roman"/>
                <w:lang w:val="en-US"/>
              </w:rPr>
              <w:t xml:space="preserve"> and strategies</w:t>
            </w:r>
            <w:r w:rsidRPr="00E93FC9">
              <w:rPr>
                <w:rFonts w:ascii="Times New Roman" w:hAnsi="Times New Roman" w:cs="Times New Roman"/>
                <w:lang w:val="en-US"/>
              </w:rPr>
              <w:t xml:space="preserve"> </w:t>
            </w:r>
            <w:r w:rsidR="006E71B0">
              <w:rPr>
                <w:rFonts w:ascii="Times New Roman" w:hAnsi="Times New Roman" w:cs="Times New Roman"/>
                <w:lang w:val="en-US"/>
              </w:rPr>
              <w:t xml:space="preserve">to </w:t>
            </w:r>
            <w:r w:rsidR="003A3617">
              <w:rPr>
                <w:rFonts w:ascii="Times New Roman" w:hAnsi="Times New Roman" w:cs="Times New Roman"/>
                <w:lang w:val="en-US"/>
              </w:rPr>
              <w:t>improve the</w:t>
            </w:r>
            <w:r w:rsidR="006E71B0">
              <w:rPr>
                <w:rFonts w:ascii="Times New Roman" w:hAnsi="Times New Roman" w:cs="Times New Roman"/>
                <w:lang w:val="en-US"/>
              </w:rPr>
              <w:t xml:space="preserve"> value </w:t>
            </w:r>
            <w:r w:rsidR="003A3617">
              <w:rPr>
                <w:rFonts w:ascii="Times New Roman" w:hAnsi="Times New Roman" w:cs="Times New Roman"/>
                <w:lang w:val="en-US"/>
              </w:rPr>
              <w:t xml:space="preserve">of </w:t>
            </w:r>
            <w:r w:rsidR="006E71B0">
              <w:rPr>
                <w:rFonts w:ascii="Times New Roman" w:hAnsi="Times New Roman" w:cs="Times New Roman"/>
                <w:lang w:val="en-US"/>
              </w:rPr>
              <w:t>clinical teaching</w:t>
            </w:r>
            <w:r w:rsidR="003A3617">
              <w:rPr>
                <w:rFonts w:ascii="Times New Roman" w:hAnsi="Times New Roman" w:cs="Times New Roman"/>
                <w:lang w:val="en-US"/>
              </w:rPr>
              <w:t xml:space="preserve"> and foster excellence</w:t>
            </w:r>
          </w:p>
        </w:tc>
        <w:tc>
          <w:tcPr>
            <w:tcW w:w="8505" w:type="dxa"/>
          </w:tcPr>
          <w:p w14:paraId="3E53D891" w14:textId="752115C8" w:rsidR="00C91D42" w:rsidRDefault="00BE1411" w:rsidP="00C91D42">
            <w:pPr>
              <w:rPr>
                <w:rFonts w:ascii="Times New Roman" w:hAnsi="Times New Roman" w:cs="Times New Roman"/>
                <w:lang w:val="en-US"/>
              </w:rPr>
            </w:pPr>
            <w:r w:rsidRPr="00E93FC9">
              <w:rPr>
                <w:rFonts w:ascii="Times New Roman" w:hAnsi="Times New Roman" w:cs="Times New Roman"/>
                <w:lang w:val="en-US"/>
              </w:rPr>
              <w:t xml:space="preserve">This refers to current challenges in receiving support, recognition and rewards </w:t>
            </w:r>
            <w:r w:rsidRPr="00E93FC9">
              <w:rPr>
                <w:rFonts w:ascii="Times New Roman" w:hAnsi="Times New Roman" w:cs="Times New Roman"/>
                <w:lang w:val="en-US"/>
              </w:rPr>
              <w:fldChar w:fldCharType="begin" w:fldLock="1"/>
            </w:r>
            <w:r w:rsidRPr="00E93FC9">
              <w:rPr>
                <w:rFonts w:ascii="Times New Roman" w:hAnsi="Times New Roman" w:cs="Times New Roman"/>
                <w:lang w:val="en-US"/>
              </w:rPr>
              <w:instrText>ADDIN CSL_CITATION {"citationItems":[{"id":"ITEM-1","itemData":{"DOI":"10.36834/CMEJ.73241","ISSN":"1923-1202","abstract":"Background: Over the last 31 years, there have been several institutional efforts to better recognize and reward clinician teachers. However, the perception of inadequate recognition and rewards by clinician teachers for their clinical teaching performance and achievements remains. The objective of this narrative review is two-fold: deepen understanding of the attributes of excellent clinician teachers considered for recognition and reward decisions and identify the barriers clinician teachers face in receiving recognition and rewards.\nMethods: We searched OVID Medline, Embase, Education Source and Web of Science to identify relevant papers published between 1990 and 2020. After screening for eligibility, we conducted a content analysis of the findings from 43 relevant papers to identify key trends and issues in the literature.\nResults: We found the majority of relevant papers from the US context, a paucity of relevant papers from the Canadian context, and a declining international focus on the attributes of excellent clinician teachers and barriers to the recognition and rewarding of clinician teachers since 2010. ‘Provides feedback’, ‘excellent communication skills’, ‘good supervision’, and ‘organizational skills’ were common cognitive attributes considered for recognition and rewards. ‘Stimulates’, ‘passionate and enthusiastic’, and ‘creates supportive environment’, were common non-cognitive attributes considered for recognition and rewards. The devaluation of teaching, unclear criteria, and unreliable metrics were the main barriers to the recognition and rewarding of clinician teachers.\nConclusions: The findings of our narrative review highlight a need for local empirical research on recognition and reward issues to better inform local, context-specific reforms to policies and practices.","author":[{"dropping-particle":"","family":"Fantaye","given":"Arone Wondwossen","non-dropping-particle":"","parse-names":false,"suffix":""},{"dropping-particle":"","family":"Kitto","given":"Simon","non-dropping-particle":"","parse-names":false,"suffix":""},{"dropping-particle":"","family":"Hendry","given":"Paul","non-dropping-particle":"","parse-names":false,"suffix":""},{"dropping-particle":"","family":"Wiesenfeld","given":"Lorne","non-dropping-particle":"","parse-names":false,"suffix":""},{"dropping-particle":"","family":"Whiting","given":"Sharon","non-dropping-particle":"","parse-names":false,"suffix":""},{"dropping-particle":"","family":"Gnyra","given":"Catherine","non-dropping-particle":"","parse-names":false,"suffix":""},{"dropping-particle":"","family":"Fournier","given":"Karine","non-dropping-particle":"","parse-names":false,"suffix":""},{"dropping-particle":"","family":"Lochnan","given":"Heather","non-dropping-particle":"","parse-names":false,"suffix":""}],"container-title":"Canadian Medical Education Journal","id":"ITEM-1","issue":"2","issued":{"date-parts":[["2022","4","1"]]},"page":"57-72","title":"Attributes of excellent clinician teachers and barriers to recognizing and rewarding clinician teachers’ performances and achievements: a narrative review","type":"article-journal","volume":"13"},"uris":["http://www.mendeley.com/documents/?uuid=bf120797-d963-3750-8bf0-0d92b1fa734c"]},{"id":"ITEM-2","itemData":{"DOI":"https://doi.org/10.1111/tct.13188","ISSN":"1743-498X","author":[{"dropping-particle":"","family":"Vassie","given":"Claire","non-dropping-particle":"","parse-names":false,"suffix":""},{"dropping-particle":"","family":"Mulki","given":"Omar","non-dropping-particle":"","parse-names":false,"suffix":""},{"dropping-particle":"","family":"Chu","given":"Ann","non-dropping-particle":"","parse-names":false,"suffix":""},{"dropping-particle":"","family":"Smith","given":"Sue F","non-dropping-particle":"","parse-names":false,"suffix":""}],"container-title":"The Clinical Teacher","id":"ITEM-2","issue":"n/a","issued":{"date-parts":[["2020","12","18"]]},"language":"en","title":"A practical guide to fostering teaching excellence in clinical education: experience from the UK","type":"article-journal","volume":"n/a"},"uris":["http://www.mendeley.com/documents/?uuid=44eea50e-12c0-45a6-a234-4cdc3c289f76"]}],"mendeley":{"formattedCitation":"(Fantaye et al., 2022; Vassie et al., 2020)","manualFormatting":" (Fantaye et al., 2022; McLean, 2001; Olmesdahl, 1997; Ramani &amp; Leinster, 2008)","plainTextFormattedCitation":"(Fantaye et al., 2022; Vassie et al., 2020)","previouslyFormattedCitation":"(Fantaye et al., 2022; Vassie et al., 2020)"},"properties":{"noteIndex":0},"schema":"https://github.com/citation-style-language/schema/raw/master/csl-citation.json"}</w:instrText>
            </w:r>
            <w:r w:rsidRPr="00E93FC9">
              <w:rPr>
                <w:rFonts w:ascii="Times New Roman" w:hAnsi="Times New Roman" w:cs="Times New Roman"/>
                <w:lang w:val="en-US"/>
              </w:rPr>
              <w:fldChar w:fldCharType="separate"/>
            </w:r>
            <w:r w:rsidRPr="00E93FC9">
              <w:rPr>
                <w:rFonts w:ascii="Times New Roman" w:hAnsi="Times New Roman" w:cs="Times New Roman"/>
                <w:noProof/>
                <w:lang w:val="en-US"/>
              </w:rPr>
              <w:t xml:space="preserve"> </w:t>
            </w:r>
            <w:r w:rsidRPr="00E93FC9">
              <w:rPr>
                <w:rFonts w:ascii="Times New Roman" w:hAnsi="Times New Roman" w:cs="Times New Roman"/>
                <w:noProof/>
                <w:lang w:val="en-US"/>
              </w:rPr>
              <w:fldChar w:fldCharType="begin" w:fldLock="1"/>
            </w:r>
            <w:r w:rsidRPr="00E93FC9">
              <w:rPr>
                <w:rFonts w:ascii="Times New Roman" w:hAnsi="Times New Roman" w:cs="Times New Roman"/>
                <w:noProof/>
                <w:lang w:val="en-US"/>
              </w:rPr>
              <w:instrText>ADDIN CSL_CITATION {"citationItems":[{"id":"ITEM-1","itemData":{"DOI":"10.1080/01421590802061613","abstract":"Teaching in the clinical environment is a demanding, complex and often frustrating task, a task many clinicians assume without adequate preparation or orientation. Twelve roles have previously been...","author":[{"dropping-particle":"","family":"Ramani","given":"Dr Subha","non-dropping-particle":"","parse-names":false,"suffix":""},{"dropping-particle":"","family":"Leinster","given":"Sam","non-dropping-particle":"","parse-names":false,"suffix":""}],"container-title":"Medical Teacher","id":"ITEM-1","issue":"4","issued":{"date-parts":[["2008","12","18"]]},"language":"en","page":"347-364","title":"AMEE Guide no. 34: teaching in the clinical environment","type":"article-journal","volume":"30"},"uris":["http://www.mendeley.com/documents/?uuid=07a0b9f0-4d35-4f21-bf90-f1459d2e9b94"]},{"id":"ITEM-2","itemData":{"DOI":"10.36834/CMEJ.73241","ISSN":"1923-1202","abstract":"Background: Over the last 31 years, there have been several institutional efforts to better recognize and reward clinician teachers. However, the perception of inadequate recognition and rewards by clinician teachers for their clinical teaching performance and achievements remains. The objective of this narrative review is two-fold: deepen understanding of the attributes of excellent clinician teachers considered for recognition and reward decisions and identify the barriers clinician teachers face in receiving recognition and rewards.\nMethods: We searched OVID Medline, Embase, Education Source and Web of Science to identify relevant papers published between 1990 and 2020. After screening for eligibility, we conducted a content analysis of the findings from 43 relevant papers to identify key trends and issues in the literature.\nResults: We found the majority of relevant papers from the US context, a paucity of relevant papers from the Canadian context, and a declining international focus on the attributes of excellent clinician teachers and barriers to the recognition and rewarding of clinician teachers since 2010. ‘Provides feedback’, ‘excellent communication skills’, ‘good supervision’, and ‘organizational skills’ were common cognitive attributes considered for recognition and rewards. ‘Stimulates’, ‘passionate and enthusiastic’, and ‘creates supportive environment’, were common non-cognitive attributes considered for recognition and rewards. The devaluation of teaching, unclear criteria, and unreliable metrics were the main barriers to the recognition and rewarding of clinician teachers.\nConclusions: The findings of our narrative review highlight a need for local empirical research on recognition and reward issues to better inform local, context-specific reforms to policies and practices.","author":[{"dropping-particle":"","family":"Fantaye","given":"Arone Wondwossen","non-dropping-particle":"","parse-names":false,"suffix":""},{"dropping-particle":"","family":"Kitto","given":"Simon","non-dropping-particle":"","parse-names":false,"suffix":""},{"dropping-particle":"","family":"Hendry","given":"Paul","non-dropping-particle":"","parse-names":false,"suffix":""},{"dropping-particle":"","family":"Wiesenfeld","given":"Lorne","non-dropping-particle":"","parse-names":false,"suffix":""},{"dropping-particle":"","family":"Whiting","given":"Sharon","non-dropping-particle":"","parse-names":false,"suffix":""},{"dropping-particle":"","family":"Gnyra","given":"Catherine","non-dropping-particle":"","parse-names":false,"suffix":""},{"dropping-particle":"","family":"Fournier","given":"Karine","non-dropping-particle":"","parse-names":false,"suffix":""},{"dropping-particle":"","family":"Lochnan","given":"Heather","non-dropping-particle":"","parse-names":false,"suffix":""}],"container-title":"Canadian Medical Education Journal","id":"ITEM-2","issue":"2","issued":{"date-parts":[["2022","4","1"]]},"page":"57-72","title":"Attributes of excellent clinician teachers and barriers to recognizing and rewarding clinician teachers’ performances and achievements: a narrative review","type":"article-journal","volume":"13"},"uris":["http://www.mendeley.com/documents/?uuid=bf120797-d963-3750-8bf0-0d92b1fa734c"]},{"id":"ITEM-3","itemData":{"DOI":"https://doi.org/10.1111/j.1365-2923.1997.tb00039.x","ISSN":"1365-2923","abstract":"Excellence in teaching through recruitment of good teachers, rewarding good teaching and the creation of staff development programmes are priorities in the mission statement of most universities. Often, reality belies intention. At many universities serious attempts to ensure maximum teacher effectiveness, overt recognition of teaching excellence, and specific development funding are lacking. This study examines the extrinsic (i.e. financial) reward systems which operate at the eight medical schools attached to South African universities and reports on the current situation. Replies indicated that a reward system of some type operates within the university at seven South African universities which have faculties of medicine and embraces all faculties. One university rewards medical school teachers specifically but, at another, no reward system exists at all. The monetary value of rewards varies greatly. Significant criticism of all systems was the inability to meet their design aims. There was criticism of the criteria, such as they are and where they exist, used to identify teaching excellence and to reward recipients. All replies indicated support for an impartial and equitable system of reward for effectiveness and excellence in teaching.","author":[{"dropping-particle":"","family":"Olmesdahl","given":"P J","non-dropping-particle":"","parse-names":false,"suffix":""}],"container-title":"Medical Education","id":"ITEM-3","issue":"1","issued":{"date-parts":[["1997","3","10"]]},"language":"en","page":"27-32","title":"Rewards for teaching excellence: practice in South African medical schools","type":"article-journal","volume":"31"},"uris":["http://www.mendeley.com/documents/?uuid=2cfeca80-6696-4c2c-9128-abe93d9c121f"]},{"id":"ITEM-4","itemData":{"DOI":"10.1080/01421590123039","ISSN":"1466-187X","author":[{"dropping-particle":"","family":"McLean","given":"Michelle","non-dropping-particle":"","parse-names":false,"suffix":""}],"container-title":"Medical Teacher","id":"ITEM-4","issue":"1","issued":{"date-parts":[["2001"]]},"language":"eng","page":"6-11","title":"Rewarding teaching excellence. Can we measure teaching 'excellence'? Who should be the judge?","type":"article-journal","volume":"23"},"uris":["http://www.mendeley.com/documents/?uuid=8244df3e-3998-48cc-b21e-a9a7b9f8c5d6"]}],"mendeley":{"formattedCitation":"(Fantaye et al., 2022; McLean, 2001; Olmesdahl, 1997; D. S. Ramani &amp; Leinster, 2008)","manualFormatting":"(Fantaye et al., 2022; McLean, 2001; Olmesdahl, 1997; Ramani &amp; Leinster, 2008)","plainTextFormattedCitation":"(Fantaye et al., 2022; McLean, 2001; Olmesdahl, 1997; D. S. Ramani &amp; Leinster, 2008)","previouslyFormattedCitation":"(Fantaye et al., 2022; McLean, 2001; Olmesdahl, 1997; D. S. Ramani &amp; Leinster, 2008)"},"properties":{"noteIndex":0},"schema":"https://github.com/citation-style-language/schema/raw/master/csl-citation.json"}</w:instrText>
            </w:r>
            <w:r w:rsidRPr="00E93FC9">
              <w:rPr>
                <w:rFonts w:ascii="Times New Roman" w:hAnsi="Times New Roman" w:cs="Times New Roman"/>
                <w:noProof/>
                <w:lang w:val="en-US"/>
              </w:rPr>
              <w:fldChar w:fldCharType="separate"/>
            </w:r>
            <w:r w:rsidRPr="00E93FC9">
              <w:rPr>
                <w:rFonts w:ascii="Times New Roman" w:hAnsi="Times New Roman" w:cs="Times New Roman"/>
                <w:noProof/>
                <w:lang w:val="en-US"/>
              </w:rPr>
              <w:t>(Fantaye et al., 2022; McLean, 2001; Olmesdahl, 1997; Ramani &amp; Leinster, 2008)</w:t>
            </w:r>
            <w:r w:rsidRPr="00E93FC9">
              <w:rPr>
                <w:rFonts w:ascii="Times New Roman" w:hAnsi="Times New Roman" w:cs="Times New Roman"/>
                <w:noProof/>
                <w:lang w:val="en-US"/>
              </w:rPr>
              <w:fldChar w:fldCharType="end"/>
            </w:r>
            <w:r w:rsidRPr="00E93FC9">
              <w:rPr>
                <w:rFonts w:ascii="Times New Roman" w:hAnsi="Times New Roman" w:cs="Times New Roman"/>
                <w:lang w:val="en-US"/>
              </w:rPr>
              <w:fldChar w:fldCharType="end"/>
            </w:r>
            <w:r w:rsidRPr="00E93FC9">
              <w:rPr>
                <w:rFonts w:ascii="Times New Roman" w:hAnsi="Times New Roman" w:cs="Times New Roman"/>
                <w:lang w:val="en-US"/>
              </w:rPr>
              <w:t xml:space="preserve">. </w:t>
            </w:r>
            <w:r w:rsidR="00C91D42">
              <w:rPr>
                <w:rFonts w:ascii="Times New Roman" w:hAnsi="Times New Roman" w:cs="Times New Roman"/>
                <w:lang w:val="en-US"/>
              </w:rPr>
              <w:t>This will</w:t>
            </w:r>
            <w:r w:rsidRPr="00E93FC9">
              <w:rPr>
                <w:rFonts w:ascii="Times New Roman" w:hAnsi="Times New Roman" w:cs="Times New Roman"/>
                <w:lang w:val="en-US"/>
              </w:rPr>
              <w:t xml:space="preserve"> include signs that teaching is undervalued</w:t>
            </w:r>
            <w:r w:rsidR="005F42FD">
              <w:rPr>
                <w:rFonts w:ascii="Times New Roman" w:hAnsi="Times New Roman" w:cs="Times New Roman"/>
                <w:lang w:val="en-US"/>
              </w:rPr>
              <w:t xml:space="preserve"> or devalued</w:t>
            </w:r>
            <w:r w:rsidRPr="00E93FC9">
              <w:rPr>
                <w:rFonts w:ascii="Times New Roman" w:hAnsi="Times New Roman" w:cs="Times New Roman"/>
                <w:lang w:val="en-US"/>
              </w:rPr>
              <w:t>,</w:t>
            </w:r>
            <w:r w:rsidR="005F42FD">
              <w:rPr>
                <w:rFonts w:ascii="Times New Roman" w:hAnsi="Times New Roman" w:cs="Times New Roman"/>
                <w:lang w:val="en-US"/>
              </w:rPr>
              <w:t xml:space="preserve"> </w:t>
            </w:r>
            <w:r w:rsidR="00543CB0">
              <w:rPr>
                <w:rFonts w:ascii="Times New Roman" w:hAnsi="Times New Roman" w:cs="Times New Roman"/>
                <w:lang w:val="en-US"/>
              </w:rPr>
              <w:t>and suggestions to improve the value of teaching:</w:t>
            </w:r>
          </w:p>
          <w:p w14:paraId="068D2E38" w14:textId="0AE48A9A" w:rsidR="005F42FD" w:rsidRPr="00C91D42" w:rsidRDefault="00543CB0" w:rsidP="00C91D42">
            <w:pPr>
              <w:pStyle w:val="ListParagraph"/>
              <w:numPr>
                <w:ilvl w:val="0"/>
                <w:numId w:val="38"/>
              </w:numPr>
              <w:rPr>
                <w:rFonts w:ascii="Times New Roman" w:hAnsi="Times New Roman" w:cs="Times New Roman"/>
                <w:lang w:val="en-US"/>
              </w:rPr>
            </w:pPr>
            <w:r>
              <w:rPr>
                <w:rFonts w:ascii="Times New Roman" w:hAnsi="Times New Roman" w:cs="Times New Roman"/>
                <w:lang w:val="en-US"/>
              </w:rPr>
              <w:t>P</w:t>
            </w:r>
            <w:r w:rsidR="005F42FD" w:rsidRPr="00C91D42">
              <w:rPr>
                <w:rFonts w:ascii="Times New Roman" w:hAnsi="Times New Roman" w:cs="Times New Roman"/>
                <w:lang w:val="en-US"/>
              </w:rPr>
              <w:t>romotion opportunities for clinical teachers</w:t>
            </w:r>
          </w:p>
          <w:p w14:paraId="1D047C11" w14:textId="6D38F932" w:rsidR="00C91D42" w:rsidRPr="00543CB0" w:rsidRDefault="00543CB0" w:rsidP="00543CB0">
            <w:pPr>
              <w:pStyle w:val="ListParagraph"/>
              <w:numPr>
                <w:ilvl w:val="0"/>
                <w:numId w:val="37"/>
              </w:numPr>
              <w:rPr>
                <w:rFonts w:ascii="Times New Roman" w:hAnsi="Times New Roman" w:cs="Times New Roman"/>
                <w:lang w:val="en-US"/>
              </w:rPr>
            </w:pPr>
            <w:r>
              <w:rPr>
                <w:rFonts w:ascii="Times New Roman" w:hAnsi="Times New Roman" w:cs="Times New Roman"/>
                <w:lang w:val="en-US"/>
              </w:rPr>
              <w:t>Awards</w:t>
            </w:r>
            <w:r w:rsidR="005F42FD">
              <w:rPr>
                <w:rFonts w:ascii="Times New Roman" w:hAnsi="Times New Roman" w:cs="Times New Roman"/>
                <w:lang w:val="en-US"/>
              </w:rPr>
              <w:t xml:space="preserve"> for clinical teachers</w:t>
            </w:r>
          </w:p>
          <w:p w14:paraId="12B41452" w14:textId="600E08EA" w:rsidR="00BE1411" w:rsidRDefault="00543CB0" w:rsidP="007351AF">
            <w:pPr>
              <w:pStyle w:val="ListParagraph"/>
              <w:numPr>
                <w:ilvl w:val="0"/>
                <w:numId w:val="37"/>
              </w:numPr>
              <w:rPr>
                <w:rFonts w:ascii="Times New Roman" w:hAnsi="Times New Roman" w:cs="Times New Roman"/>
                <w:lang w:val="en-US"/>
              </w:rPr>
            </w:pPr>
            <w:r>
              <w:rPr>
                <w:rFonts w:ascii="Times New Roman" w:hAnsi="Times New Roman" w:cs="Times New Roman"/>
                <w:lang w:val="en-US"/>
              </w:rPr>
              <w:t>Clarity and understanding of teaching excellence</w:t>
            </w:r>
            <w:r w:rsidR="005F42FD">
              <w:rPr>
                <w:rFonts w:ascii="Times New Roman" w:hAnsi="Times New Roman" w:cs="Times New Roman"/>
                <w:lang w:val="en-US"/>
              </w:rPr>
              <w:t xml:space="preserve"> definitions,</w:t>
            </w:r>
            <w:r w:rsidR="006E71B0">
              <w:rPr>
                <w:rFonts w:ascii="Times New Roman" w:hAnsi="Times New Roman" w:cs="Times New Roman"/>
                <w:lang w:val="en-US"/>
              </w:rPr>
              <w:t xml:space="preserve"> metrics,</w:t>
            </w:r>
            <w:r w:rsidR="005F42FD">
              <w:rPr>
                <w:rFonts w:ascii="Times New Roman" w:hAnsi="Times New Roman" w:cs="Times New Roman"/>
                <w:lang w:val="en-US"/>
              </w:rPr>
              <w:t xml:space="preserve"> support and RR for teaching</w:t>
            </w:r>
          </w:p>
          <w:p w14:paraId="78833E77" w14:textId="39C6D2B0" w:rsidR="006E71B0" w:rsidRDefault="006E71B0" w:rsidP="007351AF">
            <w:pPr>
              <w:pStyle w:val="ListParagraph"/>
              <w:numPr>
                <w:ilvl w:val="0"/>
                <w:numId w:val="37"/>
              </w:numPr>
              <w:rPr>
                <w:rFonts w:ascii="Times New Roman" w:hAnsi="Times New Roman" w:cs="Times New Roman"/>
                <w:lang w:val="en-US"/>
              </w:rPr>
            </w:pPr>
            <w:r>
              <w:rPr>
                <w:rFonts w:ascii="Times New Roman" w:hAnsi="Times New Roman" w:cs="Times New Roman"/>
                <w:lang w:val="en-US"/>
              </w:rPr>
              <w:t>Relationships (Faculty – institution, department – institution)</w:t>
            </w:r>
          </w:p>
          <w:p w14:paraId="3D94168F" w14:textId="088AF8C5" w:rsidR="00543CB0" w:rsidRPr="00543CB0" w:rsidRDefault="00543CB0" w:rsidP="00543CB0">
            <w:pPr>
              <w:pStyle w:val="ListParagraph"/>
              <w:rPr>
                <w:rFonts w:ascii="Times New Roman" w:hAnsi="Times New Roman" w:cs="Times New Roman"/>
                <w:lang w:val="en-US"/>
              </w:rPr>
            </w:pPr>
          </w:p>
        </w:tc>
      </w:tr>
    </w:tbl>
    <w:p w14:paraId="23BAB2EC" w14:textId="15FBF0C3" w:rsidR="00BE1411" w:rsidRPr="00E93FC9" w:rsidRDefault="00BE1411" w:rsidP="00BE1411">
      <w:pPr>
        <w:pStyle w:val="NormalWeb"/>
        <w:spacing w:line="276" w:lineRule="auto"/>
        <w:rPr>
          <w:sz w:val="22"/>
          <w:szCs w:val="22"/>
        </w:rPr>
      </w:pPr>
      <w:proofErr w:type="spellStart"/>
      <w:proofErr w:type="gramStart"/>
      <w:r w:rsidRPr="00E93FC9">
        <w:rPr>
          <w:sz w:val="22"/>
          <w:szCs w:val="22"/>
          <w:vertAlign w:val="superscript"/>
        </w:rPr>
        <w:t>a,b</w:t>
      </w:r>
      <w:proofErr w:type="spellEnd"/>
      <w:proofErr w:type="gramEnd"/>
      <w:r w:rsidRPr="00E93FC9">
        <w:rPr>
          <w:sz w:val="22"/>
          <w:szCs w:val="22"/>
        </w:rPr>
        <w:t xml:space="preserve"> Not major components of the comparative case study. </w:t>
      </w:r>
      <w:r w:rsidR="006E71B0">
        <w:rPr>
          <w:sz w:val="22"/>
          <w:szCs w:val="22"/>
        </w:rPr>
        <w:t>This</w:t>
      </w:r>
      <w:r w:rsidRPr="00E93FC9">
        <w:rPr>
          <w:sz w:val="22"/>
          <w:szCs w:val="22"/>
        </w:rPr>
        <w:t xml:space="preserve"> data </w:t>
      </w:r>
      <w:r w:rsidR="006E71B0">
        <w:rPr>
          <w:sz w:val="22"/>
          <w:szCs w:val="22"/>
        </w:rPr>
        <w:t xml:space="preserve">will be retained </w:t>
      </w:r>
      <w:r w:rsidRPr="00E93FC9">
        <w:rPr>
          <w:sz w:val="22"/>
          <w:szCs w:val="22"/>
        </w:rPr>
        <w:t xml:space="preserve">for future single-site </w:t>
      </w:r>
      <w:r w:rsidR="009C399C" w:rsidRPr="00E93FC9">
        <w:rPr>
          <w:sz w:val="22"/>
          <w:szCs w:val="22"/>
        </w:rPr>
        <w:t>case studies</w:t>
      </w:r>
      <w:r w:rsidR="006E71B0">
        <w:rPr>
          <w:sz w:val="22"/>
          <w:szCs w:val="22"/>
        </w:rPr>
        <w:t xml:space="preserve"> at these sites</w:t>
      </w:r>
      <w:r w:rsidR="009C399C" w:rsidRPr="00E93FC9">
        <w:rPr>
          <w:sz w:val="22"/>
          <w:szCs w:val="22"/>
        </w:rPr>
        <w:t>.</w:t>
      </w:r>
    </w:p>
    <w:p w14:paraId="4C6EBBCF" w14:textId="7D502E25" w:rsidR="00BE1411" w:rsidRPr="00E93FC9" w:rsidRDefault="00BE1411" w:rsidP="00BE1411">
      <w:pPr>
        <w:pStyle w:val="NormalWeb"/>
        <w:spacing w:line="276" w:lineRule="auto"/>
        <w:rPr>
          <w:sz w:val="22"/>
          <w:szCs w:val="22"/>
        </w:rPr>
      </w:pPr>
      <w:r w:rsidRPr="00E93FC9">
        <w:rPr>
          <w:sz w:val="22"/>
          <w:szCs w:val="22"/>
          <w:vertAlign w:val="superscript"/>
        </w:rPr>
        <w:t xml:space="preserve">c </w:t>
      </w:r>
      <w:r w:rsidRPr="00E93FC9">
        <w:rPr>
          <w:sz w:val="22"/>
          <w:szCs w:val="22"/>
        </w:rPr>
        <w:t>This category could also fit under ‘structure.’</w:t>
      </w:r>
    </w:p>
    <w:p w14:paraId="55495AAB" w14:textId="77777777" w:rsidR="00BE1411" w:rsidRDefault="00BE1411" w:rsidP="00470F6D">
      <w:pPr>
        <w:rPr>
          <w:rFonts w:ascii="Times New Roman" w:hAnsi="Times New Roman" w:cs="Times New Roman"/>
          <w:b/>
          <w:bCs/>
          <w:sz w:val="24"/>
          <w:szCs w:val="24"/>
        </w:rPr>
      </w:pPr>
    </w:p>
    <w:p w14:paraId="705D24FA" w14:textId="77777777" w:rsidR="00BE1411" w:rsidRDefault="00BE1411" w:rsidP="00840E4E">
      <w:pPr>
        <w:jc w:val="center"/>
        <w:rPr>
          <w:rFonts w:ascii="Times New Roman" w:hAnsi="Times New Roman" w:cs="Times New Roman"/>
          <w:b/>
          <w:bCs/>
          <w:sz w:val="24"/>
          <w:szCs w:val="24"/>
        </w:rPr>
      </w:pPr>
    </w:p>
    <w:p w14:paraId="0CAC4026" w14:textId="316E6008" w:rsidR="00BE1411" w:rsidRDefault="00BE1411">
      <w:pPr>
        <w:spacing w:line="278" w:lineRule="auto"/>
        <w:rPr>
          <w:rFonts w:ascii="Times New Roman" w:hAnsi="Times New Roman" w:cs="Times New Roman"/>
          <w:b/>
          <w:bCs/>
          <w:sz w:val="24"/>
          <w:szCs w:val="24"/>
        </w:rPr>
        <w:sectPr w:rsidR="00BE1411" w:rsidSect="00BE1411">
          <w:headerReference w:type="default" r:id="rId9"/>
          <w:pgSz w:w="15840" w:h="12240" w:orient="landscape"/>
          <w:pgMar w:top="1134" w:right="1134" w:bottom="1134" w:left="1134" w:header="708" w:footer="708" w:gutter="0"/>
          <w:cols w:space="708"/>
          <w:docGrid w:linePitch="360"/>
        </w:sectPr>
      </w:pPr>
    </w:p>
    <w:p w14:paraId="398BF481" w14:textId="2BCAE5CE" w:rsidR="001502C7" w:rsidRPr="00BE1411" w:rsidRDefault="001502C7" w:rsidP="006E71B0">
      <w:pPr>
        <w:jc w:val="center"/>
        <w:rPr>
          <w:rFonts w:ascii="Times New Roman" w:hAnsi="Times New Roman" w:cs="Times New Roman"/>
          <w:b/>
          <w:bCs/>
          <w:sz w:val="28"/>
          <w:szCs w:val="28"/>
        </w:rPr>
      </w:pPr>
      <w:r w:rsidRPr="00BE1411">
        <w:rPr>
          <w:rFonts w:ascii="Times New Roman" w:hAnsi="Times New Roman" w:cs="Times New Roman"/>
          <w:b/>
          <w:bCs/>
          <w:sz w:val="28"/>
          <w:szCs w:val="28"/>
        </w:rPr>
        <w:lastRenderedPageBreak/>
        <w:t xml:space="preserve">Appendix </w:t>
      </w:r>
      <w:r w:rsidR="00BE1411" w:rsidRPr="00BE1411">
        <w:rPr>
          <w:rFonts w:ascii="Times New Roman" w:hAnsi="Times New Roman" w:cs="Times New Roman"/>
          <w:b/>
          <w:bCs/>
          <w:sz w:val="28"/>
          <w:szCs w:val="28"/>
        </w:rPr>
        <w:t>C</w:t>
      </w:r>
      <w:r w:rsidR="006017DB" w:rsidRPr="00BE1411">
        <w:rPr>
          <w:rFonts w:ascii="Times New Roman" w:hAnsi="Times New Roman" w:cs="Times New Roman"/>
          <w:b/>
          <w:bCs/>
          <w:sz w:val="28"/>
          <w:szCs w:val="28"/>
        </w:rPr>
        <w:t>: Document Analysis Findings</w:t>
      </w:r>
    </w:p>
    <w:p w14:paraId="2BBAD6DF" w14:textId="77777777" w:rsidR="006017DB" w:rsidRDefault="006017DB" w:rsidP="000334E4">
      <w:pPr>
        <w:rPr>
          <w:rFonts w:ascii="Times New Roman" w:hAnsi="Times New Roman" w:cs="Times New Roman"/>
          <w:sz w:val="24"/>
          <w:szCs w:val="24"/>
          <w:u w:val="single"/>
        </w:rPr>
      </w:pPr>
    </w:p>
    <w:p w14:paraId="608B8641" w14:textId="466F025F" w:rsidR="000334E4" w:rsidRPr="000334E4" w:rsidRDefault="000334E4" w:rsidP="000334E4">
      <w:pPr>
        <w:rPr>
          <w:rFonts w:ascii="Times New Roman" w:hAnsi="Times New Roman" w:cs="Times New Roman"/>
          <w:sz w:val="24"/>
          <w:szCs w:val="24"/>
          <w:u w:val="single"/>
        </w:rPr>
      </w:pPr>
      <w:r w:rsidRPr="000334E4">
        <w:rPr>
          <w:rFonts w:ascii="Times New Roman" w:hAnsi="Times New Roman" w:cs="Times New Roman"/>
          <w:sz w:val="24"/>
          <w:szCs w:val="24"/>
          <w:u w:val="single"/>
        </w:rPr>
        <w:t>Multisite Document Analysis Findings</w:t>
      </w:r>
    </w:p>
    <w:p w14:paraId="63AA4F6B" w14:textId="33D6CA95" w:rsidR="000334E4" w:rsidRPr="000334E4" w:rsidRDefault="000334E4" w:rsidP="000334E4">
      <w:pPr>
        <w:spacing w:line="360" w:lineRule="auto"/>
        <w:rPr>
          <w:rFonts w:ascii="Times New Roman" w:hAnsi="Times New Roman" w:cs="Times New Roman"/>
          <w:sz w:val="24"/>
          <w:szCs w:val="24"/>
        </w:rPr>
      </w:pPr>
      <w:r w:rsidRPr="00CD3E60">
        <w:rPr>
          <w:rFonts w:ascii="Times New Roman" w:hAnsi="Times New Roman" w:cs="Times New Roman"/>
          <w:b/>
          <w:bCs/>
          <w:sz w:val="24"/>
          <w:szCs w:val="24"/>
        </w:rPr>
        <w:t>Table S</w:t>
      </w:r>
      <w:r w:rsidR="009E0E2D" w:rsidRPr="00CD3E60">
        <w:rPr>
          <w:rFonts w:ascii="Times New Roman" w:hAnsi="Times New Roman" w:cs="Times New Roman"/>
          <w:b/>
          <w:bCs/>
          <w:sz w:val="24"/>
          <w:szCs w:val="24"/>
        </w:rPr>
        <w:t>4</w:t>
      </w:r>
      <w:r w:rsidRPr="000334E4">
        <w:rPr>
          <w:rFonts w:ascii="Times New Roman" w:hAnsi="Times New Roman" w:cs="Times New Roman"/>
          <w:sz w:val="24"/>
          <w:szCs w:val="24"/>
        </w:rPr>
        <w:t xml:space="preserve"> displays a </w:t>
      </w:r>
      <w:r w:rsidR="00794766">
        <w:rPr>
          <w:rFonts w:ascii="Times New Roman" w:hAnsi="Times New Roman" w:cs="Times New Roman"/>
          <w:sz w:val="24"/>
          <w:szCs w:val="24"/>
        </w:rPr>
        <w:t xml:space="preserve">modified content analytic </w:t>
      </w:r>
      <w:r w:rsidRPr="000334E4">
        <w:rPr>
          <w:rFonts w:ascii="Times New Roman" w:hAnsi="Times New Roman" w:cs="Times New Roman"/>
          <w:sz w:val="24"/>
          <w:szCs w:val="24"/>
        </w:rPr>
        <w:t>meta-matrix</w:t>
      </w:r>
      <w:r w:rsidR="00794766">
        <w:rPr>
          <w:rFonts w:ascii="Times New Roman" w:hAnsi="Times New Roman" w:cs="Times New Roman"/>
          <w:sz w:val="24"/>
          <w:szCs w:val="24"/>
        </w:rPr>
        <w:t xml:space="preserve"> </w:t>
      </w:r>
      <w:r w:rsidRPr="000334E4">
        <w:rPr>
          <w:rFonts w:ascii="Times New Roman" w:hAnsi="Times New Roman" w:cs="Times New Roman"/>
          <w:sz w:val="24"/>
          <w:szCs w:val="24"/>
        </w:rPr>
        <w:t xml:space="preserve">of the similarities and differences in the document analysis findings from the participating sites. </w:t>
      </w:r>
      <w:r w:rsidR="00040DC6">
        <w:rPr>
          <w:rFonts w:ascii="Times New Roman" w:hAnsi="Times New Roman" w:cs="Times New Roman"/>
          <w:sz w:val="24"/>
          <w:szCs w:val="24"/>
        </w:rPr>
        <w:t xml:space="preserve">There were 7 </w:t>
      </w:r>
      <w:r w:rsidR="004565EF">
        <w:rPr>
          <w:rFonts w:ascii="Times New Roman" w:hAnsi="Times New Roman" w:cs="Times New Roman"/>
          <w:sz w:val="24"/>
          <w:szCs w:val="24"/>
        </w:rPr>
        <w:t>‘public records’</w:t>
      </w:r>
      <w:r w:rsidR="00040DC6">
        <w:rPr>
          <w:rFonts w:ascii="Times New Roman" w:hAnsi="Times New Roman" w:cs="Times New Roman"/>
          <w:sz w:val="24"/>
          <w:szCs w:val="24"/>
        </w:rPr>
        <w:t xml:space="preserve"> from site 1 and 17 from site 2.</w:t>
      </w:r>
    </w:p>
    <w:p w14:paraId="17B5AA9E" w14:textId="77777777" w:rsidR="000334E4" w:rsidRPr="000334E4" w:rsidRDefault="000334E4" w:rsidP="000334E4">
      <w:pPr>
        <w:rPr>
          <w:rFonts w:ascii="Times New Roman" w:hAnsi="Times New Roman" w:cs="Times New Roman"/>
          <w:sz w:val="24"/>
          <w:szCs w:val="24"/>
        </w:rPr>
      </w:pPr>
    </w:p>
    <w:p w14:paraId="15D4D474" w14:textId="7857D0F7" w:rsidR="00E42008" w:rsidRDefault="000334E4" w:rsidP="00E42008">
      <w:pPr>
        <w:rPr>
          <w:rFonts w:ascii="Times New Roman" w:eastAsia="Times New Roman" w:hAnsi="Times New Roman" w:cs="Times New Roman"/>
          <w:b/>
          <w:bCs/>
        </w:rPr>
      </w:pPr>
      <w:r w:rsidRPr="000334E4">
        <w:rPr>
          <w:rFonts w:ascii="Times New Roman" w:hAnsi="Times New Roman" w:cs="Times New Roman"/>
          <w:b/>
          <w:bCs/>
          <w:sz w:val="24"/>
          <w:szCs w:val="24"/>
        </w:rPr>
        <w:t>Table S</w:t>
      </w:r>
      <w:r w:rsidR="009E0E2D">
        <w:rPr>
          <w:rFonts w:ascii="Times New Roman" w:hAnsi="Times New Roman" w:cs="Times New Roman"/>
          <w:b/>
          <w:bCs/>
          <w:sz w:val="24"/>
          <w:szCs w:val="24"/>
        </w:rPr>
        <w:t>4</w:t>
      </w:r>
      <w:r w:rsidRPr="004565EF">
        <w:rPr>
          <w:rFonts w:ascii="Times New Roman" w:hAnsi="Times New Roman" w:cs="Times New Roman"/>
          <w:b/>
          <w:bCs/>
          <w:sz w:val="24"/>
          <w:szCs w:val="24"/>
        </w:rPr>
        <w:t>.</w:t>
      </w:r>
      <w:r w:rsidR="00E42008" w:rsidRPr="004565EF">
        <w:rPr>
          <w:rFonts w:ascii="Times New Roman" w:eastAsia="Times New Roman" w:hAnsi="Times New Roman" w:cs="Times New Roman"/>
          <w:b/>
          <w:bCs/>
          <w:sz w:val="24"/>
          <w:szCs w:val="24"/>
        </w:rPr>
        <w:t xml:space="preserve"> Meta matrix for cross-comparison of document analysis findings</w:t>
      </w:r>
    </w:p>
    <w:tbl>
      <w:tblPr>
        <w:tblStyle w:val="TableGrid"/>
        <w:tblW w:w="9629" w:type="dxa"/>
        <w:tblLayout w:type="fixed"/>
        <w:tblLook w:val="04A0" w:firstRow="1" w:lastRow="0" w:firstColumn="1" w:lastColumn="0" w:noHBand="0" w:noVBand="1"/>
      </w:tblPr>
      <w:tblGrid>
        <w:gridCol w:w="2117"/>
        <w:gridCol w:w="3402"/>
        <w:gridCol w:w="2819"/>
        <w:gridCol w:w="866"/>
        <w:gridCol w:w="425"/>
      </w:tblGrid>
      <w:tr w:rsidR="00E42008" w:rsidRPr="00BA40DC" w14:paraId="67B4F919" w14:textId="77777777" w:rsidTr="004565EF">
        <w:trPr>
          <w:trHeight w:val="300"/>
        </w:trPr>
        <w:tc>
          <w:tcPr>
            <w:tcW w:w="211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0E735CB" w14:textId="77777777" w:rsidR="00E42008" w:rsidRPr="00BA40DC" w:rsidRDefault="00E42008" w:rsidP="00921A9A">
            <w:pPr>
              <w:ind w:left="-20" w:right="-20"/>
              <w:rPr>
                <w:rFonts w:ascii="Times New Roman" w:eastAsia="Times New Roman" w:hAnsi="Times New Roman" w:cs="Times New Roman"/>
                <w:b/>
                <w:bCs/>
                <w:color w:val="000000" w:themeColor="text1"/>
                <w:lang w:val="fr"/>
              </w:rPr>
            </w:pPr>
            <w:proofErr w:type="spellStart"/>
            <w:r w:rsidRPr="00BA40DC">
              <w:rPr>
                <w:rFonts w:ascii="Times New Roman" w:eastAsia="Times New Roman" w:hAnsi="Times New Roman" w:cs="Times New Roman"/>
                <w:b/>
                <w:bCs/>
                <w:color w:val="000000" w:themeColor="text1"/>
                <w:lang w:val="fr"/>
              </w:rPr>
              <w:t>Subtheme</w:t>
            </w:r>
            <w:proofErr w:type="spellEnd"/>
          </w:p>
        </w:tc>
        <w:tc>
          <w:tcPr>
            <w:tcW w:w="340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1076371" w14:textId="378F1F1F" w:rsidR="00E42008" w:rsidRPr="00BA40DC" w:rsidRDefault="00E42008" w:rsidP="00921A9A">
            <w:pPr>
              <w:ind w:left="-20" w:right="-20"/>
              <w:rPr>
                <w:rFonts w:ascii="Times New Roman" w:eastAsia="Times New Roman" w:hAnsi="Times New Roman" w:cs="Times New Roman"/>
                <w:b/>
                <w:bCs/>
                <w:color w:val="000000" w:themeColor="text1"/>
                <w:lang w:val="fr"/>
              </w:rPr>
            </w:pPr>
            <w:r w:rsidRPr="00BA40DC">
              <w:rPr>
                <w:rFonts w:ascii="Times New Roman" w:eastAsia="Times New Roman" w:hAnsi="Times New Roman" w:cs="Times New Roman"/>
                <w:b/>
                <w:bCs/>
                <w:color w:val="000000" w:themeColor="text1"/>
                <w:lang w:val="fr"/>
              </w:rPr>
              <w:t>Differe</w:t>
            </w:r>
            <w:r w:rsidR="00571156">
              <w:rPr>
                <w:rFonts w:ascii="Times New Roman" w:eastAsia="Times New Roman" w:hAnsi="Times New Roman" w:cs="Times New Roman"/>
                <w:b/>
                <w:bCs/>
                <w:color w:val="000000" w:themeColor="text1"/>
                <w:lang w:val="fr"/>
              </w:rPr>
              <w:t>nc</w:t>
            </w:r>
            <w:r w:rsidRPr="00BA40DC">
              <w:rPr>
                <w:rFonts w:ascii="Times New Roman" w:eastAsia="Times New Roman" w:hAnsi="Times New Roman" w:cs="Times New Roman"/>
                <w:b/>
                <w:bCs/>
                <w:color w:val="000000" w:themeColor="text1"/>
                <w:lang w:val="fr"/>
              </w:rPr>
              <w:t>es</w:t>
            </w:r>
          </w:p>
        </w:tc>
        <w:tc>
          <w:tcPr>
            <w:tcW w:w="28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37ED6D1" w14:textId="77777777" w:rsidR="00E42008" w:rsidRPr="00BA40DC" w:rsidRDefault="00E42008" w:rsidP="00921A9A">
            <w:pPr>
              <w:ind w:left="-20" w:right="-20"/>
              <w:rPr>
                <w:rFonts w:ascii="Times New Roman" w:eastAsia="Times New Roman" w:hAnsi="Times New Roman" w:cs="Times New Roman"/>
                <w:b/>
                <w:bCs/>
                <w:color w:val="000000" w:themeColor="text1"/>
                <w:lang w:val="fr"/>
              </w:rPr>
            </w:pPr>
            <w:r w:rsidRPr="00BA40DC">
              <w:rPr>
                <w:rFonts w:ascii="Times New Roman" w:eastAsia="Times New Roman" w:hAnsi="Times New Roman" w:cs="Times New Roman"/>
                <w:b/>
                <w:bCs/>
                <w:color w:val="000000" w:themeColor="text1"/>
                <w:lang w:val="fr"/>
              </w:rPr>
              <w:t>Similarities</w:t>
            </w:r>
          </w:p>
        </w:tc>
        <w:tc>
          <w:tcPr>
            <w:tcW w:w="86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403F7ED" w14:textId="77777777" w:rsidR="00E42008" w:rsidRPr="00BA40DC" w:rsidRDefault="00E42008" w:rsidP="00921A9A">
            <w:pPr>
              <w:ind w:left="-20" w:right="-20"/>
              <w:rPr>
                <w:rFonts w:ascii="Times New Roman" w:eastAsia="Times New Roman" w:hAnsi="Times New Roman" w:cs="Times New Roman"/>
                <w:b/>
                <w:bCs/>
                <w:color w:val="000000" w:themeColor="text1"/>
                <w:lang w:val="fr"/>
              </w:rPr>
            </w:pPr>
            <w:r w:rsidRPr="00BA40DC">
              <w:rPr>
                <w:rFonts w:ascii="Times New Roman" w:eastAsia="Times New Roman" w:hAnsi="Times New Roman" w:cs="Times New Roman"/>
                <w:b/>
                <w:bCs/>
                <w:color w:val="000000" w:themeColor="text1"/>
                <w:lang w:val="fr"/>
              </w:rPr>
              <w:t>Doc # *</w:t>
            </w:r>
          </w:p>
        </w:tc>
        <w:tc>
          <w:tcPr>
            <w:tcW w:w="42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74B1D70" w14:textId="77777777" w:rsidR="00E42008" w:rsidRPr="00BA40DC" w:rsidRDefault="00E42008" w:rsidP="00921A9A">
            <w:pPr>
              <w:ind w:left="-20" w:right="-20"/>
              <w:rPr>
                <w:rFonts w:ascii="Times New Roman" w:eastAsia="Times New Roman" w:hAnsi="Times New Roman" w:cs="Times New Roman"/>
                <w:b/>
                <w:bCs/>
                <w:color w:val="000000" w:themeColor="text1"/>
                <w:lang w:val="fr"/>
              </w:rPr>
            </w:pPr>
            <w:r w:rsidRPr="00BA40DC">
              <w:rPr>
                <w:rFonts w:ascii="Times New Roman" w:eastAsia="Times New Roman" w:hAnsi="Times New Roman" w:cs="Times New Roman"/>
                <w:b/>
                <w:bCs/>
                <w:color w:val="000000" w:themeColor="text1"/>
                <w:lang w:val="fr"/>
              </w:rPr>
              <w:t>N</w:t>
            </w:r>
          </w:p>
        </w:tc>
      </w:tr>
      <w:tr w:rsidR="00E42008" w:rsidRPr="00BA40DC" w14:paraId="40D3735E" w14:textId="77777777" w:rsidTr="004565EF">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tcPr>
          <w:p w14:paraId="24C522C1" w14:textId="3F472A32" w:rsidR="00E42008" w:rsidRPr="00BA40DC" w:rsidRDefault="0011041E" w:rsidP="00921A9A">
            <w:pPr>
              <w:ind w:left="-20" w:right="-20"/>
              <w:rPr>
                <w:rFonts w:ascii="Times New Roman" w:eastAsia="Times New Roman" w:hAnsi="Times New Roman" w:cs="Times New Roman"/>
              </w:rPr>
            </w:pPr>
            <w:r>
              <w:rPr>
                <w:rFonts w:ascii="Times New Roman" w:eastAsia="Times New Roman" w:hAnsi="Times New Roman" w:cs="Times New Roman"/>
                <w:color w:val="000000" w:themeColor="text1"/>
              </w:rPr>
              <w:t xml:space="preserve">1. Conceptualization </w:t>
            </w:r>
            <w:r w:rsidR="00E42008" w:rsidRPr="00BA40DC">
              <w:rPr>
                <w:rFonts w:ascii="Times New Roman" w:eastAsia="Times New Roman" w:hAnsi="Times New Roman" w:cs="Times New Roman"/>
              </w:rPr>
              <w:t xml:space="preserve"> of excellence in clinical teaching </w:t>
            </w:r>
            <w:r>
              <w:rPr>
                <w:rFonts w:ascii="Times New Roman" w:eastAsia="Times New Roman" w:hAnsi="Times New Roman" w:cs="Times New Roman"/>
              </w:rPr>
              <w:t>(i.e., what constitutes teaching excellence)</w:t>
            </w:r>
          </w:p>
        </w:tc>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39D30474" w14:textId="77777777" w:rsidR="00E42008" w:rsidRPr="00BA40DC" w:rsidRDefault="00E42008" w:rsidP="00921A9A">
            <w:pPr>
              <w:ind w:left="-20" w:right="-20"/>
              <w:rPr>
                <w:rFonts w:ascii="Times New Roman" w:eastAsia="Times New Roman" w:hAnsi="Times New Roman" w:cs="Times New Roman"/>
              </w:rPr>
            </w:pPr>
            <w:r w:rsidRPr="00BA40DC">
              <w:rPr>
                <w:rFonts w:ascii="Times New Roman" w:eastAsia="Times New Roman" w:hAnsi="Times New Roman" w:cs="Times New Roman"/>
              </w:rPr>
              <w:t xml:space="preserve">1. The medical school at site 1 partially relies on central university documents, using its language and descriptions of ‘teaching excellence.’ Site 2 describes ‘teaching excellence’ in medical school documents.  </w:t>
            </w:r>
          </w:p>
          <w:p w14:paraId="6F5EB4C6" w14:textId="77777777" w:rsidR="00E42008" w:rsidRPr="00BA40DC" w:rsidRDefault="00E42008" w:rsidP="00921A9A">
            <w:pPr>
              <w:ind w:left="-20" w:right="-20"/>
              <w:rPr>
                <w:rFonts w:ascii="Times New Roman" w:eastAsia="Times New Roman" w:hAnsi="Times New Roman" w:cs="Times New Roman"/>
              </w:rPr>
            </w:pPr>
            <w:r w:rsidRPr="00BA40DC">
              <w:rPr>
                <w:rFonts w:ascii="Times New Roman" w:eastAsia="Times New Roman" w:hAnsi="Times New Roman" w:cs="Times New Roman"/>
              </w:rPr>
              <w:t xml:space="preserve"> </w:t>
            </w:r>
          </w:p>
          <w:p w14:paraId="1F49F995" w14:textId="77777777" w:rsidR="00E42008" w:rsidRPr="00BA40DC" w:rsidRDefault="00E42008" w:rsidP="00921A9A">
            <w:pPr>
              <w:ind w:left="-20" w:right="-20"/>
              <w:rPr>
                <w:rFonts w:ascii="Times New Roman" w:eastAsia="Times New Roman" w:hAnsi="Times New Roman" w:cs="Times New Roman"/>
              </w:rPr>
            </w:pPr>
            <w:r w:rsidRPr="00BA40DC">
              <w:rPr>
                <w:rFonts w:ascii="Times New Roman" w:eastAsia="Times New Roman" w:hAnsi="Times New Roman" w:cs="Times New Roman"/>
              </w:rPr>
              <w:t xml:space="preserve">2. </w:t>
            </w:r>
            <w:r w:rsidRPr="00BA40DC">
              <w:rPr>
                <w:rFonts w:ascii="Times New Roman" w:eastAsia="Times New Roman" w:hAnsi="Times New Roman" w:cs="Times New Roman"/>
                <w:color w:val="000000" w:themeColor="text1"/>
              </w:rPr>
              <w:t xml:space="preserve">Teaching excellence is written and described separately at site 1. At site 2, it is referred to as both teaching </w:t>
            </w:r>
            <w:r w:rsidRPr="00BA40DC">
              <w:rPr>
                <w:rFonts w:ascii="Times New Roman" w:eastAsia="Times New Roman" w:hAnsi="Times New Roman" w:cs="Times New Roman"/>
                <w:i/>
                <w:iCs/>
                <w:color w:val="000000" w:themeColor="text1"/>
              </w:rPr>
              <w:t>and</w:t>
            </w:r>
            <w:r w:rsidRPr="00BA40DC">
              <w:rPr>
                <w:rFonts w:ascii="Times New Roman" w:eastAsia="Times New Roman" w:hAnsi="Times New Roman" w:cs="Times New Roman"/>
                <w:color w:val="000000" w:themeColor="text1"/>
              </w:rPr>
              <w:t xml:space="preserve"> education. Education is described to include multiple elements including curriculum development, scholarship, and innovation.</w:t>
            </w:r>
          </w:p>
        </w:tc>
        <w:tc>
          <w:tcPr>
            <w:tcW w:w="2819" w:type="dxa"/>
            <w:tcBorders>
              <w:top w:val="single" w:sz="8" w:space="0" w:color="auto"/>
              <w:left w:val="single" w:sz="8" w:space="0" w:color="auto"/>
              <w:bottom w:val="single" w:sz="8" w:space="0" w:color="auto"/>
              <w:right w:val="single" w:sz="8" w:space="0" w:color="auto"/>
            </w:tcBorders>
            <w:tcMar>
              <w:left w:w="108" w:type="dxa"/>
              <w:right w:w="108" w:type="dxa"/>
            </w:tcMar>
          </w:tcPr>
          <w:p w14:paraId="73F88119" w14:textId="062F00DB" w:rsidR="00E42008" w:rsidRPr="00BA40DC" w:rsidRDefault="00E42008" w:rsidP="00921A9A">
            <w:pPr>
              <w:ind w:left="-20" w:right="-20"/>
              <w:rPr>
                <w:rFonts w:ascii="Times New Roman" w:eastAsia="Times New Roman" w:hAnsi="Times New Roman" w:cs="Times New Roman"/>
              </w:rPr>
            </w:pPr>
            <w:r w:rsidRPr="00BA40DC">
              <w:rPr>
                <w:rFonts w:ascii="Times New Roman" w:eastAsia="Times New Roman" w:hAnsi="Times New Roman" w:cs="Times New Roman"/>
              </w:rPr>
              <w:t xml:space="preserve">Both sites identify and encourage excellence in teaching and/or education as key </w:t>
            </w:r>
            <w:r w:rsidRPr="004565EF">
              <w:rPr>
                <w:rFonts w:ascii="Times New Roman" w:eastAsia="Times New Roman" w:hAnsi="Times New Roman" w:cs="Times New Roman"/>
              </w:rPr>
              <w:t>priorities, but there is a shared absence of an explicit  definition of excellent</w:t>
            </w:r>
            <w:r w:rsidR="0011041E" w:rsidRPr="004565EF">
              <w:rPr>
                <w:rFonts w:ascii="Times New Roman" w:eastAsia="Times New Roman" w:hAnsi="Times New Roman" w:cs="Times New Roman"/>
              </w:rPr>
              <w:t xml:space="preserve"> </w:t>
            </w:r>
            <w:r w:rsidRPr="004565EF">
              <w:rPr>
                <w:rFonts w:ascii="Times New Roman" w:eastAsia="Times New Roman" w:hAnsi="Times New Roman" w:cs="Times New Roman"/>
              </w:rPr>
              <w:t>clinical teaching. The documents instead provide descriptions of what is required to demonstrate and show evidence of excellence.</w:t>
            </w:r>
            <w:r w:rsidRPr="00BA40DC">
              <w:rPr>
                <w:rFonts w:ascii="Times New Roman" w:eastAsia="Times New Roman" w:hAnsi="Times New Roman" w:cs="Times New Roman"/>
              </w:rPr>
              <w:t xml:space="preserve">  </w:t>
            </w:r>
          </w:p>
        </w:tc>
        <w:tc>
          <w:tcPr>
            <w:tcW w:w="866" w:type="dxa"/>
            <w:tcBorders>
              <w:top w:val="single" w:sz="8" w:space="0" w:color="auto"/>
              <w:left w:val="single" w:sz="8" w:space="0" w:color="auto"/>
              <w:bottom w:val="single" w:sz="8" w:space="0" w:color="auto"/>
              <w:right w:val="single" w:sz="8" w:space="0" w:color="auto"/>
            </w:tcBorders>
            <w:tcMar>
              <w:left w:w="108" w:type="dxa"/>
              <w:right w:w="108" w:type="dxa"/>
            </w:tcMar>
          </w:tcPr>
          <w:p w14:paraId="1F7D9039" w14:textId="77777777" w:rsidR="00E42008" w:rsidRPr="0011041E" w:rsidRDefault="00E42008" w:rsidP="00921A9A">
            <w:pPr>
              <w:ind w:left="-20" w:right="-20"/>
              <w:rPr>
                <w:rFonts w:ascii="Times New Roman" w:eastAsia="Times New Roman" w:hAnsi="Times New Roman" w:cs="Times New Roman"/>
                <w:sz w:val="20"/>
                <w:szCs w:val="20"/>
                <w:lang w:val="fr"/>
              </w:rPr>
            </w:pPr>
            <w:r w:rsidRPr="0011041E">
              <w:rPr>
                <w:rFonts w:ascii="Times New Roman" w:eastAsia="Times New Roman" w:hAnsi="Times New Roman" w:cs="Times New Roman"/>
                <w:sz w:val="20"/>
                <w:szCs w:val="20"/>
                <w:lang w:val="fr"/>
              </w:rPr>
              <w:t xml:space="preserve">DS1-07 </w:t>
            </w:r>
          </w:p>
          <w:p w14:paraId="2F12A32A" w14:textId="77777777" w:rsidR="00E42008" w:rsidRPr="0011041E" w:rsidRDefault="00E42008" w:rsidP="00921A9A">
            <w:pPr>
              <w:ind w:left="-20" w:right="-20"/>
              <w:rPr>
                <w:rFonts w:ascii="Times New Roman" w:eastAsia="Times New Roman" w:hAnsi="Times New Roman" w:cs="Times New Roman"/>
                <w:sz w:val="20"/>
                <w:szCs w:val="20"/>
                <w:lang w:val="fr"/>
              </w:rPr>
            </w:pPr>
            <w:r w:rsidRPr="0011041E">
              <w:rPr>
                <w:rFonts w:ascii="Times New Roman" w:eastAsia="Times New Roman" w:hAnsi="Times New Roman" w:cs="Times New Roman"/>
                <w:sz w:val="20"/>
                <w:szCs w:val="20"/>
                <w:lang w:val="fr"/>
              </w:rPr>
              <w:t xml:space="preserve"> </w:t>
            </w:r>
          </w:p>
          <w:p w14:paraId="790A4E88" w14:textId="77777777" w:rsidR="00E42008" w:rsidRPr="0011041E" w:rsidRDefault="00E42008" w:rsidP="00921A9A">
            <w:pPr>
              <w:ind w:left="-20" w:right="-20"/>
              <w:rPr>
                <w:rFonts w:ascii="Times New Roman" w:eastAsia="Times New Roman" w:hAnsi="Times New Roman" w:cs="Times New Roman"/>
                <w:sz w:val="20"/>
                <w:szCs w:val="20"/>
                <w:lang w:val="fr"/>
              </w:rPr>
            </w:pPr>
            <w:r w:rsidRPr="0011041E">
              <w:rPr>
                <w:rFonts w:ascii="Times New Roman" w:eastAsia="Times New Roman" w:hAnsi="Times New Roman" w:cs="Times New Roman"/>
                <w:sz w:val="20"/>
                <w:szCs w:val="20"/>
                <w:lang w:val="fr"/>
              </w:rPr>
              <w:t>DS2-01, DS2-02, DS2-03, DS2-04, DS2-05</w:t>
            </w:r>
          </w:p>
        </w:tc>
        <w:tc>
          <w:tcPr>
            <w:tcW w:w="425" w:type="dxa"/>
            <w:tcBorders>
              <w:top w:val="single" w:sz="8" w:space="0" w:color="auto"/>
              <w:left w:val="single" w:sz="8" w:space="0" w:color="auto"/>
              <w:bottom w:val="single" w:sz="8" w:space="0" w:color="auto"/>
              <w:right w:val="single" w:sz="8" w:space="0" w:color="auto"/>
            </w:tcBorders>
          </w:tcPr>
          <w:p w14:paraId="1B73B42A" w14:textId="77777777" w:rsidR="00E42008" w:rsidRPr="00BA40DC" w:rsidRDefault="00E42008" w:rsidP="00921A9A">
            <w:pPr>
              <w:ind w:right="-20"/>
              <w:rPr>
                <w:rFonts w:ascii="Times New Roman" w:eastAsia="Times New Roman" w:hAnsi="Times New Roman" w:cs="Times New Roman"/>
                <w:lang w:val="fr"/>
              </w:rPr>
            </w:pPr>
            <w:r w:rsidRPr="00BA40DC">
              <w:rPr>
                <w:rFonts w:ascii="Times New Roman" w:eastAsia="Times New Roman" w:hAnsi="Times New Roman" w:cs="Times New Roman"/>
                <w:lang w:val="fr"/>
              </w:rPr>
              <w:t>6</w:t>
            </w:r>
          </w:p>
        </w:tc>
      </w:tr>
      <w:tr w:rsidR="006017DB" w:rsidRPr="00BA40DC" w14:paraId="5F4705FB" w14:textId="77777777" w:rsidTr="004565EF">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tcPr>
          <w:p w14:paraId="52A4E828" w14:textId="03602DCA" w:rsidR="006017DB" w:rsidRPr="00BA40DC" w:rsidRDefault="0011041E" w:rsidP="006017DB">
            <w:pPr>
              <w:ind w:left="-20" w:right="-20"/>
              <w:rPr>
                <w:rFonts w:ascii="Times New Roman" w:eastAsia="Times New Roman" w:hAnsi="Times New Roman" w:cs="Times New Roman"/>
              </w:rPr>
            </w:pPr>
            <w:r>
              <w:rPr>
                <w:rFonts w:ascii="Times New Roman" w:eastAsia="Times New Roman" w:hAnsi="Times New Roman" w:cs="Times New Roman"/>
              </w:rPr>
              <w:t xml:space="preserve">2. </w:t>
            </w:r>
            <w:r w:rsidR="006017DB" w:rsidRPr="00BA40DC">
              <w:rPr>
                <w:rFonts w:ascii="Times New Roman" w:eastAsia="Times New Roman" w:hAnsi="Times New Roman" w:cs="Times New Roman"/>
              </w:rPr>
              <w:t>Metrics</w:t>
            </w:r>
            <w:r w:rsidR="006937AD" w:rsidRPr="00BA40DC">
              <w:rPr>
                <w:rFonts w:ascii="Times New Roman" w:eastAsia="Times New Roman" w:hAnsi="Times New Roman" w:cs="Times New Roman"/>
              </w:rPr>
              <w:t xml:space="preserve"> to ascertain teaching excellence </w:t>
            </w:r>
          </w:p>
        </w:tc>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4E935518" w14:textId="6211C80E" w:rsidR="006017DB" w:rsidRPr="00BA40DC" w:rsidRDefault="00040DC6" w:rsidP="006017DB">
            <w:pPr>
              <w:ind w:left="-20" w:right="-20"/>
              <w:rPr>
                <w:rFonts w:ascii="Times New Roman" w:eastAsia="Times New Roman" w:hAnsi="Times New Roman" w:cs="Times New Roman"/>
              </w:rPr>
            </w:pPr>
            <w:r w:rsidRPr="00BA40DC">
              <w:rPr>
                <w:rFonts w:ascii="Times New Roman" w:eastAsia="Times New Roman" w:hAnsi="Times New Roman" w:cs="Times New Roman"/>
              </w:rPr>
              <w:t xml:space="preserve">1. </w:t>
            </w:r>
            <w:r w:rsidR="006017DB" w:rsidRPr="00BA40DC">
              <w:rPr>
                <w:rFonts w:ascii="Times New Roman" w:eastAsia="Times New Roman" w:hAnsi="Times New Roman" w:cs="Times New Roman"/>
              </w:rPr>
              <w:t xml:space="preserve">Site 1 documents describe a range of metrics that are considered to demonstrate high-quality teaching. At site 2, there are a range of metrics reported for outstanding teaching and education, with most emphasis on the broader education contributions (innovation, development, scholarship).    </w:t>
            </w:r>
          </w:p>
          <w:p w14:paraId="610D013D" w14:textId="77777777" w:rsidR="00040DC6" w:rsidRPr="00BA40DC" w:rsidRDefault="00040DC6" w:rsidP="006017DB">
            <w:pPr>
              <w:ind w:left="-20" w:right="-20"/>
              <w:rPr>
                <w:rFonts w:ascii="Times New Roman" w:eastAsia="Times New Roman" w:hAnsi="Times New Roman" w:cs="Times New Roman"/>
              </w:rPr>
            </w:pPr>
          </w:p>
          <w:p w14:paraId="1B6B222C" w14:textId="1FD66515" w:rsidR="006017DB" w:rsidRPr="00BA40DC" w:rsidRDefault="00040DC6" w:rsidP="006017DB">
            <w:pPr>
              <w:ind w:left="-20" w:right="-20"/>
              <w:rPr>
                <w:rFonts w:ascii="Times New Roman" w:eastAsia="Times New Roman" w:hAnsi="Times New Roman" w:cs="Times New Roman"/>
                <w:u w:val="single"/>
              </w:rPr>
            </w:pPr>
            <w:r w:rsidRPr="00BA40DC">
              <w:rPr>
                <w:rFonts w:ascii="Times New Roman" w:eastAsia="Times New Roman" w:hAnsi="Times New Roman" w:cs="Times New Roman"/>
              </w:rPr>
              <w:t xml:space="preserve">2. </w:t>
            </w:r>
            <w:r w:rsidR="006017DB" w:rsidRPr="00BA40DC">
              <w:rPr>
                <w:rFonts w:ascii="Times New Roman" w:eastAsia="Times New Roman" w:hAnsi="Times New Roman" w:cs="Times New Roman"/>
              </w:rPr>
              <w:t>Site 2 contains more metrics related to a strong national reputation, advanced training, and skill development than site 1.</w:t>
            </w:r>
          </w:p>
        </w:tc>
        <w:tc>
          <w:tcPr>
            <w:tcW w:w="2819" w:type="dxa"/>
            <w:tcBorders>
              <w:top w:val="single" w:sz="8" w:space="0" w:color="auto"/>
              <w:left w:val="single" w:sz="8" w:space="0" w:color="auto"/>
              <w:bottom w:val="single" w:sz="8" w:space="0" w:color="auto"/>
              <w:right w:val="single" w:sz="8" w:space="0" w:color="auto"/>
            </w:tcBorders>
            <w:tcMar>
              <w:left w:w="108" w:type="dxa"/>
              <w:right w:w="108" w:type="dxa"/>
            </w:tcMar>
          </w:tcPr>
          <w:p w14:paraId="780AAB14" w14:textId="055516C4" w:rsidR="006017DB" w:rsidRPr="00BA40DC" w:rsidRDefault="006017DB" w:rsidP="006017DB">
            <w:pPr>
              <w:ind w:left="-20" w:right="-20"/>
              <w:rPr>
                <w:rFonts w:ascii="Times New Roman" w:eastAsia="Times New Roman" w:hAnsi="Times New Roman" w:cs="Times New Roman"/>
                <w:u w:val="single"/>
              </w:rPr>
            </w:pPr>
            <w:r w:rsidRPr="00BA40DC">
              <w:rPr>
                <w:rFonts w:ascii="Times New Roman" w:eastAsia="Times New Roman" w:hAnsi="Times New Roman" w:cs="Times New Roman"/>
              </w:rPr>
              <w:t>Many of the described metrics for high-quality clinical teachers are similar at both sites. These include strong teaching evaluations, volume of teaching contributions, development of innovative methods for teaching, and a good publications record.</w:t>
            </w:r>
          </w:p>
        </w:tc>
        <w:tc>
          <w:tcPr>
            <w:tcW w:w="866" w:type="dxa"/>
            <w:tcBorders>
              <w:top w:val="single" w:sz="8" w:space="0" w:color="auto"/>
              <w:left w:val="single" w:sz="8" w:space="0" w:color="auto"/>
              <w:bottom w:val="single" w:sz="8" w:space="0" w:color="auto"/>
              <w:right w:val="single" w:sz="8" w:space="0" w:color="auto"/>
            </w:tcBorders>
            <w:tcMar>
              <w:left w:w="108" w:type="dxa"/>
              <w:right w:w="108" w:type="dxa"/>
            </w:tcMar>
          </w:tcPr>
          <w:p w14:paraId="13C40D7E" w14:textId="77777777" w:rsidR="006017DB" w:rsidRPr="0011041E" w:rsidRDefault="006017DB" w:rsidP="006017DB">
            <w:pPr>
              <w:ind w:left="-20" w:right="-20"/>
              <w:rPr>
                <w:rFonts w:ascii="Times New Roman" w:eastAsia="Times New Roman" w:hAnsi="Times New Roman" w:cs="Times New Roman"/>
                <w:sz w:val="20"/>
                <w:szCs w:val="20"/>
                <w:lang w:val="fr"/>
              </w:rPr>
            </w:pPr>
            <w:r w:rsidRPr="0011041E">
              <w:rPr>
                <w:rFonts w:ascii="Times New Roman" w:eastAsia="Times New Roman" w:hAnsi="Times New Roman" w:cs="Times New Roman"/>
                <w:sz w:val="20"/>
                <w:szCs w:val="20"/>
                <w:lang w:val="fr"/>
              </w:rPr>
              <w:t xml:space="preserve">DS1-03  </w:t>
            </w:r>
          </w:p>
          <w:p w14:paraId="63464A0D" w14:textId="77777777" w:rsidR="006017DB" w:rsidRPr="0011041E" w:rsidRDefault="006017DB" w:rsidP="006017DB">
            <w:pPr>
              <w:ind w:left="-20" w:right="-20"/>
              <w:rPr>
                <w:rFonts w:ascii="Times New Roman" w:eastAsia="Times New Roman" w:hAnsi="Times New Roman" w:cs="Times New Roman"/>
                <w:sz w:val="20"/>
                <w:szCs w:val="20"/>
                <w:lang w:val="fr"/>
              </w:rPr>
            </w:pPr>
            <w:r w:rsidRPr="0011041E">
              <w:rPr>
                <w:rFonts w:ascii="Times New Roman" w:eastAsia="Times New Roman" w:hAnsi="Times New Roman" w:cs="Times New Roman"/>
                <w:sz w:val="20"/>
                <w:szCs w:val="20"/>
                <w:lang w:val="fr"/>
              </w:rPr>
              <w:t xml:space="preserve">DS1-04  </w:t>
            </w:r>
          </w:p>
          <w:p w14:paraId="1A93C62B" w14:textId="77777777" w:rsidR="006017DB" w:rsidRPr="0011041E" w:rsidRDefault="006017DB" w:rsidP="006017DB">
            <w:pPr>
              <w:ind w:left="-20" w:right="-20"/>
              <w:rPr>
                <w:rFonts w:ascii="Times New Roman" w:eastAsia="Times New Roman" w:hAnsi="Times New Roman" w:cs="Times New Roman"/>
                <w:sz w:val="20"/>
                <w:szCs w:val="20"/>
                <w:lang w:val="fr"/>
              </w:rPr>
            </w:pPr>
            <w:r w:rsidRPr="0011041E">
              <w:rPr>
                <w:rFonts w:ascii="Times New Roman" w:eastAsia="Times New Roman" w:hAnsi="Times New Roman" w:cs="Times New Roman"/>
                <w:sz w:val="20"/>
                <w:szCs w:val="20"/>
                <w:lang w:val="fr"/>
              </w:rPr>
              <w:t xml:space="preserve">DS1-05  </w:t>
            </w:r>
          </w:p>
          <w:p w14:paraId="3226133F" w14:textId="77777777" w:rsidR="006017DB" w:rsidRPr="0011041E" w:rsidRDefault="006017DB" w:rsidP="006017DB">
            <w:pPr>
              <w:ind w:left="-20" w:right="-20"/>
              <w:rPr>
                <w:rFonts w:ascii="Times New Roman" w:eastAsia="Times New Roman" w:hAnsi="Times New Roman" w:cs="Times New Roman"/>
                <w:sz w:val="20"/>
                <w:szCs w:val="20"/>
                <w:lang w:val="fr"/>
              </w:rPr>
            </w:pPr>
            <w:r w:rsidRPr="0011041E">
              <w:rPr>
                <w:rFonts w:ascii="Times New Roman" w:eastAsia="Times New Roman" w:hAnsi="Times New Roman" w:cs="Times New Roman"/>
                <w:sz w:val="20"/>
                <w:szCs w:val="20"/>
                <w:lang w:val="fr"/>
              </w:rPr>
              <w:t xml:space="preserve">DS1-06 </w:t>
            </w:r>
          </w:p>
          <w:p w14:paraId="79BD377E" w14:textId="77777777" w:rsidR="006017DB" w:rsidRPr="0011041E" w:rsidRDefault="006017DB" w:rsidP="006017DB">
            <w:pPr>
              <w:ind w:left="-20" w:right="-20"/>
              <w:rPr>
                <w:rFonts w:ascii="Times New Roman" w:eastAsia="Times New Roman" w:hAnsi="Times New Roman" w:cs="Times New Roman"/>
                <w:sz w:val="20"/>
                <w:szCs w:val="20"/>
                <w:lang w:val="fr"/>
              </w:rPr>
            </w:pPr>
            <w:r w:rsidRPr="0011041E">
              <w:rPr>
                <w:rFonts w:ascii="Times New Roman" w:eastAsia="Times New Roman" w:hAnsi="Times New Roman" w:cs="Times New Roman"/>
                <w:sz w:val="20"/>
                <w:szCs w:val="20"/>
                <w:lang w:val="fr"/>
              </w:rPr>
              <w:t xml:space="preserve">DS1-07 </w:t>
            </w:r>
          </w:p>
          <w:p w14:paraId="6B06D448" w14:textId="77777777" w:rsidR="006017DB" w:rsidRPr="0011041E" w:rsidRDefault="006017DB" w:rsidP="006017DB">
            <w:pPr>
              <w:ind w:left="-20" w:right="-20"/>
              <w:rPr>
                <w:rFonts w:ascii="Times New Roman" w:eastAsia="Times New Roman" w:hAnsi="Times New Roman" w:cs="Times New Roman"/>
                <w:sz w:val="20"/>
                <w:szCs w:val="20"/>
                <w:lang w:val="fr"/>
              </w:rPr>
            </w:pPr>
            <w:r w:rsidRPr="0011041E">
              <w:rPr>
                <w:rFonts w:ascii="Times New Roman" w:eastAsia="Times New Roman" w:hAnsi="Times New Roman" w:cs="Times New Roman"/>
                <w:sz w:val="20"/>
                <w:szCs w:val="20"/>
                <w:lang w:val="fr"/>
              </w:rPr>
              <w:t xml:space="preserve"> </w:t>
            </w:r>
          </w:p>
          <w:p w14:paraId="4C5207D7" w14:textId="000AC393" w:rsidR="006017DB" w:rsidRPr="0011041E" w:rsidRDefault="006017DB" w:rsidP="006017DB">
            <w:pPr>
              <w:ind w:left="-20" w:right="-20"/>
              <w:rPr>
                <w:rFonts w:ascii="Times New Roman" w:eastAsia="Times New Roman" w:hAnsi="Times New Roman" w:cs="Times New Roman"/>
                <w:sz w:val="20"/>
                <w:szCs w:val="20"/>
                <w:lang w:val="fr-FR"/>
              </w:rPr>
            </w:pPr>
            <w:r w:rsidRPr="0011041E">
              <w:rPr>
                <w:rFonts w:ascii="Times New Roman" w:eastAsia="Times New Roman" w:hAnsi="Times New Roman" w:cs="Times New Roman"/>
                <w:sz w:val="20"/>
                <w:szCs w:val="20"/>
                <w:lang w:val="fr"/>
              </w:rPr>
              <w:t>DS2-02, DS2-04 DS2-05, DS2-06, DS2-07</w:t>
            </w:r>
          </w:p>
        </w:tc>
        <w:tc>
          <w:tcPr>
            <w:tcW w:w="425" w:type="dxa"/>
            <w:tcBorders>
              <w:top w:val="single" w:sz="8" w:space="0" w:color="auto"/>
              <w:left w:val="single" w:sz="8" w:space="0" w:color="auto"/>
              <w:bottom w:val="single" w:sz="8" w:space="0" w:color="auto"/>
              <w:right w:val="single" w:sz="8" w:space="0" w:color="auto"/>
            </w:tcBorders>
          </w:tcPr>
          <w:p w14:paraId="02039A67" w14:textId="37FD83CB" w:rsidR="006017DB" w:rsidRPr="00BA40DC" w:rsidRDefault="006017DB" w:rsidP="006017DB">
            <w:pPr>
              <w:ind w:left="-20" w:right="-20"/>
              <w:rPr>
                <w:rFonts w:ascii="Times New Roman" w:eastAsia="Times New Roman" w:hAnsi="Times New Roman" w:cs="Times New Roman"/>
              </w:rPr>
            </w:pPr>
            <w:r w:rsidRPr="00BA40DC">
              <w:rPr>
                <w:rFonts w:ascii="Times New Roman" w:eastAsia="Times New Roman" w:hAnsi="Times New Roman" w:cs="Times New Roman"/>
                <w:lang w:val="fr"/>
              </w:rPr>
              <w:t>10</w:t>
            </w:r>
          </w:p>
        </w:tc>
      </w:tr>
      <w:tr w:rsidR="00E42008" w:rsidRPr="00BA40DC" w14:paraId="2D3C09E3" w14:textId="77777777" w:rsidTr="004565EF">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tcPr>
          <w:p w14:paraId="0AFDBB43" w14:textId="44409CAC" w:rsidR="00E42008" w:rsidRPr="00BA40DC" w:rsidRDefault="0011041E" w:rsidP="00921A9A">
            <w:pPr>
              <w:ind w:left="-20" w:right="-20"/>
              <w:rPr>
                <w:rFonts w:ascii="Times New Roman" w:eastAsia="Times New Roman" w:hAnsi="Times New Roman" w:cs="Times New Roman"/>
              </w:rPr>
            </w:pPr>
            <w:r>
              <w:rPr>
                <w:rFonts w:ascii="Times New Roman" w:eastAsia="Times New Roman" w:hAnsi="Times New Roman" w:cs="Times New Roman"/>
              </w:rPr>
              <w:t xml:space="preserve">3. </w:t>
            </w:r>
            <w:r w:rsidR="00E42008" w:rsidRPr="00BA40DC">
              <w:rPr>
                <w:rFonts w:ascii="Times New Roman" w:eastAsia="Times New Roman" w:hAnsi="Times New Roman" w:cs="Times New Roman"/>
              </w:rPr>
              <w:t xml:space="preserve">Appraisal and evaluation system </w:t>
            </w:r>
          </w:p>
        </w:tc>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4C929649" w14:textId="133BF68E" w:rsidR="00E42008" w:rsidRPr="00BA40DC" w:rsidRDefault="00E42008" w:rsidP="00040DC6">
            <w:pPr>
              <w:ind w:right="-20"/>
              <w:rPr>
                <w:rFonts w:ascii="Times New Roman" w:eastAsia="Times New Roman" w:hAnsi="Times New Roman" w:cs="Times New Roman"/>
                <w:u w:val="single"/>
              </w:rPr>
            </w:pPr>
            <w:r w:rsidRPr="00BA40DC">
              <w:rPr>
                <w:rFonts w:ascii="Times New Roman" w:eastAsia="Times New Roman" w:hAnsi="Times New Roman" w:cs="Times New Roman"/>
              </w:rPr>
              <w:t xml:space="preserve">Site 1 is described to have an appraisal system in place, but only a minority of </w:t>
            </w:r>
            <w:r w:rsidR="006017DB" w:rsidRPr="00BA40DC">
              <w:rPr>
                <w:rFonts w:ascii="Times New Roman" w:eastAsia="Times New Roman" w:hAnsi="Times New Roman" w:cs="Times New Roman"/>
              </w:rPr>
              <w:t>teachers</w:t>
            </w:r>
            <w:r w:rsidRPr="00BA40DC">
              <w:rPr>
                <w:rFonts w:ascii="Times New Roman" w:eastAsia="Times New Roman" w:hAnsi="Times New Roman" w:cs="Times New Roman"/>
              </w:rPr>
              <w:t xml:space="preserve"> are eligible for </w:t>
            </w:r>
            <w:r w:rsidRPr="00BA40DC">
              <w:rPr>
                <w:rFonts w:ascii="Times New Roman" w:eastAsia="Times New Roman" w:hAnsi="Times New Roman" w:cs="Times New Roman"/>
              </w:rPr>
              <w:lastRenderedPageBreak/>
              <w:t xml:space="preserve">annual appraisals based on their teaching performance. It mainly depends on their designation and full-time equivalency. Site 2 </w:t>
            </w:r>
            <w:r w:rsidR="004565EF">
              <w:rPr>
                <w:rFonts w:ascii="Times New Roman" w:eastAsia="Times New Roman" w:hAnsi="Times New Roman" w:cs="Times New Roman"/>
              </w:rPr>
              <w:t>records represent a</w:t>
            </w:r>
            <w:r w:rsidRPr="00BA40DC">
              <w:rPr>
                <w:rFonts w:ascii="Times New Roman" w:eastAsia="Times New Roman" w:hAnsi="Times New Roman" w:cs="Times New Roman"/>
              </w:rPr>
              <w:t xml:space="preserve"> more systematic appraisal and evaluation system in place that includes annual reviews of clinical teachers. </w:t>
            </w:r>
          </w:p>
          <w:p w14:paraId="2E9C521A" w14:textId="77777777" w:rsidR="00E42008" w:rsidRPr="00BA40DC" w:rsidRDefault="00E42008" w:rsidP="00921A9A">
            <w:pPr>
              <w:ind w:left="-20" w:right="-20"/>
              <w:rPr>
                <w:rFonts w:ascii="Times New Roman" w:eastAsia="Times New Roman" w:hAnsi="Times New Roman" w:cs="Times New Roman"/>
              </w:rPr>
            </w:pPr>
            <w:r w:rsidRPr="00BA40DC">
              <w:rPr>
                <w:rFonts w:ascii="Times New Roman" w:eastAsia="Times New Roman" w:hAnsi="Times New Roman" w:cs="Times New Roman"/>
              </w:rPr>
              <w:t xml:space="preserve"> </w:t>
            </w:r>
          </w:p>
          <w:p w14:paraId="78573FC1" w14:textId="43159FA0" w:rsidR="00E42008" w:rsidRPr="00BA40DC" w:rsidRDefault="00E42008" w:rsidP="006017DB">
            <w:pPr>
              <w:ind w:left="-20" w:right="-20"/>
              <w:rPr>
                <w:rFonts w:ascii="Times New Roman" w:eastAsia="Times New Roman" w:hAnsi="Times New Roman" w:cs="Times New Roman"/>
              </w:rPr>
            </w:pPr>
          </w:p>
        </w:tc>
        <w:tc>
          <w:tcPr>
            <w:tcW w:w="2819" w:type="dxa"/>
            <w:tcBorders>
              <w:top w:val="single" w:sz="8" w:space="0" w:color="auto"/>
              <w:left w:val="single" w:sz="8" w:space="0" w:color="auto"/>
              <w:bottom w:val="single" w:sz="8" w:space="0" w:color="auto"/>
              <w:right w:val="single" w:sz="8" w:space="0" w:color="auto"/>
            </w:tcBorders>
            <w:tcMar>
              <w:left w:w="108" w:type="dxa"/>
              <w:right w:w="108" w:type="dxa"/>
            </w:tcMar>
          </w:tcPr>
          <w:p w14:paraId="17A47C17" w14:textId="77777777" w:rsidR="00E42008" w:rsidRPr="00BA40DC" w:rsidRDefault="00E42008" w:rsidP="00921A9A">
            <w:pPr>
              <w:ind w:left="-20" w:right="-20"/>
              <w:rPr>
                <w:rFonts w:ascii="Times New Roman" w:eastAsia="Times New Roman" w:hAnsi="Times New Roman" w:cs="Times New Roman"/>
              </w:rPr>
            </w:pPr>
            <w:r w:rsidRPr="00BA40DC">
              <w:rPr>
                <w:rFonts w:ascii="Times New Roman" w:eastAsia="Times New Roman" w:hAnsi="Times New Roman" w:cs="Times New Roman"/>
              </w:rPr>
              <w:lastRenderedPageBreak/>
              <w:t xml:space="preserve">1. Appraisals and evaluations are described as important elements to inform </w:t>
            </w:r>
            <w:r w:rsidRPr="00BA40DC">
              <w:rPr>
                <w:rFonts w:ascii="Times New Roman" w:eastAsia="Times New Roman" w:hAnsi="Times New Roman" w:cs="Times New Roman"/>
              </w:rPr>
              <w:lastRenderedPageBreak/>
              <w:t xml:space="preserve">performance reviews, quality improvement and reward decisions, including for academic promotion. </w:t>
            </w:r>
          </w:p>
          <w:p w14:paraId="4ADC6FA9" w14:textId="77777777" w:rsidR="00040DC6" w:rsidRPr="00BA40DC" w:rsidRDefault="00040DC6" w:rsidP="00921A9A">
            <w:pPr>
              <w:ind w:left="-20" w:right="-20"/>
              <w:rPr>
                <w:rFonts w:ascii="Times New Roman" w:eastAsia="Times New Roman" w:hAnsi="Times New Roman" w:cs="Times New Roman"/>
              </w:rPr>
            </w:pPr>
          </w:p>
          <w:p w14:paraId="1C394D2F" w14:textId="77777777" w:rsidR="00E42008" w:rsidRPr="00BA40DC" w:rsidRDefault="00E42008" w:rsidP="00921A9A">
            <w:pPr>
              <w:ind w:left="-20" w:right="-20"/>
              <w:rPr>
                <w:rFonts w:ascii="Times New Roman" w:eastAsia="Times New Roman" w:hAnsi="Times New Roman" w:cs="Times New Roman"/>
              </w:rPr>
            </w:pPr>
            <w:r w:rsidRPr="00BA40DC">
              <w:rPr>
                <w:rFonts w:ascii="Times New Roman" w:eastAsia="Times New Roman" w:hAnsi="Times New Roman" w:cs="Times New Roman"/>
              </w:rPr>
              <w:t xml:space="preserve">2. Learner evaluations are the most commonly reported source of evaluation data at both sites. </w:t>
            </w:r>
          </w:p>
          <w:p w14:paraId="5496F6C5" w14:textId="73554FE1" w:rsidR="00E42008" w:rsidRPr="00BA40DC" w:rsidRDefault="00E42008" w:rsidP="004565EF">
            <w:pPr>
              <w:ind w:right="-20"/>
              <w:rPr>
                <w:rFonts w:ascii="Times New Roman" w:eastAsia="Times New Roman" w:hAnsi="Times New Roman" w:cs="Times New Roman"/>
              </w:rPr>
            </w:pPr>
          </w:p>
        </w:tc>
        <w:tc>
          <w:tcPr>
            <w:tcW w:w="866" w:type="dxa"/>
            <w:tcBorders>
              <w:top w:val="single" w:sz="8" w:space="0" w:color="auto"/>
              <w:left w:val="single" w:sz="8" w:space="0" w:color="auto"/>
              <w:bottom w:val="single" w:sz="8" w:space="0" w:color="auto"/>
              <w:right w:val="single" w:sz="8" w:space="0" w:color="auto"/>
            </w:tcBorders>
            <w:tcMar>
              <w:left w:w="108" w:type="dxa"/>
              <w:right w:w="108" w:type="dxa"/>
            </w:tcMar>
          </w:tcPr>
          <w:p w14:paraId="3E85C247" w14:textId="77777777" w:rsidR="00E42008" w:rsidRPr="0011041E" w:rsidRDefault="00E42008" w:rsidP="00921A9A">
            <w:pPr>
              <w:ind w:left="-20" w:right="-20"/>
              <w:rPr>
                <w:rFonts w:ascii="Times New Roman" w:eastAsia="Times New Roman" w:hAnsi="Times New Roman" w:cs="Times New Roman"/>
                <w:sz w:val="20"/>
                <w:szCs w:val="20"/>
                <w:lang w:val="fr"/>
              </w:rPr>
            </w:pPr>
            <w:r w:rsidRPr="0011041E">
              <w:rPr>
                <w:rFonts w:ascii="Times New Roman" w:eastAsia="Times New Roman" w:hAnsi="Times New Roman" w:cs="Times New Roman"/>
                <w:sz w:val="20"/>
                <w:szCs w:val="20"/>
                <w:lang w:val="fr"/>
              </w:rPr>
              <w:lastRenderedPageBreak/>
              <w:t xml:space="preserve">DS1-03  </w:t>
            </w:r>
          </w:p>
          <w:p w14:paraId="2C7AE80C" w14:textId="77777777" w:rsidR="00E42008" w:rsidRPr="0011041E" w:rsidRDefault="00E42008" w:rsidP="00921A9A">
            <w:pPr>
              <w:ind w:left="-20" w:right="-20"/>
              <w:rPr>
                <w:rFonts w:ascii="Times New Roman" w:eastAsia="Times New Roman" w:hAnsi="Times New Roman" w:cs="Times New Roman"/>
                <w:sz w:val="20"/>
                <w:szCs w:val="20"/>
                <w:lang w:val="fr"/>
              </w:rPr>
            </w:pPr>
            <w:r w:rsidRPr="0011041E">
              <w:rPr>
                <w:rFonts w:ascii="Times New Roman" w:eastAsia="Times New Roman" w:hAnsi="Times New Roman" w:cs="Times New Roman"/>
                <w:sz w:val="20"/>
                <w:szCs w:val="20"/>
                <w:lang w:val="fr"/>
              </w:rPr>
              <w:t xml:space="preserve">DS1-04  </w:t>
            </w:r>
          </w:p>
          <w:p w14:paraId="0224EE6D" w14:textId="77777777" w:rsidR="00E42008" w:rsidRPr="0011041E" w:rsidRDefault="00E42008" w:rsidP="00921A9A">
            <w:pPr>
              <w:ind w:left="-20" w:right="-20"/>
              <w:rPr>
                <w:rFonts w:ascii="Times New Roman" w:eastAsia="Times New Roman" w:hAnsi="Times New Roman" w:cs="Times New Roman"/>
                <w:sz w:val="20"/>
                <w:szCs w:val="20"/>
                <w:lang w:val="fr"/>
              </w:rPr>
            </w:pPr>
            <w:r w:rsidRPr="0011041E">
              <w:rPr>
                <w:rFonts w:ascii="Times New Roman" w:eastAsia="Times New Roman" w:hAnsi="Times New Roman" w:cs="Times New Roman"/>
                <w:sz w:val="20"/>
                <w:szCs w:val="20"/>
                <w:lang w:val="fr"/>
              </w:rPr>
              <w:t xml:space="preserve">DS1-05  </w:t>
            </w:r>
          </w:p>
          <w:p w14:paraId="5DDB8BCF" w14:textId="77777777" w:rsidR="00E42008" w:rsidRPr="0011041E" w:rsidRDefault="00E42008" w:rsidP="00921A9A">
            <w:pPr>
              <w:ind w:left="-20" w:right="-20"/>
              <w:rPr>
                <w:rFonts w:ascii="Times New Roman" w:eastAsia="Times New Roman" w:hAnsi="Times New Roman" w:cs="Times New Roman"/>
                <w:sz w:val="20"/>
                <w:szCs w:val="20"/>
                <w:lang w:val="fr"/>
              </w:rPr>
            </w:pPr>
            <w:r w:rsidRPr="0011041E">
              <w:rPr>
                <w:rFonts w:ascii="Times New Roman" w:eastAsia="Times New Roman" w:hAnsi="Times New Roman" w:cs="Times New Roman"/>
                <w:sz w:val="20"/>
                <w:szCs w:val="20"/>
                <w:lang w:val="fr"/>
              </w:rPr>
              <w:lastRenderedPageBreak/>
              <w:t xml:space="preserve">DS1-06 </w:t>
            </w:r>
          </w:p>
          <w:p w14:paraId="4A8F7797" w14:textId="77777777" w:rsidR="00E42008" w:rsidRPr="0011041E" w:rsidRDefault="00E42008" w:rsidP="00921A9A">
            <w:pPr>
              <w:ind w:left="-20" w:right="-20"/>
              <w:rPr>
                <w:rFonts w:ascii="Times New Roman" w:eastAsia="Times New Roman" w:hAnsi="Times New Roman" w:cs="Times New Roman"/>
                <w:sz w:val="20"/>
                <w:szCs w:val="20"/>
                <w:lang w:val="fr"/>
              </w:rPr>
            </w:pPr>
            <w:r w:rsidRPr="0011041E">
              <w:rPr>
                <w:rFonts w:ascii="Times New Roman" w:eastAsia="Times New Roman" w:hAnsi="Times New Roman" w:cs="Times New Roman"/>
                <w:sz w:val="20"/>
                <w:szCs w:val="20"/>
                <w:lang w:val="fr"/>
              </w:rPr>
              <w:t xml:space="preserve">DS1-07 </w:t>
            </w:r>
          </w:p>
          <w:p w14:paraId="7CEBC234" w14:textId="77777777" w:rsidR="00E42008" w:rsidRPr="0011041E" w:rsidRDefault="00E42008" w:rsidP="00921A9A">
            <w:pPr>
              <w:ind w:left="-20" w:right="-20"/>
              <w:rPr>
                <w:rFonts w:ascii="Times New Roman" w:eastAsia="Times New Roman" w:hAnsi="Times New Roman" w:cs="Times New Roman"/>
                <w:sz w:val="20"/>
                <w:szCs w:val="20"/>
                <w:lang w:val="fr"/>
              </w:rPr>
            </w:pPr>
            <w:r w:rsidRPr="0011041E">
              <w:rPr>
                <w:rFonts w:ascii="Times New Roman" w:eastAsia="Times New Roman" w:hAnsi="Times New Roman" w:cs="Times New Roman"/>
                <w:sz w:val="20"/>
                <w:szCs w:val="20"/>
                <w:lang w:val="fr"/>
              </w:rPr>
              <w:t xml:space="preserve"> </w:t>
            </w:r>
          </w:p>
          <w:p w14:paraId="7B8649BC" w14:textId="77777777" w:rsidR="00E42008" w:rsidRPr="0011041E" w:rsidRDefault="00E42008" w:rsidP="00921A9A">
            <w:pPr>
              <w:ind w:left="-20" w:right="-20"/>
              <w:rPr>
                <w:rFonts w:ascii="Times New Roman" w:eastAsia="Times New Roman" w:hAnsi="Times New Roman" w:cs="Times New Roman"/>
                <w:sz w:val="20"/>
                <w:szCs w:val="20"/>
                <w:lang w:val="fr"/>
              </w:rPr>
            </w:pPr>
            <w:r w:rsidRPr="0011041E">
              <w:rPr>
                <w:rFonts w:ascii="Times New Roman" w:eastAsia="Times New Roman" w:hAnsi="Times New Roman" w:cs="Times New Roman"/>
                <w:sz w:val="20"/>
                <w:szCs w:val="20"/>
                <w:lang w:val="fr"/>
              </w:rPr>
              <w:t>DS2-02, DS2-04 DS2-05, DS2-06, DS2-07</w:t>
            </w:r>
          </w:p>
        </w:tc>
        <w:tc>
          <w:tcPr>
            <w:tcW w:w="425" w:type="dxa"/>
            <w:tcBorders>
              <w:top w:val="single" w:sz="8" w:space="0" w:color="auto"/>
              <w:left w:val="single" w:sz="8" w:space="0" w:color="auto"/>
              <w:bottom w:val="single" w:sz="8" w:space="0" w:color="auto"/>
              <w:right w:val="single" w:sz="8" w:space="0" w:color="auto"/>
            </w:tcBorders>
          </w:tcPr>
          <w:p w14:paraId="69C7B372" w14:textId="77777777" w:rsidR="00E42008" w:rsidRPr="00BA40DC" w:rsidRDefault="00E42008" w:rsidP="00921A9A">
            <w:pPr>
              <w:ind w:left="-20" w:right="-20"/>
              <w:rPr>
                <w:rFonts w:ascii="Times New Roman" w:eastAsia="Times New Roman" w:hAnsi="Times New Roman" w:cs="Times New Roman"/>
                <w:lang w:val="fr"/>
              </w:rPr>
            </w:pPr>
            <w:r w:rsidRPr="00BA40DC">
              <w:rPr>
                <w:rFonts w:ascii="Times New Roman" w:eastAsia="Times New Roman" w:hAnsi="Times New Roman" w:cs="Times New Roman"/>
                <w:lang w:val="fr"/>
              </w:rPr>
              <w:lastRenderedPageBreak/>
              <w:t>10</w:t>
            </w:r>
          </w:p>
        </w:tc>
      </w:tr>
      <w:tr w:rsidR="00E42008" w:rsidRPr="00BA40DC" w14:paraId="147D1D0F" w14:textId="77777777" w:rsidTr="004565EF">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tcPr>
          <w:p w14:paraId="73540B66" w14:textId="280640AF" w:rsidR="00E42008" w:rsidRPr="00BA40DC" w:rsidRDefault="0011041E" w:rsidP="00921A9A">
            <w:pPr>
              <w:ind w:left="-20" w:right="-20"/>
              <w:rPr>
                <w:rFonts w:ascii="Times New Roman" w:eastAsia="Times New Roman" w:hAnsi="Times New Roman" w:cs="Times New Roman"/>
              </w:rPr>
            </w:pPr>
            <w:r>
              <w:rPr>
                <w:rFonts w:ascii="Times New Roman" w:eastAsia="Times New Roman" w:hAnsi="Times New Roman" w:cs="Times New Roman"/>
              </w:rPr>
              <w:t xml:space="preserve">4. </w:t>
            </w:r>
            <w:r w:rsidR="00E42008" w:rsidRPr="00BA40DC">
              <w:rPr>
                <w:rFonts w:ascii="Times New Roman" w:eastAsia="Times New Roman" w:hAnsi="Times New Roman" w:cs="Times New Roman"/>
              </w:rPr>
              <w:t xml:space="preserve">Training and resources for clinical teaching and education faculty  </w:t>
            </w:r>
          </w:p>
        </w:tc>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7A464242" w14:textId="0F753743" w:rsidR="00E42008" w:rsidRPr="00BA40DC" w:rsidRDefault="00E42008" w:rsidP="00921A9A">
            <w:pPr>
              <w:ind w:left="-20" w:right="-20"/>
              <w:rPr>
                <w:rFonts w:ascii="Times New Roman" w:eastAsia="Times New Roman" w:hAnsi="Times New Roman" w:cs="Times New Roman"/>
              </w:rPr>
            </w:pPr>
            <w:r w:rsidRPr="00BA40DC">
              <w:rPr>
                <w:rFonts w:ascii="Times New Roman" w:eastAsia="Times New Roman" w:hAnsi="Times New Roman" w:cs="Times New Roman"/>
              </w:rPr>
              <w:t>1. Site 1 documents mostly describe the training</w:t>
            </w:r>
            <w:r w:rsidR="00040DC6" w:rsidRPr="00BA40DC">
              <w:rPr>
                <w:rFonts w:ascii="Times New Roman" w:eastAsia="Times New Roman" w:hAnsi="Times New Roman" w:cs="Times New Roman"/>
              </w:rPr>
              <w:t xml:space="preserve">, protected time and some </w:t>
            </w:r>
            <w:r w:rsidRPr="00BA40DC">
              <w:rPr>
                <w:rFonts w:ascii="Times New Roman" w:eastAsia="Times New Roman" w:hAnsi="Times New Roman" w:cs="Times New Roman"/>
              </w:rPr>
              <w:t xml:space="preserve">available services for clinical teachers. Site 2 documents describe a wider range of resources and services beyond FD for clinical teachers, including teaching support services, dossier templates, guidelines, and stipends dedicated for teaching hours.  </w:t>
            </w:r>
          </w:p>
          <w:p w14:paraId="79BF22EC" w14:textId="77777777" w:rsidR="00040DC6" w:rsidRPr="00BA40DC" w:rsidRDefault="00040DC6" w:rsidP="00921A9A">
            <w:pPr>
              <w:ind w:left="-20" w:right="-20"/>
              <w:rPr>
                <w:rFonts w:ascii="Times New Roman" w:eastAsia="Times New Roman" w:hAnsi="Times New Roman" w:cs="Times New Roman"/>
              </w:rPr>
            </w:pPr>
          </w:p>
          <w:p w14:paraId="4A4094C2" w14:textId="77777777" w:rsidR="00E42008" w:rsidRPr="00BA40DC" w:rsidRDefault="00E42008" w:rsidP="00921A9A">
            <w:pPr>
              <w:ind w:left="-20" w:right="-20"/>
              <w:rPr>
                <w:rFonts w:ascii="Times New Roman" w:eastAsia="Times New Roman" w:hAnsi="Times New Roman" w:cs="Times New Roman"/>
              </w:rPr>
            </w:pPr>
            <w:r w:rsidRPr="00BA40DC">
              <w:rPr>
                <w:rFonts w:ascii="Times New Roman" w:eastAsia="Times New Roman" w:hAnsi="Times New Roman" w:cs="Times New Roman"/>
              </w:rPr>
              <w:t xml:space="preserve">2. Site 2 documents describe specific forms of FD, including peer coaching and mentoring, peer to peer observation (matching to a colleague for peer feedback). Site 1 documents do not provide this in-depth description of the available forms of FD.  </w:t>
            </w:r>
          </w:p>
          <w:p w14:paraId="170F13B7" w14:textId="77777777" w:rsidR="00BA40DC" w:rsidRPr="00BA40DC" w:rsidRDefault="00BA40DC" w:rsidP="00921A9A">
            <w:pPr>
              <w:ind w:left="-20" w:right="-20"/>
              <w:rPr>
                <w:rFonts w:ascii="Times New Roman" w:eastAsia="Times New Roman" w:hAnsi="Times New Roman" w:cs="Times New Roman"/>
              </w:rPr>
            </w:pPr>
          </w:p>
          <w:p w14:paraId="7468E811" w14:textId="61CB234A" w:rsidR="00BA40DC" w:rsidRPr="00BA40DC" w:rsidRDefault="00BA40DC" w:rsidP="00BA40DC">
            <w:pPr>
              <w:spacing w:line="240" w:lineRule="auto"/>
              <w:ind w:left="-20" w:right="-20"/>
              <w:rPr>
                <w:rFonts w:ascii="Times New Roman" w:eastAsia="Times New Roman" w:hAnsi="Times New Roman" w:cs="Times New Roman"/>
              </w:rPr>
            </w:pPr>
            <w:r w:rsidRPr="00BA40DC">
              <w:rPr>
                <w:rFonts w:ascii="Times New Roman" w:eastAsia="Times New Roman" w:hAnsi="Times New Roman" w:cs="Times New Roman"/>
              </w:rPr>
              <w:t xml:space="preserve">3. </w:t>
            </w:r>
            <w:r w:rsidRPr="00BA40DC">
              <w:rPr>
                <w:rFonts w:ascii="Times New Roman" w:hAnsi="Times New Roman" w:cs="Times New Roman"/>
                <w:lang w:val="en"/>
              </w:rPr>
              <w:t>Some site 1 documents with details on the resources (financial, training) and incentives for performances appear to be available only to select individuals. In contrast, all the documents retrieved from site 2 are publicly accessible</w:t>
            </w:r>
            <w:r w:rsidR="004565EF">
              <w:rPr>
                <w:rFonts w:ascii="Times New Roman" w:hAnsi="Times New Roman" w:cs="Times New Roman"/>
                <w:lang w:val="en"/>
              </w:rPr>
              <w:t xml:space="preserve"> to all</w:t>
            </w:r>
            <w:r w:rsidRPr="00BA40DC">
              <w:rPr>
                <w:rFonts w:ascii="Times New Roman" w:hAnsi="Times New Roman" w:cs="Times New Roman"/>
                <w:lang w:val="en"/>
              </w:rPr>
              <w:t xml:space="preserve">, including guidelines, manuals, dossier templates, checklists, </w:t>
            </w:r>
            <w:proofErr w:type="spellStart"/>
            <w:r w:rsidRPr="00BA40DC">
              <w:rPr>
                <w:rFonts w:ascii="Times New Roman" w:hAnsi="Times New Roman" w:cs="Times New Roman"/>
                <w:lang w:val="en"/>
              </w:rPr>
              <w:t>etc</w:t>
            </w:r>
            <w:proofErr w:type="spellEnd"/>
            <w:r w:rsidRPr="00BA40DC">
              <w:rPr>
                <w:rFonts w:ascii="Times New Roman" w:hAnsi="Times New Roman" w:cs="Times New Roman"/>
                <w:lang w:val="en"/>
              </w:rPr>
              <w:t>…</w:t>
            </w:r>
          </w:p>
        </w:tc>
        <w:tc>
          <w:tcPr>
            <w:tcW w:w="2819" w:type="dxa"/>
            <w:tcBorders>
              <w:top w:val="single" w:sz="8" w:space="0" w:color="auto"/>
              <w:left w:val="single" w:sz="8" w:space="0" w:color="auto"/>
              <w:bottom w:val="single" w:sz="8" w:space="0" w:color="auto"/>
              <w:right w:val="single" w:sz="8" w:space="0" w:color="auto"/>
            </w:tcBorders>
            <w:tcMar>
              <w:left w:w="108" w:type="dxa"/>
              <w:right w:w="108" w:type="dxa"/>
            </w:tcMar>
          </w:tcPr>
          <w:p w14:paraId="779BCB62" w14:textId="77777777" w:rsidR="00E42008" w:rsidRPr="00BA40DC" w:rsidRDefault="00E42008" w:rsidP="00921A9A">
            <w:pPr>
              <w:ind w:left="-20" w:right="-20"/>
              <w:rPr>
                <w:rFonts w:ascii="Times New Roman" w:eastAsia="Times New Roman" w:hAnsi="Times New Roman" w:cs="Times New Roman"/>
              </w:rPr>
            </w:pPr>
            <w:r w:rsidRPr="00BA40DC">
              <w:rPr>
                <w:rFonts w:ascii="Times New Roman" w:eastAsia="Times New Roman" w:hAnsi="Times New Roman" w:cs="Times New Roman"/>
              </w:rPr>
              <w:t xml:space="preserve">Both sites are described to have dedicated FD initiatives (workshops, courses) available for clinical teachers to improve their teaching skills.  </w:t>
            </w:r>
          </w:p>
        </w:tc>
        <w:tc>
          <w:tcPr>
            <w:tcW w:w="866" w:type="dxa"/>
            <w:tcBorders>
              <w:top w:val="single" w:sz="8" w:space="0" w:color="auto"/>
              <w:left w:val="single" w:sz="8" w:space="0" w:color="auto"/>
              <w:bottom w:val="single" w:sz="8" w:space="0" w:color="auto"/>
              <w:right w:val="single" w:sz="8" w:space="0" w:color="auto"/>
            </w:tcBorders>
            <w:tcMar>
              <w:left w:w="108" w:type="dxa"/>
              <w:right w:w="108" w:type="dxa"/>
            </w:tcMar>
          </w:tcPr>
          <w:p w14:paraId="2ED66E81" w14:textId="77777777" w:rsidR="00E42008" w:rsidRPr="0011041E" w:rsidRDefault="00E42008" w:rsidP="00921A9A">
            <w:pPr>
              <w:ind w:left="-20" w:right="-20"/>
              <w:rPr>
                <w:rFonts w:ascii="Times New Roman" w:eastAsia="Times New Roman" w:hAnsi="Times New Roman" w:cs="Times New Roman"/>
                <w:sz w:val="20"/>
                <w:szCs w:val="20"/>
                <w:lang w:val="fr-FR"/>
              </w:rPr>
            </w:pPr>
            <w:r w:rsidRPr="0011041E">
              <w:rPr>
                <w:rFonts w:ascii="Times New Roman" w:eastAsia="Times New Roman" w:hAnsi="Times New Roman" w:cs="Times New Roman"/>
                <w:sz w:val="20"/>
                <w:szCs w:val="20"/>
                <w:lang w:val="fr-FR"/>
              </w:rPr>
              <w:t xml:space="preserve">DS1-01  </w:t>
            </w:r>
          </w:p>
          <w:p w14:paraId="735A2719" w14:textId="77777777" w:rsidR="00E42008" w:rsidRPr="0011041E" w:rsidRDefault="00E42008" w:rsidP="00921A9A">
            <w:pPr>
              <w:ind w:left="-20" w:right="-20"/>
              <w:rPr>
                <w:rFonts w:ascii="Times New Roman" w:eastAsia="Times New Roman" w:hAnsi="Times New Roman" w:cs="Times New Roman"/>
                <w:sz w:val="20"/>
                <w:szCs w:val="20"/>
                <w:lang w:val="fr-FR"/>
              </w:rPr>
            </w:pPr>
            <w:r w:rsidRPr="0011041E">
              <w:rPr>
                <w:rFonts w:ascii="Times New Roman" w:eastAsia="Times New Roman" w:hAnsi="Times New Roman" w:cs="Times New Roman"/>
                <w:sz w:val="20"/>
                <w:szCs w:val="20"/>
                <w:lang w:val="fr-FR"/>
              </w:rPr>
              <w:t xml:space="preserve">DS1-02  </w:t>
            </w:r>
          </w:p>
          <w:p w14:paraId="649ADAEC" w14:textId="77777777" w:rsidR="00E42008" w:rsidRPr="0011041E" w:rsidRDefault="00E42008" w:rsidP="00921A9A">
            <w:pPr>
              <w:ind w:left="-20" w:right="-20"/>
              <w:rPr>
                <w:rFonts w:ascii="Times New Roman" w:eastAsia="Times New Roman" w:hAnsi="Times New Roman" w:cs="Times New Roman"/>
                <w:sz w:val="20"/>
                <w:szCs w:val="20"/>
                <w:lang w:val="fr-FR"/>
              </w:rPr>
            </w:pPr>
            <w:r w:rsidRPr="0011041E">
              <w:rPr>
                <w:rFonts w:ascii="Times New Roman" w:eastAsia="Times New Roman" w:hAnsi="Times New Roman" w:cs="Times New Roman"/>
                <w:sz w:val="20"/>
                <w:szCs w:val="20"/>
                <w:lang w:val="fr-FR"/>
              </w:rPr>
              <w:t xml:space="preserve"> </w:t>
            </w:r>
          </w:p>
          <w:p w14:paraId="23CD7EDB" w14:textId="77777777" w:rsidR="00E42008" w:rsidRPr="0011041E" w:rsidRDefault="00E42008" w:rsidP="00921A9A">
            <w:pPr>
              <w:ind w:left="-20" w:right="-20"/>
              <w:rPr>
                <w:rFonts w:ascii="Times New Roman" w:eastAsia="Times New Roman" w:hAnsi="Times New Roman" w:cs="Times New Roman"/>
                <w:sz w:val="20"/>
                <w:szCs w:val="20"/>
                <w:lang w:val="fr-FR"/>
              </w:rPr>
            </w:pPr>
            <w:r w:rsidRPr="0011041E">
              <w:rPr>
                <w:rFonts w:ascii="Times New Roman" w:eastAsia="Times New Roman" w:hAnsi="Times New Roman" w:cs="Times New Roman"/>
                <w:sz w:val="20"/>
                <w:szCs w:val="20"/>
                <w:lang w:val="fr-FR"/>
              </w:rPr>
              <w:t xml:space="preserve">DS2-01, DS2-02, DS2-04, DS2-08, DS2-09, DS2-10 </w:t>
            </w:r>
          </w:p>
          <w:p w14:paraId="1D885959" w14:textId="77777777" w:rsidR="00E42008" w:rsidRPr="0011041E" w:rsidRDefault="00E42008" w:rsidP="00921A9A">
            <w:pPr>
              <w:ind w:left="-20" w:right="-20"/>
              <w:rPr>
                <w:rFonts w:ascii="Times New Roman" w:eastAsia="Times New Roman" w:hAnsi="Times New Roman" w:cs="Times New Roman"/>
                <w:sz w:val="20"/>
                <w:szCs w:val="20"/>
              </w:rPr>
            </w:pPr>
            <w:r w:rsidRPr="0011041E">
              <w:rPr>
                <w:rFonts w:ascii="Times New Roman" w:eastAsia="Times New Roman" w:hAnsi="Times New Roman" w:cs="Times New Roman"/>
                <w:sz w:val="20"/>
                <w:szCs w:val="20"/>
              </w:rPr>
              <w:t>DS2-11, DS2-12, DS2-13, DS2-14</w:t>
            </w:r>
          </w:p>
        </w:tc>
        <w:tc>
          <w:tcPr>
            <w:tcW w:w="425" w:type="dxa"/>
            <w:tcBorders>
              <w:top w:val="single" w:sz="8" w:space="0" w:color="auto"/>
              <w:left w:val="single" w:sz="8" w:space="0" w:color="auto"/>
              <w:bottom w:val="single" w:sz="8" w:space="0" w:color="auto"/>
              <w:right w:val="single" w:sz="8" w:space="0" w:color="auto"/>
            </w:tcBorders>
          </w:tcPr>
          <w:p w14:paraId="12D8713E" w14:textId="77777777" w:rsidR="00E42008" w:rsidRPr="00BA40DC" w:rsidRDefault="00E42008" w:rsidP="00921A9A">
            <w:pPr>
              <w:ind w:left="-20" w:right="-20"/>
              <w:rPr>
                <w:rFonts w:ascii="Times New Roman" w:eastAsia="Times New Roman" w:hAnsi="Times New Roman" w:cs="Times New Roman"/>
              </w:rPr>
            </w:pPr>
            <w:r w:rsidRPr="00BA40DC">
              <w:rPr>
                <w:rFonts w:ascii="Times New Roman" w:eastAsia="Times New Roman" w:hAnsi="Times New Roman" w:cs="Times New Roman"/>
              </w:rPr>
              <w:t>12</w:t>
            </w:r>
          </w:p>
        </w:tc>
      </w:tr>
      <w:tr w:rsidR="00E42008" w:rsidRPr="00BA40DC" w14:paraId="234E0CE6" w14:textId="77777777" w:rsidTr="004565EF">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tcPr>
          <w:p w14:paraId="1ED09182" w14:textId="22927CD5" w:rsidR="00E42008" w:rsidRPr="00BA40DC" w:rsidRDefault="0011041E" w:rsidP="00921A9A">
            <w:pPr>
              <w:ind w:left="-20" w:right="-20"/>
              <w:rPr>
                <w:rFonts w:ascii="Times New Roman" w:eastAsia="Times New Roman" w:hAnsi="Times New Roman" w:cs="Times New Roman"/>
              </w:rPr>
            </w:pPr>
            <w:r>
              <w:rPr>
                <w:rFonts w:ascii="Times New Roman" w:eastAsia="Times New Roman" w:hAnsi="Times New Roman" w:cs="Times New Roman"/>
              </w:rPr>
              <w:t xml:space="preserve">5. </w:t>
            </w:r>
            <w:r w:rsidR="00E42008" w:rsidRPr="00BA40DC">
              <w:rPr>
                <w:rFonts w:ascii="Times New Roman" w:eastAsia="Times New Roman" w:hAnsi="Times New Roman" w:cs="Times New Roman"/>
              </w:rPr>
              <w:t xml:space="preserve">Recognition and reward types  </w:t>
            </w:r>
          </w:p>
        </w:tc>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06C42B40" w14:textId="77777777" w:rsidR="00040DC6" w:rsidRPr="00BA40DC" w:rsidRDefault="00E42008" w:rsidP="00921A9A">
            <w:pPr>
              <w:ind w:left="-20" w:right="-20"/>
              <w:rPr>
                <w:rFonts w:ascii="Times New Roman" w:eastAsia="Times New Roman" w:hAnsi="Times New Roman" w:cs="Times New Roman"/>
              </w:rPr>
            </w:pPr>
            <w:r w:rsidRPr="00BA40DC">
              <w:rPr>
                <w:rFonts w:ascii="Times New Roman" w:eastAsia="Times New Roman" w:hAnsi="Times New Roman" w:cs="Times New Roman"/>
              </w:rPr>
              <w:t>1. Site 1 describes a range of teaching and education awards provided by the central university and medical school. Site 2 describes and outlines multiple teaching and education awards provided by the medical school, clinical departments, and external bodies.</w:t>
            </w:r>
          </w:p>
          <w:p w14:paraId="426ADF86" w14:textId="1ED5AFC0" w:rsidR="00E42008" w:rsidRPr="00BA40DC" w:rsidRDefault="00E42008" w:rsidP="00921A9A">
            <w:pPr>
              <w:ind w:left="-20" w:right="-20"/>
              <w:rPr>
                <w:rFonts w:ascii="Times New Roman" w:eastAsia="Times New Roman" w:hAnsi="Times New Roman" w:cs="Times New Roman"/>
              </w:rPr>
            </w:pPr>
            <w:r w:rsidRPr="00BA40DC">
              <w:rPr>
                <w:rFonts w:ascii="Times New Roman" w:eastAsia="Times New Roman" w:hAnsi="Times New Roman" w:cs="Times New Roman"/>
              </w:rPr>
              <w:t xml:space="preserve"> </w:t>
            </w:r>
          </w:p>
          <w:p w14:paraId="79EE3725" w14:textId="77777777" w:rsidR="00040DC6" w:rsidRPr="00BA40DC" w:rsidRDefault="00E42008" w:rsidP="00921A9A">
            <w:pPr>
              <w:ind w:left="-20" w:right="-20"/>
              <w:rPr>
                <w:rFonts w:ascii="Times New Roman" w:eastAsia="Times New Roman" w:hAnsi="Times New Roman" w:cs="Times New Roman"/>
              </w:rPr>
            </w:pPr>
            <w:r w:rsidRPr="00BA40DC">
              <w:rPr>
                <w:rFonts w:ascii="Times New Roman" w:eastAsia="Times New Roman" w:hAnsi="Times New Roman" w:cs="Times New Roman"/>
              </w:rPr>
              <w:lastRenderedPageBreak/>
              <w:t xml:space="preserve">2. The awards at site 2 are more separated and categorized clinical teachers and educators, such as for teachers at the pre-clerkship (1st-2nd year) and clerkship (3rd-4th year) levels. </w:t>
            </w:r>
          </w:p>
          <w:p w14:paraId="190DF378" w14:textId="2EBBE934" w:rsidR="00E42008" w:rsidRPr="00BA40DC" w:rsidRDefault="00E42008" w:rsidP="00921A9A">
            <w:pPr>
              <w:ind w:left="-20" w:right="-20"/>
              <w:rPr>
                <w:rFonts w:ascii="Times New Roman" w:eastAsia="Times New Roman" w:hAnsi="Times New Roman" w:cs="Times New Roman"/>
              </w:rPr>
            </w:pPr>
            <w:r w:rsidRPr="00BA40DC">
              <w:rPr>
                <w:rFonts w:ascii="Times New Roman" w:eastAsia="Times New Roman" w:hAnsi="Times New Roman" w:cs="Times New Roman"/>
              </w:rPr>
              <w:t xml:space="preserve"> </w:t>
            </w:r>
          </w:p>
          <w:p w14:paraId="474209A0" w14:textId="77777777" w:rsidR="00E42008" w:rsidRPr="00BA40DC" w:rsidRDefault="00E42008" w:rsidP="00921A9A">
            <w:pPr>
              <w:ind w:left="-20" w:right="-20"/>
              <w:rPr>
                <w:rFonts w:ascii="Times New Roman" w:eastAsia="Times New Roman" w:hAnsi="Times New Roman" w:cs="Times New Roman"/>
              </w:rPr>
            </w:pPr>
            <w:r w:rsidRPr="00BA40DC">
              <w:rPr>
                <w:rFonts w:ascii="Times New Roman" w:eastAsia="Times New Roman" w:hAnsi="Times New Roman" w:cs="Times New Roman"/>
              </w:rPr>
              <w:t>3. Site 1 describes competition between clinical departments, with the best departments receiving department awards. Site 2 does not describe any inter-departmental competitions.</w:t>
            </w:r>
          </w:p>
        </w:tc>
        <w:tc>
          <w:tcPr>
            <w:tcW w:w="2819" w:type="dxa"/>
            <w:tcBorders>
              <w:top w:val="single" w:sz="8" w:space="0" w:color="auto"/>
              <w:left w:val="single" w:sz="8" w:space="0" w:color="auto"/>
              <w:bottom w:val="single" w:sz="8" w:space="0" w:color="auto"/>
              <w:right w:val="single" w:sz="8" w:space="0" w:color="auto"/>
            </w:tcBorders>
            <w:tcMar>
              <w:left w:w="108" w:type="dxa"/>
              <w:right w:w="108" w:type="dxa"/>
            </w:tcMar>
          </w:tcPr>
          <w:p w14:paraId="4B782075" w14:textId="77777777" w:rsidR="00E42008" w:rsidRPr="00BA40DC" w:rsidRDefault="00E42008" w:rsidP="00921A9A">
            <w:pPr>
              <w:ind w:left="-20" w:right="-20"/>
              <w:rPr>
                <w:rFonts w:ascii="Times New Roman" w:eastAsia="Times New Roman" w:hAnsi="Times New Roman" w:cs="Times New Roman"/>
              </w:rPr>
            </w:pPr>
            <w:r w:rsidRPr="00BA40DC">
              <w:rPr>
                <w:rFonts w:ascii="Times New Roman" w:eastAsia="Times New Roman" w:hAnsi="Times New Roman" w:cs="Times New Roman"/>
              </w:rPr>
              <w:lastRenderedPageBreak/>
              <w:t>Both sites describe different forms of formal recognition and rewards their clinical teachers and educators, primarily through nominations and teaching awards.</w:t>
            </w:r>
          </w:p>
        </w:tc>
        <w:tc>
          <w:tcPr>
            <w:tcW w:w="866" w:type="dxa"/>
            <w:tcBorders>
              <w:top w:val="single" w:sz="8" w:space="0" w:color="auto"/>
              <w:left w:val="single" w:sz="8" w:space="0" w:color="auto"/>
              <w:bottom w:val="single" w:sz="8" w:space="0" w:color="auto"/>
              <w:right w:val="single" w:sz="8" w:space="0" w:color="auto"/>
            </w:tcBorders>
            <w:tcMar>
              <w:left w:w="108" w:type="dxa"/>
              <w:right w:w="108" w:type="dxa"/>
            </w:tcMar>
          </w:tcPr>
          <w:p w14:paraId="5A820078" w14:textId="77777777" w:rsidR="00E42008" w:rsidRPr="0011041E" w:rsidRDefault="00E42008" w:rsidP="00921A9A">
            <w:pPr>
              <w:ind w:left="-20" w:right="-20"/>
              <w:rPr>
                <w:rFonts w:ascii="Times New Roman" w:eastAsia="Times New Roman" w:hAnsi="Times New Roman" w:cs="Times New Roman"/>
                <w:sz w:val="20"/>
                <w:szCs w:val="20"/>
                <w:lang w:val="fr"/>
              </w:rPr>
            </w:pPr>
            <w:r w:rsidRPr="0011041E">
              <w:rPr>
                <w:rFonts w:ascii="Times New Roman" w:eastAsia="Times New Roman" w:hAnsi="Times New Roman" w:cs="Times New Roman"/>
                <w:sz w:val="20"/>
                <w:szCs w:val="20"/>
                <w:lang w:val="fr"/>
              </w:rPr>
              <w:t xml:space="preserve">DS1-01 </w:t>
            </w:r>
          </w:p>
          <w:p w14:paraId="4858DEE0" w14:textId="77777777" w:rsidR="00E42008" w:rsidRPr="0011041E" w:rsidRDefault="00E42008" w:rsidP="00921A9A">
            <w:pPr>
              <w:ind w:left="-20" w:right="-20"/>
              <w:rPr>
                <w:rFonts w:ascii="Times New Roman" w:eastAsia="Times New Roman" w:hAnsi="Times New Roman" w:cs="Times New Roman"/>
                <w:sz w:val="20"/>
                <w:szCs w:val="20"/>
                <w:lang w:val="fr"/>
              </w:rPr>
            </w:pPr>
            <w:r w:rsidRPr="0011041E">
              <w:rPr>
                <w:rFonts w:ascii="Times New Roman" w:eastAsia="Times New Roman" w:hAnsi="Times New Roman" w:cs="Times New Roman"/>
                <w:sz w:val="20"/>
                <w:szCs w:val="20"/>
                <w:lang w:val="fr"/>
              </w:rPr>
              <w:t xml:space="preserve">DS1-03  </w:t>
            </w:r>
          </w:p>
          <w:p w14:paraId="146B04B4" w14:textId="77777777" w:rsidR="00E42008" w:rsidRPr="0011041E" w:rsidRDefault="00E42008" w:rsidP="00921A9A">
            <w:pPr>
              <w:ind w:left="-20" w:right="-20"/>
              <w:rPr>
                <w:rFonts w:ascii="Times New Roman" w:eastAsia="Times New Roman" w:hAnsi="Times New Roman" w:cs="Times New Roman"/>
                <w:sz w:val="20"/>
                <w:szCs w:val="20"/>
                <w:lang w:val="fr"/>
              </w:rPr>
            </w:pPr>
            <w:r w:rsidRPr="0011041E">
              <w:rPr>
                <w:rFonts w:ascii="Times New Roman" w:eastAsia="Times New Roman" w:hAnsi="Times New Roman" w:cs="Times New Roman"/>
                <w:sz w:val="20"/>
                <w:szCs w:val="20"/>
                <w:lang w:val="fr"/>
              </w:rPr>
              <w:t xml:space="preserve">DS1-04  </w:t>
            </w:r>
          </w:p>
          <w:p w14:paraId="68A0323F" w14:textId="77777777" w:rsidR="00E42008" w:rsidRPr="0011041E" w:rsidRDefault="00E42008" w:rsidP="00921A9A">
            <w:pPr>
              <w:ind w:left="-20" w:right="-20"/>
              <w:rPr>
                <w:rFonts w:ascii="Times New Roman" w:eastAsia="Times New Roman" w:hAnsi="Times New Roman" w:cs="Times New Roman"/>
                <w:sz w:val="20"/>
                <w:szCs w:val="20"/>
                <w:lang w:val="fr"/>
              </w:rPr>
            </w:pPr>
            <w:r w:rsidRPr="0011041E">
              <w:rPr>
                <w:rFonts w:ascii="Times New Roman" w:eastAsia="Times New Roman" w:hAnsi="Times New Roman" w:cs="Times New Roman"/>
                <w:sz w:val="20"/>
                <w:szCs w:val="20"/>
                <w:lang w:val="fr"/>
              </w:rPr>
              <w:t xml:space="preserve">DS1-05  </w:t>
            </w:r>
          </w:p>
          <w:p w14:paraId="64B49851" w14:textId="77777777" w:rsidR="00E42008" w:rsidRPr="0011041E" w:rsidRDefault="00E42008" w:rsidP="00921A9A">
            <w:pPr>
              <w:ind w:left="-20" w:right="-20"/>
              <w:rPr>
                <w:rFonts w:ascii="Times New Roman" w:eastAsia="Times New Roman" w:hAnsi="Times New Roman" w:cs="Times New Roman"/>
                <w:sz w:val="20"/>
                <w:szCs w:val="20"/>
                <w:lang w:val="fr"/>
              </w:rPr>
            </w:pPr>
            <w:r w:rsidRPr="0011041E">
              <w:rPr>
                <w:rFonts w:ascii="Times New Roman" w:eastAsia="Times New Roman" w:hAnsi="Times New Roman" w:cs="Times New Roman"/>
                <w:sz w:val="20"/>
                <w:szCs w:val="20"/>
                <w:lang w:val="fr"/>
              </w:rPr>
              <w:t xml:space="preserve"> </w:t>
            </w:r>
          </w:p>
          <w:p w14:paraId="7F4437CF" w14:textId="77777777" w:rsidR="00E42008" w:rsidRPr="0011041E" w:rsidRDefault="00E42008" w:rsidP="00921A9A">
            <w:pPr>
              <w:ind w:left="-20" w:right="-20"/>
              <w:rPr>
                <w:rFonts w:ascii="Times New Roman" w:eastAsia="Times New Roman" w:hAnsi="Times New Roman" w:cs="Times New Roman"/>
                <w:sz w:val="20"/>
                <w:szCs w:val="20"/>
                <w:lang w:val="fr"/>
              </w:rPr>
            </w:pPr>
            <w:r w:rsidRPr="0011041E">
              <w:rPr>
                <w:rFonts w:ascii="Times New Roman" w:eastAsia="Times New Roman" w:hAnsi="Times New Roman" w:cs="Times New Roman"/>
                <w:sz w:val="20"/>
                <w:szCs w:val="20"/>
                <w:lang w:val="fr"/>
              </w:rPr>
              <w:t xml:space="preserve">DS2-01, DS2-02, </w:t>
            </w:r>
          </w:p>
          <w:p w14:paraId="771DFEFA" w14:textId="77777777" w:rsidR="00E42008" w:rsidRPr="0011041E" w:rsidRDefault="00E42008" w:rsidP="00921A9A">
            <w:pPr>
              <w:ind w:left="-20" w:right="-20"/>
              <w:rPr>
                <w:rFonts w:ascii="Times New Roman" w:eastAsia="Times New Roman" w:hAnsi="Times New Roman" w:cs="Times New Roman"/>
                <w:sz w:val="20"/>
                <w:szCs w:val="20"/>
              </w:rPr>
            </w:pPr>
            <w:r w:rsidRPr="0011041E">
              <w:rPr>
                <w:rFonts w:ascii="Times New Roman" w:eastAsia="Times New Roman" w:hAnsi="Times New Roman" w:cs="Times New Roman"/>
                <w:sz w:val="20"/>
                <w:szCs w:val="20"/>
              </w:rPr>
              <w:t>DS2-08, DS2-15, DS2-16</w:t>
            </w:r>
          </w:p>
        </w:tc>
        <w:tc>
          <w:tcPr>
            <w:tcW w:w="425" w:type="dxa"/>
            <w:tcBorders>
              <w:top w:val="single" w:sz="8" w:space="0" w:color="auto"/>
              <w:left w:val="single" w:sz="8" w:space="0" w:color="auto"/>
              <w:bottom w:val="single" w:sz="8" w:space="0" w:color="auto"/>
              <w:right w:val="single" w:sz="8" w:space="0" w:color="auto"/>
            </w:tcBorders>
          </w:tcPr>
          <w:p w14:paraId="54CBA38C" w14:textId="77777777" w:rsidR="00E42008" w:rsidRPr="00BA40DC" w:rsidRDefault="00E42008" w:rsidP="00921A9A">
            <w:pPr>
              <w:ind w:left="-20" w:right="-20"/>
              <w:rPr>
                <w:rFonts w:ascii="Times New Roman" w:eastAsia="Times New Roman" w:hAnsi="Times New Roman" w:cs="Times New Roman"/>
                <w:lang w:val="fr"/>
              </w:rPr>
            </w:pPr>
            <w:r w:rsidRPr="00BA40DC">
              <w:rPr>
                <w:rFonts w:ascii="Times New Roman" w:eastAsia="Times New Roman" w:hAnsi="Times New Roman" w:cs="Times New Roman"/>
                <w:lang w:val="fr"/>
              </w:rPr>
              <w:t>9</w:t>
            </w:r>
          </w:p>
        </w:tc>
      </w:tr>
      <w:tr w:rsidR="00E42008" w:rsidRPr="00BA40DC" w14:paraId="3C4DFB86" w14:textId="77777777" w:rsidTr="004565EF">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tcPr>
          <w:p w14:paraId="473E905A" w14:textId="5FE5C376" w:rsidR="00E42008" w:rsidRPr="00BA40DC" w:rsidRDefault="0011041E" w:rsidP="00921A9A">
            <w:pPr>
              <w:ind w:left="-20" w:right="-20"/>
              <w:rPr>
                <w:rFonts w:ascii="Times New Roman" w:eastAsia="Times New Roman" w:hAnsi="Times New Roman" w:cs="Times New Roman"/>
              </w:rPr>
            </w:pPr>
            <w:r>
              <w:rPr>
                <w:rFonts w:ascii="Times New Roman" w:eastAsia="Times New Roman" w:hAnsi="Times New Roman" w:cs="Times New Roman"/>
              </w:rPr>
              <w:t xml:space="preserve">6. </w:t>
            </w:r>
            <w:r w:rsidR="00E42008" w:rsidRPr="00BA40DC">
              <w:rPr>
                <w:rFonts w:ascii="Times New Roman" w:eastAsia="Times New Roman" w:hAnsi="Times New Roman" w:cs="Times New Roman"/>
              </w:rPr>
              <w:t>Strategies for improving</w:t>
            </w:r>
            <w:r w:rsidR="00BA40DC" w:rsidRPr="00BA40DC">
              <w:rPr>
                <w:rFonts w:ascii="Times New Roman" w:eastAsia="Times New Roman" w:hAnsi="Times New Roman" w:cs="Times New Roman"/>
              </w:rPr>
              <w:t xml:space="preserve"> evaluation,</w:t>
            </w:r>
            <w:r w:rsidR="00E42008" w:rsidRPr="00BA40DC">
              <w:rPr>
                <w:rFonts w:ascii="Times New Roman" w:eastAsia="Times New Roman" w:hAnsi="Times New Roman" w:cs="Times New Roman"/>
              </w:rPr>
              <w:t xml:space="preserve"> recognition </w:t>
            </w:r>
            <w:r w:rsidR="00040DC6" w:rsidRPr="00BA40DC">
              <w:rPr>
                <w:rFonts w:ascii="Times New Roman" w:eastAsia="Times New Roman" w:hAnsi="Times New Roman" w:cs="Times New Roman"/>
              </w:rPr>
              <w:t>and clinical faculty engagement</w:t>
            </w:r>
          </w:p>
        </w:tc>
        <w:tc>
          <w:tcPr>
            <w:tcW w:w="3402" w:type="dxa"/>
            <w:tcBorders>
              <w:top w:val="single" w:sz="8" w:space="0" w:color="auto"/>
              <w:left w:val="single" w:sz="8" w:space="0" w:color="auto"/>
              <w:bottom w:val="single" w:sz="8" w:space="0" w:color="auto"/>
              <w:right w:val="single" w:sz="8" w:space="0" w:color="auto"/>
            </w:tcBorders>
            <w:tcMar>
              <w:left w:w="108" w:type="dxa"/>
              <w:right w:w="108" w:type="dxa"/>
            </w:tcMar>
          </w:tcPr>
          <w:p w14:paraId="5352D9AD" w14:textId="77777777" w:rsidR="00040DC6" w:rsidRPr="00BA40DC" w:rsidRDefault="00E42008" w:rsidP="00921A9A">
            <w:pPr>
              <w:ind w:left="-20" w:right="-20"/>
              <w:rPr>
                <w:rFonts w:ascii="Times New Roman" w:eastAsia="Times New Roman" w:hAnsi="Times New Roman" w:cs="Times New Roman"/>
              </w:rPr>
            </w:pPr>
            <w:r w:rsidRPr="00BA40DC">
              <w:rPr>
                <w:rFonts w:ascii="Times New Roman" w:eastAsia="Times New Roman" w:hAnsi="Times New Roman" w:cs="Times New Roman"/>
              </w:rPr>
              <w:t xml:space="preserve">1. Site 1 describes plans to engage faculty in education, and include more full-time faculty, including those in teaching roles, and to establish an appraisal system for all clinical educators. Site 2 describes the strategic goal of the medical school to better recognize educational work in the school for the purposes of promotion, awards and further faculty engagement. It also describes actions to provide protected time and administrative support for teaching.    </w:t>
            </w:r>
          </w:p>
          <w:p w14:paraId="4634B24C" w14:textId="2D593BAB" w:rsidR="00E42008" w:rsidRPr="00BA40DC" w:rsidRDefault="00E42008" w:rsidP="00921A9A">
            <w:pPr>
              <w:ind w:left="-20" w:right="-20"/>
              <w:rPr>
                <w:rFonts w:ascii="Times New Roman" w:eastAsia="Times New Roman" w:hAnsi="Times New Roman" w:cs="Times New Roman"/>
              </w:rPr>
            </w:pPr>
            <w:r w:rsidRPr="00BA40DC">
              <w:rPr>
                <w:rFonts w:ascii="Times New Roman" w:eastAsia="Times New Roman" w:hAnsi="Times New Roman" w:cs="Times New Roman"/>
              </w:rPr>
              <w:t xml:space="preserve">     </w:t>
            </w:r>
          </w:p>
          <w:p w14:paraId="6EA8F322" w14:textId="77777777" w:rsidR="00E42008" w:rsidRPr="00BA40DC" w:rsidRDefault="00E42008" w:rsidP="00921A9A">
            <w:pPr>
              <w:ind w:left="-20" w:right="-20"/>
              <w:rPr>
                <w:rFonts w:ascii="Times New Roman" w:eastAsia="Times New Roman" w:hAnsi="Times New Roman" w:cs="Times New Roman"/>
              </w:rPr>
            </w:pPr>
            <w:r w:rsidRPr="00BA40DC">
              <w:rPr>
                <w:rFonts w:ascii="Times New Roman" w:eastAsia="Times New Roman" w:hAnsi="Times New Roman" w:cs="Times New Roman"/>
              </w:rPr>
              <w:t xml:space="preserve">2. Site 2 describes the creation and role of a faculty experience team that was tasked to examine recognition challenges and strategies in the medical school and across clinical departments. </w:t>
            </w:r>
          </w:p>
          <w:p w14:paraId="4C273BDB" w14:textId="77777777" w:rsidR="00BA40DC" w:rsidRPr="00BA40DC" w:rsidRDefault="00BA40DC" w:rsidP="00921A9A">
            <w:pPr>
              <w:ind w:left="-20" w:right="-20"/>
              <w:rPr>
                <w:rFonts w:ascii="Times New Roman" w:eastAsia="Times New Roman" w:hAnsi="Times New Roman" w:cs="Times New Roman"/>
              </w:rPr>
            </w:pPr>
          </w:p>
          <w:p w14:paraId="62846446" w14:textId="4570E73D" w:rsidR="00E42008" w:rsidRPr="00BA40DC" w:rsidRDefault="00E42008" w:rsidP="00921A9A">
            <w:pPr>
              <w:ind w:left="-20" w:right="-20"/>
              <w:rPr>
                <w:rFonts w:ascii="Times New Roman" w:eastAsia="Times New Roman" w:hAnsi="Times New Roman" w:cs="Times New Roman"/>
              </w:rPr>
            </w:pPr>
            <w:r w:rsidRPr="00BA40DC">
              <w:rPr>
                <w:rFonts w:ascii="Times New Roman" w:eastAsia="Times New Roman" w:hAnsi="Times New Roman" w:cs="Times New Roman"/>
              </w:rPr>
              <w:t xml:space="preserve">3. Site 2 describes </w:t>
            </w:r>
            <w:r w:rsidR="00BA40DC" w:rsidRPr="00BA40DC">
              <w:rPr>
                <w:rFonts w:ascii="Times New Roman" w:eastAsia="Times New Roman" w:hAnsi="Times New Roman" w:cs="Times New Roman"/>
              </w:rPr>
              <w:t xml:space="preserve">the development of </w:t>
            </w:r>
            <w:r w:rsidRPr="00BA40DC">
              <w:rPr>
                <w:rFonts w:ascii="Times New Roman" w:eastAsia="Times New Roman" w:hAnsi="Times New Roman" w:cs="Times New Roman"/>
              </w:rPr>
              <w:t>a three-dimensional recognition model for the school and clinical departments in order to improve sense of belonging and faculty engagement.</w:t>
            </w:r>
          </w:p>
        </w:tc>
        <w:tc>
          <w:tcPr>
            <w:tcW w:w="2819" w:type="dxa"/>
            <w:tcBorders>
              <w:top w:val="single" w:sz="8" w:space="0" w:color="auto"/>
              <w:left w:val="single" w:sz="8" w:space="0" w:color="auto"/>
              <w:bottom w:val="single" w:sz="8" w:space="0" w:color="auto"/>
              <w:right w:val="single" w:sz="8" w:space="0" w:color="auto"/>
            </w:tcBorders>
            <w:tcMar>
              <w:left w:w="108" w:type="dxa"/>
              <w:right w:w="108" w:type="dxa"/>
            </w:tcMar>
          </w:tcPr>
          <w:p w14:paraId="0C07B443" w14:textId="77777777" w:rsidR="00E42008" w:rsidRPr="00BA40DC" w:rsidRDefault="00E42008" w:rsidP="00921A9A">
            <w:pPr>
              <w:ind w:left="-20" w:right="-20"/>
              <w:rPr>
                <w:rFonts w:ascii="Times New Roman" w:eastAsia="Times New Roman" w:hAnsi="Times New Roman" w:cs="Times New Roman"/>
              </w:rPr>
            </w:pPr>
            <w:r w:rsidRPr="00BA40DC">
              <w:rPr>
                <w:rFonts w:ascii="Times New Roman" w:eastAsia="Times New Roman" w:hAnsi="Times New Roman" w:cs="Times New Roman"/>
              </w:rPr>
              <w:t>N/A</w:t>
            </w:r>
          </w:p>
        </w:tc>
        <w:tc>
          <w:tcPr>
            <w:tcW w:w="866" w:type="dxa"/>
            <w:tcBorders>
              <w:top w:val="single" w:sz="8" w:space="0" w:color="auto"/>
              <w:left w:val="single" w:sz="8" w:space="0" w:color="auto"/>
              <w:bottom w:val="single" w:sz="8" w:space="0" w:color="auto"/>
              <w:right w:val="single" w:sz="8" w:space="0" w:color="auto"/>
            </w:tcBorders>
            <w:tcMar>
              <w:left w:w="108" w:type="dxa"/>
              <w:right w:w="108" w:type="dxa"/>
            </w:tcMar>
          </w:tcPr>
          <w:p w14:paraId="1E9B3839" w14:textId="2D1B7045" w:rsidR="00E42008" w:rsidRPr="0011041E" w:rsidRDefault="00E42008" w:rsidP="00921A9A">
            <w:pPr>
              <w:ind w:left="-20" w:right="-20"/>
              <w:rPr>
                <w:rFonts w:ascii="Times New Roman" w:eastAsia="Times New Roman" w:hAnsi="Times New Roman" w:cs="Times New Roman"/>
                <w:sz w:val="20"/>
                <w:szCs w:val="20"/>
              </w:rPr>
            </w:pPr>
            <w:r w:rsidRPr="0011041E">
              <w:rPr>
                <w:rFonts w:ascii="Times New Roman" w:eastAsia="Times New Roman" w:hAnsi="Times New Roman" w:cs="Times New Roman"/>
                <w:sz w:val="20"/>
                <w:szCs w:val="20"/>
              </w:rPr>
              <w:t xml:space="preserve">DS1-02 </w:t>
            </w:r>
          </w:p>
          <w:p w14:paraId="43C899EE" w14:textId="77777777" w:rsidR="00E42008" w:rsidRPr="0011041E" w:rsidRDefault="00E42008" w:rsidP="00921A9A">
            <w:pPr>
              <w:ind w:left="-20" w:right="-20"/>
              <w:rPr>
                <w:rFonts w:ascii="Times New Roman" w:eastAsia="Times New Roman" w:hAnsi="Times New Roman" w:cs="Times New Roman"/>
                <w:sz w:val="20"/>
                <w:szCs w:val="20"/>
              </w:rPr>
            </w:pPr>
            <w:r w:rsidRPr="0011041E">
              <w:rPr>
                <w:rFonts w:ascii="Times New Roman" w:eastAsia="Times New Roman" w:hAnsi="Times New Roman" w:cs="Times New Roman"/>
                <w:sz w:val="20"/>
                <w:szCs w:val="20"/>
              </w:rPr>
              <w:t xml:space="preserve"> </w:t>
            </w:r>
          </w:p>
          <w:p w14:paraId="01C61449" w14:textId="10AED6CB" w:rsidR="00E42008" w:rsidRPr="0011041E" w:rsidRDefault="00E42008" w:rsidP="00921A9A">
            <w:pPr>
              <w:ind w:left="-20" w:right="-20"/>
              <w:rPr>
                <w:rFonts w:ascii="Times New Roman" w:eastAsia="Times New Roman" w:hAnsi="Times New Roman" w:cs="Times New Roman"/>
                <w:sz w:val="20"/>
                <w:szCs w:val="20"/>
              </w:rPr>
            </w:pPr>
            <w:r w:rsidRPr="0011041E">
              <w:rPr>
                <w:rFonts w:ascii="Times New Roman" w:eastAsia="Times New Roman" w:hAnsi="Times New Roman" w:cs="Times New Roman"/>
                <w:sz w:val="20"/>
                <w:szCs w:val="20"/>
              </w:rPr>
              <w:t xml:space="preserve">DS2-16 </w:t>
            </w:r>
          </w:p>
          <w:p w14:paraId="2704D950" w14:textId="1E72E76A" w:rsidR="00E42008" w:rsidRPr="0011041E" w:rsidRDefault="00E42008" w:rsidP="00921A9A">
            <w:pPr>
              <w:ind w:left="-20" w:right="-20"/>
              <w:rPr>
                <w:rFonts w:ascii="Times New Roman" w:eastAsia="Times New Roman" w:hAnsi="Times New Roman" w:cs="Times New Roman"/>
                <w:sz w:val="20"/>
                <w:szCs w:val="20"/>
              </w:rPr>
            </w:pPr>
            <w:r w:rsidRPr="0011041E">
              <w:rPr>
                <w:rFonts w:ascii="Times New Roman" w:eastAsia="Times New Roman" w:hAnsi="Times New Roman" w:cs="Times New Roman"/>
                <w:sz w:val="20"/>
                <w:szCs w:val="20"/>
              </w:rPr>
              <w:t>DS2-17</w:t>
            </w:r>
          </w:p>
        </w:tc>
        <w:tc>
          <w:tcPr>
            <w:tcW w:w="425" w:type="dxa"/>
            <w:tcBorders>
              <w:top w:val="single" w:sz="8" w:space="0" w:color="auto"/>
              <w:left w:val="single" w:sz="8" w:space="0" w:color="auto"/>
              <w:bottom w:val="single" w:sz="8" w:space="0" w:color="auto"/>
              <w:right w:val="single" w:sz="8" w:space="0" w:color="auto"/>
            </w:tcBorders>
          </w:tcPr>
          <w:p w14:paraId="00118CAA" w14:textId="37782658" w:rsidR="00E42008" w:rsidRPr="00BA40DC" w:rsidRDefault="00BA40DC" w:rsidP="00921A9A">
            <w:pPr>
              <w:ind w:left="-20" w:right="-20"/>
              <w:rPr>
                <w:rFonts w:ascii="Times New Roman" w:eastAsia="Times New Roman" w:hAnsi="Times New Roman" w:cs="Times New Roman"/>
              </w:rPr>
            </w:pPr>
            <w:r w:rsidRPr="00BA40DC">
              <w:rPr>
                <w:rFonts w:ascii="Times New Roman" w:eastAsia="Times New Roman" w:hAnsi="Times New Roman" w:cs="Times New Roman"/>
              </w:rPr>
              <w:t>3</w:t>
            </w:r>
          </w:p>
        </w:tc>
      </w:tr>
    </w:tbl>
    <w:p w14:paraId="16B70C24" w14:textId="0F3FD550" w:rsidR="00E42008" w:rsidRPr="00E56C46" w:rsidRDefault="00E42008" w:rsidP="00E42008">
      <w:pPr>
        <w:ind w:right="-20"/>
        <w:rPr>
          <w:rFonts w:ascii="Times New Roman" w:eastAsia="Segoe UI" w:hAnsi="Times New Roman" w:cs="Times New Roman"/>
          <w:sz w:val="20"/>
          <w:szCs w:val="20"/>
        </w:rPr>
      </w:pPr>
      <w:r w:rsidRPr="00E56C46">
        <w:rPr>
          <w:rFonts w:ascii="Times New Roman" w:eastAsia="Segoe UI" w:hAnsi="Times New Roman" w:cs="Times New Roman"/>
          <w:sz w:val="20"/>
          <w:szCs w:val="20"/>
        </w:rPr>
        <w:t>*</w:t>
      </w:r>
      <w:r w:rsidR="00BA40DC">
        <w:rPr>
          <w:rFonts w:ascii="Times New Roman" w:eastAsia="Segoe UI" w:hAnsi="Times New Roman" w:cs="Times New Roman"/>
          <w:sz w:val="20"/>
          <w:szCs w:val="20"/>
        </w:rPr>
        <w:t xml:space="preserve">‘D’ refers to the document code and ‘S’ refers to the site. For example, DS2-07 refers to document 7 from site two </w:t>
      </w:r>
    </w:p>
    <w:p w14:paraId="075974A2" w14:textId="77777777" w:rsidR="00E42008" w:rsidRDefault="00E42008" w:rsidP="00E42008">
      <w:pPr>
        <w:ind w:right="-20"/>
        <w:rPr>
          <w:rFonts w:ascii="Segoe UI" w:eastAsia="Segoe UI" w:hAnsi="Segoe UI" w:cs="Segoe UI"/>
          <w:sz w:val="18"/>
          <w:szCs w:val="18"/>
        </w:rPr>
      </w:pPr>
    </w:p>
    <w:p w14:paraId="6BA07CD0" w14:textId="77777777" w:rsidR="0011041E" w:rsidRDefault="0011041E" w:rsidP="00E42008">
      <w:pPr>
        <w:ind w:right="-20"/>
        <w:rPr>
          <w:rFonts w:ascii="Segoe UI" w:eastAsia="Segoe UI" w:hAnsi="Segoe UI" w:cs="Segoe UI"/>
          <w:sz w:val="18"/>
          <w:szCs w:val="18"/>
        </w:rPr>
      </w:pPr>
    </w:p>
    <w:p w14:paraId="07FA3967" w14:textId="77777777" w:rsidR="0011041E" w:rsidRDefault="0011041E" w:rsidP="00E42008">
      <w:pPr>
        <w:ind w:right="-20"/>
        <w:rPr>
          <w:rFonts w:ascii="Segoe UI" w:eastAsia="Segoe UI" w:hAnsi="Segoe UI" w:cs="Segoe UI"/>
          <w:sz w:val="18"/>
          <w:szCs w:val="18"/>
        </w:rPr>
      </w:pPr>
    </w:p>
    <w:p w14:paraId="60F25D4E" w14:textId="77777777" w:rsidR="004565EF" w:rsidRDefault="004565EF" w:rsidP="00E42008">
      <w:pPr>
        <w:ind w:right="-20"/>
        <w:rPr>
          <w:rFonts w:ascii="Segoe UI" w:eastAsia="Segoe UI" w:hAnsi="Segoe UI" w:cs="Segoe UI"/>
          <w:sz w:val="18"/>
          <w:szCs w:val="18"/>
        </w:rPr>
      </w:pPr>
    </w:p>
    <w:p w14:paraId="498238B5" w14:textId="4915B5F5" w:rsidR="00794766" w:rsidRDefault="00794766" w:rsidP="009C399C">
      <w:pPr>
        <w:ind w:right="-20"/>
        <w:jc w:val="center"/>
        <w:rPr>
          <w:rFonts w:ascii="Times New Roman" w:eastAsia="Segoe UI" w:hAnsi="Times New Roman" w:cs="Times New Roman"/>
          <w:b/>
          <w:bCs/>
          <w:sz w:val="24"/>
          <w:szCs w:val="24"/>
        </w:rPr>
      </w:pPr>
      <w:r w:rsidRPr="00794766">
        <w:rPr>
          <w:rFonts w:ascii="Times New Roman" w:eastAsia="Segoe UI" w:hAnsi="Times New Roman" w:cs="Times New Roman"/>
          <w:b/>
          <w:bCs/>
          <w:sz w:val="24"/>
          <w:szCs w:val="24"/>
        </w:rPr>
        <w:lastRenderedPageBreak/>
        <w:t>REFERENCES</w:t>
      </w:r>
    </w:p>
    <w:p w14:paraId="77FC9CF0" w14:textId="77777777" w:rsidR="009E0E2D" w:rsidRDefault="009E0E2D" w:rsidP="00AB770D">
      <w:pPr>
        <w:pStyle w:val="NormalWeb"/>
        <w:spacing w:before="0" w:beforeAutospacing="0" w:after="0" w:afterAutospacing="0"/>
        <w:ind w:left="567" w:hanging="567"/>
        <w:rPr>
          <w:lang w:val="en-CA"/>
        </w:rPr>
      </w:pPr>
      <w:r w:rsidRPr="00AB770D">
        <w:rPr>
          <w:lang w:val="en-CA"/>
        </w:rPr>
        <w:t xml:space="preserve">Artim, D. E., Smallidge, D., Boyd, L. D., August, J. N., &amp; Vineyard, J. (2020). Attributes of effective clinical teachers in dental hygiene education. </w:t>
      </w:r>
      <w:r w:rsidRPr="006C07BC">
        <w:rPr>
          <w:i/>
          <w:iCs/>
          <w:lang w:val="en-CA"/>
        </w:rPr>
        <w:t>Journal of Dental Education</w:t>
      </w:r>
      <w:r w:rsidRPr="00AB770D">
        <w:rPr>
          <w:lang w:val="en-CA"/>
        </w:rPr>
        <w:t>, 84(3), 308-315.</w:t>
      </w:r>
    </w:p>
    <w:p w14:paraId="248E87A6" w14:textId="77777777" w:rsidR="00AB770D" w:rsidRPr="00AB770D" w:rsidRDefault="00AB770D" w:rsidP="00AB770D">
      <w:pPr>
        <w:pStyle w:val="NormalWeb"/>
        <w:spacing w:before="0" w:beforeAutospacing="0" w:after="0" w:afterAutospacing="0"/>
        <w:ind w:left="567" w:hanging="567"/>
        <w:rPr>
          <w:lang w:val="en-CA"/>
        </w:rPr>
      </w:pPr>
    </w:p>
    <w:p w14:paraId="311DA8C9" w14:textId="77777777" w:rsidR="009E0E2D" w:rsidRDefault="009E0E2D" w:rsidP="00AB770D">
      <w:pPr>
        <w:pStyle w:val="NormalWeb"/>
        <w:spacing w:before="0" w:beforeAutospacing="0" w:after="0" w:afterAutospacing="0"/>
        <w:ind w:left="567" w:hanging="567"/>
        <w:rPr>
          <w:lang w:val="en-CA"/>
        </w:rPr>
      </w:pPr>
      <w:r w:rsidRPr="00AB770D">
        <w:rPr>
          <w:lang w:val="en-CA"/>
        </w:rPr>
        <w:t xml:space="preserve">Bergman, K., &amp; Gaitskill, T. (1990). Faculty and student perceptions of effective clinical teachers: An extension study. </w:t>
      </w:r>
      <w:r w:rsidRPr="006C07BC">
        <w:rPr>
          <w:i/>
          <w:iCs/>
          <w:lang w:val="en-CA"/>
        </w:rPr>
        <w:t>Journal of Professional Nursing</w:t>
      </w:r>
      <w:r w:rsidRPr="00AB770D">
        <w:rPr>
          <w:lang w:val="en-CA"/>
        </w:rPr>
        <w:t>, 6(1), 33-44.</w:t>
      </w:r>
    </w:p>
    <w:p w14:paraId="364101C6" w14:textId="77777777" w:rsidR="00AB770D" w:rsidRPr="00AB770D" w:rsidRDefault="00AB770D" w:rsidP="00AB770D">
      <w:pPr>
        <w:pStyle w:val="NormalWeb"/>
        <w:spacing w:before="0" w:beforeAutospacing="0" w:after="0" w:afterAutospacing="0"/>
        <w:ind w:left="567" w:hanging="567"/>
        <w:rPr>
          <w:lang w:val="en-CA"/>
        </w:rPr>
      </w:pPr>
    </w:p>
    <w:p w14:paraId="59E0FBC3" w14:textId="2453FF66" w:rsidR="009E0E2D" w:rsidRDefault="009E0E2D" w:rsidP="00AB770D">
      <w:pPr>
        <w:pStyle w:val="NormalWeb"/>
        <w:spacing w:before="0" w:beforeAutospacing="0" w:after="0" w:afterAutospacing="0"/>
        <w:ind w:left="567" w:hanging="567"/>
        <w:rPr>
          <w:lang w:val="en-CA"/>
        </w:rPr>
      </w:pPr>
      <w:r w:rsidRPr="00AB770D">
        <w:rPr>
          <w:lang w:val="en-CA"/>
        </w:rPr>
        <w:t xml:space="preserve">Berman, A. C. (2015). Good teaching is good teaching: A narrative review for effective medical educators. </w:t>
      </w:r>
      <w:r w:rsidRPr="006C07BC">
        <w:rPr>
          <w:i/>
          <w:iCs/>
          <w:lang w:val="en-CA"/>
        </w:rPr>
        <w:t xml:space="preserve">Anatomical </w:t>
      </w:r>
      <w:r w:rsidR="006C07BC">
        <w:rPr>
          <w:i/>
          <w:iCs/>
          <w:lang w:val="en-CA"/>
        </w:rPr>
        <w:t>S</w:t>
      </w:r>
      <w:r w:rsidRPr="006C07BC">
        <w:rPr>
          <w:i/>
          <w:iCs/>
          <w:lang w:val="en-CA"/>
        </w:rPr>
        <w:t xml:space="preserve">ciences </w:t>
      </w:r>
      <w:r w:rsidR="006C07BC">
        <w:rPr>
          <w:i/>
          <w:iCs/>
          <w:lang w:val="en-CA"/>
        </w:rPr>
        <w:t>E</w:t>
      </w:r>
      <w:r w:rsidRPr="006C07BC">
        <w:rPr>
          <w:i/>
          <w:iCs/>
          <w:lang w:val="en-CA"/>
        </w:rPr>
        <w:t>ducation</w:t>
      </w:r>
      <w:r w:rsidRPr="00AB770D">
        <w:rPr>
          <w:lang w:val="en-CA"/>
        </w:rPr>
        <w:t>, 8(4), 386-394.</w:t>
      </w:r>
    </w:p>
    <w:p w14:paraId="1E2A0EF8" w14:textId="77777777" w:rsidR="006C07BC" w:rsidRPr="00AB770D" w:rsidRDefault="006C07BC" w:rsidP="00AB770D">
      <w:pPr>
        <w:pStyle w:val="NormalWeb"/>
        <w:spacing w:before="0" w:beforeAutospacing="0" w:after="0" w:afterAutospacing="0"/>
        <w:ind w:left="567" w:hanging="567"/>
        <w:rPr>
          <w:lang w:val="en-CA"/>
        </w:rPr>
      </w:pPr>
    </w:p>
    <w:p w14:paraId="27275264" w14:textId="77777777"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lang w:val="fr-FR"/>
        </w:rPr>
      </w:pPr>
      <w:r w:rsidRPr="00AB770D">
        <w:rPr>
          <w:rFonts w:ascii="Times New Roman" w:hAnsi="Times New Roman" w:cs="Times New Roman"/>
          <w:kern w:val="2"/>
          <w:sz w:val="24"/>
          <w:szCs w:val="24"/>
          <w14:ligatures w14:val="standardContextual"/>
        </w:rPr>
        <w:fldChar w:fldCharType="begin" w:fldLock="1"/>
      </w:r>
      <w:r w:rsidRPr="00AB770D">
        <w:rPr>
          <w:rFonts w:ascii="Times New Roman" w:hAnsi="Times New Roman" w:cs="Times New Roman"/>
          <w:sz w:val="24"/>
          <w:szCs w:val="24"/>
        </w:rPr>
        <w:instrText xml:space="preserve">ADDIN Mendeley Bibliography CSL_BIBLIOGRAPHY </w:instrText>
      </w:r>
      <w:r w:rsidRPr="00AB770D">
        <w:rPr>
          <w:rFonts w:ascii="Times New Roman" w:hAnsi="Times New Roman" w:cs="Times New Roman"/>
          <w:kern w:val="2"/>
          <w:sz w:val="24"/>
          <w:szCs w:val="24"/>
          <w14:ligatures w14:val="standardContextual"/>
        </w:rPr>
        <w:fldChar w:fldCharType="separate"/>
      </w:r>
      <w:r w:rsidRPr="00AB770D">
        <w:rPr>
          <w:rFonts w:ascii="Times New Roman" w:hAnsi="Times New Roman" w:cs="Times New Roman"/>
          <w:noProof/>
          <w:sz w:val="24"/>
          <w:szCs w:val="24"/>
        </w:rPr>
        <w:t xml:space="preserve">Bourdieu, P. (1985). The social space and the genesis of groups. </w:t>
      </w:r>
      <w:r w:rsidRPr="00AB770D">
        <w:rPr>
          <w:rFonts w:ascii="Times New Roman" w:hAnsi="Times New Roman" w:cs="Times New Roman"/>
          <w:i/>
          <w:iCs/>
          <w:noProof/>
          <w:sz w:val="24"/>
          <w:szCs w:val="24"/>
          <w:lang w:val="fr-FR"/>
        </w:rPr>
        <w:t>Social Science Information</w:t>
      </w:r>
      <w:r w:rsidRPr="00AB770D">
        <w:rPr>
          <w:rFonts w:ascii="Times New Roman" w:hAnsi="Times New Roman" w:cs="Times New Roman"/>
          <w:noProof/>
          <w:sz w:val="24"/>
          <w:szCs w:val="24"/>
          <w:lang w:val="fr-FR"/>
        </w:rPr>
        <w:t xml:space="preserve">, </w:t>
      </w:r>
      <w:r w:rsidRPr="00AB770D">
        <w:rPr>
          <w:rFonts w:ascii="Times New Roman" w:hAnsi="Times New Roman" w:cs="Times New Roman"/>
          <w:i/>
          <w:iCs/>
          <w:noProof/>
          <w:sz w:val="24"/>
          <w:szCs w:val="24"/>
          <w:lang w:val="fr-FR"/>
        </w:rPr>
        <w:t>24</w:t>
      </w:r>
      <w:r w:rsidRPr="00AB770D">
        <w:rPr>
          <w:rFonts w:ascii="Times New Roman" w:hAnsi="Times New Roman" w:cs="Times New Roman"/>
          <w:noProof/>
          <w:sz w:val="24"/>
          <w:szCs w:val="24"/>
          <w:lang w:val="fr-FR"/>
        </w:rPr>
        <w:t>(2), 195–220. https://doi.org/10.1177/053901885024002001/ASSET/053901885024002001.FP.PNG_V03</w:t>
      </w:r>
    </w:p>
    <w:p w14:paraId="10FB931E" w14:textId="77777777" w:rsidR="006C07BC" w:rsidRPr="00AB770D" w:rsidRDefault="006C07BC" w:rsidP="00AB770D">
      <w:pPr>
        <w:widowControl w:val="0"/>
        <w:autoSpaceDE w:val="0"/>
        <w:autoSpaceDN w:val="0"/>
        <w:adjustRightInd w:val="0"/>
        <w:spacing w:after="0" w:line="240" w:lineRule="auto"/>
        <w:ind w:left="480" w:hanging="480"/>
        <w:rPr>
          <w:rFonts w:ascii="Times New Roman" w:hAnsi="Times New Roman" w:cs="Times New Roman"/>
          <w:noProof/>
          <w:sz w:val="24"/>
          <w:szCs w:val="24"/>
          <w:lang w:val="fr-FR"/>
        </w:rPr>
      </w:pPr>
    </w:p>
    <w:p w14:paraId="2A90850B" w14:textId="77777777"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lang w:val="fr-FR"/>
        </w:rPr>
        <w:t xml:space="preserve">Bourdieu, P. (1989). </w:t>
      </w:r>
      <w:r w:rsidRPr="00AB770D">
        <w:rPr>
          <w:rFonts w:ascii="Times New Roman" w:hAnsi="Times New Roman" w:cs="Times New Roman"/>
          <w:noProof/>
          <w:sz w:val="24"/>
          <w:szCs w:val="24"/>
        </w:rPr>
        <w:t xml:space="preserve">Social Space and Symbolic Power. </w:t>
      </w:r>
      <w:r w:rsidRPr="00AB770D">
        <w:rPr>
          <w:rFonts w:ascii="Times New Roman" w:hAnsi="Times New Roman" w:cs="Times New Roman"/>
          <w:i/>
          <w:iCs/>
          <w:noProof/>
          <w:sz w:val="24"/>
          <w:szCs w:val="24"/>
        </w:rPr>
        <w:t>Sociological Theory</w:t>
      </w:r>
      <w:r w:rsidRPr="00AB770D">
        <w:rPr>
          <w:rFonts w:ascii="Times New Roman" w:hAnsi="Times New Roman" w:cs="Times New Roman"/>
          <w:noProof/>
          <w:sz w:val="24"/>
          <w:szCs w:val="24"/>
        </w:rPr>
        <w:t xml:space="preserve">, </w:t>
      </w:r>
      <w:r w:rsidRPr="00AB770D">
        <w:rPr>
          <w:rFonts w:ascii="Times New Roman" w:hAnsi="Times New Roman" w:cs="Times New Roman"/>
          <w:i/>
          <w:iCs/>
          <w:noProof/>
          <w:sz w:val="24"/>
          <w:szCs w:val="24"/>
        </w:rPr>
        <w:t>7</w:t>
      </w:r>
      <w:r w:rsidRPr="00AB770D">
        <w:rPr>
          <w:rFonts w:ascii="Times New Roman" w:hAnsi="Times New Roman" w:cs="Times New Roman"/>
          <w:noProof/>
          <w:sz w:val="24"/>
          <w:szCs w:val="24"/>
        </w:rPr>
        <w:t>(1), 25. https://doi.org/10.2307/202060</w:t>
      </w:r>
    </w:p>
    <w:p w14:paraId="051FAF37" w14:textId="77777777" w:rsidR="006C07BC" w:rsidRPr="00AB770D" w:rsidRDefault="006C07BC"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054CD21D" w14:textId="77777777"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lang w:val="es-ES"/>
        </w:rPr>
        <w:t xml:space="preserve">Cantillon, P., Dornan, T., &amp; De Grave, W. (2019). </w:t>
      </w:r>
      <w:r w:rsidRPr="00AB770D">
        <w:rPr>
          <w:rFonts w:ascii="Times New Roman" w:hAnsi="Times New Roman" w:cs="Times New Roman"/>
          <w:noProof/>
          <w:sz w:val="24"/>
          <w:szCs w:val="24"/>
        </w:rPr>
        <w:t xml:space="preserve">Becoming a Clinical Teacher: Identity Formation in Context. </w:t>
      </w:r>
      <w:r w:rsidRPr="00AB770D">
        <w:rPr>
          <w:rFonts w:ascii="Times New Roman" w:hAnsi="Times New Roman" w:cs="Times New Roman"/>
          <w:i/>
          <w:iCs/>
          <w:noProof/>
          <w:sz w:val="24"/>
          <w:szCs w:val="24"/>
        </w:rPr>
        <w:t>Academic Medicine</w:t>
      </w:r>
      <w:r w:rsidRPr="00AB770D">
        <w:rPr>
          <w:rFonts w:ascii="Times New Roman" w:hAnsi="Times New Roman" w:cs="Times New Roman"/>
          <w:noProof/>
          <w:sz w:val="24"/>
          <w:szCs w:val="24"/>
        </w:rPr>
        <w:t xml:space="preserve">, </w:t>
      </w:r>
      <w:r w:rsidRPr="00AB770D">
        <w:rPr>
          <w:rFonts w:ascii="Times New Roman" w:hAnsi="Times New Roman" w:cs="Times New Roman"/>
          <w:i/>
          <w:iCs/>
          <w:noProof/>
          <w:sz w:val="24"/>
          <w:szCs w:val="24"/>
        </w:rPr>
        <w:t>94</w:t>
      </w:r>
      <w:r w:rsidRPr="00AB770D">
        <w:rPr>
          <w:rFonts w:ascii="Times New Roman" w:hAnsi="Times New Roman" w:cs="Times New Roman"/>
          <w:noProof/>
          <w:sz w:val="24"/>
          <w:szCs w:val="24"/>
        </w:rPr>
        <w:t>(10), 1610–1618. https://doi.org/10.1097/ACM.0000000000002403</w:t>
      </w:r>
    </w:p>
    <w:p w14:paraId="69C9A975" w14:textId="77777777" w:rsidR="006C07BC" w:rsidRPr="00AB770D" w:rsidRDefault="006C07BC"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6F255137" w14:textId="77777777"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t xml:space="preserve">Cleland, J., Roberts, R., Kitto, S., Strand, P., &amp; Johnston, P. (2018). Using paradox theory to understand responses to tensions between service and training in general surgery. </w:t>
      </w:r>
      <w:r w:rsidRPr="00AB770D">
        <w:rPr>
          <w:rFonts w:ascii="Times New Roman" w:hAnsi="Times New Roman" w:cs="Times New Roman"/>
          <w:i/>
          <w:iCs/>
          <w:noProof/>
          <w:sz w:val="24"/>
          <w:szCs w:val="24"/>
        </w:rPr>
        <w:t>Medical Education</w:t>
      </w:r>
      <w:r w:rsidRPr="00AB770D">
        <w:rPr>
          <w:rFonts w:ascii="Times New Roman" w:hAnsi="Times New Roman" w:cs="Times New Roman"/>
          <w:noProof/>
          <w:sz w:val="24"/>
          <w:szCs w:val="24"/>
        </w:rPr>
        <w:t xml:space="preserve">, </w:t>
      </w:r>
      <w:r w:rsidRPr="00AB770D">
        <w:rPr>
          <w:rFonts w:ascii="Times New Roman" w:hAnsi="Times New Roman" w:cs="Times New Roman"/>
          <w:i/>
          <w:iCs/>
          <w:noProof/>
          <w:sz w:val="24"/>
          <w:szCs w:val="24"/>
        </w:rPr>
        <w:t>52</w:t>
      </w:r>
      <w:r w:rsidRPr="00AB770D">
        <w:rPr>
          <w:rFonts w:ascii="Times New Roman" w:hAnsi="Times New Roman" w:cs="Times New Roman"/>
          <w:noProof/>
          <w:sz w:val="24"/>
          <w:szCs w:val="24"/>
        </w:rPr>
        <w:t>(3), 288–301. https://doi.org/10.1111/medu.13475</w:t>
      </w:r>
    </w:p>
    <w:p w14:paraId="085F9082" w14:textId="77777777" w:rsidR="006C07BC" w:rsidRPr="00AB770D" w:rsidRDefault="006C07BC"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05A98B0B" w14:textId="77777777"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t xml:space="preserve">Damschroder, L. J., Reardon, C. M., Widerquist, M. A. O., &amp; Lowery, J. (2022). The updated Consolidated Framework for Implementation Research based on user feedback. </w:t>
      </w:r>
      <w:r w:rsidRPr="00AB770D">
        <w:rPr>
          <w:rFonts w:ascii="Times New Roman" w:hAnsi="Times New Roman" w:cs="Times New Roman"/>
          <w:i/>
          <w:iCs/>
          <w:noProof/>
          <w:sz w:val="24"/>
          <w:szCs w:val="24"/>
        </w:rPr>
        <w:t>Implementation Science 2022 17:1</w:t>
      </w:r>
      <w:r w:rsidRPr="00AB770D">
        <w:rPr>
          <w:rFonts w:ascii="Times New Roman" w:hAnsi="Times New Roman" w:cs="Times New Roman"/>
          <w:noProof/>
          <w:sz w:val="24"/>
          <w:szCs w:val="24"/>
        </w:rPr>
        <w:t xml:space="preserve">, </w:t>
      </w:r>
      <w:r w:rsidRPr="00AB770D">
        <w:rPr>
          <w:rFonts w:ascii="Times New Roman" w:hAnsi="Times New Roman" w:cs="Times New Roman"/>
          <w:i/>
          <w:iCs/>
          <w:noProof/>
          <w:sz w:val="24"/>
          <w:szCs w:val="24"/>
        </w:rPr>
        <w:t>17</w:t>
      </w:r>
      <w:r w:rsidRPr="00AB770D">
        <w:rPr>
          <w:rFonts w:ascii="Times New Roman" w:hAnsi="Times New Roman" w:cs="Times New Roman"/>
          <w:noProof/>
          <w:sz w:val="24"/>
          <w:szCs w:val="24"/>
        </w:rPr>
        <w:t>(1), 1–16. https://doi.org/10.1186/S13012-022-01245-0</w:t>
      </w:r>
    </w:p>
    <w:p w14:paraId="4C91963C" w14:textId="77777777" w:rsidR="006C07BC" w:rsidRPr="00AB770D" w:rsidRDefault="006C07BC"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5447D360" w14:textId="77777777"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t xml:space="preserve">Denison, D. R. (1996). What is the Difference between Organizational Culture and Organizational Climate? A Native’s Point of View on a Decade of Paradigm Wars. </w:t>
      </w:r>
      <w:r w:rsidRPr="00AB770D">
        <w:rPr>
          <w:rFonts w:ascii="Times New Roman" w:hAnsi="Times New Roman" w:cs="Times New Roman"/>
          <w:i/>
          <w:iCs/>
          <w:noProof/>
          <w:sz w:val="24"/>
          <w:szCs w:val="24"/>
        </w:rPr>
        <w:t>The Academy of Management Review</w:t>
      </w:r>
      <w:r w:rsidRPr="00AB770D">
        <w:rPr>
          <w:rFonts w:ascii="Times New Roman" w:hAnsi="Times New Roman" w:cs="Times New Roman"/>
          <w:noProof/>
          <w:sz w:val="24"/>
          <w:szCs w:val="24"/>
        </w:rPr>
        <w:t xml:space="preserve">, </w:t>
      </w:r>
      <w:r w:rsidRPr="00AB770D">
        <w:rPr>
          <w:rFonts w:ascii="Times New Roman" w:hAnsi="Times New Roman" w:cs="Times New Roman"/>
          <w:i/>
          <w:iCs/>
          <w:noProof/>
          <w:sz w:val="24"/>
          <w:szCs w:val="24"/>
        </w:rPr>
        <w:t>21</w:t>
      </w:r>
      <w:r w:rsidRPr="00AB770D">
        <w:rPr>
          <w:rFonts w:ascii="Times New Roman" w:hAnsi="Times New Roman" w:cs="Times New Roman"/>
          <w:noProof/>
          <w:sz w:val="24"/>
          <w:szCs w:val="24"/>
        </w:rPr>
        <w:t>(3), 654. https://doi.org/10.2307/258997</w:t>
      </w:r>
    </w:p>
    <w:p w14:paraId="35AECD02" w14:textId="77777777" w:rsidR="006C07BC" w:rsidRPr="00AB770D" w:rsidRDefault="006C07BC"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6284F46C" w14:textId="77777777"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t xml:space="preserve">Fantaye, A. W., Kitto, S., Hendry, P., Wiesenfeld, L., Whiting, S., Gnyra, C., Fournier, K., &amp; Lochnan, H. (2022). Attributes of excellent clinician teachers and barriers to recognizing and rewarding clinician teachers’ performances and achievements: a narrative review. </w:t>
      </w:r>
      <w:r w:rsidRPr="00AB770D">
        <w:rPr>
          <w:rFonts w:ascii="Times New Roman" w:hAnsi="Times New Roman" w:cs="Times New Roman"/>
          <w:i/>
          <w:iCs/>
          <w:noProof/>
          <w:sz w:val="24"/>
          <w:szCs w:val="24"/>
        </w:rPr>
        <w:t>Canadian Medical Education Journal</w:t>
      </w:r>
      <w:r w:rsidRPr="00AB770D">
        <w:rPr>
          <w:rFonts w:ascii="Times New Roman" w:hAnsi="Times New Roman" w:cs="Times New Roman"/>
          <w:noProof/>
          <w:sz w:val="24"/>
          <w:szCs w:val="24"/>
        </w:rPr>
        <w:t xml:space="preserve">, </w:t>
      </w:r>
      <w:r w:rsidRPr="00AB770D">
        <w:rPr>
          <w:rFonts w:ascii="Times New Roman" w:hAnsi="Times New Roman" w:cs="Times New Roman"/>
          <w:i/>
          <w:iCs/>
          <w:noProof/>
          <w:sz w:val="24"/>
          <w:szCs w:val="24"/>
        </w:rPr>
        <w:t>13</w:t>
      </w:r>
      <w:r w:rsidRPr="00AB770D">
        <w:rPr>
          <w:rFonts w:ascii="Times New Roman" w:hAnsi="Times New Roman" w:cs="Times New Roman"/>
          <w:noProof/>
          <w:sz w:val="24"/>
          <w:szCs w:val="24"/>
        </w:rPr>
        <w:t>(2), 57–72. https://doi.org/10.36834/CMEJ.73241</w:t>
      </w:r>
    </w:p>
    <w:p w14:paraId="0525FD64" w14:textId="77777777" w:rsidR="006C07BC" w:rsidRPr="00AB770D" w:rsidRDefault="006C07BC"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21A1B851" w14:textId="77777777"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t xml:space="preserve">Greenhalgh, T., Robert, G., Macfarlane, F., Bate, P., &amp; Kyriakidou, O. (2004). Diffusion of innovations in service organizations: systematic review and recommendations. </w:t>
      </w:r>
      <w:r w:rsidRPr="00AB770D">
        <w:rPr>
          <w:rFonts w:ascii="Times New Roman" w:hAnsi="Times New Roman" w:cs="Times New Roman"/>
          <w:i/>
          <w:iCs/>
          <w:noProof/>
          <w:sz w:val="24"/>
          <w:szCs w:val="24"/>
        </w:rPr>
        <w:t>The Milbank Quarterly</w:t>
      </w:r>
      <w:r w:rsidRPr="00AB770D">
        <w:rPr>
          <w:rFonts w:ascii="Times New Roman" w:hAnsi="Times New Roman" w:cs="Times New Roman"/>
          <w:noProof/>
          <w:sz w:val="24"/>
          <w:szCs w:val="24"/>
        </w:rPr>
        <w:t xml:space="preserve">, </w:t>
      </w:r>
      <w:r w:rsidRPr="00AB770D">
        <w:rPr>
          <w:rFonts w:ascii="Times New Roman" w:hAnsi="Times New Roman" w:cs="Times New Roman"/>
          <w:i/>
          <w:iCs/>
          <w:noProof/>
          <w:sz w:val="24"/>
          <w:szCs w:val="24"/>
        </w:rPr>
        <w:t>82</w:t>
      </w:r>
      <w:r w:rsidRPr="00AB770D">
        <w:rPr>
          <w:rFonts w:ascii="Times New Roman" w:hAnsi="Times New Roman" w:cs="Times New Roman"/>
          <w:noProof/>
          <w:sz w:val="24"/>
          <w:szCs w:val="24"/>
        </w:rPr>
        <w:t>(4), 581–629. https://doi.org/10.1111/J.0887-378X.2004.00325.X</w:t>
      </w:r>
    </w:p>
    <w:p w14:paraId="09BADAF3" w14:textId="77777777" w:rsidR="006F3F42" w:rsidRPr="00AB770D" w:rsidRDefault="006F3F42"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5428B02D" w14:textId="77777777"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t xml:space="preserve">Heyssel, R. (1984). The challenge of governance: the relationship of the teaching hospital to the university. </w:t>
      </w:r>
      <w:r w:rsidRPr="00AB770D">
        <w:rPr>
          <w:rFonts w:ascii="Times New Roman" w:hAnsi="Times New Roman" w:cs="Times New Roman"/>
          <w:i/>
          <w:iCs/>
          <w:noProof/>
          <w:sz w:val="24"/>
          <w:szCs w:val="24"/>
        </w:rPr>
        <w:t>Journal of Medical Education</w:t>
      </w:r>
      <w:r w:rsidRPr="00AB770D">
        <w:rPr>
          <w:rFonts w:ascii="Times New Roman" w:hAnsi="Times New Roman" w:cs="Times New Roman"/>
          <w:noProof/>
          <w:sz w:val="24"/>
          <w:szCs w:val="24"/>
        </w:rPr>
        <w:t xml:space="preserve">, </w:t>
      </w:r>
      <w:r w:rsidRPr="00AB770D">
        <w:rPr>
          <w:rFonts w:ascii="Times New Roman" w:hAnsi="Times New Roman" w:cs="Times New Roman"/>
          <w:i/>
          <w:iCs/>
          <w:noProof/>
          <w:sz w:val="24"/>
          <w:szCs w:val="24"/>
        </w:rPr>
        <w:t>59</w:t>
      </w:r>
      <w:r w:rsidRPr="00AB770D">
        <w:rPr>
          <w:rFonts w:ascii="Times New Roman" w:hAnsi="Times New Roman" w:cs="Times New Roman"/>
          <w:noProof/>
          <w:sz w:val="24"/>
          <w:szCs w:val="24"/>
        </w:rPr>
        <w:t>(3), 162–168.</w:t>
      </w:r>
    </w:p>
    <w:p w14:paraId="03A2E908" w14:textId="77777777" w:rsidR="006F3F42" w:rsidRPr="00AB770D" w:rsidRDefault="006F3F42"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37FB8364" w14:textId="77777777"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t xml:space="preserve">Huggett, K. N., Greenberg, R. B., Rao, D., Richards, B., Chauvin, S. W., Fulton, T. B., Kalishman, S., Littlefield, J., Perkowski, L., Robins, L., &amp; Simpson, D. (2012). The design and utility of institutional teaching awards: A literature review. </w:t>
      </w:r>
      <w:r w:rsidRPr="00AB770D">
        <w:rPr>
          <w:rFonts w:ascii="Times New Roman" w:hAnsi="Times New Roman" w:cs="Times New Roman"/>
          <w:i/>
          <w:iCs/>
          <w:noProof/>
          <w:sz w:val="24"/>
          <w:szCs w:val="24"/>
        </w:rPr>
        <w:t>Medical Teacher</w:t>
      </w:r>
      <w:r w:rsidRPr="00AB770D">
        <w:rPr>
          <w:rFonts w:ascii="Times New Roman" w:hAnsi="Times New Roman" w:cs="Times New Roman"/>
          <w:noProof/>
          <w:sz w:val="24"/>
          <w:szCs w:val="24"/>
        </w:rPr>
        <w:t xml:space="preserve">, </w:t>
      </w:r>
      <w:r w:rsidRPr="00AB770D">
        <w:rPr>
          <w:rFonts w:ascii="Times New Roman" w:hAnsi="Times New Roman" w:cs="Times New Roman"/>
          <w:i/>
          <w:iCs/>
          <w:noProof/>
          <w:sz w:val="24"/>
          <w:szCs w:val="24"/>
        </w:rPr>
        <w:t>34</w:t>
      </w:r>
      <w:r w:rsidRPr="00AB770D">
        <w:rPr>
          <w:rFonts w:ascii="Times New Roman" w:hAnsi="Times New Roman" w:cs="Times New Roman"/>
          <w:noProof/>
          <w:sz w:val="24"/>
          <w:szCs w:val="24"/>
        </w:rPr>
        <w:t xml:space="preserve">(11), 907–919. </w:t>
      </w:r>
      <w:r w:rsidRPr="00AB770D">
        <w:rPr>
          <w:rFonts w:ascii="Times New Roman" w:hAnsi="Times New Roman" w:cs="Times New Roman"/>
          <w:noProof/>
          <w:sz w:val="24"/>
          <w:szCs w:val="24"/>
        </w:rPr>
        <w:lastRenderedPageBreak/>
        <w:t>https://doi.org/10.3109/0142159X.2012.731102</w:t>
      </w:r>
    </w:p>
    <w:p w14:paraId="74995E88" w14:textId="77777777" w:rsidR="006F3F42" w:rsidRPr="00AB770D" w:rsidRDefault="006F3F42"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4A548C67" w14:textId="3FD25476"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t xml:space="preserve">Irby, D. M., &amp; Bowen, J. L. (2004). Time-efficient strategies for learning and performance. Clinical Teacher, 1(1). </w:t>
      </w:r>
    </w:p>
    <w:p w14:paraId="54333524" w14:textId="77777777" w:rsidR="006F3F42" w:rsidRPr="00AB770D" w:rsidRDefault="006F3F42"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0CF664EC" w14:textId="5F8C28A0"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t>Irby, D. M., &amp; Papadakis, M. (2001). Does good clinical teaching really make a difference?. The American journal of medicine, 110(3), 231-232.</w:t>
      </w:r>
    </w:p>
    <w:p w14:paraId="1D0C3884" w14:textId="77777777" w:rsidR="006F3F42" w:rsidRPr="00AB770D" w:rsidRDefault="006F3F42"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46EC7363" w14:textId="03FFF213"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t xml:space="preserve">Jones, R. F., &amp; Froom, J. D. (1994). Faculty and administration views of problems in faculty evaluation. </w:t>
      </w:r>
      <w:r w:rsidRPr="00AB770D">
        <w:rPr>
          <w:rFonts w:ascii="Times New Roman" w:hAnsi="Times New Roman" w:cs="Times New Roman"/>
          <w:i/>
          <w:iCs/>
          <w:noProof/>
          <w:sz w:val="24"/>
          <w:szCs w:val="24"/>
        </w:rPr>
        <w:t>Academic Medicine: Journal of the Association of American Medical Colleges</w:t>
      </w:r>
      <w:r w:rsidRPr="00AB770D">
        <w:rPr>
          <w:rFonts w:ascii="Times New Roman" w:hAnsi="Times New Roman" w:cs="Times New Roman"/>
          <w:noProof/>
          <w:sz w:val="24"/>
          <w:szCs w:val="24"/>
        </w:rPr>
        <w:t xml:space="preserve">, </w:t>
      </w:r>
      <w:r w:rsidRPr="00AB770D">
        <w:rPr>
          <w:rFonts w:ascii="Times New Roman" w:hAnsi="Times New Roman" w:cs="Times New Roman"/>
          <w:i/>
          <w:iCs/>
          <w:noProof/>
          <w:sz w:val="24"/>
          <w:szCs w:val="24"/>
        </w:rPr>
        <w:t>69</w:t>
      </w:r>
      <w:r w:rsidRPr="00AB770D">
        <w:rPr>
          <w:rFonts w:ascii="Times New Roman" w:hAnsi="Times New Roman" w:cs="Times New Roman"/>
          <w:noProof/>
          <w:sz w:val="24"/>
          <w:szCs w:val="24"/>
        </w:rPr>
        <w:t>(6), 476–483. https://doi.org/10.1097/00001888-199406000-00015</w:t>
      </w:r>
    </w:p>
    <w:p w14:paraId="6885A1CE" w14:textId="77777777" w:rsidR="006F3F42" w:rsidRPr="00AB770D" w:rsidRDefault="006F3F42"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7813718E" w14:textId="77777777"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t xml:space="preserve">Levinson, W., &amp; Rubenstein, A. (2000). Integrating clinician-educators into Academic Medical Centers: challenges and potential solutions. </w:t>
      </w:r>
      <w:r w:rsidRPr="00AB770D">
        <w:rPr>
          <w:rFonts w:ascii="Times New Roman" w:hAnsi="Times New Roman" w:cs="Times New Roman"/>
          <w:i/>
          <w:iCs/>
          <w:noProof/>
          <w:sz w:val="24"/>
          <w:szCs w:val="24"/>
        </w:rPr>
        <w:t>Academic Medicine: Journal of the Association of American Medical Colleges</w:t>
      </w:r>
      <w:r w:rsidRPr="00AB770D">
        <w:rPr>
          <w:rFonts w:ascii="Times New Roman" w:hAnsi="Times New Roman" w:cs="Times New Roman"/>
          <w:noProof/>
          <w:sz w:val="24"/>
          <w:szCs w:val="24"/>
        </w:rPr>
        <w:t xml:space="preserve">, </w:t>
      </w:r>
      <w:r w:rsidRPr="00AB770D">
        <w:rPr>
          <w:rFonts w:ascii="Times New Roman" w:hAnsi="Times New Roman" w:cs="Times New Roman"/>
          <w:i/>
          <w:iCs/>
          <w:noProof/>
          <w:sz w:val="24"/>
          <w:szCs w:val="24"/>
        </w:rPr>
        <w:t>75</w:t>
      </w:r>
      <w:r w:rsidRPr="00AB770D">
        <w:rPr>
          <w:rFonts w:ascii="Times New Roman" w:hAnsi="Times New Roman" w:cs="Times New Roman"/>
          <w:noProof/>
          <w:sz w:val="24"/>
          <w:szCs w:val="24"/>
        </w:rPr>
        <w:t>(9), 906–912. https://doi.org/10.1097/00001888-200009000-00012</w:t>
      </w:r>
    </w:p>
    <w:p w14:paraId="53934C4E" w14:textId="77777777" w:rsidR="006F3F42" w:rsidRPr="00AB770D" w:rsidRDefault="006F3F42"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1CF85790" w14:textId="77777777"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t xml:space="preserve">McLean, M. (2001). Rewarding teaching excellence. Can we measure teaching “excellence”? Who should be the judge? </w:t>
      </w:r>
      <w:r w:rsidRPr="00AB770D">
        <w:rPr>
          <w:rFonts w:ascii="Times New Roman" w:hAnsi="Times New Roman" w:cs="Times New Roman"/>
          <w:i/>
          <w:iCs/>
          <w:noProof/>
          <w:sz w:val="24"/>
          <w:szCs w:val="24"/>
        </w:rPr>
        <w:t>Medical Teacher</w:t>
      </w:r>
      <w:r w:rsidRPr="00AB770D">
        <w:rPr>
          <w:rFonts w:ascii="Times New Roman" w:hAnsi="Times New Roman" w:cs="Times New Roman"/>
          <w:noProof/>
          <w:sz w:val="24"/>
          <w:szCs w:val="24"/>
        </w:rPr>
        <w:t xml:space="preserve">, </w:t>
      </w:r>
      <w:r w:rsidRPr="00AB770D">
        <w:rPr>
          <w:rFonts w:ascii="Times New Roman" w:hAnsi="Times New Roman" w:cs="Times New Roman"/>
          <w:i/>
          <w:iCs/>
          <w:noProof/>
          <w:sz w:val="24"/>
          <w:szCs w:val="24"/>
        </w:rPr>
        <w:t>23</w:t>
      </w:r>
      <w:r w:rsidRPr="00AB770D">
        <w:rPr>
          <w:rFonts w:ascii="Times New Roman" w:hAnsi="Times New Roman" w:cs="Times New Roman"/>
          <w:noProof/>
          <w:sz w:val="24"/>
          <w:szCs w:val="24"/>
        </w:rPr>
        <w:t>(1), 6–11. https://doi.org/10.1080/01421590123039</w:t>
      </w:r>
    </w:p>
    <w:p w14:paraId="2BD18047" w14:textId="77777777" w:rsidR="006F3F42" w:rsidRPr="00AB770D" w:rsidRDefault="006F3F42"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7E43F644" w14:textId="5D6E813B"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t xml:space="preserve">Miles, M. B., &amp; Huberman, M. A. (1994). </w:t>
      </w:r>
      <w:r w:rsidRPr="00AB770D">
        <w:rPr>
          <w:rFonts w:ascii="Times New Roman" w:hAnsi="Times New Roman" w:cs="Times New Roman"/>
          <w:i/>
          <w:iCs/>
          <w:noProof/>
          <w:sz w:val="24"/>
          <w:szCs w:val="24"/>
        </w:rPr>
        <w:t>Qualitative data analysis</w:t>
      </w:r>
      <w:r w:rsidR="007C214A">
        <w:rPr>
          <w:rFonts w:ascii="Times New Roman" w:hAnsi="Times New Roman" w:cs="Times New Roman"/>
          <w:noProof/>
          <w:sz w:val="24"/>
          <w:szCs w:val="24"/>
        </w:rPr>
        <w:t xml:space="preserve">: </w:t>
      </w:r>
      <w:r w:rsidR="007C214A" w:rsidRPr="007C214A">
        <w:rPr>
          <w:rFonts w:ascii="Times New Roman" w:hAnsi="Times New Roman" w:cs="Times New Roman"/>
          <w:i/>
          <w:iCs/>
          <w:noProof/>
          <w:sz w:val="24"/>
          <w:szCs w:val="24"/>
        </w:rPr>
        <w:t>Expanded Sourcebook</w:t>
      </w:r>
      <w:r w:rsidR="007C214A">
        <w:rPr>
          <w:rFonts w:ascii="Times New Roman" w:hAnsi="Times New Roman" w:cs="Times New Roman"/>
          <w:noProof/>
          <w:sz w:val="24"/>
          <w:szCs w:val="24"/>
        </w:rPr>
        <w:t xml:space="preserve">. </w:t>
      </w:r>
      <w:r w:rsidRPr="00AB770D">
        <w:rPr>
          <w:rFonts w:ascii="Times New Roman" w:hAnsi="Times New Roman" w:cs="Times New Roman"/>
          <w:noProof/>
          <w:sz w:val="24"/>
          <w:szCs w:val="24"/>
        </w:rPr>
        <w:t>Sage Publications.</w:t>
      </w:r>
    </w:p>
    <w:p w14:paraId="7E17311D" w14:textId="77777777" w:rsidR="006F3F42" w:rsidRPr="00AB770D" w:rsidRDefault="006F3F42"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104B8F6F" w14:textId="77777777"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t xml:space="preserve">Nordquist, J., Chan, M.-K., Maniate, J., Cook, D., Kelly, C., &amp; McDougall, A. (2019). Examining the clinical learning environment through the architectural avenue. </w:t>
      </w:r>
      <w:r w:rsidRPr="00AB770D">
        <w:rPr>
          <w:rFonts w:ascii="Times New Roman" w:hAnsi="Times New Roman" w:cs="Times New Roman"/>
          <w:i/>
          <w:iCs/>
          <w:noProof/>
          <w:sz w:val="24"/>
          <w:szCs w:val="24"/>
        </w:rPr>
        <w:t>Medical Teacher</w:t>
      </w:r>
      <w:r w:rsidRPr="00AB770D">
        <w:rPr>
          <w:rFonts w:ascii="Times New Roman" w:hAnsi="Times New Roman" w:cs="Times New Roman"/>
          <w:noProof/>
          <w:sz w:val="24"/>
          <w:szCs w:val="24"/>
        </w:rPr>
        <w:t xml:space="preserve">, </w:t>
      </w:r>
      <w:r w:rsidRPr="00AB770D">
        <w:rPr>
          <w:rFonts w:ascii="Times New Roman" w:hAnsi="Times New Roman" w:cs="Times New Roman"/>
          <w:i/>
          <w:iCs/>
          <w:noProof/>
          <w:sz w:val="24"/>
          <w:szCs w:val="24"/>
        </w:rPr>
        <w:t>41</w:t>
      </w:r>
      <w:r w:rsidRPr="00AB770D">
        <w:rPr>
          <w:rFonts w:ascii="Times New Roman" w:hAnsi="Times New Roman" w:cs="Times New Roman"/>
          <w:noProof/>
          <w:sz w:val="24"/>
          <w:szCs w:val="24"/>
        </w:rPr>
        <w:t>(4), 403–407. https://doi.org/10.1080/0142159X.2019.1566603</w:t>
      </w:r>
    </w:p>
    <w:p w14:paraId="5E7D7437" w14:textId="77777777" w:rsidR="007C214A" w:rsidRPr="00AB770D" w:rsidRDefault="007C214A"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3DCA4B33" w14:textId="77777777"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t xml:space="preserve">Olmesdahl, P. J. (1997). Rewards for teaching excellence: practice in South African medical schools. </w:t>
      </w:r>
      <w:r w:rsidRPr="00AB770D">
        <w:rPr>
          <w:rFonts w:ascii="Times New Roman" w:hAnsi="Times New Roman" w:cs="Times New Roman"/>
          <w:i/>
          <w:iCs/>
          <w:noProof/>
          <w:sz w:val="24"/>
          <w:szCs w:val="24"/>
        </w:rPr>
        <w:t>Medical Education</w:t>
      </w:r>
      <w:r w:rsidRPr="00AB770D">
        <w:rPr>
          <w:rFonts w:ascii="Times New Roman" w:hAnsi="Times New Roman" w:cs="Times New Roman"/>
          <w:noProof/>
          <w:sz w:val="24"/>
          <w:szCs w:val="24"/>
        </w:rPr>
        <w:t xml:space="preserve">, </w:t>
      </w:r>
      <w:r w:rsidRPr="00AB770D">
        <w:rPr>
          <w:rFonts w:ascii="Times New Roman" w:hAnsi="Times New Roman" w:cs="Times New Roman"/>
          <w:i/>
          <w:iCs/>
          <w:noProof/>
          <w:sz w:val="24"/>
          <w:szCs w:val="24"/>
        </w:rPr>
        <w:t>31</w:t>
      </w:r>
      <w:r w:rsidRPr="00AB770D">
        <w:rPr>
          <w:rFonts w:ascii="Times New Roman" w:hAnsi="Times New Roman" w:cs="Times New Roman"/>
          <w:noProof/>
          <w:sz w:val="24"/>
          <w:szCs w:val="24"/>
        </w:rPr>
        <w:t>(1), 27–32. https://doi.org/https://doi.org/10.1111/j.1365-2923.1997.tb00039.x</w:t>
      </w:r>
    </w:p>
    <w:p w14:paraId="70971F9C" w14:textId="77777777" w:rsidR="007C214A" w:rsidRPr="00AB770D" w:rsidRDefault="007C214A"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14B3AE02" w14:textId="77777777"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t xml:space="preserve">Ramani, D. S., &amp; Leinster, S. (2008). AMEE Guide no. 34: teaching in the clinical environment. </w:t>
      </w:r>
      <w:r w:rsidRPr="00AB770D">
        <w:rPr>
          <w:rFonts w:ascii="Times New Roman" w:hAnsi="Times New Roman" w:cs="Times New Roman"/>
          <w:i/>
          <w:iCs/>
          <w:noProof/>
          <w:sz w:val="24"/>
          <w:szCs w:val="24"/>
        </w:rPr>
        <w:t>Medical Teacher</w:t>
      </w:r>
      <w:r w:rsidRPr="00AB770D">
        <w:rPr>
          <w:rFonts w:ascii="Times New Roman" w:hAnsi="Times New Roman" w:cs="Times New Roman"/>
          <w:noProof/>
          <w:sz w:val="24"/>
          <w:szCs w:val="24"/>
        </w:rPr>
        <w:t xml:space="preserve">, </w:t>
      </w:r>
      <w:r w:rsidRPr="00AB770D">
        <w:rPr>
          <w:rFonts w:ascii="Times New Roman" w:hAnsi="Times New Roman" w:cs="Times New Roman"/>
          <w:i/>
          <w:iCs/>
          <w:noProof/>
          <w:sz w:val="24"/>
          <w:szCs w:val="24"/>
        </w:rPr>
        <w:t>30</w:t>
      </w:r>
      <w:r w:rsidRPr="00AB770D">
        <w:rPr>
          <w:rFonts w:ascii="Times New Roman" w:hAnsi="Times New Roman" w:cs="Times New Roman"/>
          <w:noProof/>
          <w:sz w:val="24"/>
          <w:szCs w:val="24"/>
        </w:rPr>
        <w:t>(4), 347–364. https://doi.org/10.1080/01421590802061613</w:t>
      </w:r>
    </w:p>
    <w:p w14:paraId="76CDDE84" w14:textId="77777777" w:rsidR="007C214A" w:rsidRPr="00AB770D" w:rsidRDefault="007C214A"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4C274B55" w14:textId="77777777"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t xml:space="preserve">Ramani, S. (2006). Twelve tips to promote excellence in medical teaching. </w:t>
      </w:r>
      <w:r w:rsidRPr="00AB770D">
        <w:rPr>
          <w:rFonts w:ascii="Times New Roman" w:hAnsi="Times New Roman" w:cs="Times New Roman"/>
          <w:i/>
          <w:iCs/>
          <w:noProof/>
          <w:sz w:val="24"/>
          <w:szCs w:val="24"/>
        </w:rPr>
        <w:t>Medical Teacher</w:t>
      </w:r>
      <w:r w:rsidRPr="00AB770D">
        <w:rPr>
          <w:rFonts w:ascii="Times New Roman" w:hAnsi="Times New Roman" w:cs="Times New Roman"/>
          <w:noProof/>
          <w:sz w:val="24"/>
          <w:szCs w:val="24"/>
        </w:rPr>
        <w:t xml:space="preserve">, </w:t>
      </w:r>
      <w:r w:rsidRPr="00AB770D">
        <w:rPr>
          <w:rFonts w:ascii="Times New Roman" w:hAnsi="Times New Roman" w:cs="Times New Roman"/>
          <w:i/>
          <w:iCs/>
          <w:noProof/>
          <w:sz w:val="24"/>
          <w:szCs w:val="24"/>
        </w:rPr>
        <w:t>28</w:t>
      </w:r>
      <w:r w:rsidRPr="00AB770D">
        <w:rPr>
          <w:rFonts w:ascii="Times New Roman" w:hAnsi="Times New Roman" w:cs="Times New Roman"/>
          <w:noProof/>
          <w:sz w:val="24"/>
          <w:szCs w:val="24"/>
        </w:rPr>
        <w:t>(1), 19–23. https://doi.org/10.1080/01421590500441786</w:t>
      </w:r>
    </w:p>
    <w:p w14:paraId="393211EB" w14:textId="77777777" w:rsidR="007C214A" w:rsidRPr="00AB770D" w:rsidRDefault="007C214A"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1A81D618" w14:textId="77777777"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t xml:space="preserve">Sheehan, D., Jowsey, T., Parwaiz, M., Birch, M., Seaton, P., Shaw, S., Duggan, A., &amp; Wilkinson, T. (2017). Clinical learning environments: place, artefacts and rhythm. </w:t>
      </w:r>
      <w:r w:rsidRPr="00AB770D">
        <w:rPr>
          <w:rFonts w:ascii="Times New Roman" w:hAnsi="Times New Roman" w:cs="Times New Roman"/>
          <w:i/>
          <w:iCs/>
          <w:noProof/>
          <w:sz w:val="24"/>
          <w:szCs w:val="24"/>
        </w:rPr>
        <w:t>Medical Education</w:t>
      </w:r>
      <w:r w:rsidRPr="00AB770D">
        <w:rPr>
          <w:rFonts w:ascii="Times New Roman" w:hAnsi="Times New Roman" w:cs="Times New Roman"/>
          <w:noProof/>
          <w:sz w:val="24"/>
          <w:szCs w:val="24"/>
        </w:rPr>
        <w:t xml:space="preserve">, </w:t>
      </w:r>
      <w:r w:rsidRPr="00AB770D">
        <w:rPr>
          <w:rFonts w:ascii="Times New Roman" w:hAnsi="Times New Roman" w:cs="Times New Roman"/>
          <w:i/>
          <w:iCs/>
          <w:noProof/>
          <w:sz w:val="24"/>
          <w:szCs w:val="24"/>
        </w:rPr>
        <w:t>51</w:t>
      </w:r>
      <w:r w:rsidRPr="00AB770D">
        <w:rPr>
          <w:rFonts w:ascii="Times New Roman" w:hAnsi="Times New Roman" w:cs="Times New Roman"/>
          <w:noProof/>
          <w:sz w:val="24"/>
          <w:szCs w:val="24"/>
        </w:rPr>
        <w:t>(10), 1049–1060. https://doi.org/10.1111/medu.13390</w:t>
      </w:r>
    </w:p>
    <w:p w14:paraId="2AFEDA06" w14:textId="77777777" w:rsidR="007C214A" w:rsidRPr="00AB770D" w:rsidRDefault="007C214A"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6788817B" w14:textId="311B6BB6"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t>Sherbino, J., Frank, J. R., &amp; Snell, L. (2014). Defining the key roles and competencies of the clinician–educator of the 21st century: a national mixed-methods study. Academic Medicine, 89(5), 783-789.</w:t>
      </w:r>
    </w:p>
    <w:p w14:paraId="080AA1D4" w14:textId="77777777" w:rsidR="007C214A" w:rsidRPr="00AB770D" w:rsidRDefault="007C214A"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01FF24E0" w14:textId="77777777"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t xml:space="preserve">Steinert, Y., Basi, M., &amp; Nugus, P. (2017). How physicians teach in the clinical setting: The embedded roles of teaching and clinical care. </w:t>
      </w:r>
      <w:r w:rsidRPr="00AB770D">
        <w:rPr>
          <w:rFonts w:ascii="Times New Roman" w:hAnsi="Times New Roman" w:cs="Times New Roman"/>
          <w:i/>
          <w:iCs/>
          <w:noProof/>
          <w:sz w:val="24"/>
          <w:szCs w:val="24"/>
        </w:rPr>
        <w:t>Medical Teacher</w:t>
      </w:r>
      <w:r w:rsidRPr="00AB770D">
        <w:rPr>
          <w:rFonts w:ascii="Times New Roman" w:hAnsi="Times New Roman" w:cs="Times New Roman"/>
          <w:noProof/>
          <w:sz w:val="24"/>
          <w:szCs w:val="24"/>
        </w:rPr>
        <w:t xml:space="preserve">, </w:t>
      </w:r>
      <w:r w:rsidRPr="00AB770D">
        <w:rPr>
          <w:rFonts w:ascii="Times New Roman" w:hAnsi="Times New Roman" w:cs="Times New Roman"/>
          <w:i/>
          <w:iCs/>
          <w:noProof/>
          <w:sz w:val="24"/>
          <w:szCs w:val="24"/>
        </w:rPr>
        <w:t>39</w:t>
      </w:r>
      <w:r w:rsidRPr="00AB770D">
        <w:rPr>
          <w:rFonts w:ascii="Times New Roman" w:hAnsi="Times New Roman" w:cs="Times New Roman"/>
          <w:noProof/>
          <w:sz w:val="24"/>
          <w:szCs w:val="24"/>
        </w:rPr>
        <w:t>(12), 1238–1244. https://doi.org/10.1080/0142159X.2017.1360473</w:t>
      </w:r>
    </w:p>
    <w:p w14:paraId="5DBF83C3" w14:textId="77777777" w:rsidR="007C214A" w:rsidRPr="00AB770D" w:rsidRDefault="007C214A"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343643CC" w14:textId="77777777"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lastRenderedPageBreak/>
        <w:t xml:space="preserve">Steinert, Y., Mann, K., Centeno, A., Dolmans, D., Spencer, J., Gelula, M., &amp; Prideaux, D. (2006). A systematic review of faculty development initiatives designed to improve teaching effectiveness in medical education: BEME Guide No. 8. </w:t>
      </w:r>
      <w:r w:rsidRPr="00AB770D">
        <w:rPr>
          <w:rFonts w:ascii="Times New Roman" w:hAnsi="Times New Roman" w:cs="Times New Roman"/>
          <w:i/>
          <w:iCs/>
          <w:noProof/>
          <w:sz w:val="24"/>
          <w:szCs w:val="24"/>
        </w:rPr>
        <w:t>Medical Teacher</w:t>
      </w:r>
      <w:r w:rsidRPr="00AB770D">
        <w:rPr>
          <w:rFonts w:ascii="Times New Roman" w:hAnsi="Times New Roman" w:cs="Times New Roman"/>
          <w:noProof/>
          <w:sz w:val="24"/>
          <w:szCs w:val="24"/>
        </w:rPr>
        <w:t xml:space="preserve">, </w:t>
      </w:r>
      <w:r w:rsidRPr="00AB770D">
        <w:rPr>
          <w:rFonts w:ascii="Times New Roman" w:hAnsi="Times New Roman" w:cs="Times New Roman"/>
          <w:i/>
          <w:iCs/>
          <w:noProof/>
          <w:sz w:val="24"/>
          <w:szCs w:val="24"/>
        </w:rPr>
        <w:t>28</w:t>
      </w:r>
      <w:r w:rsidRPr="00AB770D">
        <w:rPr>
          <w:rFonts w:ascii="Times New Roman" w:hAnsi="Times New Roman" w:cs="Times New Roman"/>
          <w:noProof/>
          <w:sz w:val="24"/>
          <w:szCs w:val="24"/>
        </w:rPr>
        <w:t>(6), 497–526. https://doi.org/10.1080/01421590600902976</w:t>
      </w:r>
    </w:p>
    <w:p w14:paraId="74F0E137" w14:textId="77777777" w:rsidR="007C214A" w:rsidRPr="00AB770D" w:rsidRDefault="007C214A"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20D3B936" w14:textId="77777777"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t xml:space="preserve">Tierney, W. G. (1988). Organizational Culture in Higher Education: Defining the Essentials. </w:t>
      </w:r>
      <w:r w:rsidRPr="00AB770D">
        <w:rPr>
          <w:rFonts w:ascii="Times New Roman" w:hAnsi="Times New Roman" w:cs="Times New Roman"/>
          <w:i/>
          <w:iCs/>
          <w:noProof/>
          <w:sz w:val="24"/>
          <w:szCs w:val="24"/>
        </w:rPr>
        <w:t>The Journal of Higher Education</w:t>
      </w:r>
      <w:r w:rsidRPr="00AB770D">
        <w:rPr>
          <w:rFonts w:ascii="Times New Roman" w:hAnsi="Times New Roman" w:cs="Times New Roman"/>
          <w:noProof/>
          <w:sz w:val="24"/>
          <w:szCs w:val="24"/>
        </w:rPr>
        <w:t xml:space="preserve">, </w:t>
      </w:r>
      <w:r w:rsidRPr="00AB770D">
        <w:rPr>
          <w:rFonts w:ascii="Times New Roman" w:hAnsi="Times New Roman" w:cs="Times New Roman"/>
          <w:i/>
          <w:iCs/>
          <w:noProof/>
          <w:sz w:val="24"/>
          <w:szCs w:val="24"/>
        </w:rPr>
        <w:t>59</w:t>
      </w:r>
      <w:r w:rsidRPr="00AB770D">
        <w:rPr>
          <w:rFonts w:ascii="Times New Roman" w:hAnsi="Times New Roman" w:cs="Times New Roman"/>
          <w:noProof/>
          <w:sz w:val="24"/>
          <w:szCs w:val="24"/>
        </w:rPr>
        <w:t>(1), 21. https://doi.org/10.2307/1981868</w:t>
      </w:r>
    </w:p>
    <w:p w14:paraId="1E097996" w14:textId="77777777" w:rsidR="007C214A" w:rsidRPr="00AB770D" w:rsidRDefault="007C214A"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75751DC3" w14:textId="77777777" w:rsidR="009E0E2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t xml:space="preserve">Vassie, C., Mulki, O., Chu, A., &amp; Smith, S. F. (2020). A practical guide to fostering teaching excellence in clinical education: experience from the UK. </w:t>
      </w:r>
      <w:r w:rsidRPr="00AB770D">
        <w:rPr>
          <w:rFonts w:ascii="Times New Roman" w:hAnsi="Times New Roman" w:cs="Times New Roman"/>
          <w:i/>
          <w:iCs/>
          <w:noProof/>
          <w:sz w:val="24"/>
          <w:szCs w:val="24"/>
        </w:rPr>
        <w:t>The Clinical Teacher</w:t>
      </w:r>
      <w:r w:rsidRPr="00AB770D">
        <w:rPr>
          <w:rFonts w:ascii="Times New Roman" w:hAnsi="Times New Roman" w:cs="Times New Roman"/>
          <w:noProof/>
          <w:sz w:val="24"/>
          <w:szCs w:val="24"/>
        </w:rPr>
        <w:t xml:space="preserve">, </w:t>
      </w:r>
      <w:r w:rsidRPr="00AB770D">
        <w:rPr>
          <w:rFonts w:ascii="Times New Roman" w:hAnsi="Times New Roman" w:cs="Times New Roman"/>
          <w:i/>
          <w:iCs/>
          <w:noProof/>
          <w:sz w:val="24"/>
          <w:szCs w:val="24"/>
        </w:rPr>
        <w:t>n/a</w:t>
      </w:r>
      <w:r w:rsidRPr="00AB770D">
        <w:rPr>
          <w:rFonts w:ascii="Times New Roman" w:hAnsi="Times New Roman" w:cs="Times New Roman"/>
          <w:noProof/>
          <w:sz w:val="24"/>
          <w:szCs w:val="24"/>
        </w:rPr>
        <w:t>(n/a). https://doi.org/https://doi.org/10.1111/tct.13188</w:t>
      </w:r>
    </w:p>
    <w:p w14:paraId="0D3255D3" w14:textId="77777777" w:rsidR="007C214A" w:rsidRPr="00AB770D" w:rsidRDefault="007C214A"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2903B72E" w14:textId="77777777" w:rsidR="009E0E2D" w:rsidRPr="00AB770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770D">
        <w:rPr>
          <w:rFonts w:ascii="Times New Roman" w:hAnsi="Times New Roman" w:cs="Times New Roman"/>
          <w:noProof/>
          <w:sz w:val="24"/>
          <w:szCs w:val="24"/>
        </w:rPr>
        <w:t>Zhang, J., Zhou, F., Jiang, J., Duan, X., &amp; Yang, X. (2022). Effective teaching behaviors of clinical nursing teachers: a qualitative meta-synthesis. Frontiers in Public Health, 10, 883204.</w:t>
      </w:r>
    </w:p>
    <w:p w14:paraId="0E972493" w14:textId="77777777" w:rsidR="009E0E2D" w:rsidRPr="00AB770D" w:rsidRDefault="009E0E2D" w:rsidP="00AB770D">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51E72401" w14:textId="5762CC1B" w:rsidR="00794766" w:rsidRPr="00AB770D" w:rsidRDefault="009E0E2D" w:rsidP="00AB770D">
      <w:pPr>
        <w:spacing w:after="0" w:line="240" w:lineRule="auto"/>
        <w:ind w:right="-20"/>
        <w:rPr>
          <w:rFonts w:ascii="Times New Roman" w:eastAsia="Segoe UI" w:hAnsi="Times New Roman" w:cs="Times New Roman"/>
          <w:sz w:val="24"/>
          <w:szCs w:val="24"/>
        </w:rPr>
      </w:pPr>
      <w:r w:rsidRPr="00AB770D">
        <w:rPr>
          <w:rFonts w:ascii="Times New Roman" w:hAnsi="Times New Roman" w:cs="Times New Roman"/>
          <w:sz w:val="24"/>
          <w:szCs w:val="24"/>
        </w:rPr>
        <w:fldChar w:fldCharType="end"/>
      </w:r>
    </w:p>
    <w:sectPr w:rsidR="00794766" w:rsidRPr="00AB770D" w:rsidSect="00BE1411">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5DE2BC" w14:textId="77777777" w:rsidR="001851F7" w:rsidRDefault="001851F7" w:rsidP="00383FBC">
      <w:pPr>
        <w:spacing w:after="0" w:line="240" w:lineRule="auto"/>
      </w:pPr>
      <w:r>
        <w:separator/>
      </w:r>
    </w:p>
  </w:endnote>
  <w:endnote w:type="continuationSeparator" w:id="0">
    <w:p w14:paraId="3FE4BBA8" w14:textId="77777777" w:rsidR="001851F7" w:rsidRDefault="001851F7" w:rsidP="00383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7E1C44" w14:textId="77777777" w:rsidR="001851F7" w:rsidRDefault="001851F7" w:rsidP="00383FBC">
      <w:pPr>
        <w:spacing w:after="0" w:line="240" w:lineRule="auto"/>
      </w:pPr>
      <w:r>
        <w:separator/>
      </w:r>
    </w:p>
  </w:footnote>
  <w:footnote w:type="continuationSeparator" w:id="0">
    <w:p w14:paraId="135B70C6" w14:textId="77777777" w:rsidR="001851F7" w:rsidRDefault="001851F7" w:rsidP="00383F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262038"/>
      <w:docPartObj>
        <w:docPartGallery w:val="Page Numbers (Top of Page)"/>
        <w:docPartUnique/>
      </w:docPartObj>
    </w:sdtPr>
    <w:sdtEndPr>
      <w:rPr>
        <w:noProof/>
      </w:rPr>
    </w:sdtEndPr>
    <w:sdtContent>
      <w:p w14:paraId="392FDA05" w14:textId="1C966A73" w:rsidR="00383FBC" w:rsidRDefault="00383FB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6E24260" w14:textId="77777777" w:rsidR="00383FBC" w:rsidRDefault="00383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6244361"/>
      <w:docPartObj>
        <w:docPartGallery w:val="Page Numbers (Top of Page)"/>
        <w:docPartUnique/>
      </w:docPartObj>
    </w:sdtPr>
    <w:sdtEndPr>
      <w:rPr>
        <w:noProof/>
      </w:rPr>
    </w:sdtEndPr>
    <w:sdtContent>
      <w:p w14:paraId="498979BB" w14:textId="77777777" w:rsidR="00BE1411" w:rsidRDefault="00BE141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A0FE662" w14:textId="77777777" w:rsidR="00BE1411" w:rsidRDefault="00BE14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14318"/>
    <w:multiLevelType w:val="hybridMultilevel"/>
    <w:tmpl w:val="727C610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76A0B0F"/>
    <w:multiLevelType w:val="hybridMultilevel"/>
    <w:tmpl w:val="047A36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A65DF5"/>
    <w:multiLevelType w:val="multilevel"/>
    <w:tmpl w:val="75E6948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204667A"/>
    <w:multiLevelType w:val="hybridMultilevel"/>
    <w:tmpl w:val="206ACB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44E288A"/>
    <w:multiLevelType w:val="multilevel"/>
    <w:tmpl w:val="BD8E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9076B6"/>
    <w:multiLevelType w:val="multilevel"/>
    <w:tmpl w:val="D1706A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D960B7"/>
    <w:multiLevelType w:val="multilevel"/>
    <w:tmpl w:val="1366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9F2E83"/>
    <w:multiLevelType w:val="hybridMultilevel"/>
    <w:tmpl w:val="1C82E8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C3C585C"/>
    <w:multiLevelType w:val="hybridMultilevel"/>
    <w:tmpl w:val="1AFCA9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D3078F9"/>
    <w:multiLevelType w:val="multilevel"/>
    <w:tmpl w:val="60C6F41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3103CE"/>
    <w:multiLevelType w:val="hybridMultilevel"/>
    <w:tmpl w:val="19BA79A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959670C"/>
    <w:multiLevelType w:val="multilevel"/>
    <w:tmpl w:val="229648F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E8300F9"/>
    <w:multiLevelType w:val="hybridMultilevel"/>
    <w:tmpl w:val="E78ED7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5232FC6"/>
    <w:multiLevelType w:val="multilevel"/>
    <w:tmpl w:val="1ADA97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90F2F82"/>
    <w:multiLevelType w:val="hybridMultilevel"/>
    <w:tmpl w:val="79DC4D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A2E2F49"/>
    <w:multiLevelType w:val="multilevel"/>
    <w:tmpl w:val="673499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265095"/>
    <w:multiLevelType w:val="multilevel"/>
    <w:tmpl w:val="61765BA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CA54BCF"/>
    <w:multiLevelType w:val="hybridMultilevel"/>
    <w:tmpl w:val="26C00498"/>
    <w:lvl w:ilvl="0" w:tplc="FFFFFFFF">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B409A8"/>
    <w:multiLevelType w:val="multilevel"/>
    <w:tmpl w:val="6C36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BE12BE"/>
    <w:multiLevelType w:val="hybridMultilevel"/>
    <w:tmpl w:val="764A75F8"/>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5A748FA"/>
    <w:multiLevelType w:val="multilevel"/>
    <w:tmpl w:val="DF685C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A74CFD"/>
    <w:multiLevelType w:val="multilevel"/>
    <w:tmpl w:val="B4187AF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4C5937"/>
    <w:multiLevelType w:val="hybridMultilevel"/>
    <w:tmpl w:val="B108025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F2B6B3C"/>
    <w:multiLevelType w:val="multilevel"/>
    <w:tmpl w:val="705606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0410727"/>
    <w:multiLevelType w:val="multilevel"/>
    <w:tmpl w:val="43D824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1BA15EA"/>
    <w:multiLevelType w:val="multilevel"/>
    <w:tmpl w:val="B7B417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BE40BA"/>
    <w:multiLevelType w:val="multilevel"/>
    <w:tmpl w:val="A242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C13EAA"/>
    <w:multiLevelType w:val="multilevel"/>
    <w:tmpl w:val="6F348A1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96E0C5D"/>
    <w:multiLevelType w:val="multilevel"/>
    <w:tmpl w:val="EF2E5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741AD3"/>
    <w:multiLevelType w:val="hybridMultilevel"/>
    <w:tmpl w:val="43D83A90"/>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E867F1E"/>
    <w:multiLevelType w:val="hybridMultilevel"/>
    <w:tmpl w:val="FA5C65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6440A97"/>
    <w:multiLevelType w:val="multilevel"/>
    <w:tmpl w:val="CD9E9B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A82967"/>
    <w:multiLevelType w:val="multilevel"/>
    <w:tmpl w:val="12D6E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CF6133"/>
    <w:multiLevelType w:val="multilevel"/>
    <w:tmpl w:val="6876F1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52A2171"/>
    <w:multiLevelType w:val="multilevel"/>
    <w:tmpl w:val="2D381BF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6B01BC7"/>
    <w:multiLevelType w:val="multilevel"/>
    <w:tmpl w:val="B9CE8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C9194A"/>
    <w:multiLevelType w:val="hybridMultilevel"/>
    <w:tmpl w:val="A3EAEC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F91349C"/>
    <w:multiLevelType w:val="multilevel"/>
    <w:tmpl w:val="FE2A3A4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950866766">
    <w:abstractNumId w:val="32"/>
  </w:num>
  <w:num w:numId="2" w16cid:durableId="495002487">
    <w:abstractNumId w:val="13"/>
  </w:num>
  <w:num w:numId="3" w16cid:durableId="964971721">
    <w:abstractNumId w:val="11"/>
  </w:num>
  <w:num w:numId="4" w16cid:durableId="1753120348">
    <w:abstractNumId w:val="2"/>
  </w:num>
  <w:num w:numId="5" w16cid:durableId="273094891">
    <w:abstractNumId w:val="27"/>
  </w:num>
  <w:num w:numId="6" w16cid:durableId="1092507522">
    <w:abstractNumId w:val="15"/>
  </w:num>
  <w:num w:numId="7" w16cid:durableId="68505541">
    <w:abstractNumId w:val="23"/>
  </w:num>
  <w:num w:numId="8" w16cid:durableId="1046218337">
    <w:abstractNumId w:val="6"/>
  </w:num>
  <w:num w:numId="9" w16cid:durableId="1505970888">
    <w:abstractNumId w:val="16"/>
  </w:num>
  <w:num w:numId="10" w16cid:durableId="1142887862">
    <w:abstractNumId w:val="26"/>
  </w:num>
  <w:num w:numId="11" w16cid:durableId="661006989">
    <w:abstractNumId w:val="5"/>
  </w:num>
  <w:num w:numId="12" w16cid:durableId="194658395">
    <w:abstractNumId w:val="33"/>
  </w:num>
  <w:num w:numId="13" w16cid:durableId="1674648845">
    <w:abstractNumId w:val="24"/>
  </w:num>
  <w:num w:numId="14" w16cid:durableId="1000617791">
    <w:abstractNumId w:val="28"/>
  </w:num>
  <w:num w:numId="15" w16cid:durableId="2030258727">
    <w:abstractNumId w:val="21"/>
  </w:num>
  <w:num w:numId="16" w16cid:durableId="1494836767">
    <w:abstractNumId w:val="18"/>
  </w:num>
  <w:num w:numId="17" w16cid:durableId="290983103">
    <w:abstractNumId w:val="34"/>
  </w:num>
  <w:num w:numId="18" w16cid:durableId="1908109879">
    <w:abstractNumId w:val="4"/>
  </w:num>
  <w:num w:numId="19" w16cid:durableId="1648893849">
    <w:abstractNumId w:val="37"/>
  </w:num>
  <w:num w:numId="20" w16cid:durableId="2129350230">
    <w:abstractNumId w:val="17"/>
  </w:num>
  <w:num w:numId="21" w16cid:durableId="1079523475">
    <w:abstractNumId w:val="29"/>
  </w:num>
  <w:num w:numId="22" w16cid:durableId="1614089988">
    <w:abstractNumId w:val="22"/>
  </w:num>
  <w:num w:numId="23" w16cid:durableId="1058555769">
    <w:abstractNumId w:val="19"/>
  </w:num>
  <w:num w:numId="24" w16cid:durableId="2056196891">
    <w:abstractNumId w:val="7"/>
  </w:num>
  <w:num w:numId="25" w16cid:durableId="1558131001">
    <w:abstractNumId w:val="1"/>
  </w:num>
  <w:num w:numId="26" w16cid:durableId="1043754859">
    <w:abstractNumId w:val="8"/>
  </w:num>
  <w:num w:numId="27" w16cid:durableId="1661814773">
    <w:abstractNumId w:val="14"/>
  </w:num>
  <w:num w:numId="28" w16cid:durableId="2108765536">
    <w:abstractNumId w:val="30"/>
  </w:num>
  <w:num w:numId="29" w16cid:durableId="1363437996">
    <w:abstractNumId w:val="35"/>
  </w:num>
  <w:num w:numId="30" w16cid:durableId="1916546796">
    <w:abstractNumId w:val="31"/>
  </w:num>
  <w:num w:numId="31" w16cid:durableId="1321345647">
    <w:abstractNumId w:val="20"/>
  </w:num>
  <w:num w:numId="32" w16cid:durableId="1277980574">
    <w:abstractNumId w:val="9"/>
  </w:num>
  <w:num w:numId="33" w16cid:durableId="77943371">
    <w:abstractNumId w:val="25"/>
  </w:num>
  <w:num w:numId="34" w16cid:durableId="744300553">
    <w:abstractNumId w:val="10"/>
  </w:num>
  <w:num w:numId="35" w16cid:durableId="504827937">
    <w:abstractNumId w:val="0"/>
  </w:num>
  <w:num w:numId="36" w16cid:durableId="614025418">
    <w:abstractNumId w:val="12"/>
  </w:num>
  <w:num w:numId="37" w16cid:durableId="1313676335">
    <w:abstractNumId w:val="36"/>
  </w:num>
  <w:num w:numId="38" w16cid:durableId="18858715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4E4"/>
    <w:rsid w:val="000334E4"/>
    <w:rsid w:val="00040DC6"/>
    <w:rsid w:val="00080AB4"/>
    <w:rsid w:val="00086862"/>
    <w:rsid w:val="000E3E18"/>
    <w:rsid w:val="0011041E"/>
    <w:rsid w:val="00112CDF"/>
    <w:rsid w:val="00123872"/>
    <w:rsid w:val="00124749"/>
    <w:rsid w:val="001502C7"/>
    <w:rsid w:val="001851F7"/>
    <w:rsid w:val="001A33D6"/>
    <w:rsid w:val="0021166E"/>
    <w:rsid w:val="0026619F"/>
    <w:rsid w:val="00275D96"/>
    <w:rsid w:val="002D7C05"/>
    <w:rsid w:val="00306D9D"/>
    <w:rsid w:val="0035132E"/>
    <w:rsid w:val="00383FBC"/>
    <w:rsid w:val="003A3617"/>
    <w:rsid w:val="003E3411"/>
    <w:rsid w:val="004565EF"/>
    <w:rsid w:val="00470F6D"/>
    <w:rsid w:val="005062D3"/>
    <w:rsid w:val="005148CD"/>
    <w:rsid w:val="00541FC4"/>
    <w:rsid w:val="00543CB0"/>
    <w:rsid w:val="00571156"/>
    <w:rsid w:val="00584222"/>
    <w:rsid w:val="0059680D"/>
    <w:rsid w:val="005B0053"/>
    <w:rsid w:val="005F42FD"/>
    <w:rsid w:val="006017DB"/>
    <w:rsid w:val="0063523C"/>
    <w:rsid w:val="00636F0F"/>
    <w:rsid w:val="006937AD"/>
    <w:rsid w:val="006C07BC"/>
    <w:rsid w:val="006E71B0"/>
    <w:rsid w:val="006F3F42"/>
    <w:rsid w:val="00741339"/>
    <w:rsid w:val="00794766"/>
    <w:rsid w:val="007C214A"/>
    <w:rsid w:val="00810C5F"/>
    <w:rsid w:val="00840E4E"/>
    <w:rsid w:val="008705B5"/>
    <w:rsid w:val="00876676"/>
    <w:rsid w:val="008E6B55"/>
    <w:rsid w:val="008E714E"/>
    <w:rsid w:val="00912678"/>
    <w:rsid w:val="00925D9B"/>
    <w:rsid w:val="00931904"/>
    <w:rsid w:val="009C399C"/>
    <w:rsid w:val="009E0E2D"/>
    <w:rsid w:val="009F3D8E"/>
    <w:rsid w:val="00A501FA"/>
    <w:rsid w:val="00A60910"/>
    <w:rsid w:val="00A834DD"/>
    <w:rsid w:val="00A93584"/>
    <w:rsid w:val="00AB770D"/>
    <w:rsid w:val="00AC4B94"/>
    <w:rsid w:val="00AE42FA"/>
    <w:rsid w:val="00B6459D"/>
    <w:rsid w:val="00B973A7"/>
    <w:rsid w:val="00BA1601"/>
    <w:rsid w:val="00BA3809"/>
    <w:rsid w:val="00BA40DC"/>
    <w:rsid w:val="00BB0FAC"/>
    <w:rsid w:val="00BB28ED"/>
    <w:rsid w:val="00BC3D8E"/>
    <w:rsid w:val="00BD7450"/>
    <w:rsid w:val="00BE1411"/>
    <w:rsid w:val="00C4015B"/>
    <w:rsid w:val="00C71FD4"/>
    <w:rsid w:val="00C91D42"/>
    <w:rsid w:val="00C93159"/>
    <w:rsid w:val="00CA125C"/>
    <w:rsid w:val="00CD3E60"/>
    <w:rsid w:val="00CF7C7D"/>
    <w:rsid w:val="00D04701"/>
    <w:rsid w:val="00D630C1"/>
    <w:rsid w:val="00D662D6"/>
    <w:rsid w:val="00D81BAC"/>
    <w:rsid w:val="00DA6AC7"/>
    <w:rsid w:val="00E02195"/>
    <w:rsid w:val="00E16ED9"/>
    <w:rsid w:val="00E313FB"/>
    <w:rsid w:val="00E320BE"/>
    <w:rsid w:val="00E42008"/>
    <w:rsid w:val="00E63C63"/>
    <w:rsid w:val="00E652BC"/>
    <w:rsid w:val="00E878BC"/>
    <w:rsid w:val="00E93FC9"/>
    <w:rsid w:val="00ED4FA9"/>
    <w:rsid w:val="00F04CFA"/>
    <w:rsid w:val="00F206DB"/>
    <w:rsid w:val="00F34D36"/>
    <w:rsid w:val="00F57692"/>
    <w:rsid w:val="00F6122F"/>
    <w:rsid w:val="00FA3579"/>
    <w:rsid w:val="00FA427E"/>
    <w:rsid w:val="00FD494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6B191"/>
  <w15:chartTrackingRefBased/>
  <w15:docId w15:val="{81464B8F-42FA-4FAF-81A3-55420F0B8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0C1"/>
    <w:pPr>
      <w:spacing w:line="259" w:lineRule="auto"/>
    </w:pPr>
    <w:rPr>
      <w:kern w:val="0"/>
      <w:sz w:val="22"/>
      <w:szCs w:val="22"/>
      <w14:ligatures w14:val="none"/>
    </w:rPr>
  </w:style>
  <w:style w:type="paragraph" w:styleId="Heading1">
    <w:name w:val="heading 1"/>
    <w:basedOn w:val="Normal"/>
    <w:next w:val="Normal"/>
    <w:link w:val="Heading1Char"/>
    <w:uiPriority w:val="9"/>
    <w:qFormat/>
    <w:rsid w:val="000334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34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34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34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34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34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34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34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34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4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34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34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34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34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34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34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34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34E4"/>
    <w:rPr>
      <w:rFonts w:eastAsiaTheme="majorEastAsia" w:cstheme="majorBidi"/>
      <w:color w:val="272727" w:themeColor="text1" w:themeTint="D8"/>
    </w:rPr>
  </w:style>
  <w:style w:type="paragraph" w:styleId="Title">
    <w:name w:val="Title"/>
    <w:basedOn w:val="Normal"/>
    <w:next w:val="Normal"/>
    <w:link w:val="TitleChar"/>
    <w:uiPriority w:val="10"/>
    <w:qFormat/>
    <w:rsid w:val="000334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34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4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34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4E4"/>
    <w:pPr>
      <w:spacing w:before="160"/>
      <w:jc w:val="center"/>
    </w:pPr>
    <w:rPr>
      <w:i/>
      <w:iCs/>
      <w:color w:val="404040" w:themeColor="text1" w:themeTint="BF"/>
    </w:rPr>
  </w:style>
  <w:style w:type="character" w:customStyle="1" w:styleId="QuoteChar">
    <w:name w:val="Quote Char"/>
    <w:basedOn w:val="DefaultParagraphFont"/>
    <w:link w:val="Quote"/>
    <w:uiPriority w:val="29"/>
    <w:rsid w:val="000334E4"/>
    <w:rPr>
      <w:i/>
      <w:iCs/>
      <w:color w:val="404040" w:themeColor="text1" w:themeTint="BF"/>
    </w:rPr>
  </w:style>
  <w:style w:type="paragraph" w:styleId="ListParagraph">
    <w:name w:val="List Paragraph"/>
    <w:basedOn w:val="Normal"/>
    <w:uiPriority w:val="99"/>
    <w:qFormat/>
    <w:rsid w:val="000334E4"/>
    <w:pPr>
      <w:ind w:left="720"/>
      <w:contextualSpacing/>
    </w:pPr>
  </w:style>
  <w:style w:type="character" w:styleId="IntenseEmphasis">
    <w:name w:val="Intense Emphasis"/>
    <w:basedOn w:val="DefaultParagraphFont"/>
    <w:uiPriority w:val="21"/>
    <w:qFormat/>
    <w:rsid w:val="000334E4"/>
    <w:rPr>
      <w:i/>
      <w:iCs/>
      <w:color w:val="0F4761" w:themeColor="accent1" w:themeShade="BF"/>
    </w:rPr>
  </w:style>
  <w:style w:type="paragraph" w:styleId="IntenseQuote">
    <w:name w:val="Intense Quote"/>
    <w:basedOn w:val="Normal"/>
    <w:next w:val="Normal"/>
    <w:link w:val="IntenseQuoteChar"/>
    <w:uiPriority w:val="30"/>
    <w:qFormat/>
    <w:rsid w:val="000334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34E4"/>
    <w:rPr>
      <w:i/>
      <w:iCs/>
      <w:color w:val="0F4761" w:themeColor="accent1" w:themeShade="BF"/>
    </w:rPr>
  </w:style>
  <w:style w:type="character" w:styleId="IntenseReference">
    <w:name w:val="Intense Reference"/>
    <w:basedOn w:val="DefaultParagraphFont"/>
    <w:uiPriority w:val="32"/>
    <w:qFormat/>
    <w:rsid w:val="000334E4"/>
    <w:rPr>
      <w:b/>
      <w:bCs/>
      <w:smallCaps/>
      <w:color w:val="0F4761" w:themeColor="accent1" w:themeShade="BF"/>
      <w:spacing w:val="5"/>
    </w:rPr>
  </w:style>
  <w:style w:type="paragraph" w:styleId="TOCHeading">
    <w:name w:val="TOC Heading"/>
    <w:basedOn w:val="Heading1"/>
    <w:next w:val="Normal"/>
    <w:uiPriority w:val="39"/>
    <w:unhideWhenUsed/>
    <w:qFormat/>
    <w:rsid w:val="000334E4"/>
    <w:pPr>
      <w:pBdr>
        <w:top w:val="single" w:sz="2" w:space="4" w:color="156082" w:themeColor="accent1"/>
        <w:left w:val="single" w:sz="2" w:space="4" w:color="156082" w:themeColor="accent1"/>
        <w:bottom w:val="single" w:sz="2" w:space="4" w:color="156082" w:themeColor="accent1"/>
        <w:right w:val="single" w:sz="2" w:space="4" w:color="156082" w:themeColor="accent1"/>
      </w:pBdr>
      <w:shd w:val="clear" w:color="auto" w:fill="156082" w:themeFill="accent1"/>
      <w:spacing w:before="240" w:after="160" w:line="240" w:lineRule="auto"/>
      <w:contextualSpacing/>
      <w:outlineLvl w:val="9"/>
    </w:pPr>
    <w:rPr>
      <w:b/>
      <w:bCs/>
      <w:caps/>
      <w:color w:val="FFFFFF" w:themeColor="background1"/>
      <w:sz w:val="22"/>
      <w:szCs w:val="22"/>
      <w:lang w:val="en-US"/>
    </w:rPr>
  </w:style>
  <w:style w:type="paragraph" w:styleId="TOC1">
    <w:name w:val="toc 1"/>
    <w:basedOn w:val="Normal"/>
    <w:next w:val="Normal"/>
    <w:autoRedefine/>
    <w:uiPriority w:val="39"/>
    <w:unhideWhenUsed/>
    <w:rsid w:val="000334E4"/>
    <w:pPr>
      <w:spacing w:after="100"/>
    </w:pPr>
    <w:rPr>
      <w:lang w:val="en-US"/>
    </w:rPr>
  </w:style>
  <w:style w:type="paragraph" w:styleId="TOC3">
    <w:name w:val="toc 3"/>
    <w:basedOn w:val="Normal"/>
    <w:next w:val="Normal"/>
    <w:autoRedefine/>
    <w:uiPriority w:val="39"/>
    <w:unhideWhenUsed/>
    <w:rsid w:val="000334E4"/>
    <w:pPr>
      <w:spacing w:after="100"/>
      <w:ind w:left="440"/>
    </w:pPr>
    <w:rPr>
      <w:rFonts w:eastAsiaTheme="minorEastAsia" w:cs="Times New Roman"/>
      <w:lang w:val="en-US"/>
    </w:rPr>
  </w:style>
  <w:style w:type="table" w:styleId="TableGrid">
    <w:name w:val="Table Grid"/>
    <w:basedOn w:val="TableNormal"/>
    <w:uiPriority w:val="39"/>
    <w:rsid w:val="00E42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42008"/>
    <w:pPr>
      <w:spacing w:before="100" w:beforeAutospacing="1" w:after="100" w:afterAutospacing="1" w:line="240" w:lineRule="auto"/>
    </w:pPr>
    <w:rPr>
      <w:rFonts w:ascii="Times New Roman" w:eastAsia="Times New Roman" w:hAnsi="Times New Roman" w:cs="Times New Roman"/>
      <w:sz w:val="24"/>
      <w:szCs w:val="24"/>
      <w:lang w:eastAsia="en-CA"/>
      <w14:ligatures w14:val="standardContextual"/>
    </w:rPr>
  </w:style>
  <w:style w:type="character" w:customStyle="1" w:styleId="normaltextrun">
    <w:name w:val="normaltextrun"/>
    <w:basedOn w:val="DefaultParagraphFont"/>
    <w:rsid w:val="00E42008"/>
  </w:style>
  <w:style w:type="character" w:customStyle="1" w:styleId="eop">
    <w:name w:val="eop"/>
    <w:basedOn w:val="DefaultParagraphFont"/>
    <w:rsid w:val="00E42008"/>
  </w:style>
  <w:style w:type="character" w:styleId="Strong">
    <w:name w:val="Strong"/>
    <w:uiPriority w:val="22"/>
    <w:qFormat/>
    <w:rsid w:val="00E42008"/>
    <w:rPr>
      <w:b/>
      <w:bCs/>
    </w:rPr>
  </w:style>
  <w:style w:type="paragraph" w:styleId="NormalWeb">
    <w:name w:val="Normal (Web)"/>
    <w:basedOn w:val="Normal"/>
    <w:uiPriority w:val="99"/>
    <w:unhideWhenUsed/>
    <w:rsid w:val="00E42008"/>
    <w:pPr>
      <w:spacing w:before="100" w:beforeAutospacing="1" w:after="100" w:afterAutospacing="1" w:line="240" w:lineRule="auto"/>
    </w:pPr>
    <w:rPr>
      <w:rFonts w:ascii="Times New Roman" w:eastAsia="Times New Roman" w:hAnsi="Times New Roman" w:cs="Times New Roman"/>
      <w:sz w:val="24"/>
      <w:szCs w:val="24"/>
      <w:lang w:val="en-SG" w:eastAsia="en-GB"/>
      <w14:ligatures w14:val="standardContextual"/>
    </w:rPr>
  </w:style>
  <w:style w:type="character" w:styleId="CommentReference">
    <w:name w:val="annotation reference"/>
    <w:basedOn w:val="DefaultParagraphFont"/>
    <w:uiPriority w:val="99"/>
    <w:semiHidden/>
    <w:unhideWhenUsed/>
    <w:rsid w:val="00D81BAC"/>
    <w:rPr>
      <w:sz w:val="16"/>
      <w:szCs w:val="16"/>
    </w:rPr>
  </w:style>
  <w:style w:type="paragraph" w:styleId="CommentText">
    <w:name w:val="annotation text"/>
    <w:basedOn w:val="Normal"/>
    <w:link w:val="CommentTextChar"/>
    <w:uiPriority w:val="99"/>
    <w:unhideWhenUsed/>
    <w:rsid w:val="00D81BAC"/>
    <w:pPr>
      <w:spacing w:line="240" w:lineRule="auto"/>
    </w:pPr>
    <w:rPr>
      <w:sz w:val="20"/>
      <w:szCs w:val="20"/>
    </w:rPr>
  </w:style>
  <w:style w:type="character" w:customStyle="1" w:styleId="CommentTextChar">
    <w:name w:val="Comment Text Char"/>
    <w:basedOn w:val="DefaultParagraphFont"/>
    <w:link w:val="CommentText"/>
    <w:uiPriority w:val="99"/>
    <w:rsid w:val="00D81BA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81BAC"/>
    <w:rPr>
      <w:b/>
      <w:bCs/>
    </w:rPr>
  </w:style>
  <w:style w:type="character" w:customStyle="1" w:styleId="CommentSubjectChar">
    <w:name w:val="Comment Subject Char"/>
    <w:basedOn w:val="CommentTextChar"/>
    <w:link w:val="CommentSubject"/>
    <w:uiPriority w:val="99"/>
    <w:semiHidden/>
    <w:rsid w:val="00D81BAC"/>
    <w:rPr>
      <w:b/>
      <w:bCs/>
      <w:kern w:val="0"/>
      <w:sz w:val="20"/>
      <w:szCs w:val="20"/>
      <w14:ligatures w14:val="none"/>
    </w:rPr>
  </w:style>
  <w:style w:type="paragraph" w:styleId="Header">
    <w:name w:val="header"/>
    <w:basedOn w:val="Normal"/>
    <w:link w:val="HeaderChar"/>
    <w:uiPriority w:val="99"/>
    <w:unhideWhenUsed/>
    <w:rsid w:val="00383F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FBC"/>
    <w:rPr>
      <w:kern w:val="0"/>
      <w:sz w:val="22"/>
      <w:szCs w:val="22"/>
      <w14:ligatures w14:val="none"/>
    </w:rPr>
  </w:style>
  <w:style w:type="paragraph" w:styleId="Footer">
    <w:name w:val="footer"/>
    <w:basedOn w:val="Normal"/>
    <w:link w:val="FooterChar"/>
    <w:uiPriority w:val="99"/>
    <w:unhideWhenUsed/>
    <w:rsid w:val="00383F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FBC"/>
    <w:rPr>
      <w:kern w:val="0"/>
      <w:sz w:val="22"/>
      <w:szCs w:val="22"/>
      <w14:ligatures w14:val="none"/>
    </w:rPr>
  </w:style>
  <w:style w:type="paragraph" w:styleId="Revision">
    <w:name w:val="Revision"/>
    <w:hidden/>
    <w:uiPriority w:val="99"/>
    <w:semiHidden/>
    <w:rsid w:val="00636F0F"/>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329367">
      <w:bodyDiv w:val="1"/>
      <w:marLeft w:val="0"/>
      <w:marRight w:val="0"/>
      <w:marTop w:val="0"/>
      <w:marBottom w:val="0"/>
      <w:divBdr>
        <w:top w:val="none" w:sz="0" w:space="0" w:color="auto"/>
        <w:left w:val="none" w:sz="0" w:space="0" w:color="auto"/>
        <w:bottom w:val="none" w:sz="0" w:space="0" w:color="auto"/>
        <w:right w:val="none" w:sz="0" w:space="0" w:color="auto"/>
      </w:divBdr>
      <w:divsChild>
        <w:div w:id="2075615415">
          <w:marLeft w:val="0"/>
          <w:marRight w:val="0"/>
          <w:marTop w:val="0"/>
          <w:marBottom w:val="0"/>
          <w:divBdr>
            <w:top w:val="none" w:sz="0" w:space="0" w:color="auto"/>
            <w:left w:val="none" w:sz="0" w:space="0" w:color="auto"/>
            <w:bottom w:val="none" w:sz="0" w:space="0" w:color="auto"/>
            <w:right w:val="none" w:sz="0" w:space="0" w:color="auto"/>
          </w:divBdr>
        </w:div>
        <w:div w:id="1580092549">
          <w:marLeft w:val="0"/>
          <w:marRight w:val="0"/>
          <w:marTop w:val="0"/>
          <w:marBottom w:val="0"/>
          <w:divBdr>
            <w:top w:val="none" w:sz="0" w:space="0" w:color="auto"/>
            <w:left w:val="none" w:sz="0" w:space="0" w:color="auto"/>
            <w:bottom w:val="none" w:sz="0" w:space="0" w:color="auto"/>
            <w:right w:val="none" w:sz="0" w:space="0" w:color="auto"/>
          </w:divBdr>
        </w:div>
        <w:div w:id="885527368">
          <w:marLeft w:val="0"/>
          <w:marRight w:val="0"/>
          <w:marTop w:val="0"/>
          <w:marBottom w:val="0"/>
          <w:divBdr>
            <w:top w:val="none" w:sz="0" w:space="0" w:color="auto"/>
            <w:left w:val="none" w:sz="0" w:space="0" w:color="auto"/>
            <w:bottom w:val="none" w:sz="0" w:space="0" w:color="auto"/>
            <w:right w:val="none" w:sz="0" w:space="0" w:color="auto"/>
          </w:divBdr>
        </w:div>
        <w:div w:id="895120103">
          <w:marLeft w:val="0"/>
          <w:marRight w:val="0"/>
          <w:marTop w:val="0"/>
          <w:marBottom w:val="0"/>
          <w:divBdr>
            <w:top w:val="none" w:sz="0" w:space="0" w:color="auto"/>
            <w:left w:val="none" w:sz="0" w:space="0" w:color="auto"/>
            <w:bottom w:val="none" w:sz="0" w:space="0" w:color="auto"/>
            <w:right w:val="none" w:sz="0" w:space="0" w:color="auto"/>
          </w:divBdr>
          <w:divsChild>
            <w:div w:id="1326468032">
              <w:marLeft w:val="-75"/>
              <w:marRight w:val="0"/>
              <w:marTop w:val="30"/>
              <w:marBottom w:val="30"/>
              <w:divBdr>
                <w:top w:val="none" w:sz="0" w:space="0" w:color="auto"/>
                <w:left w:val="none" w:sz="0" w:space="0" w:color="auto"/>
                <w:bottom w:val="none" w:sz="0" w:space="0" w:color="auto"/>
                <w:right w:val="none" w:sz="0" w:space="0" w:color="auto"/>
              </w:divBdr>
              <w:divsChild>
                <w:div w:id="2107919641">
                  <w:marLeft w:val="0"/>
                  <w:marRight w:val="0"/>
                  <w:marTop w:val="0"/>
                  <w:marBottom w:val="0"/>
                  <w:divBdr>
                    <w:top w:val="none" w:sz="0" w:space="0" w:color="auto"/>
                    <w:left w:val="none" w:sz="0" w:space="0" w:color="auto"/>
                    <w:bottom w:val="none" w:sz="0" w:space="0" w:color="auto"/>
                    <w:right w:val="none" w:sz="0" w:space="0" w:color="auto"/>
                  </w:divBdr>
                  <w:divsChild>
                    <w:div w:id="1178617070">
                      <w:marLeft w:val="0"/>
                      <w:marRight w:val="0"/>
                      <w:marTop w:val="0"/>
                      <w:marBottom w:val="0"/>
                      <w:divBdr>
                        <w:top w:val="none" w:sz="0" w:space="0" w:color="auto"/>
                        <w:left w:val="none" w:sz="0" w:space="0" w:color="auto"/>
                        <w:bottom w:val="none" w:sz="0" w:space="0" w:color="auto"/>
                        <w:right w:val="none" w:sz="0" w:space="0" w:color="auto"/>
                      </w:divBdr>
                    </w:div>
                  </w:divsChild>
                </w:div>
                <w:div w:id="1402682135">
                  <w:marLeft w:val="0"/>
                  <w:marRight w:val="0"/>
                  <w:marTop w:val="0"/>
                  <w:marBottom w:val="0"/>
                  <w:divBdr>
                    <w:top w:val="none" w:sz="0" w:space="0" w:color="auto"/>
                    <w:left w:val="none" w:sz="0" w:space="0" w:color="auto"/>
                    <w:bottom w:val="none" w:sz="0" w:space="0" w:color="auto"/>
                    <w:right w:val="none" w:sz="0" w:space="0" w:color="auto"/>
                  </w:divBdr>
                  <w:divsChild>
                    <w:div w:id="1768041370">
                      <w:marLeft w:val="0"/>
                      <w:marRight w:val="0"/>
                      <w:marTop w:val="0"/>
                      <w:marBottom w:val="0"/>
                      <w:divBdr>
                        <w:top w:val="none" w:sz="0" w:space="0" w:color="auto"/>
                        <w:left w:val="none" w:sz="0" w:space="0" w:color="auto"/>
                        <w:bottom w:val="none" w:sz="0" w:space="0" w:color="auto"/>
                        <w:right w:val="none" w:sz="0" w:space="0" w:color="auto"/>
                      </w:divBdr>
                    </w:div>
                  </w:divsChild>
                </w:div>
                <w:div w:id="92361795">
                  <w:marLeft w:val="0"/>
                  <w:marRight w:val="0"/>
                  <w:marTop w:val="0"/>
                  <w:marBottom w:val="0"/>
                  <w:divBdr>
                    <w:top w:val="none" w:sz="0" w:space="0" w:color="auto"/>
                    <w:left w:val="none" w:sz="0" w:space="0" w:color="auto"/>
                    <w:bottom w:val="none" w:sz="0" w:space="0" w:color="auto"/>
                    <w:right w:val="none" w:sz="0" w:space="0" w:color="auto"/>
                  </w:divBdr>
                  <w:divsChild>
                    <w:div w:id="1521554587">
                      <w:marLeft w:val="0"/>
                      <w:marRight w:val="0"/>
                      <w:marTop w:val="0"/>
                      <w:marBottom w:val="0"/>
                      <w:divBdr>
                        <w:top w:val="none" w:sz="0" w:space="0" w:color="auto"/>
                        <w:left w:val="none" w:sz="0" w:space="0" w:color="auto"/>
                        <w:bottom w:val="none" w:sz="0" w:space="0" w:color="auto"/>
                        <w:right w:val="none" w:sz="0" w:space="0" w:color="auto"/>
                      </w:divBdr>
                    </w:div>
                  </w:divsChild>
                </w:div>
                <w:div w:id="944003203">
                  <w:marLeft w:val="0"/>
                  <w:marRight w:val="0"/>
                  <w:marTop w:val="0"/>
                  <w:marBottom w:val="0"/>
                  <w:divBdr>
                    <w:top w:val="none" w:sz="0" w:space="0" w:color="auto"/>
                    <w:left w:val="none" w:sz="0" w:space="0" w:color="auto"/>
                    <w:bottom w:val="none" w:sz="0" w:space="0" w:color="auto"/>
                    <w:right w:val="none" w:sz="0" w:space="0" w:color="auto"/>
                  </w:divBdr>
                  <w:divsChild>
                    <w:div w:id="920675177">
                      <w:marLeft w:val="0"/>
                      <w:marRight w:val="0"/>
                      <w:marTop w:val="0"/>
                      <w:marBottom w:val="0"/>
                      <w:divBdr>
                        <w:top w:val="none" w:sz="0" w:space="0" w:color="auto"/>
                        <w:left w:val="none" w:sz="0" w:space="0" w:color="auto"/>
                        <w:bottom w:val="none" w:sz="0" w:space="0" w:color="auto"/>
                        <w:right w:val="none" w:sz="0" w:space="0" w:color="auto"/>
                      </w:divBdr>
                    </w:div>
                    <w:div w:id="1619414025">
                      <w:marLeft w:val="0"/>
                      <w:marRight w:val="0"/>
                      <w:marTop w:val="0"/>
                      <w:marBottom w:val="0"/>
                      <w:divBdr>
                        <w:top w:val="none" w:sz="0" w:space="0" w:color="auto"/>
                        <w:left w:val="none" w:sz="0" w:space="0" w:color="auto"/>
                        <w:bottom w:val="none" w:sz="0" w:space="0" w:color="auto"/>
                        <w:right w:val="none" w:sz="0" w:space="0" w:color="auto"/>
                      </w:divBdr>
                    </w:div>
                    <w:div w:id="534199417">
                      <w:marLeft w:val="0"/>
                      <w:marRight w:val="0"/>
                      <w:marTop w:val="0"/>
                      <w:marBottom w:val="0"/>
                      <w:divBdr>
                        <w:top w:val="none" w:sz="0" w:space="0" w:color="auto"/>
                        <w:left w:val="none" w:sz="0" w:space="0" w:color="auto"/>
                        <w:bottom w:val="none" w:sz="0" w:space="0" w:color="auto"/>
                        <w:right w:val="none" w:sz="0" w:space="0" w:color="auto"/>
                      </w:divBdr>
                    </w:div>
                    <w:div w:id="237716222">
                      <w:marLeft w:val="0"/>
                      <w:marRight w:val="0"/>
                      <w:marTop w:val="0"/>
                      <w:marBottom w:val="0"/>
                      <w:divBdr>
                        <w:top w:val="none" w:sz="0" w:space="0" w:color="auto"/>
                        <w:left w:val="none" w:sz="0" w:space="0" w:color="auto"/>
                        <w:bottom w:val="none" w:sz="0" w:space="0" w:color="auto"/>
                        <w:right w:val="none" w:sz="0" w:space="0" w:color="auto"/>
                      </w:divBdr>
                    </w:div>
                  </w:divsChild>
                </w:div>
                <w:div w:id="382757837">
                  <w:marLeft w:val="0"/>
                  <w:marRight w:val="0"/>
                  <w:marTop w:val="0"/>
                  <w:marBottom w:val="0"/>
                  <w:divBdr>
                    <w:top w:val="none" w:sz="0" w:space="0" w:color="auto"/>
                    <w:left w:val="none" w:sz="0" w:space="0" w:color="auto"/>
                    <w:bottom w:val="none" w:sz="0" w:space="0" w:color="auto"/>
                    <w:right w:val="none" w:sz="0" w:space="0" w:color="auto"/>
                  </w:divBdr>
                  <w:divsChild>
                    <w:div w:id="1355840538">
                      <w:marLeft w:val="0"/>
                      <w:marRight w:val="0"/>
                      <w:marTop w:val="0"/>
                      <w:marBottom w:val="0"/>
                      <w:divBdr>
                        <w:top w:val="none" w:sz="0" w:space="0" w:color="auto"/>
                        <w:left w:val="none" w:sz="0" w:space="0" w:color="auto"/>
                        <w:bottom w:val="none" w:sz="0" w:space="0" w:color="auto"/>
                        <w:right w:val="none" w:sz="0" w:space="0" w:color="auto"/>
                      </w:divBdr>
                    </w:div>
                  </w:divsChild>
                </w:div>
                <w:div w:id="2029528955">
                  <w:marLeft w:val="0"/>
                  <w:marRight w:val="0"/>
                  <w:marTop w:val="0"/>
                  <w:marBottom w:val="0"/>
                  <w:divBdr>
                    <w:top w:val="none" w:sz="0" w:space="0" w:color="auto"/>
                    <w:left w:val="none" w:sz="0" w:space="0" w:color="auto"/>
                    <w:bottom w:val="none" w:sz="0" w:space="0" w:color="auto"/>
                    <w:right w:val="none" w:sz="0" w:space="0" w:color="auto"/>
                  </w:divBdr>
                  <w:divsChild>
                    <w:div w:id="1086458812">
                      <w:marLeft w:val="0"/>
                      <w:marRight w:val="0"/>
                      <w:marTop w:val="0"/>
                      <w:marBottom w:val="0"/>
                      <w:divBdr>
                        <w:top w:val="none" w:sz="0" w:space="0" w:color="auto"/>
                        <w:left w:val="none" w:sz="0" w:space="0" w:color="auto"/>
                        <w:bottom w:val="none" w:sz="0" w:space="0" w:color="auto"/>
                        <w:right w:val="none" w:sz="0" w:space="0" w:color="auto"/>
                      </w:divBdr>
                    </w:div>
                    <w:div w:id="763501006">
                      <w:marLeft w:val="0"/>
                      <w:marRight w:val="0"/>
                      <w:marTop w:val="0"/>
                      <w:marBottom w:val="0"/>
                      <w:divBdr>
                        <w:top w:val="none" w:sz="0" w:space="0" w:color="auto"/>
                        <w:left w:val="none" w:sz="0" w:space="0" w:color="auto"/>
                        <w:bottom w:val="none" w:sz="0" w:space="0" w:color="auto"/>
                        <w:right w:val="none" w:sz="0" w:space="0" w:color="auto"/>
                      </w:divBdr>
                    </w:div>
                  </w:divsChild>
                </w:div>
                <w:div w:id="1385175813">
                  <w:marLeft w:val="0"/>
                  <w:marRight w:val="0"/>
                  <w:marTop w:val="0"/>
                  <w:marBottom w:val="0"/>
                  <w:divBdr>
                    <w:top w:val="none" w:sz="0" w:space="0" w:color="auto"/>
                    <w:left w:val="none" w:sz="0" w:space="0" w:color="auto"/>
                    <w:bottom w:val="none" w:sz="0" w:space="0" w:color="auto"/>
                    <w:right w:val="none" w:sz="0" w:space="0" w:color="auto"/>
                  </w:divBdr>
                  <w:divsChild>
                    <w:div w:id="180777303">
                      <w:marLeft w:val="0"/>
                      <w:marRight w:val="0"/>
                      <w:marTop w:val="0"/>
                      <w:marBottom w:val="0"/>
                      <w:divBdr>
                        <w:top w:val="none" w:sz="0" w:space="0" w:color="auto"/>
                        <w:left w:val="none" w:sz="0" w:space="0" w:color="auto"/>
                        <w:bottom w:val="none" w:sz="0" w:space="0" w:color="auto"/>
                        <w:right w:val="none" w:sz="0" w:space="0" w:color="auto"/>
                      </w:divBdr>
                    </w:div>
                  </w:divsChild>
                </w:div>
                <w:div w:id="1377588337">
                  <w:marLeft w:val="0"/>
                  <w:marRight w:val="0"/>
                  <w:marTop w:val="0"/>
                  <w:marBottom w:val="0"/>
                  <w:divBdr>
                    <w:top w:val="none" w:sz="0" w:space="0" w:color="auto"/>
                    <w:left w:val="none" w:sz="0" w:space="0" w:color="auto"/>
                    <w:bottom w:val="none" w:sz="0" w:space="0" w:color="auto"/>
                    <w:right w:val="none" w:sz="0" w:space="0" w:color="auto"/>
                  </w:divBdr>
                  <w:divsChild>
                    <w:div w:id="582955392">
                      <w:marLeft w:val="0"/>
                      <w:marRight w:val="0"/>
                      <w:marTop w:val="0"/>
                      <w:marBottom w:val="0"/>
                      <w:divBdr>
                        <w:top w:val="none" w:sz="0" w:space="0" w:color="auto"/>
                        <w:left w:val="none" w:sz="0" w:space="0" w:color="auto"/>
                        <w:bottom w:val="none" w:sz="0" w:space="0" w:color="auto"/>
                        <w:right w:val="none" w:sz="0" w:space="0" w:color="auto"/>
                      </w:divBdr>
                    </w:div>
                    <w:div w:id="4947222">
                      <w:marLeft w:val="0"/>
                      <w:marRight w:val="0"/>
                      <w:marTop w:val="0"/>
                      <w:marBottom w:val="0"/>
                      <w:divBdr>
                        <w:top w:val="none" w:sz="0" w:space="0" w:color="auto"/>
                        <w:left w:val="none" w:sz="0" w:space="0" w:color="auto"/>
                        <w:bottom w:val="none" w:sz="0" w:space="0" w:color="auto"/>
                        <w:right w:val="none" w:sz="0" w:space="0" w:color="auto"/>
                      </w:divBdr>
                    </w:div>
                  </w:divsChild>
                </w:div>
                <w:div w:id="1558083069">
                  <w:marLeft w:val="0"/>
                  <w:marRight w:val="0"/>
                  <w:marTop w:val="0"/>
                  <w:marBottom w:val="0"/>
                  <w:divBdr>
                    <w:top w:val="none" w:sz="0" w:space="0" w:color="auto"/>
                    <w:left w:val="none" w:sz="0" w:space="0" w:color="auto"/>
                    <w:bottom w:val="none" w:sz="0" w:space="0" w:color="auto"/>
                    <w:right w:val="none" w:sz="0" w:space="0" w:color="auto"/>
                  </w:divBdr>
                  <w:divsChild>
                    <w:div w:id="1370376168">
                      <w:marLeft w:val="0"/>
                      <w:marRight w:val="0"/>
                      <w:marTop w:val="0"/>
                      <w:marBottom w:val="0"/>
                      <w:divBdr>
                        <w:top w:val="none" w:sz="0" w:space="0" w:color="auto"/>
                        <w:left w:val="none" w:sz="0" w:space="0" w:color="auto"/>
                        <w:bottom w:val="none" w:sz="0" w:space="0" w:color="auto"/>
                        <w:right w:val="none" w:sz="0" w:space="0" w:color="auto"/>
                      </w:divBdr>
                    </w:div>
                    <w:div w:id="655450114">
                      <w:marLeft w:val="0"/>
                      <w:marRight w:val="0"/>
                      <w:marTop w:val="0"/>
                      <w:marBottom w:val="0"/>
                      <w:divBdr>
                        <w:top w:val="none" w:sz="0" w:space="0" w:color="auto"/>
                        <w:left w:val="none" w:sz="0" w:space="0" w:color="auto"/>
                        <w:bottom w:val="none" w:sz="0" w:space="0" w:color="auto"/>
                        <w:right w:val="none" w:sz="0" w:space="0" w:color="auto"/>
                      </w:divBdr>
                    </w:div>
                  </w:divsChild>
                </w:div>
                <w:div w:id="1687904438">
                  <w:marLeft w:val="0"/>
                  <w:marRight w:val="0"/>
                  <w:marTop w:val="0"/>
                  <w:marBottom w:val="0"/>
                  <w:divBdr>
                    <w:top w:val="none" w:sz="0" w:space="0" w:color="auto"/>
                    <w:left w:val="none" w:sz="0" w:space="0" w:color="auto"/>
                    <w:bottom w:val="none" w:sz="0" w:space="0" w:color="auto"/>
                    <w:right w:val="none" w:sz="0" w:space="0" w:color="auto"/>
                  </w:divBdr>
                  <w:divsChild>
                    <w:div w:id="380907164">
                      <w:marLeft w:val="0"/>
                      <w:marRight w:val="0"/>
                      <w:marTop w:val="0"/>
                      <w:marBottom w:val="0"/>
                      <w:divBdr>
                        <w:top w:val="none" w:sz="0" w:space="0" w:color="auto"/>
                        <w:left w:val="none" w:sz="0" w:space="0" w:color="auto"/>
                        <w:bottom w:val="none" w:sz="0" w:space="0" w:color="auto"/>
                        <w:right w:val="none" w:sz="0" w:space="0" w:color="auto"/>
                      </w:divBdr>
                    </w:div>
                    <w:div w:id="741024750">
                      <w:marLeft w:val="0"/>
                      <w:marRight w:val="0"/>
                      <w:marTop w:val="0"/>
                      <w:marBottom w:val="0"/>
                      <w:divBdr>
                        <w:top w:val="none" w:sz="0" w:space="0" w:color="auto"/>
                        <w:left w:val="none" w:sz="0" w:space="0" w:color="auto"/>
                        <w:bottom w:val="none" w:sz="0" w:space="0" w:color="auto"/>
                        <w:right w:val="none" w:sz="0" w:space="0" w:color="auto"/>
                      </w:divBdr>
                    </w:div>
                  </w:divsChild>
                </w:div>
                <w:div w:id="833185816">
                  <w:marLeft w:val="0"/>
                  <w:marRight w:val="0"/>
                  <w:marTop w:val="0"/>
                  <w:marBottom w:val="0"/>
                  <w:divBdr>
                    <w:top w:val="none" w:sz="0" w:space="0" w:color="auto"/>
                    <w:left w:val="none" w:sz="0" w:space="0" w:color="auto"/>
                    <w:bottom w:val="none" w:sz="0" w:space="0" w:color="auto"/>
                    <w:right w:val="none" w:sz="0" w:space="0" w:color="auto"/>
                  </w:divBdr>
                  <w:divsChild>
                    <w:div w:id="521481611">
                      <w:marLeft w:val="0"/>
                      <w:marRight w:val="0"/>
                      <w:marTop w:val="0"/>
                      <w:marBottom w:val="0"/>
                      <w:divBdr>
                        <w:top w:val="none" w:sz="0" w:space="0" w:color="auto"/>
                        <w:left w:val="none" w:sz="0" w:space="0" w:color="auto"/>
                        <w:bottom w:val="none" w:sz="0" w:space="0" w:color="auto"/>
                        <w:right w:val="none" w:sz="0" w:space="0" w:color="auto"/>
                      </w:divBdr>
                    </w:div>
                    <w:div w:id="1419906874">
                      <w:marLeft w:val="0"/>
                      <w:marRight w:val="0"/>
                      <w:marTop w:val="0"/>
                      <w:marBottom w:val="0"/>
                      <w:divBdr>
                        <w:top w:val="none" w:sz="0" w:space="0" w:color="auto"/>
                        <w:left w:val="none" w:sz="0" w:space="0" w:color="auto"/>
                        <w:bottom w:val="none" w:sz="0" w:space="0" w:color="auto"/>
                        <w:right w:val="none" w:sz="0" w:space="0" w:color="auto"/>
                      </w:divBdr>
                    </w:div>
                  </w:divsChild>
                </w:div>
                <w:div w:id="277301098">
                  <w:marLeft w:val="0"/>
                  <w:marRight w:val="0"/>
                  <w:marTop w:val="0"/>
                  <w:marBottom w:val="0"/>
                  <w:divBdr>
                    <w:top w:val="none" w:sz="0" w:space="0" w:color="auto"/>
                    <w:left w:val="none" w:sz="0" w:space="0" w:color="auto"/>
                    <w:bottom w:val="none" w:sz="0" w:space="0" w:color="auto"/>
                    <w:right w:val="none" w:sz="0" w:space="0" w:color="auto"/>
                  </w:divBdr>
                  <w:divsChild>
                    <w:div w:id="95643381">
                      <w:marLeft w:val="0"/>
                      <w:marRight w:val="0"/>
                      <w:marTop w:val="0"/>
                      <w:marBottom w:val="0"/>
                      <w:divBdr>
                        <w:top w:val="none" w:sz="0" w:space="0" w:color="auto"/>
                        <w:left w:val="none" w:sz="0" w:space="0" w:color="auto"/>
                        <w:bottom w:val="none" w:sz="0" w:space="0" w:color="auto"/>
                        <w:right w:val="none" w:sz="0" w:space="0" w:color="auto"/>
                      </w:divBdr>
                    </w:div>
                    <w:div w:id="1588005492">
                      <w:marLeft w:val="0"/>
                      <w:marRight w:val="0"/>
                      <w:marTop w:val="0"/>
                      <w:marBottom w:val="0"/>
                      <w:divBdr>
                        <w:top w:val="none" w:sz="0" w:space="0" w:color="auto"/>
                        <w:left w:val="none" w:sz="0" w:space="0" w:color="auto"/>
                        <w:bottom w:val="none" w:sz="0" w:space="0" w:color="auto"/>
                        <w:right w:val="none" w:sz="0" w:space="0" w:color="auto"/>
                      </w:divBdr>
                    </w:div>
                  </w:divsChild>
                </w:div>
                <w:div w:id="1660038311">
                  <w:marLeft w:val="0"/>
                  <w:marRight w:val="0"/>
                  <w:marTop w:val="0"/>
                  <w:marBottom w:val="0"/>
                  <w:divBdr>
                    <w:top w:val="none" w:sz="0" w:space="0" w:color="auto"/>
                    <w:left w:val="none" w:sz="0" w:space="0" w:color="auto"/>
                    <w:bottom w:val="none" w:sz="0" w:space="0" w:color="auto"/>
                    <w:right w:val="none" w:sz="0" w:space="0" w:color="auto"/>
                  </w:divBdr>
                  <w:divsChild>
                    <w:div w:id="1317025692">
                      <w:marLeft w:val="0"/>
                      <w:marRight w:val="0"/>
                      <w:marTop w:val="0"/>
                      <w:marBottom w:val="0"/>
                      <w:divBdr>
                        <w:top w:val="none" w:sz="0" w:space="0" w:color="auto"/>
                        <w:left w:val="none" w:sz="0" w:space="0" w:color="auto"/>
                        <w:bottom w:val="none" w:sz="0" w:space="0" w:color="auto"/>
                        <w:right w:val="none" w:sz="0" w:space="0" w:color="auto"/>
                      </w:divBdr>
                    </w:div>
                  </w:divsChild>
                </w:div>
                <w:div w:id="2116486293">
                  <w:marLeft w:val="0"/>
                  <w:marRight w:val="0"/>
                  <w:marTop w:val="0"/>
                  <w:marBottom w:val="0"/>
                  <w:divBdr>
                    <w:top w:val="none" w:sz="0" w:space="0" w:color="auto"/>
                    <w:left w:val="none" w:sz="0" w:space="0" w:color="auto"/>
                    <w:bottom w:val="none" w:sz="0" w:space="0" w:color="auto"/>
                    <w:right w:val="none" w:sz="0" w:space="0" w:color="auto"/>
                  </w:divBdr>
                  <w:divsChild>
                    <w:div w:id="419253873">
                      <w:marLeft w:val="0"/>
                      <w:marRight w:val="0"/>
                      <w:marTop w:val="0"/>
                      <w:marBottom w:val="0"/>
                      <w:divBdr>
                        <w:top w:val="none" w:sz="0" w:space="0" w:color="auto"/>
                        <w:left w:val="none" w:sz="0" w:space="0" w:color="auto"/>
                        <w:bottom w:val="none" w:sz="0" w:space="0" w:color="auto"/>
                        <w:right w:val="none" w:sz="0" w:space="0" w:color="auto"/>
                      </w:divBdr>
                    </w:div>
                    <w:div w:id="1375274334">
                      <w:marLeft w:val="0"/>
                      <w:marRight w:val="0"/>
                      <w:marTop w:val="0"/>
                      <w:marBottom w:val="0"/>
                      <w:divBdr>
                        <w:top w:val="none" w:sz="0" w:space="0" w:color="auto"/>
                        <w:left w:val="none" w:sz="0" w:space="0" w:color="auto"/>
                        <w:bottom w:val="none" w:sz="0" w:space="0" w:color="auto"/>
                        <w:right w:val="none" w:sz="0" w:space="0" w:color="auto"/>
                      </w:divBdr>
                    </w:div>
                  </w:divsChild>
                </w:div>
                <w:div w:id="1915893039">
                  <w:marLeft w:val="0"/>
                  <w:marRight w:val="0"/>
                  <w:marTop w:val="0"/>
                  <w:marBottom w:val="0"/>
                  <w:divBdr>
                    <w:top w:val="none" w:sz="0" w:space="0" w:color="auto"/>
                    <w:left w:val="none" w:sz="0" w:space="0" w:color="auto"/>
                    <w:bottom w:val="none" w:sz="0" w:space="0" w:color="auto"/>
                    <w:right w:val="none" w:sz="0" w:space="0" w:color="auto"/>
                  </w:divBdr>
                  <w:divsChild>
                    <w:div w:id="2028477848">
                      <w:marLeft w:val="0"/>
                      <w:marRight w:val="0"/>
                      <w:marTop w:val="0"/>
                      <w:marBottom w:val="0"/>
                      <w:divBdr>
                        <w:top w:val="none" w:sz="0" w:space="0" w:color="auto"/>
                        <w:left w:val="none" w:sz="0" w:space="0" w:color="auto"/>
                        <w:bottom w:val="none" w:sz="0" w:space="0" w:color="auto"/>
                        <w:right w:val="none" w:sz="0" w:space="0" w:color="auto"/>
                      </w:divBdr>
                    </w:div>
                  </w:divsChild>
                </w:div>
                <w:div w:id="68774577">
                  <w:marLeft w:val="0"/>
                  <w:marRight w:val="0"/>
                  <w:marTop w:val="0"/>
                  <w:marBottom w:val="0"/>
                  <w:divBdr>
                    <w:top w:val="none" w:sz="0" w:space="0" w:color="auto"/>
                    <w:left w:val="none" w:sz="0" w:space="0" w:color="auto"/>
                    <w:bottom w:val="none" w:sz="0" w:space="0" w:color="auto"/>
                    <w:right w:val="none" w:sz="0" w:space="0" w:color="auto"/>
                  </w:divBdr>
                  <w:divsChild>
                    <w:div w:id="1842768978">
                      <w:marLeft w:val="0"/>
                      <w:marRight w:val="0"/>
                      <w:marTop w:val="0"/>
                      <w:marBottom w:val="0"/>
                      <w:divBdr>
                        <w:top w:val="none" w:sz="0" w:space="0" w:color="auto"/>
                        <w:left w:val="none" w:sz="0" w:space="0" w:color="auto"/>
                        <w:bottom w:val="none" w:sz="0" w:space="0" w:color="auto"/>
                        <w:right w:val="none" w:sz="0" w:space="0" w:color="auto"/>
                      </w:divBdr>
                    </w:div>
                    <w:div w:id="627860274">
                      <w:marLeft w:val="0"/>
                      <w:marRight w:val="0"/>
                      <w:marTop w:val="0"/>
                      <w:marBottom w:val="0"/>
                      <w:divBdr>
                        <w:top w:val="none" w:sz="0" w:space="0" w:color="auto"/>
                        <w:left w:val="none" w:sz="0" w:space="0" w:color="auto"/>
                        <w:bottom w:val="none" w:sz="0" w:space="0" w:color="auto"/>
                        <w:right w:val="none" w:sz="0" w:space="0" w:color="auto"/>
                      </w:divBdr>
                    </w:div>
                    <w:div w:id="1431000270">
                      <w:marLeft w:val="0"/>
                      <w:marRight w:val="0"/>
                      <w:marTop w:val="0"/>
                      <w:marBottom w:val="0"/>
                      <w:divBdr>
                        <w:top w:val="none" w:sz="0" w:space="0" w:color="auto"/>
                        <w:left w:val="none" w:sz="0" w:space="0" w:color="auto"/>
                        <w:bottom w:val="none" w:sz="0" w:space="0" w:color="auto"/>
                        <w:right w:val="none" w:sz="0" w:space="0" w:color="auto"/>
                      </w:divBdr>
                    </w:div>
                    <w:div w:id="260457403">
                      <w:marLeft w:val="0"/>
                      <w:marRight w:val="0"/>
                      <w:marTop w:val="0"/>
                      <w:marBottom w:val="0"/>
                      <w:divBdr>
                        <w:top w:val="none" w:sz="0" w:space="0" w:color="auto"/>
                        <w:left w:val="none" w:sz="0" w:space="0" w:color="auto"/>
                        <w:bottom w:val="none" w:sz="0" w:space="0" w:color="auto"/>
                        <w:right w:val="none" w:sz="0" w:space="0" w:color="auto"/>
                      </w:divBdr>
                    </w:div>
                    <w:div w:id="112797769">
                      <w:marLeft w:val="0"/>
                      <w:marRight w:val="0"/>
                      <w:marTop w:val="0"/>
                      <w:marBottom w:val="0"/>
                      <w:divBdr>
                        <w:top w:val="none" w:sz="0" w:space="0" w:color="auto"/>
                        <w:left w:val="none" w:sz="0" w:space="0" w:color="auto"/>
                        <w:bottom w:val="none" w:sz="0" w:space="0" w:color="auto"/>
                        <w:right w:val="none" w:sz="0" w:space="0" w:color="auto"/>
                      </w:divBdr>
                    </w:div>
                  </w:divsChild>
                </w:div>
                <w:div w:id="696275692">
                  <w:marLeft w:val="0"/>
                  <w:marRight w:val="0"/>
                  <w:marTop w:val="0"/>
                  <w:marBottom w:val="0"/>
                  <w:divBdr>
                    <w:top w:val="none" w:sz="0" w:space="0" w:color="auto"/>
                    <w:left w:val="none" w:sz="0" w:space="0" w:color="auto"/>
                    <w:bottom w:val="none" w:sz="0" w:space="0" w:color="auto"/>
                    <w:right w:val="none" w:sz="0" w:space="0" w:color="auto"/>
                  </w:divBdr>
                  <w:divsChild>
                    <w:div w:id="450058758">
                      <w:marLeft w:val="0"/>
                      <w:marRight w:val="0"/>
                      <w:marTop w:val="0"/>
                      <w:marBottom w:val="0"/>
                      <w:divBdr>
                        <w:top w:val="none" w:sz="0" w:space="0" w:color="auto"/>
                        <w:left w:val="none" w:sz="0" w:space="0" w:color="auto"/>
                        <w:bottom w:val="none" w:sz="0" w:space="0" w:color="auto"/>
                        <w:right w:val="none" w:sz="0" w:space="0" w:color="auto"/>
                      </w:divBdr>
                    </w:div>
                  </w:divsChild>
                </w:div>
                <w:div w:id="565804999">
                  <w:marLeft w:val="0"/>
                  <w:marRight w:val="0"/>
                  <w:marTop w:val="0"/>
                  <w:marBottom w:val="0"/>
                  <w:divBdr>
                    <w:top w:val="none" w:sz="0" w:space="0" w:color="auto"/>
                    <w:left w:val="none" w:sz="0" w:space="0" w:color="auto"/>
                    <w:bottom w:val="none" w:sz="0" w:space="0" w:color="auto"/>
                    <w:right w:val="none" w:sz="0" w:space="0" w:color="auto"/>
                  </w:divBdr>
                  <w:divsChild>
                    <w:div w:id="995493980">
                      <w:marLeft w:val="0"/>
                      <w:marRight w:val="0"/>
                      <w:marTop w:val="0"/>
                      <w:marBottom w:val="0"/>
                      <w:divBdr>
                        <w:top w:val="none" w:sz="0" w:space="0" w:color="auto"/>
                        <w:left w:val="none" w:sz="0" w:space="0" w:color="auto"/>
                        <w:bottom w:val="none" w:sz="0" w:space="0" w:color="auto"/>
                        <w:right w:val="none" w:sz="0" w:space="0" w:color="auto"/>
                      </w:divBdr>
                    </w:div>
                    <w:div w:id="1278566412">
                      <w:marLeft w:val="0"/>
                      <w:marRight w:val="0"/>
                      <w:marTop w:val="0"/>
                      <w:marBottom w:val="0"/>
                      <w:divBdr>
                        <w:top w:val="none" w:sz="0" w:space="0" w:color="auto"/>
                        <w:left w:val="none" w:sz="0" w:space="0" w:color="auto"/>
                        <w:bottom w:val="none" w:sz="0" w:space="0" w:color="auto"/>
                        <w:right w:val="none" w:sz="0" w:space="0" w:color="auto"/>
                      </w:divBdr>
                    </w:div>
                    <w:div w:id="153106124">
                      <w:marLeft w:val="0"/>
                      <w:marRight w:val="0"/>
                      <w:marTop w:val="0"/>
                      <w:marBottom w:val="0"/>
                      <w:divBdr>
                        <w:top w:val="none" w:sz="0" w:space="0" w:color="auto"/>
                        <w:left w:val="none" w:sz="0" w:space="0" w:color="auto"/>
                        <w:bottom w:val="none" w:sz="0" w:space="0" w:color="auto"/>
                        <w:right w:val="none" w:sz="0" w:space="0" w:color="auto"/>
                      </w:divBdr>
                    </w:div>
                    <w:div w:id="1254432334">
                      <w:marLeft w:val="0"/>
                      <w:marRight w:val="0"/>
                      <w:marTop w:val="0"/>
                      <w:marBottom w:val="0"/>
                      <w:divBdr>
                        <w:top w:val="none" w:sz="0" w:space="0" w:color="auto"/>
                        <w:left w:val="none" w:sz="0" w:space="0" w:color="auto"/>
                        <w:bottom w:val="none" w:sz="0" w:space="0" w:color="auto"/>
                        <w:right w:val="none" w:sz="0" w:space="0" w:color="auto"/>
                      </w:divBdr>
                    </w:div>
                  </w:divsChild>
                </w:div>
                <w:div w:id="1236286523">
                  <w:marLeft w:val="0"/>
                  <w:marRight w:val="0"/>
                  <w:marTop w:val="0"/>
                  <w:marBottom w:val="0"/>
                  <w:divBdr>
                    <w:top w:val="none" w:sz="0" w:space="0" w:color="auto"/>
                    <w:left w:val="none" w:sz="0" w:space="0" w:color="auto"/>
                    <w:bottom w:val="none" w:sz="0" w:space="0" w:color="auto"/>
                    <w:right w:val="none" w:sz="0" w:space="0" w:color="auto"/>
                  </w:divBdr>
                  <w:divsChild>
                    <w:div w:id="802620531">
                      <w:marLeft w:val="0"/>
                      <w:marRight w:val="0"/>
                      <w:marTop w:val="0"/>
                      <w:marBottom w:val="0"/>
                      <w:divBdr>
                        <w:top w:val="none" w:sz="0" w:space="0" w:color="auto"/>
                        <w:left w:val="none" w:sz="0" w:space="0" w:color="auto"/>
                        <w:bottom w:val="none" w:sz="0" w:space="0" w:color="auto"/>
                        <w:right w:val="none" w:sz="0" w:space="0" w:color="auto"/>
                      </w:divBdr>
                    </w:div>
                  </w:divsChild>
                </w:div>
                <w:div w:id="654573684">
                  <w:marLeft w:val="0"/>
                  <w:marRight w:val="0"/>
                  <w:marTop w:val="0"/>
                  <w:marBottom w:val="0"/>
                  <w:divBdr>
                    <w:top w:val="none" w:sz="0" w:space="0" w:color="auto"/>
                    <w:left w:val="none" w:sz="0" w:space="0" w:color="auto"/>
                    <w:bottom w:val="none" w:sz="0" w:space="0" w:color="auto"/>
                    <w:right w:val="none" w:sz="0" w:space="0" w:color="auto"/>
                  </w:divBdr>
                  <w:divsChild>
                    <w:div w:id="738212191">
                      <w:marLeft w:val="0"/>
                      <w:marRight w:val="0"/>
                      <w:marTop w:val="0"/>
                      <w:marBottom w:val="0"/>
                      <w:divBdr>
                        <w:top w:val="none" w:sz="0" w:space="0" w:color="auto"/>
                        <w:left w:val="none" w:sz="0" w:space="0" w:color="auto"/>
                        <w:bottom w:val="none" w:sz="0" w:space="0" w:color="auto"/>
                        <w:right w:val="none" w:sz="0" w:space="0" w:color="auto"/>
                      </w:divBdr>
                    </w:div>
                    <w:div w:id="116533896">
                      <w:marLeft w:val="0"/>
                      <w:marRight w:val="0"/>
                      <w:marTop w:val="0"/>
                      <w:marBottom w:val="0"/>
                      <w:divBdr>
                        <w:top w:val="none" w:sz="0" w:space="0" w:color="auto"/>
                        <w:left w:val="none" w:sz="0" w:space="0" w:color="auto"/>
                        <w:bottom w:val="none" w:sz="0" w:space="0" w:color="auto"/>
                        <w:right w:val="none" w:sz="0" w:space="0" w:color="auto"/>
                      </w:divBdr>
                    </w:div>
                  </w:divsChild>
                </w:div>
                <w:div w:id="1495607744">
                  <w:marLeft w:val="0"/>
                  <w:marRight w:val="0"/>
                  <w:marTop w:val="0"/>
                  <w:marBottom w:val="0"/>
                  <w:divBdr>
                    <w:top w:val="none" w:sz="0" w:space="0" w:color="auto"/>
                    <w:left w:val="none" w:sz="0" w:space="0" w:color="auto"/>
                    <w:bottom w:val="none" w:sz="0" w:space="0" w:color="auto"/>
                    <w:right w:val="none" w:sz="0" w:space="0" w:color="auto"/>
                  </w:divBdr>
                  <w:divsChild>
                    <w:div w:id="708798657">
                      <w:marLeft w:val="0"/>
                      <w:marRight w:val="0"/>
                      <w:marTop w:val="0"/>
                      <w:marBottom w:val="0"/>
                      <w:divBdr>
                        <w:top w:val="none" w:sz="0" w:space="0" w:color="auto"/>
                        <w:left w:val="none" w:sz="0" w:space="0" w:color="auto"/>
                        <w:bottom w:val="none" w:sz="0" w:space="0" w:color="auto"/>
                        <w:right w:val="none" w:sz="0" w:space="0" w:color="auto"/>
                      </w:divBdr>
                    </w:div>
                  </w:divsChild>
                </w:div>
                <w:div w:id="357587983">
                  <w:marLeft w:val="0"/>
                  <w:marRight w:val="0"/>
                  <w:marTop w:val="0"/>
                  <w:marBottom w:val="0"/>
                  <w:divBdr>
                    <w:top w:val="none" w:sz="0" w:space="0" w:color="auto"/>
                    <w:left w:val="none" w:sz="0" w:space="0" w:color="auto"/>
                    <w:bottom w:val="none" w:sz="0" w:space="0" w:color="auto"/>
                    <w:right w:val="none" w:sz="0" w:space="0" w:color="auto"/>
                  </w:divBdr>
                  <w:divsChild>
                    <w:div w:id="1324621082">
                      <w:marLeft w:val="0"/>
                      <w:marRight w:val="0"/>
                      <w:marTop w:val="0"/>
                      <w:marBottom w:val="0"/>
                      <w:divBdr>
                        <w:top w:val="none" w:sz="0" w:space="0" w:color="auto"/>
                        <w:left w:val="none" w:sz="0" w:space="0" w:color="auto"/>
                        <w:bottom w:val="none" w:sz="0" w:space="0" w:color="auto"/>
                        <w:right w:val="none" w:sz="0" w:space="0" w:color="auto"/>
                      </w:divBdr>
                    </w:div>
                    <w:div w:id="2144344360">
                      <w:marLeft w:val="0"/>
                      <w:marRight w:val="0"/>
                      <w:marTop w:val="0"/>
                      <w:marBottom w:val="0"/>
                      <w:divBdr>
                        <w:top w:val="none" w:sz="0" w:space="0" w:color="auto"/>
                        <w:left w:val="none" w:sz="0" w:space="0" w:color="auto"/>
                        <w:bottom w:val="none" w:sz="0" w:space="0" w:color="auto"/>
                        <w:right w:val="none" w:sz="0" w:space="0" w:color="auto"/>
                      </w:divBdr>
                    </w:div>
                  </w:divsChild>
                </w:div>
                <w:div w:id="870873564">
                  <w:marLeft w:val="0"/>
                  <w:marRight w:val="0"/>
                  <w:marTop w:val="0"/>
                  <w:marBottom w:val="0"/>
                  <w:divBdr>
                    <w:top w:val="none" w:sz="0" w:space="0" w:color="auto"/>
                    <w:left w:val="none" w:sz="0" w:space="0" w:color="auto"/>
                    <w:bottom w:val="none" w:sz="0" w:space="0" w:color="auto"/>
                    <w:right w:val="none" w:sz="0" w:space="0" w:color="auto"/>
                  </w:divBdr>
                  <w:divsChild>
                    <w:div w:id="929435430">
                      <w:marLeft w:val="0"/>
                      <w:marRight w:val="0"/>
                      <w:marTop w:val="0"/>
                      <w:marBottom w:val="0"/>
                      <w:divBdr>
                        <w:top w:val="none" w:sz="0" w:space="0" w:color="auto"/>
                        <w:left w:val="none" w:sz="0" w:space="0" w:color="auto"/>
                        <w:bottom w:val="none" w:sz="0" w:space="0" w:color="auto"/>
                        <w:right w:val="none" w:sz="0" w:space="0" w:color="auto"/>
                      </w:divBdr>
                    </w:div>
                  </w:divsChild>
                </w:div>
                <w:div w:id="230818331">
                  <w:marLeft w:val="0"/>
                  <w:marRight w:val="0"/>
                  <w:marTop w:val="0"/>
                  <w:marBottom w:val="0"/>
                  <w:divBdr>
                    <w:top w:val="none" w:sz="0" w:space="0" w:color="auto"/>
                    <w:left w:val="none" w:sz="0" w:space="0" w:color="auto"/>
                    <w:bottom w:val="none" w:sz="0" w:space="0" w:color="auto"/>
                    <w:right w:val="none" w:sz="0" w:space="0" w:color="auto"/>
                  </w:divBdr>
                  <w:divsChild>
                    <w:div w:id="168522282">
                      <w:marLeft w:val="0"/>
                      <w:marRight w:val="0"/>
                      <w:marTop w:val="0"/>
                      <w:marBottom w:val="0"/>
                      <w:divBdr>
                        <w:top w:val="none" w:sz="0" w:space="0" w:color="auto"/>
                        <w:left w:val="none" w:sz="0" w:space="0" w:color="auto"/>
                        <w:bottom w:val="none" w:sz="0" w:space="0" w:color="auto"/>
                        <w:right w:val="none" w:sz="0" w:space="0" w:color="auto"/>
                      </w:divBdr>
                    </w:div>
                    <w:div w:id="1608269487">
                      <w:marLeft w:val="0"/>
                      <w:marRight w:val="0"/>
                      <w:marTop w:val="0"/>
                      <w:marBottom w:val="0"/>
                      <w:divBdr>
                        <w:top w:val="none" w:sz="0" w:space="0" w:color="auto"/>
                        <w:left w:val="none" w:sz="0" w:space="0" w:color="auto"/>
                        <w:bottom w:val="none" w:sz="0" w:space="0" w:color="auto"/>
                        <w:right w:val="none" w:sz="0" w:space="0" w:color="auto"/>
                      </w:divBdr>
                    </w:div>
                    <w:div w:id="767506053">
                      <w:marLeft w:val="0"/>
                      <w:marRight w:val="0"/>
                      <w:marTop w:val="0"/>
                      <w:marBottom w:val="0"/>
                      <w:divBdr>
                        <w:top w:val="none" w:sz="0" w:space="0" w:color="auto"/>
                        <w:left w:val="none" w:sz="0" w:space="0" w:color="auto"/>
                        <w:bottom w:val="none" w:sz="0" w:space="0" w:color="auto"/>
                        <w:right w:val="none" w:sz="0" w:space="0" w:color="auto"/>
                      </w:divBdr>
                    </w:div>
                    <w:div w:id="352197494">
                      <w:marLeft w:val="0"/>
                      <w:marRight w:val="0"/>
                      <w:marTop w:val="0"/>
                      <w:marBottom w:val="0"/>
                      <w:divBdr>
                        <w:top w:val="none" w:sz="0" w:space="0" w:color="auto"/>
                        <w:left w:val="none" w:sz="0" w:space="0" w:color="auto"/>
                        <w:bottom w:val="none" w:sz="0" w:space="0" w:color="auto"/>
                        <w:right w:val="none" w:sz="0" w:space="0" w:color="auto"/>
                      </w:divBdr>
                    </w:div>
                  </w:divsChild>
                </w:div>
                <w:div w:id="416634582">
                  <w:marLeft w:val="0"/>
                  <w:marRight w:val="0"/>
                  <w:marTop w:val="0"/>
                  <w:marBottom w:val="0"/>
                  <w:divBdr>
                    <w:top w:val="none" w:sz="0" w:space="0" w:color="auto"/>
                    <w:left w:val="none" w:sz="0" w:space="0" w:color="auto"/>
                    <w:bottom w:val="none" w:sz="0" w:space="0" w:color="auto"/>
                    <w:right w:val="none" w:sz="0" w:space="0" w:color="auto"/>
                  </w:divBdr>
                  <w:divsChild>
                    <w:div w:id="84572373">
                      <w:marLeft w:val="0"/>
                      <w:marRight w:val="0"/>
                      <w:marTop w:val="0"/>
                      <w:marBottom w:val="0"/>
                      <w:divBdr>
                        <w:top w:val="none" w:sz="0" w:space="0" w:color="auto"/>
                        <w:left w:val="none" w:sz="0" w:space="0" w:color="auto"/>
                        <w:bottom w:val="none" w:sz="0" w:space="0" w:color="auto"/>
                        <w:right w:val="none" w:sz="0" w:space="0" w:color="auto"/>
                      </w:divBdr>
                    </w:div>
                    <w:div w:id="920213584">
                      <w:marLeft w:val="0"/>
                      <w:marRight w:val="0"/>
                      <w:marTop w:val="0"/>
                      <w:marBottom w:val="0"/>
                      <w:divBdr>
                        <w:top w:val="none" w:sz="0" w:space="0" w:color="auto"/>
                        <w:left w:val="none" w:sz="0" w:space="0" w:color="auto"/>
                        <w:bottom w:val="none" w:sz="0" w:space="0" w:color="auto"/>
                        <w:right w:val="none" w:sz="0" w:space="0" w:color="auto"/>
                      </w:divBdr>
                    </w:div>
                  </w:divsChild>
                </w:div>
                <w:div w:id="487282143">
                  <w:marLeft w:val="0"/>
                  <w:marRight w:val="0"/>
                  <w:marTop w:val="0"/>
                  <w:marBottom w:val="0"/>
                  <w:divBdr>
                    <w:top w:val="none" w:sz="0" w:space="0" w:color="auto"/>
                    <w:left w:val="none" w:sz="0" w:space="0" w:color="auto"/>
                    <w:bottom w:val="none" w:sz="0" w:space="0" w:color="auto"/>
                    <w:right w:val="none" w:sz="0" w:space="0" w:color="auto"/>
                  </w:divBdr>
                  <w:divsChild>
                    <w:div w:id="1932083006">
                      <w:marLeft w:val="0"/>
                      <w:marRight w:val="0"/>
                      <w:marTop w:val="0"/>
                      <w:marBottom w:val="0"/>
                      <w:divBdr>
                        <w:top w:val="none" w:sz="0" w:space="0" w:color="auto"/>
                        <w:left w:val="none" w:sz="0" w:space="0" w:color="auto"/>
                        <w:bottom w:val="none" w:sz="0" w:space="0" w:color="auto"/>
                        <w:right w:val="none" w:sz="0" w:space="0" w:color="auto"/>
                      </w:divBdr>
                    </w:div>
                    <w:div w:id="2075541379">
                      <w:marLeft w:val="0"/>
                      <w:marRight w:val="0"/>
                      <w:marTop w:val="0"/>
                      <w:marBottom w:val="0"/>
                      <w:divBdr>
                        <w:top w:val="none" w:sz="0" w:space="0" w:color="auto"/>
                        <w:left w:val="none" w:sz="0" w:space="0" w:color="auto"/>
                        <w:bottom w:val="none" w:sz="0" w:space="0" w:color="auto"/>
                        <w:right w:val="none" w:sz="0" w:space="0" w:color="auto"/>
                      </w:divBdr>
                    </w:div>
                    <w:div w:id="588927029">
                      <w:marLeft w:val="0"/>
                      <w:marRight w:val="0"/>
                      <w:marTop w:val="0"/>
                      <w:marBottom w:val="0"/>
                      <w:divBdr>
                        <w:top w:val="none" w:sz="0" w:space="0" w:color="auto"/>
                        <w:left w:val="none" w:sz="0" w:space="0" w:color="auto"/>
                        <w:bottom w:val="none" w:sz="0" w:space="0" w:color="auto"/>
                        <w:right w:val="none" w:sz="0" w:space="0" w:color="auto"/>
                      </w:divBdr>
                    </w:div>
                  </w:divsChild>
                </w:div>
                <w:div w:id="745111303">
                  <w:marLeft w:val="0"/>
                  <w:marRight w:val="0"/>
                  <w:marTop w:val="0"/>
                  <w:marBottom w:val="0"/>
                  <w:divBdr>
                    <w:top w:val="none" w:sz="0" w:space="0" w:color="auto"/>
                    <w:left w:val="none" w:sz="0" w:space="0" w:color="auto"/>
                    <w:bottom w:val="none" w:sz="0" w:space="0" w:color="auto"/>
                    <w:right w:val="none" w:sz="0" w:space="0" w:color="auto"/>
                  </w:divBdr>
                  <w:divsChild>
                    <w:div w:id="481580669">
                      <w:marLeft w:val="0"/>
                      <w:marRight w:val="0"/>
                      <w:marTop w:val="0"/>
                      <w:marBottom w:val="0"/>
                      <w:divBdr>
                        <w:top w:val="none" w:sz="0" w:space="0" w:color="auto"/>
                        <w:left w:val="none" w:sz="0" w:space="0" w:color="auto"/>
                        <w:bottom w:val="none" w:sz="0" w:space="0" w:color="auto"/>
                        <w:right w:val="none" w:sz="0" w:space="0" w:color="auto"/>
                      </w:divBdr>
                    </w:div>
                  </w:divsChild>
                </w:div>
                <w:div w:id="1455947782">
                  <w:marLeft w:val="0"/>
                  <w:marRight w:val="0"/>
                  <w:marTop w:val="0"/>
                  <w:marBottom w:val="0"/>
                  <w:divBdr>
                    <w:top w:val="none" w:sz="0" w:space="0" w:color="auto"/>
                    <w:left w:val="none" w:sz="0" w:space="0" w:color="auto"/>
                    <w:bottom w:val="none" w:sz="0" w:space="0" w:color="auto"/>
                    <w:right w:val="none" w:sz="0" w:space="0" w:color="auto"/>
                  </w:divBdr>
                  <w:divsChild>
                    <w:div w:id="1774939302">
                      <w:marLeft w:val="0"/>
                      <w:marRight w:val="0"/>
                      <w:marTop w:val="0"/>
                      <w:marBottom w:val="0"/>
                      <w:divBdr>
                        <w:top w:val="none" w:sz="0" w:space="0" w:color="auto"/>
                        <w:left w:val="none" w:sz="0" w:space="0" w:color="auto"/>
                        <w:bottom w:val="none" w:sz="0" w:space="0" w:color="auto"/>
                        <w:right w:val="none" w:sz="0" w:space="0" w:color="auto"/>
                      </w:divBdr>
                    </w:div>
                    <w:div w:id="1038624948">
                      <w:marLeft w:val="0"/>
                      <w:marRight w:val="0"/>
                      <w:marTop w:val="0"/>
                      <w:marBottom w:val="0"/>
                      <w:divBdr>
                        <w:top w:val="none" w:sz="0" w:space="0" w:color="auto"/>
                        <w:left w:val="none" w:sz="0" w:space="0" w:color="auto"/>
                        <w:bottom w:val="none" w:sz="0" w:space="0" w:color="auto"/>
                        <w:right w:val="none" w:sz="0" w:space="0" w:color="auto"/>
                      </w:divBdr>
                    </w:div>
                    <w:div w:id="56563005">
                      <w:marLeft w:val="0"/>
                      <w:marRight w:val="0"/>
                      <w:marTop w:val="0"/>
                      <w:marBottom w:val="0"/>
                      <w:divBdr>
                        <w:top w:val="none" w:sz="0" w:space="0" w:color="auto"/>
                        <w:left w:val="none" w:sz="0" w:space="0" w:color="auto"/>
                        <w:bottom w:val="none" w:sz="0" w:space="0" w:color="auto"/>
                        <w:right w:val="none" w:sz="0" w:space="0" w:color="auto"/>
                      </w:divBdr>
                    </w:div>
                  </w:divsChild>
                </w:div>
                <w:div w:id="2133017035">
                  <w:marLeft w:val="0"/>
                  <w:marRight w:val="0"/>
                  <w:marTop w:val="0"/>
                  <w:marBottom w:val="0"/>
                  <w:divBdr>
                    <w:top w:val="none" w:sz="0" w:space="0" w:color="auto"/>
                    <w:left w:val="none" w:sz="0" w:space="0" w:color="auto"/>
                    <w:bottom w:val="none" w:sz="0" w:space="0" w:color="auto"/>
                    <w:right w:val="none" w:sz="0" w:space="0" w:color="auto"/>
                  </w:divBdr>
                  <w:divsChild>
                    <w:div w:id="2027556404">
                      <w:marLeft w:val="0"/>
                      <w:marRight w:val="0"/>
                      <w:marTop w:val="0"/>
                      <w:marBottom w:val="0"/>
                      <w:divBdr>
                        <w:top w:val="none" w:sz="0" w:space="0" w:color="auto"/>
                        <w:left w:val="none" w:sz="0" w:space="0" w:color="auto"/>
                        <w:bottom w:val="none" w:sz="0" w:space="0" w:color="auto"/>
                        <w:right w:val="none" w:sz="0" w:space="0" w:color="auto"/>
                      </w:divBdr>
                    </w:div>
                  </w:divsChild>
                </w:div>
                <w:div w:id="2104036211">
                  <w:marLeft w:val="0"/>
                  <w:marRight w:val="0"/>
                  <w:marTop w:val="0"/>
                  <w:marBottom w:val="0"/>
                  <w:divBdr>
                    <w:top w:val="none" w:sz="0" w:space="0" w:color="auto"/>
                    <w:left w:val="none" w:sz="0" w:space="0" w:color="auto"/>
                    <w:bottom w:val="none" w:sz="0" w:space="0" w:color="auto"/>
                    <w:right w:val="none" w:sz="0" w:space="0" w:color="auto"/>
                  </w:divBdr>
                  <w:divsChild>
                    <w:div w:id="692650240">
                      <w:marLeft w:val="0"/>
                      <w:marRight w:val="0"/>
                      <w:marTop w:val="0"/>
                      <w:marBottom w:val="0"/>
                      <w:divBdr>
                        <w:top w:val="none" w:sz="0" w:space="0" w:color="auto"/>
                        <w:left w:val="none" w:sz="0" w:space="0" w:color="auto"/>
                        <w:bottom w:val="none" w:sz="0" w:space="0" w:color="auto"/>
                        <w:right w:val="none" w:sz="0" w:space="0" w:color="auto"/>
                      </w:divBdr>
                    </w:div>
                    <w:div w:id="191773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230291">
          <w:marLeft w:val="0"/>
          <w:marRight w:val="0"/>
          <w:marTop w:val="0"/>
          <w:marBottom w:val="0"/>
          <w:divBdr>
            <w:top w:val="none" w:sz="0" w:space="0" w:color="auto"/>
            <w:left w:val="none" w:sz="0" w:space="0" w:color="auto"/>
            <w:bottom w:val="none" w:sz="0" w:space="0" w:color="auto"/>
            <w:right w:val="none" w:sz="0" w:space="0" w:color="auto"/>
          </w:divBdr>
        </w:div>
        <w:div w:id="997610538">
          <w:marLeft w:val="0"/>
          <w:marRight w:val="0"/>
          <w:marTop w:val="0"/>
          <w:marBottom w:val="0"/>
          <w:divBdr>
            <w:top w:val="none" w:sz="0" w:space="0" w:color="auto"/>
            <w:left w:val="none" w:sz="0" w:space="0" w:color="auto"/>
            <w:bottom w:val="none" w:sz="0" w:space="0" w:color="auto"/>
            <w:right w:val="none" w:sz="0" w:space="0" w:color="auto"/>
          </w:divBdr>
        </w:div>
        <w:div w:id="1727953492">
          <w:marLeft w:val="0"/>
          <w:marRight w:val="0"/>
          <w:marTop w:val="0"/>
          <w:marBottom w:val="0"/>
          <w:divBdr>
            <w:top w:val="none" w:sz="0" w:space="0" w:color="auto"/>
            <w:left w:val="none" w:sz="0" w:space="0" w:color="auto"/>
            <w:bottom w:val="none" w:sz="0" w:space="0" w:color="auto"/>
            <w:right w:val="none" w:sz="0" w:space="0" w:color="auto"/>
          </w:divBdr>
        </w:div>
        <w:div w:id="338629490">
          <w:marLeft w:val="0"/>
          <w:marRight w:val="0"/>
          <w:marTop w:val="0"/>
          <w:marBottom w:val="0"/>
          <w:divBdr>
            <w:top w:val="none" w:sz="0" w:space="0" w:color="auto"/>
            <w:left w:val="none" w:sz="0" w:space="0" w:color="auto"/>
            <w:bottom w:val="none" w:sz="0" w:space="0" w:color="auto"/>
            <w:right w:val="none" w:sz="0" w:space="0" w:color="auto"/>
          </w:divBdr>
        </w:div>
        <w:div w:id="68894103">
          <w:marLeft w:val="0"/>
          <w:marRight w:val="0"/>
          <w:marTop w:val="0"/>
          <w:marBottom w:val="0"/>
          <w:divBdr>
            <w:top w:val="none" w:sz="0" w:space="0" w:color="auto"/>
            <w:left w:val="none" w:sz="0" w:space="0" w:color="auto"/>
            <w:bottom w:val="none" w:sz="0" w:space="0" w:color="auto"/>
            <w:right w:val="none" w:sz="0" w:space="0" w:color="auto"/>
          </w:divBdr>
        </w:div>
        <w:div w:id="1505048522">
          <w:marLeft w:val="0"/>
          <w:marRight w:val="0"/>
          <w:marTop w:val="0"/>
          <w:marBottom w:val="0"/>
          <w:divBdr>
            <w:top w:val="none" w:sz="0" w:space="0" w:color="auto"/>
            <w:left w:val="none" w:sz="0" w:space="0" w:color="auto"/>
            <w:bottom w:val="none" w:sz="0" w:space="0" w:color="auto"/>
            <w:right w:val="none" w:sz="0" w:space="0" w:color="auto"/>
          </w:divBdr>
        </w:div>
        <w:div w:id="1287783038">
          <w:marLeft w:val="0"/>
          <w:marRight w:val="0"/>
          <w:marTop w:val="0"/>
          <w:marBottom w:val="0"/>
          <w:divBdr>
            <w:top w:val="none" w:sz="0" w:space="0" w:color="auto"/>
            <w:left w:val="none" w:sz="0" w:space="0" w:color="auto"/>
            <w:bottom w:val="none" w:sz="0" w:space="0" w:color="auto"/>
            <w:right w:val="none" w:sz="0" w:space="0" w:color="auto"/>
          </w:divBdr>
        </w:div>
        <w:div w:id="752050376">
          <w:marLeft w:val="0"/>
          <w:marRight w:val="0"/>
          <w:marTop w:val="0"/>
          <w:marBottom w:val="0"/>
          <w:divBdr>
            <w:top w:val="none" w:sz="0" w:space="0" w:color="auto"/>
            <w:left w:val="none" w:sz="0" w:space="0" w:color="auto"/>
            <w:bottom w:val="none" w:sz="0" w:space="0" w:color="auto"/>
            <w:right w:val="none" w:sz="0" w:space="0" w:color="auto"/>
          </w:divBdr>
        </w:div>
        <w:div w:id="2004117616">
          <w:marLeft w:val="0"/>
          <w:marRight w:val="0"/>
          <w:marTop w:val="0"/>
          <w:marBottom w:val="0"/>
          <w:divBdr>
            <w:top w:val="none" w:sz="0" w:space="0" w:color="auto"/>
            <w:left w:val="none" w:sz="0" w:space="0" w:color="auto"/>
            <w:bottom w:val="none" w:sz="0" w:space="0" w:color="auto"/>
            <w:right w:val="none" w:sz="0" w:space="0" w:color="auto"/>
          </w:divBdr>
        </w:div>
        <w:div w:id="1031568495">
          <w:marLeft w:val="0"/>
          <w:marRight w:val="0"/>
          <w:marTop w:val="0"/>
          <w:marBottom w:val="0"/>
          <w:divBdr>
            <w:top w:val="none" w:sz="0" w:space="0" w:color="auto"/>
            <w:left w:val="none" w:sz="0" w:space="0" w:color="auto"/>
            <w:bottom w:val="none" w:sz="0" w:space="0" w:color="auto"/>
            <w:right w:val="none" w:sz="0" w:space="0" w:color="auto"/>
          </w:divBdr>
        </w:div>
        <w:div w:id="1762722859">
          <w:marLeft w:val="0"/>
          <w:marRight w:val="0"/>
          <w:marTop w:val="0"/>
          <w:marBottom w:val="0"/>
          <w:divBdr>
            <w:top w:val="none" w:sz="0" w:space="0" w:color="auto"/>
            <w:left w:val="none" w:sz="0" w:space="0" w:color="auto"/>
            <w:bottom w:val="none" w:sz="0" w:space="0" w:color="auto"/>
            <w:right w:val="none" w:sz="0" w:space="0" w:color="auto"/>
          </w:divBdr>
        </w:div>
        <w:div w:id="2059814161">
          <w:marLeft w:val="0"/>
          <w:marRight w:val="0"/>
          <w:marTop w:val="0"/>
          <w:marBottom w:val="0"/>
          <w:divBdr>
            <w:top w:val="none" w:sz="0" w:space="0" w:color="auto"/>
            <w:left w:val="none" w:sz="0" w:space="0" w:color="auto"/>
            <w:bottom w:val="none" w:sz="0" w:space="0" w:color="auto"/>
            <w:right w:val="none" w:sz="0" w:space="0" w:color="auto"/>
          </w:divBdr>
        </w:div>
        <w:div w:id="787159460">
          <w:marLeft w:val="0"/>
          <w:marRight w:val="0"/>
          <w:marTop w:val="0"/>
          <w:marBottom w:val="0"/>
          <w:divBdr>
            <w:top w:val="none" w:sz="0" w:space="0" w:color="auto"/>
            <w:left w:val="none" w:sz="0" w:space="0" w:color="auto"/>
            <w:bottom w:val="none" w:sz="0" w:space="0" w:color="auto"/>
            <w:right w:val="none" w:sz="0" w:space="0" w:color="auto"/>
          </w:divBdr>
        </w:div>
        <w:div w:id="738864679">
          <w:marLeft w:val="0"/>
          <w:marRight w:val="0"/>
          <w:marTop w:val="0"/>
          <w:marBottom w:val="0"/>
          <w:divBdr>
            <w:top w:val="none" w:sz="0" w:space="0" w:color="auto"/>
            <w:left w:val="none" w:sz="0" w:space="0" w:color="auto"/>
            <w:bottom w:val="none" w:sz="0" w:space="0" w:color="auto"/>
            <w:right w:val="none" w:sz="0" w:space="0" w:color="auto"/>
          </w:divBdr>
        </w:div>
        <w:div w:id="751196161">
          <w:marLeft w:val="0"/>
          <w:marRight w:val="0"/>
          <w:marTop w:val="0"/>
          <w:marBottom w:val="0"/>
          <w:divBdr>
            <w:top w:val="none" w:sz="0" w:space="0" w:color="auto"/>
            <w:left w:val="none" w:sz="0" w:space="0" w:color="auto"/>
            <w:bottom w:val="none" w:sz="0" w:space="0" w:color="auto"/>
            <w:right w:val="none" w:sz="0" w:space="0" w:color="auto"/>
          </w:divBdr>
        </w:div>
        <w:div w:id="970477950">
          <w:marLeft w:val="0"/>
          <w:marRight w:val="0"/>
          <w:marTop w:val="0"/>
          <w:marBottom w:val="0"/>
          <w:divBdr>
            <w:top w:val="none" w:sz="0" w:space="0" w:color="auto"/>
            <w:left w:val="none" w:sz="0" w:space="0" w:color="auto"/>
            <w:bottom w:val="none" w:sz="0" w:space="0" w:color="auto"/>
            <w:right w:val="none" w:sz="0" w:space="0" w:color="auto"/>
          </w:divBdr>
        </w:div>
        <w:div w:id="1730301754">
          <w:marLeft w:val="0"/>
          <w:marRight w:val="0"/>
          <w:marTop w:val="0"/>
          <w:marBottom w:val="0"/>
          <w:divBdr>
            <w:top w:val="none" w:sz="0" w:space="0" w:color="auto"/>
            <w:left w:val="none" w:sz="0" w:space="0" w:color="auto"/>
            <w:bottom w:val="none" w:sz="0" w:space="0" w:color="auto"/>
            <w:right w:val="none" w:sz="0" w:space="0" w:color="auto"/>
          </w:divBdr>
        </w:div>
        <w:div w:id="66997749">
          <w:marLeft w:val="0"/>
          <w:marRight w:val="0"/>
          <w:marTop w:val="0"/>
          <w:marBottom w:val="0"/>
          <w:divBdr>
            <w:top w:val="none" w:sz="0" w:space="0" w:color="auto"/>
            <w:left w:val="none" w:sz="0" w:space="0" w:color="auto"/>
            <w:bottom w:val="none" w:sz="0" w:space="0" w:color="auto"/>
            <w:right w:val="none" w:sz="0" w:space="0" w:color="auto"/>
          </w:divBdr>
        </w:div>
        <w:div w:id="1274172661">
          <w:marLeft w:val="0"/>
          <w:marRight w:val="0"/>
          <w:marTop w:val="0"/>
          <w:marBottom w:val="0"/>
          <w:divBdr>
            <w:top w:val="none" w:sz="0" w:space="0" w:color="auto"/>
            <w:left w:val="none" w:sz="0" w:space="0" w:color="auto"/>
            <w:bottom w:val="none" w:sz="0" w:space="0" w:color="auto"/>
            <w:right w:val="none" w:sz="0" w:space="0" w:color="auto"/>
          </w:divBdr>
        </w:div>
        <w:div w:id="1837382183">
          <w:marLeft w:val="0"/>
          <w:marRight w:val="0"/>
          <w:marTop w:val="0"/>
          <w:marBottom w:val="0"/>
          <w:divBdr>
            <w:top w:val="none" w:sz="0" w:space="0" w:color="auto"/>
            <w:left w:val="none" w:sz="0" w:space="0" w:color="auto"/>
            <w:bottom w:val="none" w:sz="0" w:space="0" w:color="auto"/>
            <w:right w:val="none" w:sz="0" w:space="0" w:color="auto"/>
          </w:divBdr>
        </w:div>
        <w:div w:id="241262662">
          <w:marLeft w:val="0"/>
          <w:marRight w:val="0"/>
          <w:marTop w:val="0"/>
          <w:marBottom w:val="0"/>
          <w:divBdr>
            <w:top w:val="none" w:sz="0" w:space="0" w:color="auto"/>
            <w:left w:val="none" w:sz="0" w:space="0" w:color="auto"/>
            <w:bottom w:val="none" w:sz="0" w:space="0" w:color="auto"/>
            <w:right w:val="none" w:sz="0" w:space="0" w:color="auto"/>
          </w:divBdr>
        </w:div>
        <w:div w:id="1985812726">
          <w:marLeft w:val="0"/>
          <w:marRight w:val="0"/>
          <w:marTop w:val="0"/>
          <w:marBottom w:val="0"/>
          <w:divBdr>
            <w:top w:val="none" w:sz="0" w:space="0" w:color="auto"/>
            <w:left w:val="none" w:sz="0" w:space="0" w:color="auto"/>
            <w:bottom w:val="none" w:sz="0" w:space="0" w:color="auto"/>
            <w:right w:val="none" w:sz="0" w:space="0" w:color="auto"/>
          </w:divBdr>
        </w:div>
        <w:div w:id="932741093">
          <w:marLeft w:val="0"/>
          <w:marRight w:val="0"/>
          <w:marTop w:val="0"/>
          <w:marBottom w:val="0"/>
          <w:divBdr>
            <w:top w:val="none" w:sz="0" w:space="0" w:color="auto"/>
            <w:left w:val="none" w:sz="0" w:space="0" w:color="auto"/>
            <w:bottom w:val="none" w:sz="0" w:space="0" w:color="auto"/>
            <w:right w:val="none" w:sz="0" w:space="0" w:color="auto"/>
          </w:divBdr>
        </w:div>
        <w:div w:id="514223543">
          <w:marLeft w:val="0"/>
          <w:marRight w:val="0"/>
          <w:marTop w:val="0"/>
          <w:marBottom w:val="0"/>
          <w:divBdr>
            <w:top w:val="none" w:sz="0" w:space="0" w:color="auto"/>
            <w:left w:val="none" w:sz="0" w:space="0" w:color="auto"/>
            <w:bottom w:val="none" w:sz="0" w:space="0" w:color="auto"/>
            <w:right w:val="none" w:sz="0" w:space="0" w:color="auto"/>
          </w:divBdr>
        </w:div>
        <w:div w:id="855656383">
          <w:marLeft w:val="0"/>
          <w:marRight w:val="0"/>
          <w:marTop w:val="0"/>
          <w:marBottom w:val="0"/>
          <w:divBdr>
            <w:top w:val="none" w:sz="0" w:space="0" w:color="auto"/>
            <w:left w:val="none" w:sz="0" w:space="0" w:color="auto"/>
            <w:bottom w:val="none" w:sz="0" w:space="0" w:color="auto"/>
            <w:right w:val="none" w:sz="0" w:space="0" w:color="auto"/>
          </w:divBdr>
        </w:div>
      </w:divsChild>
    </w:div>
    <w:div w:id="954142342">
      <w:bodyDiv w:val="1"/>
      <w:marLeft w:val="0"/>
      <w:marRight w:val="0"/>
      <w:marTop w:val="0"/>
      <w:marBottom w:val="0"/>
      <w:divBdr>
        <w:top w:val="none" w:sz="0" w:space="0" w:color="auto"/>
        <w:left w:val="none" w:sz="0" w:space="0" w:color="auto"/>
        <w:bottom w:val="none" w:sz="0" w:space="0" w:color="auto"/>
        <w:right w:val="none" w:sz="0" w:space="0" w:color="auto"/>
      </w:divBdr>
      <w:divsChild>
        <w:div w:id="221799092">
          <w:marLeft w:val="0"/>
          <w:marRight w:val="0"/>
          <w:marTop w:val="0"/>
          <w:marBottom w:val="0"/>
          <w:divBdr>
            <w:top w:val="none" w:sz="0" w:space="0" w:color="auto"/>
            <w:left w:val="none" w:sz="0" w:space="0" w:color="auto"/>
            <w:bottom w:val="none" w:sz="0" w:space="0" w:color="auto"/>
            <w:right w:val="none" w:sz="0" w:space="0" w:color="auto"/>
          </w:divBdr>
          <w:divsChild>
            <w:div w:id="1782457810">
              <w:marLeft w:val="0"/>
              <w:marRight w:val="0"/>
              <w:marTop w:val="0"/>
              <w:marBottom w:val="0"/>
              <w:divBdr>
                <w:top w:val="none" w:sz="0" w:space="0" w:color="auto"/>
                <w:left w:val="none" w:sz="0" w:space="0" w:color="auto"/>
                <w:bottom w:val="none" w:sz="0" w:space="0" w:color="auto"/>
                <w:right w:val="none" w:sz="0" w:space="0" w:color="auto"/>
              </w:divBdr>
              <w:divsChild>
                <w:div w:id="1041781922">
                  <w:marLeft w:val="0"/>
                  <w:marRight w:val="0"/>
                  <w:marTop w:val="0"/>
                  <w:marBottom w:val="0"/>
                  <w:divBdr>
                    <w:top w:val="none" w:sz="0" w:space="0" w:color="auto"/>
                    <w:left w:val="none" w:sz="0" w:space="0" w:color="auto"/>
                    <w:bottom w:val="none" w:sz="0" w:space="0" w:color="auto"/>
                    <w:right w:val="none" w:sz="0" w:space="0" w:color="auto"/>
                  </w:divBdr>
                  <w:divsChild>
                    <w:div w:id="36124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938722">
      <w:bodyDiv w:val="1"/>
      <w:marLeft w:val="0"/>
      <w:marRight w:val="0"/>
      <w:marTop w:val="0"/>
      <w:marBottom w:val="0"/>
      <w:divBdr>
        <w:top w:val="none" w:sz="0" w:space="0" w:color="auto"/>
        <w:left w:val="none" w:sz="0" w:space="0" w:color="auto"/>
        <w:bottom w:val="none" w:sz="0" w:space="0" w:color="auto"/>
        <w:right w:val="none" w:sz="0" w:space="0" w:color="auto"/>
      </w:divBdr>
      <w:divsChild>
        <w:div w:id="1247349784">
          <w:marLeft w:val="0"/>
          <w:marRight w:val="0"/>
          <w:marTop w:val="0"/>
          <w:marBottom w:val="0"/>
          <w:divBdr>
            <w:top w:val="none" w:sz="0" w:space="0" w:color="auto"/>
            <w:left w:val="none" w:sz="0" w:space="0" w:color="auto"/>
            <w:bottom w:val="none" w:sz="0" w:space="0" w:color="auto"/>
            <w:right w:val="none" w:sz="0" w:space="0" w:color="auto"/>
          </w:divBdr>
        </w:div>
        <w:div w:id="1176531191">
          <w:marLeft w:val="0"/>
          <w:marRight w:val="0"/>
          <w:marTop w:val="0"/>
          <w:marBottom w:val="0"/>
          <w:divBdr>
            <w:top w:val="none" w:sz="0" w:space="0" w:color="auto"/>
            <w:left w:val="none" w:sz="0" w:space="0" w:color="auto"/>
            <w:bottom w:val="none" w:sz="0" w:space="0" w:color="auto"/>
            <w:right w:val="none" w:sz="0" w:space="0" w:color="auto"/>
          </w:divBdr>
        </w:div>
        <w:div w:id="1303465187">
          <w:marLeft w:val="0"/>
          <w:marRight w:val="0"/>
          <w:marTop w:val="0"/>
          <w:marBottom w:val="0"/>
          <w:divBdr>
            <w:top w:val="none" w:sz="0" w:space="0" w:color="auto"/>
            <w:left w:val="none" w:sz="0" w:space="0" w:color="auto"/>
            <w:bottom w:val="none" w:sz="0" w:space="0" w:color="auto"/>
            <w:right w:val="none" w:sz="0" w:space="0" w:color="auto"/>
          </w:divBdr>
        </w:div>
        <w:div w:id="1141075566">
          <w:marLeft w:val="0"/>
          <w:marRight w:val="0"/>
          <w:marTop w:val="0"/>
          <w:marBottom w:val="0"/>
          <w:divBdr>
            <w:top w:val="none" w:sz="0" w:space="0" w:color="auto"/>
            <w:left w:val="none" w:sz="0" w:space="0" w:color="auto"/>
            <w:bottom w:val="none" w:sz="0" w:space="0" w:color="auto"/>
            <w:right w:val="none" w:sz="0" w:space="0" w:color="auto"/>
          </w:divBdr>
        </w:div>
        <w:div w:id="1574775923">
          <w:marLeft w:val="0"/>
          <w:marRight w:val="0"/>
          <w:marTop w:val="0"/>
          <w:marBottom w:val="0"/>
          <w:divBdr>
            <w:top w:val="none" w:sz="0" w:space="0" w:color="auto"/>
            <w:left w:val="none" w:sz="0" w:space="0" w:color="auto"/>
            <w:bottom w:val="none" w:sz="0" w:space="0" w:color="auto"/>
            <w:right w:val="none" w:sz="0" w:space="0" w:color="auto"/>
          </w:divBdr>
        </w:div>
        <w:div w:id="1337801847">
          <w:marLeft w:val="0"/>
          <w:marRight w:val="0"/>
          <w:marTop w:val="0"/>
          <w:marBottom w:val="0"/>
          <w:divBdr>
            <w:top w:val="none" w:sz="0" w:space="0" w:color="auto"/>
            <w:left w:val="none" w:sz="0" w:space="0" w:color="auto"/>
            <w:bottom w:val="none" w:sz="0" w:space="0" w:color="auto"/>
            <w:right w:val="none" w:sz="0" w:space="0" w:color="auto"/>
          </w:divBdr>
        </w:div>
      </w:divsChild>
    </w:div>
    <w:div w:id="203103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88C09-6E61-4817-8307-F7DC555AC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1921</TotalTime>
  <Pages>13</Pages>
  <Words>16317</Words>
  <Characters>93009</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Arone Fantaye</dc:creator>
  <cp:keywords/>
  <dc:description/>
  <cp:lastModifiedBy>Arone Fantaye</cp:lastModifiedBy>
  <cp:revision>41</cp:revision>
  <dcterms:created xsi:type="dcterms:W3CDTF">2024-05-29T20:30:00Z</dcterms:created>
  <dcterms:modified xsi:type="dcterms:W3CDTF">2024-11-25T14:20:00Z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http://www.zotero.org/styles/sage-vancouver</vt:lpwstr>
  </property>
  <property fmtid="{D5CDD505-2E9C-101B-9397-08002B2CF9AE}" pid="17" name="Mendeley Recent Style Name 7_1">
    <vt:lpwstr>SAGE - Vancouver</vt:lpwstr>
  </property>
  <property fmtid="{D5CDD505-2E9C-101B-9397-08002B2CF9AE}" pid="18" name="Mendeley Recent Style Id 8_1">
    <vt:lpwstr>http://www.zotero.org/styles/springer-vancouver</vt:lpwstr>
  </property>
  <property fmtid="{D5CDD505-2E9C-101B-9397-08002B2CF9AE}" pid="19" name="Mendeley Recent Style Name 8_1">
    <vt:lpwstr>Springer - Vancouver</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e1b8f428-23a2-39b6-bc08-41a282f4d52b</vt:lpwstr>
  </property>
  <property fmtid="{D5CDD505-2E9C-101B-9397-08002B2CF9AE}" pid="24" name="Mendeley Citation Style_1">
    <vt:lpwstr>http://www.zotero.org/styles/american-medical-association</vt:lpwstr>
  </property>
</Properties>
</file>