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6B2BC" w14:textId="2ECAF518" w:rsidR="00615336" w:rsidRPr="002B1639" w:rsidRDefault="00C00F08" w:rsidP="001735F1">
      <w:pPr>
        <w:spacing w:line="240" w:lineRule="auto"/>
        <w:jc w:val="center"/>
        <w:rPr>
          <w:rFonts w:cs="Times New Roman"/>
          <w:szCs w:val="24"/>
          <w:lang w:val="fr-CA"/>
        </w:rPr>
      </w:pPr>
      <w:r>
        <w:rPr>
          <w:rFonts w:cs="Times New Roman"/>
          <w:b/>
          <w:bCs/>
          <w:szCs w:val="24"/>
        </w:rPr>
        <w:t>Supplementary material 5</w:t>
      </w:r>
      <w:r w:rsidR="00615336" w:rsidRPr="002B1639">
        <w:rPr>
          <w:rFonts w:cs="Times New Roman"/>
          <w:b/>
          <w:bCs/>
          <w:szCs w:val="24"/>
        </w:rPr>
        <w:t>:</w:t>
      </w:r>
      <w:r w:rsidR="00615336" w:rsidRPr="002B1639">
        <w:rPr>
          <w:rFonts w:cs="Times New Roman"/>
          <w:szCs w:val="24"/>
        </w:rPr>
        <w:t xml:space="preserve"> Identified determinants and their impacts on implementation outcomes.</w:t>
      </w:r>
    </w:p>
    <w:tbl>
      <w:tblPr>
        <w:tblStyle w:val="TableGrid1"/>
        <w:tblW w:w="5000" w:type="pct"/>
        <w:tblLayout w:type="fixed"/>
        <w:tblCellMar>
          <w:left w:w="57" w:type="dxa"/>
          <w:bottom w:w="28" w:type="dxa"/>
          <w:right w:w="57" w:type="dxa"/>
        </w:tblCellMar>
        <w:tblLook w:val="06A0" w:firstRow="1" w:lastRow="0" w:firstColumn="1" w:lastColumn="0" w:noHBand="1" w:noVBand="1"/>
      </w:tblPr>
      <w:tblGrid>
        <w:gridCol w:w="1838"/>
        <w:gridCol w:w="1728"/>
        <w:gridCol w:w="1107"/>
        <w:gridCol w:w="2552"/>
        <w:gridCol w:w="2520"/>
        <w:gridCol w:w="3205"/>
      </w:tblGrid>
      <w:tr w:rsidR="00615336" w:rsidRPr="002B1639" w14:paraId="70E8D7B5" w14:textId="77777777" w:rsidTr="00345184">
        <w:trPr>
          <w:cantSplit/>
          <w:tblHeader/>
        </w:trPr>
        <w:tc>
          <w:tcPr>
            <w:tcW w:w="1838" w:type="dxa"/>
            <w:hideMark/>
          </w:tcPr>
          <w:p w14:paraId="69D396BC" w14:textId="77777777" w:rsidR="00615336" w:rsidRPr="002B1639" w:rsidRDefault="00615336" w:rsidP="00345184">
            <w:pPr>
              <w:spacing w:line="240" w:lineRule="auto"/>
              <w:rPr>
                <w:b/>
                <w:bCs/>
                <w:szCs w:val="24"/>
              </w:rPr>
            </w:pPr>
            <w:r w:rsidRPr="002B1639">
              <w:rPr>
                <w:b/>
                <w:bCs/>
                <w:szCs w:val="24"/>
              </w:rPr>
              <w:t>Implementation outcome</w:t>
            </w:r>
            <w:r w:rsidRPr="002B1639">
              <w:rPr>
                <w:szCs w:val="24"/>
              </w:rPr>
              <w:t>*</w:t>
            </w:r>
          </w:p>
        </w:tc>
        <w:tc>
          <w:tcPr>
            <w:tcW w:w="1728" w:type="dxa"/>
            <w:hideMark/>
          </w:tcPr>
          <w:p w14:paraId="754A8C3A" w14:textId="77777777" w:rsidR="00615336" w:rsidRPr="002B1639" w:rsidRDefault="00615336" w:rsidP="00345184">
            <w:pPr>
              <w:spacing w:line="240" w:lineRule="auto"/>
              <w:rPr>
                <w:b/>
                <w:bCs/>
                <w:szCs w:val="24"/>
              </w:rPr>
            </w:pPr>
            <w:r w:rsidRPr="002B1639">
              <w:rPr>
                <w:b/>
                <w:bCs/>
                <w:szCs w:val="24"/>
              </w:rPr>
              <w:t>Determinant</w:t>
            </w:r>
            <w:r w:rsidRPr="002B1639">
              <w:rPr>
                <w:szCs w:val="24"/>
              </w:rPr>
              <w:t>ꭝ</w:t>
            </w:r>
          </w:p>
        </w:tc>
        <w:tc>
          <w:tcPr>
            <w:tcW w:w="1107" w:type="dxa"/>
            <w:hideMark/>
          </w:tcPr>
          <w:p w14:paraId="47F2766B" w14:textId="77777777" w:rsidR="00615336" w:rsidRPr="002B1639" w:rsidRDefault="00615336" w:rsidP="00345184">
            <w:pPr>
              <w:spacing w:line="240" w:lineRule="auto"/>
              <w:rPr>
                <w:b/>
                <w:bCs/>
                <w:szCs w:val="24"/>
              </w:rPr>
            </w:pPr>
            <w:r w:rsidRPr="002B1639">
              <w:rPr>
                <w:b/>
                <w:bCs/>
                <w:szCs w:val="24"/>
              </w:rPr>
              <w:t>Valence</w:t>
            </w:r>
          </w:p>
        </w:tc>
        <w:tc>
          <w:tcPr>
            <w:tcW w:w="2552" w:type="dxa"/>
            <w:hideMark/>
          </w:tcPr>
          <w:p w14:paraId="3BB5CFB2" w14:textId="77777777" w:rsidR="00615336" w:rsidRPr="002B1639" w:rsidRDefault="00615336" w:rsidP="00345184">
            <w:pPr>
              <w:spacing w:line="240" w:lineRule="auto"/>
              <w:rPr>
                <w:b/>
                <w:bCs/>
                <w:szCs w:val="24"/>
              </w:rPr>
            </w:pPr>
            <w:r w:rsidRPr="002B1639">
              <w:rPr>
                <w:b/>
                <w:bCs/>
                <w:szCs w:val="24"/>
              </w:rPr>
              <w:t>Identified influence on implementation outcome(s)</w:t>
            </w:r>
          </w:p>
        </w:tc>
        <w:tc>
          <w:tcPr>
            <w:tcW w:w="2520" w:type="dxa"/>
            <w:hideMark/>
          </w:tcPr>
          <w:p w14:paraId="48EDBDEC" w14:textId="77777777" w:rsidR="00615336" w:rsidRPr="002B1639" w:rsidRDefault="00615336" w:rsidP="00345184">
            <w:pPr>
              <w:spacing w:line="240" w:lineRule="auto"/>
              <w:rPr>
                <w:b/>
                <w:bCs/>
                <w:szCs w:val="24"/>
              </w:rPr>
            </w:pPr>
            <w:r w:rsidRPr="002B1639">
              <w:rPr>
                <w:b/>
                <w:bCs/>
                <w:szCs w:val="24"/>
              </w:rPr>
              <w:t>Explanation(s)</w:t>
            </w:r>
          </w:p>
        </w:tc>
        <w:tc>
          <w:tcPr>
            <w:tcW w:w="3205" w:type="dxa"/>
            <w:hideMark/>
          </w:tcPr>
          <w:p w14:paraId="639BF3E7" w14:textId="77777777" w:rsidR="00615336" w:rsidRPr="002B1639" w:rsidRDefault="00615336" w:rsidP="00345184">
            <w:pPr>
              <w:spacing w:line="240" w:lineRule="auto"/>
              <w:rPr>
                <w:b/>
                <w:bCs/>
                <w:szCs w:val="24"/>
              </w:rPr>
            </w:pPr>
            <w:r w:rsidRPr="002B1639">
              <w:rPr>
                <w:b/>
                <w:bCs/>
                <w:szCs w:val="24"/>
              </w:rPr>
              <w:t>Illustrative quote(s) or events</w:t>
            </w:r>
          </w:p>
        </w:tc>
      </w:tr>
      <w:tr w:rsidR="00615336" w:rsidRPr="002B1639" w14:paraId="3CF64D83" w14:textId="77777777" w:rsidTr="00345184">
        <w:trPr>
          <w:cantSplit/>
        </w:trPr>
        <w:tc>
          <w:tcPr>
            <w:tcW w:w="1838" w:type="dxa"/>
            <w:hideMark/>
          </w:tcPr>
          <w:p w14:paraId="2FA81F16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Feasibility</w:t>
            </w:r>
          </w:p>
        </w:tc>
        <w:tc>
          <w:tcPr>
            <w:tcW w:w="1728" w:type="dxa"/>
            <w:hideMark/>
          </w:tcPr>
          <w:p w14:paraId="5FBD4ADC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Nature of the behaviour</w:t>
            </w:r>
          </w:p>
        </w:tc>
        <w:tc>
          <w:tcPr>
            <w:tcW w:w="1107" w:type="dxa"/>
            <w:hideMark/>
          </w:tcPr>
          <w:p w14:paraId="7BEDB8C7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Barrier </w:t>
            </w:r>
          </w:p>
        </w:tc>
        <w:tc>
          <w:tcPr>
            <w:tcW w:w="2552" w:type="dxa"/>
            <w:hideMark/>
          </w:tcPr>
          <w:p w14:paraId="69D6A8D8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Lower feasibility scores in pre-implementation and early implementation.</w:t>
            </w:r>
          </w:p>
        </w:tc>
        <w:tc>
          <w:tcPr>
            <w:tcW w:w="2520" w:type="dxa"/>
            <w:hideMark/>
          </w:tcPr>
          <w:p w14:paraId="6B185EBA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Time-consuming task of addressing the long OOC list in early implementation. </w:t>
            </w:r>
          </w:p>
        </w:tc>
        <w:tc>
          <w:tcPr>
            <w:tcW w:w="3205" w:type="dxa"/>
            <w:hideMark/>
          </w:tcPr>
          <w:p w14:paraId="20F6F3DE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“Assuming in the beginning, there’ll be a long list of patients, we probably won’t be able to get through them all right away.” – Nurse 1, pre-implementation</w:t>
            </w:r>
          </w:p>
        </w:tc>
      </w:tr>
      <w:tr w:rsidR="00615336" w:rsidRPr="002B1639" w14:paraId="535FEC57" w14:textId="77777777" w:rsidTr="00345184">
        <w:trPr>
          <w:cantSplit/>
        </w:trPr>
        <w:tc>
          <w:tcPr>
            <w:tcW w:w="1838" w:type="dxa"/>
            <w:hideMark/>
          </w:tcPr>
          <w:p w14:paraId="50086777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728" w:type="dxa"/>
            <w:hideMark/>
          </w:tcPr>
          <w:p w14:paraId="6D762801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Information systems</w:t>
            </w:r>
          </w:p>
        </w:tc>
        <w:tc>
          <w:tcPr>
            <w:tcW w:w="1107" w:type="dxa"/>
            <w:hideMark/>
          </w:tcPr>
          <w:p w14:paraId="68E99E27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Facilitator</w:t>
            </w:r>
          </w:p>
        </w:tc>
        <w:tc>
          <w:tcPr>
            <w:tcW w:w="2552" w:type="dxa"/>
            <w:hideMark/>
          </w:tcPr>
          <w:p w14:paraId="65653EAB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i) Increase in feasibility of the OOC list from pre-implementation to month 1.</w:t>
            </w:r>
            <w:r w:rsidRPr="002B1639">
              <w:rPr>
                <w:sz w:val="23"/>
                <w:szCs w:val="23"/>
              </w:rPr>
              <w:br/>
              <w:t xml:space="preserve">ii) General increasing trend in fidelity (use of the OOC list) </w:t>
            </w:r>
          </w:p>
        </w:tc>
        <w:tc>
          <w:tcPr>
            <w:tcW w:w="2520" w:type="dxa"/>
            <w:hideMark/>
          </w:tcPr>
          <w:p w14:paraId="782213AA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i) Modifications to RISQ helped make reengagement easier and more thorough.</w:t>
            </w:r>
            <w:r w:rsidRPr="002B1639">
              <w:rPr>
                <w:sz w:val="23"/>
                <w:szCs w:val="23"/>
              </w:rPr>
              <w:br/>
              <w:t>ii) Gradual improvements to RISQ made the OOC list easier to use.</w:t>
            </w:r>
          </w:p>
        </w:tc>
        <w:tc>
          <w:tcPr>
            <w:tcW w:w="3205" w:type="dxa"/>
            <w:hideMark/>
          </w:tcPr>
          <w:p w14:paraId="4E595007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i) “We’ll be able to [identify patients] more systematically. We’ll be able to catch more that otherwise might fall through the cracks.” – Nurse 1, pre-implementation </w:t>
            </w:r>
            <w:r w:rsidRPr="002B1639">
              <w:rPr>
                <w:sz w:val="23"/>
                <w:szCs w:val="23"/>
              </w:rPr>
              <w:br/>
              <w:t>ii) The study coordinator worked with nurses and the database manager to improve RISQ.</w:t>
            </w:r>
          </w:p>
        </w:tc>
      </w:tr>
      <w:tr w:rsidR="00615336" w:rsidRPr="002B1639" w14:paraId="66A334C0" w14:textId="77777777" w:rsidTr="00345184">
        <w:trPr>
          <w:cantSplit/>
        </w:trPr>
        <w:tc>
          <w:tcPr>
            <w:tcW w:w="1838" w:type="dxa"/>
            <w:hideMark/>
          </w:tcPr>
          <w:p w14:paraId="21FAB09B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728" w:type="dxa"/>
            <w:hideMark/>
          </w:tcPr>
          <w:p w14:paraId="2955EC79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107" w:type="dxa"/>
            <w:hideMark/>
          </w:tcPr>
          <w:p w14:paraId="605DA058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Barrier </w:t>
            </w:r>
          </w:p>
        </w:tc>
        <w:tc>
          <w:tcPr>
            <w:tcW w:w="2552" w:type="dxa"/>
            <w:hideMark/>
          </w:tcPr>
          <w:p w14:paraId="02DD2744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i) Generally lower feasibility scores for the OOC list in early implementation, including a decrease in month 2.</w:t>
            </w:r>
            <w:r w:rsidRPr="002B1639">
              <w:rPr>
                <w:sz w:val="23"/>
                <w:szCs w:val="23"/>
              </w:rPr>
              <w:br/>
              <w:t>ii) For fidelity, decrease in patients validated in month 8; and, use of HIV follow-up tab only "some of the time".</w:t>
            </w:r>
          </w:p>
        </w:tc>
        <w:tc>
          <w:tcPr>
            <w:tcW w:w="2520" w:type="dxa"/>
            <w:hideMark/>
          </w:tcPr>
          <w:p w14:paraId="79380044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i) Unintended or sub-optimal functioning of information systems, which impacted how patients were identified as OOC.</w:t>
            </w:r>
            <w:r w:rsidRPr="002B1639">
              <w:rPr>
                <w:sz w:val="23"/>
                <w:szCs w:val="23"/>
              </w:rPr>
              <w:br/>
              <w:t>ii) Two nurses were unable to access RISQ in month 8; and inherent limitations of RISQ required nurses to search other databases for patient information.</w:t>
            </w:r>
          </w:p>
        </w:tc>
        <w:tc>
          <w:tcPr>
            <w:tcW w:w="3205" w:type="dxa"/>
            <w:hideMark/>
          </w:tcPr>
          <w:p w14:paraId="746F231E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i) Changes to how HIV care visits were defined just prior to the month 2 focus group, suddenly increasing the length of the OOC list and nurses' workload.</w:t>
            </w:r>
            <w:r w:rsidRPr="002B1639">
              <w:rPr>
                <w:sz w:val="23"/>
                <w:szCs w:val="23"/>
              </w:rPr>
              <w:br/>
              <w:t>ii) Hospital server upgrades prevented access to RISQ for two nurses on remote desktops (new computers were eventually installed).</w:t>
            </w:r>
          </w:p>
        </w:tc>
      </w:tr>
      <w:tr w:rsidR="00615336" w:rsidRPr="002B1639" w14:paraId="0E003B15" w14:textId="77777777" w:rsidTr="00345184">
        <w:trPr>
          <w:cantSplit/>
        </w:trPr>
        <w:tc>
          <w:tcPr>
            <w:tcW w:w="1838" w:type="dxa"/>
            <w:hideMark/>
          </w:tcPr>
          <w:p w14:paraId="1E2B9786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728" w:type="dxa"/>
            <w:hideMark/>
          </w:tcPr>
          <w:p w14:paraId="0960A721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Assistance for organisational changes</w:t>
            </w:r>
          </w:p>
        </w:tc>
        <w:tc>
          <w:tcPr>
            <w:tcW w:w="1107" w:type="dxa"/>
            <w:hideMark/>
          </w:tcPr>
          <w:p w14:paraId="5BF86059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Facilitator</w:t>
            </w:r>
          </w:p>
        </w:tc>
        <w:tc>
          <w:tcPr>
            <w:tcW w:w="2552" w:type="dxa"/>
            <w:hideMark/>
          </w:tcPr>
          <w:p w14:paraId="62951B7C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Gradual increase across implementation outcome scores with a gradual decrease in variability throughout implementation.</w:t>
            </w:r>
          </w:p>
        </w:tc>
        <w:tc>
          <w:tcPr>
            <w:tcW w:w="2520" w:type="dxa"/>
            <w:hideMark/>
          </w:tcPr>
          <w:p w14:paraId="0D4C4622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The study coordinator (internal facilitator) helped address issues identified by various implementation stakeholders, particularly in early implementation where more adaptation occurred.</w:t>
            </w:r>
          </w:p>
        </w:tc>
        <w:tc>
          <w:tcPr>
            <w:tcW w:w="3205" w:type="dxa"/>
            <w:hideMark/>
          </w:tcPr>
          <w:p w14:paraId="422B30E9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“[The study coordinator] is responsive and answers quickly. If there’s a solution, there’s usually something that’s found pretty quickly.” – Nurse 1, Month 3</w:t>
            </w:r>
          </w:p>
        </w:tc>
      </w:tr>
      <w:tr w:rsidR="00615336" w:rsidRPr="002B1639" w14:paraId="65D09AB3" w14:textId="77777777" w:rsidTr="00345184">
        <w:trPr>
          <w:cantSplit/>
        </w:trPr>
        <w:tc>
          <w:tcPr>
            <w:tcW w:w="1838" w:type="dxa"/>
            <w:hideMark/>
          </w:tcPr>
          <w:p w14:paraId="39E73F57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728" w:type="dxa"/>
            <w:hideMark/>
          </w:tcPr>
          <w:p w14:paraId="7775B49C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Compatibility</w:t>
            </w:r>
          </w:p>
        </w:tc>
        <w:tc>
          <w:tcPr>
            <w:tcW w:w="1107" w:type="dxa"/>
            <w:hideMark/>
          </w:tcPr>
          <w:p w14:paraId="799EB3DD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Facilitator</w:t>
            </w:r>
          </w:p>
        </w:tc>
        <w:tc>
          <w:tcPr>
            <w:tcW w:w="2552" w:type="dxa"/>
            <w:hideMark/>
          </w:tcPr>
          <w:p w14:paraId="58671467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High pre-implementation feasibility scores for phone calls.</w:t>
            </w:r>
          </w:p>
        </w:tc>
        <w:tc>
          <w:tcPr>
            <w:tcW w:w="2520" w:type="dxa"/>
            <w:hideMark/>
          </w:tcPr>
          <w:p w14:paraId="05869BA6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Culture of the clinic; nurses' views that monitoring and reengaging OOC patients were central to their responsibilities; and, nurses' previous efforts to call patients perceived as potentially OOC, prior to the Lost &amp; Found study.</w:t>
            </w:r>
          </w:p>
        </w:tc>
        <w:tc>
          <w:tcPr>
            <w:tcW w:w="3205" w:type="dxa"/>
            <w:hideMark/>
          </w:tcPr>
          <w:p w14:paraId="180DD5D2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“We were already doing phone calls before; it’s part of the job. It’ll just be easier to do than before.” – Nurse 2, Month 6</w:t>
            </w:r>
          </w:p>
        </w:tc>
      </w:tr>
      <w:tr w:rsidR="00615336" w:rsidRPr="002B1639" w14:paraId="5EDFD92E" w14:textId="77777777" w:rsidTr="00345184">
        <w:trPr>
          <w:cantSplit/>
        </w:trPr>
        <w:tc>
          <w:tcPr>
            <w:tcW w:w="1838" w:type="dxa"/>
            <w:hideMark/>
          </w:tcPr>
          <w:p w14:paraId="0ECBB4D3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728" w:type="dxa"/>
            <w:hideMark/>
          </w:tcPr>
          <w:p w14:paraId="37E4B66E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Clarity</w:t>
            </w:r>
          </w:p>
        </w:tc>
        <w:tc>
          <w:tcPr>
            <w:tcW w:w="1107" w:type="dxa"/>
            <w:hideMark/>
          </w:tcPr>
          <w:p w14:paraId="5C376124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Barrier </w:t>
            </w:r>
          </w:p>
        </w:tc>
        <w:tc>
          <w:tcPr>
            <w:tcW w:w="2552" w:type="dxa"/>
            <w:hideMark/>
          </w:tcPr>
          <w:p w14:paraId="53969159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Decreased in feasibility of phone calls from pre-implementation to month 1.</w:t>
            </w:r>
          </w:p>
        </w:tc>
        <w:tc>
          <w:tcPr>
            <w:tcW w:w="2520" w:type="dxa"/>
            <w:hideMark/>
          </w:tcPr>
          <w:p w14:paraId="5252D30E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Uncertainty about how frequently patients should be called.</w:t>
            </w:r>
          </w:p>
        </w:tc>
        <w:tc>
          <w:tcPr>
            <w:tcW w:w="3205" w:type="dxa"/>
            <w:hideMark/>
          </w:tcPr>
          <w:p w14:paraId="4E77A41D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“I’m calling the same patient 3, 4 times, every week or every second week, when I decide to give them a break .” – Nurse 2, Month 1</w:t>
            </w:r>
          </w:p>
        </w:tc>
      </w:tr>
      <w:tr w:rsidR="00615336" w:rsidRPr="002B1639" w14:paraId="58E19EFB" w14:textId="77777777" w:rsidTr="00345184">
        <w:trPr>
          <w:cantSplit/>
        </w:trPr>
        <w:tc>
          <w:tcPr>
            <w:tcW w:w="1838" w:type="dxa"/>
            <w:hideMark/>
          </w:tcPr>
          <w:p w14:paraId="4C9BA216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728" w:type="dxa"/>
            <w:hideMark/>
          </w:tcPr>
          <w:p w14:paraId="09A600CF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Availability of necessary resources</w:t>
            </w:r>
          </w:p>
        </w:tc>
        <w:tc>
          <w:tcPr>
            <w:tcW w:w="1107" w:type="dxa"/>
            <w:hideMark/>
          </w:tcPr>
          <w:p w14:paraId="4079BE5F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Barrier </w:t>
            </w:r>
          </w:p>
        </w:tc>
        <w:tc>
          <w:tcPr>
            <w:tcW w:w="2552" w:type="dxa"/>
            <w:hideMark/>
          </w:tcPr>
          <w:p w14:paraId="19890CB2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i) Lower feasibility scores throughout implementation.</w:t>
            </w:r>
            <w:r w:rsidRPr="002B1639">
              <w:rPr>
                <w:sz w:val="23"/>
                <w:szCs w:val="23"/>
              </w:rPr>
              <w:br/>
              <w:t>ii) Lower self-efficacy (adoption subscale) in months 1 and 2 of implementation.</w:t>
            </w:r>
            <w:r w:rsidRPr="002B1639">
              <w:rPr>
                <w:sz w:val="23"/>
                <w:szCs w:val="23"/>
              </w:rPr>
              <w:br/>
              <w:t>iii) For fidelity, decreases in the number of patients validated, confirmed OOC, and called in months 1 and 3.</w:t>
            </w:r>
          </w:p>
        </w:tc>
        <w:tc>
          <w:tcPr>
            <w:tcW w:w="2520" w:type="dxa"/>
            <w:hideMark/>
          </w:tcPr>
          <w:p w14:paraId="39B8B566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i) Limited or variable human (nursing) resources.</w:t>
            </w:r>
            <w:r w:rsidRPr="002B1639">
              <w:rPr>
                <w:sz w:val="23"/>
                <w:szCs w:val="23"/>
              </w:rPr>
              <w:br/>
              <w:t>ii) Nurses’ concerns about their ability to book patients in with doctors.</w:t>
            </w:r>
            <w:r w:rsidRPr="002B1639">
              <w:rPr>
                <w:sz w:val="23"/>
                <w:szCs w:val="23"/>
              </w:rPr>
              <w:br/>
              <w:t>iii) Occurred when any nurse, especially Nurse 2, was sick or went on an extended vacation.</w:t>
            </w:r>
          </w:p>
        </w:tc>
        <w:tc>
          <w:tcPr>
            <w:tcW w:w="3205" w:type="dxa"/>
            <w:hideMark/>
          </w:tcPr>
          <w:p w14:paraId="7E13CE63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i/iii) “If one of us is on vacation, even it’s not [Nurse 2], there is only three of us. Then we’re busy enough with doing just the clinic stuff that we won’t necessarily have time to do it.” – Nurse 3, Month 12</w:t>
            </w:r>
            <w:r w:rsidRPr="002B1639">
              <w:rPr>
                <w:sz w:val="23"/>
                <w:szCs w:val="23"/>
              </w:rPr>
              <w:br/>
              <w:t>ii) “Summer is coming so it’s been harder now because, for most doctors, the next availability is in [two months]. The longer it takes for an appointment, the less chance we have for the patient to show.” – Nurse 2, Month 2</w:t>
            </w:r>
          </w:p>
        </w:tc>
      </w:tr>
      <w:tr w:rsidR="00615336" w:rsidRPr="002B1639" w14:paraId="21626FA0" w14:textId="77777777" w:rsidTr="00345184">
        <w:trPr>
          <w:cantSplit/>
        </w:trPr>
        <w:tc>
          <w:tcPr>
            <w:tcW w:w="1838" w:type="dxa"/>
            <w:hideMark/>
          </w:tcPr>
          <w:p w14:paraId="629CD621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728" w:type="dxa"/>
            <w:hideMark/>
          </w:tcPr>
          <w:p w14:paraId="35CF8CC0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Referral processes</w:t>
            </w:r>
          </w:p>
        </w:tc>
        <w:tc>
          <w:tcPr>
            <w:tcW w:w="1107" w:type="dxa"/>
            <w:hideMark/>
          </w:tcPr>
          <w:p w14:paraId="765776A4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Barrier </w:t>
            </w:r>
          </w:p>
        </w:tc>
        <w:tc>
          <w:tcPr>
            <w:tcW w:w="2552" w:type="dxa"/>
            <w:hideMark/>
          </w:tcPr>
          <w:p w14:paraId="146F6A11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Lower feasibility scores throughout implementation.</w:t>
            </w:r>
          </w:p>
        </w:tc>
        <w:tc>
          <w:tcPr>
            <w:tcW w:w="2520" w:type="dxa"/>
            <w:hideMark/>
          </w:tcPr>
          <w:p w14:paraId="1144C4A7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Limited MD appointment availability made patient reengagement more challenging.</w:t>
            </w:r>
          </w:p>
        </w:tc>
        <w:tc>
          <w:tcPr>
            <w:tcW w:w="3205" w:type="dxa"/>
            <w:hideMark/>
          </w:tcPr>
          <w:p w14:paraId="1638F02B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“I hear [Nurse 2] say it often like: ‘I don’t want to even phone this person because I don’t have any [MD] appointments to offer them.’” – Nurse 1, Month 12 </w:t>
            </w:r>
          </w:p>
        </w:tc>
      </w:tr>
      <w:tr w:rsidR="00615336" w:rsidRPr="002B1639" w14:paraId="4870FE3C" w14:textId="77777777" w:rsidTr="00345184">
        <w:trPr>
          <w:cantSplit/>
        </w:trPr>
        <w:tc>
          <w:tcPr>
            <w:tcW w:w="1838" w:type="dxa"/>
            <w:hideMark/>
          </w:tcPr>
          <w:p w14:paraId="586103F9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728" w:type="dxa"/>
            <w:hideMark/>
          </w:tcPr>
          <w:p w14:paraId="1CE23FCD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Patient behaviours, needs, and preferences</w:t>
            </w:r>
          </w:p>
        </w:tc>
        <w:tc>
          <w:tcPr>
            <w:tcW w:w="1107" w:type="dxa"/>
            <w:hideMark/>
          </w:tcPr>
          <w:p w14:paraId="2EB654DE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Barrier </w:t>
            </w:r>
          </w:p>
        </w:tc>
        <w:tc>
          <w:tcPr>
            <w:tcW w:w="2552" w:type="dxa"/>
            <w:hideMark/>
          </w:tcPr>
          <w:p w14:paraId="23E2A7BC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Lower feasibility scores for the phone calls compared to managing the OOC list throughout implementation.</w:t>
            </w:r>
          </w:p>
        </w:tc>
        <w:tc>
          <w:tcPr>
            <w:tcW w:w="2520" w:type="dxa"/>
            <w:hideMark/>
          </w:tcPr>
          <w:p w14:paraId="49499E07" w14:textId="502E711E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Challenges that patients face in their lives (i.e. competing priorities and essential needs) which complicate patient reengagement; language barriers; and nurses' </w:t>
            </w:r>
            <w:r w:rsidR="00E03325" w:rsidRPr="00BA2852">
              <w:t xml:space="preserve">concern </w:t>
            </w:r>
            <w:r w:rsidR="00E03325">
              <w:t>about making patients feel confronted or guilty about their absences from care</w:t>
            </w:r>
            <w:r w:rsidRPr="002B1639">
              <w:rPr>
                <w:sz w:val="23"/>
                <w:szCs w:val="23"/>
              </w:rPr>
              <w:t>.</w:t>
            </w:r>
          </w:p>
        </w:tc>
        <w:tc>
          <w:tcPr>
            <w:tcW w:w="3205" w:type="dxa"/>
            <w:hideMark/>
          </w:tcPr>
          <w:p w14:paraId="28405E5E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“If they live far, if they have to ask to have time off, [… if they have to] get home in time to pick up kids from school, it constrains people into a small window that they can come to the clinic.” – Nurse 1, Month 6|</w:t>
            </w:r>
            <w:r w:rsidRPr="002B1639">
              <w:rPr>
                <w:sz w:val="23"/>
                <w:szCs w:val="23"/>
              </w:rPr>
              <w:br/>
              <w:t>“When I meet them, I’m trying not to confront them. I’m trying to be positive.” – Nurse 4, Month 2</w:t>
            </w:r>
          </w:p>
        </w:tc>
      </w:tr>
      <w:tr w:rsidR="00615336" w:rsidRPr="002B1639" w14:paraId="33A9A7A2" w14:textId="77777777" w:rsidTr="00345184">
        <w:trPr>
          <w:cantSplit/>
        </w:trPr>
        <w:tc>
          <w:tcPr>
            <w:tcW w:w="1838" w:type="dxa"/>
            <w:hideMark/>
          </w:tcPr>
          <w:p w14:paraId="31D62594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lastRenderedPageBreak/>
              <w:t>Acceptability</w:t>
            </w:r>
          </w:p>
        </w:tc>
        <w:tc>
          <w:tcPr>
            <w:tcW w:w="1728" w:type="dxa"/>
            <w:hideMark/>
          </w:tcPr>
          <w:p w14:paraId="7F6C7A2D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Observability</w:t>
            </w:r>
          </w:p>
        </w:tc>
        <w:tc>
          <w:tcPr>
            <w:tcW w:w="1107" w:type="dxa"/>
            <w:hideMark/>
          </w:tcPr>
          <w:p w14:paraId="7F980143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Facilitator</w:t>
            </w:r>
          </w:p>
        </w:tc>
        <w:tc>
          <w:tcPr>
            <w:tcW w:w="2552" w:type="dxa"/>
            <w:hideMark/>
          </w:tcPr>
          <w:p w14:paraId="05755D5B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Increased acceptability for the OOC list throughout implementation.</w:t>
            </w:r>
          </w:p>
        </w:tc>
        <w:tc>
          <w:tcPr>
            <w:tcW w:w="2520" w:type="dxa"/>
            <w:hideMark/>
          </w:tcPr>
          <w:p w14:paraId="028B22D6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Nurses appreciated being able to have a real-time OOC list that categorises patients into different risk categories. </w:t>
            </w:r>
          </w:p>
        </w:tc>
        <w:tc>
          <w:tcPr>
            <w:tcW w:w="3205" w:type="dxa"/>
            <w:hideMark/>
          </w:tcPr>
          <w:p w14:paraId="2EC416C1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“Little nicks in [the database] but generally it’s good. It’s kind of exciting to see when it works. When it pops up a name at the top and you say: ‘Oh, yes, that’s definitely an [out-of-care] patient’” – Nurse 1, Month 1</w:t>
            </w:r>
          </w:p>
        </w:tc>
      </w:tr>
      <w:tr w:rsidR="00615336" w:rsidRPr="002B1639" w14:paraId="4D12A6E8" w14:textId="77777777" w:rsidTr="00345184">
        <w:trPr>
          <w:cantSplit/>
        </w:trPr>
        <w:tc>
          <w:tcPr>
            <w:tcW w:w="1838" w:type="dxa"/>
            <w:hideMark/>
          </w:tcPr>
          <w:p w14:paraId="0E90C134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728" w:type="dxa"/>
            <w:hideMark/>
          </w:tcPr>
          <w:p w14:paraId="6250A914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Source of the recommendation</w:t>
            </w:r>
          </w:p>
        </w:tc>
        <w:tc>
          <w:tcPr>
            <w:tcW w:w="1107" w:type="dxa"/>
            <w:hideMark/>
          </w:tcPr>
          <w:p w14:paraId="4B733F27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Facilitator</w:t>
            </w:r>
          </w:p>
        </w:tc>
        <w:tc>
          <w:tcPr>
            <w:tcW w:w="2552" w:type="dxa"/>
            <w:hideMark/>
          </w:tcPr>
          <w:p w14:paraId="1F4AA1AC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High acceptability scores throughout pre-implementation and implementation.</w:t>
            </w:r>
          </w:p>
        </w:tc>
        <w:tc>
          <w:tcPr>
            <w:tcW w:w="2520" w:type="dxa"/>
            <w:hideMark/>
          </w:tcPr>
          <w:p w14:paraId="0D29098C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Nurses were central in developing the Lost &amp; Found intervention, and drew upon their previous reengagement efforts to do so.</w:t>
            </w:r>
          </w:p>
        </w:tc>
        <w:tc>
          <w:tcPr>
            <w:tcW w:w="3205" w:type="dxa"/>
            <w:hideMark/>
          </w:tcPr>
          <w:p w14:paraId="7A5FECF7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“I’m looking forward to it. We’ve been asking for something. We’re always doing it anyways but hopefully with the tool, it’ll be more systematic.” – Nurse 1, pre-implementation</w:t>
            </w:r>
          </w:p>
        </w:tc>
      </w:tr>
      <w:tr w:rsidR="00615336" w:rsidRPr="002B1639" w14:paraId="40D5D0D9" w14:textId="77777777" w:rsidTr="00345184">
        <w:trPr>
          <w:cantSplit/>
        </w:trPr>
        <w:tc>
          <w:tcPr>
            <w:tcW w:w="1838" w:type="dxa"/>
            <w:hideMark/>
          </w:tcPr>
          <w:p w14:paraId="5F99F0C4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Adoption</w:t>
            </w:r>
          </w:p>
        </w:tc>
        <w:tc>
          <w:tcPr>
            <w:tcW w:w="1728" w:type="dxa"/>
            <w:hideMark/>
          </w:tcPr>
          <w:p w14:paraId="2FB66AEB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Domain knowledge</w:t>
            </w:r>
          </w:p>
        </w:tc>
        <w:tc>
          <w:tcPr>
            <w:tcW w:w="1107" w:type="dxa"/>
            <w:hideMark/>
          </w:tcPr>
          <w:p w14:paraId="04307970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Facilitator</w:t>
            </w:r>
          </w:p>
        </w:tc>
        <w:tc>
          <w:tcPr>
            <w:tcW w:w="2552" w:type="dxa"/>
            <w:hideMark/>
          </w:tcPr>
          <w:p w14:paraId="52AF7CC7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Increase adoption scores throughout pre-implementation and implementation.</w:t>
            </w:r>
          </w:p>
        </w:tc>
        <w:tc>
          <w:tcPr>
            <w:tcW w:w="2520" w:type="dxa"/>
            <w:hideMark/>
          </w:tcPr>
          <w:p w14:paraId="3152B5E3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Nurses understood many of the barriers that patients face in maintaining engagement in care, and could differentiate those truly OOC from those prematurely flagged by RISQ.</w:t>
            </w:r>
          </w:p>
        </w:tc>
        <w:tc>
          <w:tcPr>
            <w:tcW w:w="3205" w:type="dxa"/>
            <w:hideMark/>
          </w:tcPr>
          <w:p w14:paraId="4D1885E7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“There [are] so many patients that we could quickly remove just by looking at the list: ‘Oh, he’s at another clinic, he’s there, he’s there.’” – Nurse 2, pre-implementation</w:t>
            </w:r>
          </w:p>
        </w:tc>
      </w:tr>
      <w:tr w:rsidR="00615336" w:rsidRPr="002B1639" w14:paraId="420A7704" w14:textId="77777777" w:rsidTr="00345184">
        <w:trPr>
          <w:cantSplit/>
        </w:trPr>
        <w:tc>
          <w:tcPr>
            <w:tcW w:w="1838" w:type="dxa"/>
            <w:hideMark/>
          </w:tcPr>
          <w:p w14:paraId="65B9FE2E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728" w:type="dxa"/>
            <w:hideMark/>
          </w:tcPr>
          <w:p w14:paraId="2B591363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Skills needed to adhere</w:t>
            </w:r>
          </w:p>
        </w:tc>
        <w:tc>
          <w:tcPr>
            <w:tcW w:w="1107" w:type="dxa"/>
            <w:hideMark/>
          </w:tcPr>
          <w:p w14:paraId="13498D4B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Facilitator</w:t>
            </w:r>
          </w:p>
        </w:tc>
        <w:tc>
          <w:tcPr>
            <w:tcW w:w="2552" w:type="dxa"/>
            <w:hideMark/>
          </w:tcPr>
          <w:p w14:paraId="07BE1EF0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Increase adoption scores throughout implementation.</w:t>
            </w:r>
          </w:p>
        </w:tc>
        <w:tc>
          <w:tcPr>
            <w:tcW w:w="2520" w:type="dxa"/>
            <w:hideMark/>
          </w:tcPr>
          <w:p w14:paraId="23B58281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Nurses have the skills necessary for engaging with patients on the phone and upon reengagement.</w:t>
            </w:r>
          </w:p>
        </w:tc>
        <w:tc>
          <w:tcPr>
            <w:tcW w:w="3205" w:type="dxa"/>
            <w:hideMark/>
          </w:tcPr>
          <w:p w14:paraId="055C53E0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“[Patients] don’t know [nurse 2], but when she calls, she’s open and people feel a little more inclined to want to come back.” – Nurse 1, Month 6</w:t>
            </w:r>
          </w:p>
        </w:tc>
      </w:tr>
      <w:tr w:rsidR="00615336" w:rsidRPr="002B1639" w14:paraId="0335D1C8" w14:textId="77777777" w:rsidTr="00345184">
        <w:trPr>
          <w:cantSplit/>
        </w:trPr>
        <w:tc>
          <w:tcPr>
            <w:tcW w:w="1838" w:type="dxa"/>
            <w:hideMark/>
          </w:tcPr>
          <w:p w14:paraId="2684A899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lastRenderedPageBreak/>
              <w:t>Fidelity</w:t>
            </w:r>
          </w:p>
        </w:tc>
        <w:tc>
          <w:tcPr>
            <w:tcW w:w="1728" w:type="dxa"/>
            <w:hideMark/>
          </w:tcPr>
          <w:p w14:paraId="4A44CEBF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Knowledge of own practice</w:t>
            </w:r>
          </w:p>
        </w:tc>
        <w:tc>
          <w:tcPr>
            <w:tcW w:w="1107" w:type="dxa"/>
            <w:hideMark/>
          </w:tcPr>
          <w:p w14:paraId="4CBC5512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Facilitator</w:t>
            </w:r>
          </w:p>
        </w:tc>
        <w:tc>
          <w:tcPr>
            <w:tcW w:w="2552" w:type="dxa"/>
            <w:hideMark/>
          </w:tcPr>
          <w:p w14:paraId="70186BA7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Facilitated fidelity to Lost &amp; Found throughout implementation. </w:t>
            </w:r>
          </w:p>
        </w:tc>
        <w:tc>
          <w:tcPr>
            <w:tcW w:w="2520" w:type="dxa"/>
            <w:hideMark/>
          </w:tcPr>
          <w:p w14:paraId="73E6D6E2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Nurses could overcome inherent limitations related to the RISQ database and pull information about patients from other sources, such as health registries and other systems; they could apply their knowledge in phone calls with patients.</w:t>
            </w:r>
          </w:p>
        </w:tc>
        <w:tc>
          <w:tcPr>
            <w:tcW w:w="3205" w:type="dxa"/>
            <w:hideMark/>
          </w:tcPr>
          <w:p w14:paraId="79CE879F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“[The phone calls] entail discussing medical issues that [others] won’t necessarily be aware of, they don’t understand.” – Nurse 2, Month 12</w:t>
            </w:r>
          </w:p>
        </w:tc>
      </w:tr>
      <w:tr w:rsidR="00615336" w:rsidRPr="002B1639" w14:paraId="09203E88" w14:textId="77777777" w:rsidTr="00345184">
        <w:trPr>
          <w:cantSplit/>
        </w:trPr>
        <w:tc>
          <w:tcPr>
            <w:tcW w:w="1838" w:type="dxa"/>
            <w:tcBorders>
              <w:bottom w:val="single" w:sz="4" w:space="0" w:color="auto"/>
            </w:tcBorders>
            <w:hideMark/>
          </w:tcPr>
          <w:p w14:paraId="42BD923D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hideMark/>
          </w:tcPr>
          <w:p w14:paraId="7DA00AEC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Team processes</w:t>
            </w:r>
          </w:p>
        </w:tc>
        <w:tc>
          <w:tcPr>
            <w:tcW w:w="1107" w:type="dxa"/>
            <w:tcBorders>
              <w:bottom w:val="single" w:sz="4" w:space="0" w:color="auto"/>
            </w:tcBorders>
            <w:hideMark/>
          </w:tcPr>
          <w:p w14:paraId="7FCFEBA1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Facilitator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hideMark/>
          </w:tcPr>
          <w:p w14:paraId="668F6EE8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Facilitated fidelity to Lost &amp; Found throughout implementation. </w:t>
            </w:r>
          </w:p>
        </w:tc>
        <w:tc>
          <w:tcPr>
            <w:tcW w:w="2520" w:type="dxa"/>
            <w:tcBorders>
              <w:bottom w:val="single" w:sz="4" w:space="0" w:color="auto"/>
            </w:tcBorders>
            <w:hideMark/>
          </w:tcPr>
          <w:p w14:paraId="279E9805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Nurses collectively managed their responsibilities, including Lost &amp; Found; and nurses engaged other members of the clinical team who provided positive feedback and support.</w:t>
            </w:r>
          </w:p>
        </w:tc>
        <w:tc>
          <w:tcPr>
            <w:tcW w:w="3205" w:type="dxa"/>
            <w:tcBorders>
              <w:bottom w:val="single" w:sz="4" w:space="0" w:color="auto"/>
            </w:tcBorders>
            <w:hideMark/>
          </w:tcPr>
          <w:p w14:paraId="0A3AB436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>“We have different responsibilities. I think we manage to work it out amongst each other. There’s no clear division, we try to help each other.” – Nurse 2, Month 12</w:t>
            </w:r>
          </w:p>
        </w:tc>
      </w:tr>
      <w:tr w:rsidR="00615336" w:rsidRPr="002B1639" w14:paraId="1A6F7432" w14:textId="77777777" w:rsidTr="00345184">
        <w:trPr>
          <w:cantSplit/>
        </w:trPr>
        <w:tc>
          <w:tcPr>
            <w:tcW w:w="12950" w:type="dxa"/>
            <w:gridSpan w:val="6"/>
            <w:tcBorders>
              <w:left w:val="nil"/>
              <w:bottom w:val="nil"/>
              <w:right w:val="nil"/>
            </w:tcBorders>
            <w:hideMark/>
          </w:tcPr>
          <w:p w14:paraId="350BA2C0" w14:textId="77777777" w:rsidR="00615336" w:rsidRPr="002B1639" w:rsidRDefault="00615336" w:rsidP="00345184">
            <w:pPr>
              <w:spacing w:line="240" w:lineRule="auto"/>
              <w:rPr>
                <w:sz w:val="23"/>
                <w:szCs w:val="23"/>
              </w:rPr>
            </w:pPr>
            <w:r w:rsidRPr="002B1639">
              <w:rPr>
                <w:sz w:val="23"/>
                <w:szCs w:val="23"/>
              </w:rPr>
              <w:t xml:space="preserve">*Refers to the implementation that the given determinant will impact directly; it will also indirectly impact implementation outcomes below the given outcome. </w:t>
            </w:r>
            <w:r w:rsidRPr="002B1639">
              <w:rPr>
                <w:sz w:val="23"/>
                <w:szCs w:val="23"/>
              </w:rPr>
              <w:br/>
              <w:t>ꭝDeterminants from the TICD framework, identified in nursing focus groups.</w:t>
            </w:r>
          </w:p>
        </w:tc>
      </w:tr>
    </w:tbl>
    <w:p w14:paraId="1AA3579B" w14:textId="3B54354E" w:rsidR="00D4178E" w:rsidRPr="00615336" w:rsidRDefault="00D4178E" w:rsidP="00615336"/>
    <w:sectPr w:rsidR="00D4178E" w:rsidRPr="00615336" w:rsidSect="006B740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40C"/>
    <w:rsid w:val="000C4F5E"/>
    <w:rsid w:val="001735F1"/>
    <w:rsid w:val="002E5F5C"/>
    <w:rsid w:val="003545DD"/>
    <w:rsid w:val="00361364"/>
    <w:rsid w:val="00380905"/>
    <w:rsid w:val="005D383C"/>
    <w:rsid w:val="00615336"/>
    <w:rsid w:val="006B36FD"/>
    <w:rsid w:val="006B740C"/>
    <w:rsid w:val="006C5F15"/>
    <w:rsid w:val="006E1D22"/>
    <w:rsid w:val="009349CF"/>
    <w:rsid w:val="009B6BE7"/>
    <w:rsid w:val="00A70F04"/>
    <w:rsid w:val="00B047AD"/>
    <w:rsid w:val="00B85D9F"/>
    <w:rsid w:val="00C00F08"/>
    <w:rsid w:val="00C23CB3"/>
    <w:rsid w:val="00C77B84"/>
    <w:rsid w:val="00D4178E"/>
    <w:rsid w:val="00D605AB"/>
    <w:rsid w:val="00E03325"/>
    <w:rsid w:val="00E21BCD"/>
    <w:rsid w:val="00F23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66EFB"/>
  <w15:chartTrackingRefBased/>
  <w15:docId w15:val="{5C6001A9-A99F-4B50-ADF7-7CBBD12A3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336"/>
    <w:pPr>
      <w:spacing w:after="0" w:line="480" w:lineRule="auto"/>
    </w:pPr>
    <w:rPr>
      <w:rFonts w:ascii="Times New Roman" w:hAnsi="Times New Roman"/>
      <w:sz w:val="24"/>
      <w:lang w:val="en-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36FD"/>
    <w:pPr>
      <w:keepNext/>
      <w:keepLines/>
      <w:spacing w:before="120" w:after="120" w:line="240" w:lineRule="auto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0F04"/>
    <w:pPr>
      <w:keepNext/>
      <w:keepLines/>
      <w:spacing w:before="40" w:line="240" w:lineRule="auto"/>
      <w:outlineLvl w:val="1"/>
    </w:pPr>
    <w:rPr>
      <w:rFonts w:eastAsiaTheme="majorEastAsia" w:cstheme="majorBidi"/>
      <w:caps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0F04"/>
    <w:pPr>
      <w:keepNext/>
      <w:keepLines/>
      <w:spacing w:before="40" w:line="240" w:lineRule="auto"/>
      <w:outlineLvl w:val="2"/>
    </w:pPr>
    <w:rPr>
      <w:rFonts w:eastAsiaTheme="majorEastAsia" w:cstheme="majorBidi"/>
      <w:b/>
      <w:color w:val="000000" w:themeColor="text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E5F5C"/>
    <w:pPr>
      <w:keepNext/>
      <w:keepLines/>
      <w:spacing w:before="40" w:line="240" w:lineRule="auto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link w:val="EndNoteBibliographyChar"/>
    <w:rsid w:val="00C77B84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77B84"/>
    <w:rPr>
      <w:rFonts w:ascii="Times New Roman" w:hAnsi="Times New Roman" w:cs="Times New Roman"/>
      <w:noProof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36FD"/>
    <w:rPr>
      <w:rFonts w:ascii="Times New Roman" w:eastAsiaTheme="majorEastAsia" w:hAnsi="Times New Roman" w:cstheme="majorBidi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70F04"/>
    <w:rPr>
      <w:rFonts w:ascii="Times New Roman" w:eastAsiaTheme="majorEastAsia" w:hAnsi="Times New Roman" w:cstheme="majorBidi"/>
      <w:caps/>
      <w:color w:val="000000" w:themeColor="text1"/>
      <w:sz w:val="26"/>
      <w:szCs w:val="26"/>
      <w:lang w:val="en-CA"/>
    </w:rPr>
  </w:style>
  <w:style w:type="paragraph" w:styleId="Title">
    <w:name w:val="Title"/>
    <w:basedOn w:val="Normal"/>
    <w:next w:val="Normal"/>
    <w:link w:val="TitleChar"/>
    <w:uiPriority w:val="10"/>
    <w:qFormat/>
    <w:rsid w:val="00C23CB3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3CB3"/>
    <w:rPr>
      <w:rFonts w:ascii="Times New Roman" w:eastAsiaTheme="majorEastAsia" w:hAnsi="Times New Roman" w:cstheme="majorBidi"/>
      <w:spacing w:val="-10"/>
      <w:kern w:val="28"/>
      <w:sz w:val="56"/>
      <w:szCs w:val="56"/>
      <w:lang w:val="en-CA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CB3"/>
    <w:pPr>
      <w:numPr>
        <w:ilvl w:val="1"/>
      </w:numPr>
      <w:spacing w:line="240" w:lineRule="auto"/>
    </w:pPr>
    <w:rPr>
      <w:rFonts w:eastAsiaTheme="minorEastAsia" w:cs="Calibr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23CB3"/>
    <w:rPr>
      <w:rFonts w:ascii="Times New Roman" w:eastAsiaTheme="minorEastAsia" w:hAnsi="Times New Roman"/>
      <w:color w:val="5A5A5A" w:themeColor="text1" w:themeTint="A5"/>
      <w:spacing w:val="15"/>
      <w:lang w:val="en-CA"/>
    </w:rPr>
  </w:style>
  <w:style w:type="character" w:customStyle="1" w:styleId="Heading3Char">
    <w:name w:val="Heading 3 Char"/>
    <w:basedOn w:val="DefaultParagraphFont"/>
    <w:link w:val="Heading3"/>
    <w:uiPriority w:val="9"/>
    <w:rsid w:val="00A70F04"/>
    <w:rPr>
      <w:rFonts w:ascii="Times New Roman" w:eastAsiaTheme="majorEastAsia" w:hAnsi="Times New Roman" w:cstheme="majorBidi"/>
      <w:b/>
      <w:color w:val="000000" w:themeColor="text1"/>
      <w:sz w:val="24"/>
      <w:szCs w:val="24"/>
      <w:lang w:val="en-CA"/>
    </w:rPr>
  </w:style>
  <w:style w:type="character" w:customStyle="1" w:styleId="Heading4Char">
    <w:name w:val="Heading 4 Char"/>
    <w:basedOn w:val="DefaultParagraphFont"/>
    <w:link w:val="Heading4"/>
    <w:uiPriority w:val="9"/>
    <w:rsid w:val="002E5F5C"/>
    <w:rPr>
      <w:rFonts w:ascii="Times New Roman" w:eastAsiaTheme="majorEastAsia" w:hAnsi="Times New Roman" w:cstheme="majorBidi"/>
      <w:i/>
      <w:iCs/>
      <w:sz w:val="24"/>
      <w:lang w:val="en-CA"/>
    </w:rPr>
  </w:style>
  <w:style w:type="table" w:styleId="TableGrid">
    <w:name w:val="Table Grid"/>
    <w:basedOn w:val="TableNormal"/>
    <w:uiPriority w:val="39"/>
    <w:rsid w:val="006B74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615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C6FE0-22EB-44FA-BB99-E2DD1275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1235</Words>
  <Characters>6797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Blake Linthwaite</dc:creator>
  <cp:keywords/>
  <dc:description/>
  <cp:lastModifiedBy>Blake Linthwaite</cp:lastModifiedBy>
  <cp:revision>3</cp:revision>
  <dcterms:created xsi:type="dcterms:W3CDTF">2022-08-15T14:59:00Z</dcterms:created>
  <dcterms:modified xsi:type="dcterms:W3CDTF">2022-08-15T15:08:00Z</dcterms:modified>
</cp:coreProperties>
</file>