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9FF6E" w14:textId="5D64A306" w:rsidR="00F96E29" w:rsidRDefault="00F96E29"/>
    <w:p w14:paraId="3AE3BE94" w14:textId="0DC15B2B" w:rsidR="00F96E29" w:rsidRPr="00AA1A52" w:rsidRDefault="00F96E29" w:rsidP="00F96E29">
      <w:pPr>
        <w:rPr>
          <w:rFonts w:ascii="Times New Roman" w:hAnsi="Times New Roman" w:cs="Times New Roman"/>
          <w:sz w:val="24"/>
          <w:szCs w:val="24"/>
        </w:rPr>
      </w:pPr>
      <w:r w:rsidRPr="00AA1A52">
        <w:rPr>
          <w:rFonts w:ascii="Times New Roman" w:hAnsi="Times New Roman" w:cs="Times New Roman"/>
          <w:sz w:val="24"/>
          <w:szCs w:val="24"/>
        </w:rPr>
        <w:t>Supplementary material 1: Histograms, median, mean and Cronbach for psychosocial variables</w:t>
      </w:r>
    </w:p>
    <w:p w14:paraId="4DD33E83" w14:textId="77777777" w:rsidR="00F96E29" w:rsidRPr="00AA1A52" w:rsidRDefault="00F96E29" w:rsidP="00F96E29">
      <w:pPr>
        <w:rPr>
          <w:rFonts w:ascii="Times New Roman" w:hAnsi="Times New Roman" w:cs="Times New Roman"/>
          <w:sz w:val="24"/>
          <w:szCs w:val="24"/>
        </w:rPr>
      </w:pPr>
    </w:p>
    <w:p w14:paraId="4E13080F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5D291EE6" wp14:editId="0D93500C">
            <wp:extent cx="4953000" cy="36021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339" cy="3603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0E8D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1: Distribution of adherence self-efficacy scores for the ITREMA participants,</w:t>
      </w:r>
    </w:p>
    <w:p w14:paraId="01200EAB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0.87</w:t>
      </w:r>
    </w:p>
    <w:p w14:paraId="45DF689F" w14:textId="77777777" w:rsidR="00F96E29" w:rsidRPr="00AA1A52" w:rsidRDefault="00F96E29" w:rsidP="00F96E29"/>
    <w:p w14:paraId="26BD85F0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lastRenderedPageBreak/>
        <w:drawing>
          <wp:inline distT="0" distB="0" distL="0" distR="0" wp14:anchorId="6772A4D0" wp14:editId="3429B234">
            <wp:extent cx="4946073" cy="3597144"/>
            <wp:effectExtent l="0" t="0" r="698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207" cy="359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815E3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2: Distribution of household support scores for the ITREMA participants.</w:t>
      </w:r>
    </w:p>
    <w:p w14:paraId="49FC8D2A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0.92</w:t>
      </w:r>
    </w:p>
    <w:p w14:paraId="78C06D14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9259CE4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3EA64B49" wp14:editId="0CA2F38F">
            <wp:extent cx="50292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9DCA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3: Distribution of non-household support scores for the ITREMA participants.</w:t>
      </w:r>
    </w:p>
    <w:p w14:paraId="49B20262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0.96</w:t>
      </w:r>
    </w:p>
    <w:p w14:paraId="4D1245B1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086AD8" w14:textId="77777777" w:rsidR="00F96E29" w:rsidRPr="00AA1A52" w:rsidRDefault="00F96E29" w:rsidP="00F96E29">
      <w:r w:rsidRPr="00AA1A52">
        <w:rPr>
          <w:noProof/>
        </w:rPr>
        <w:lastRenderedPageBreak/>
        <w:drawing>
          <wp:inline distT="0" distB="0" distL="0" distR="0" wp14:anchorId="626665BA" wp14:editId="0D5973EE">
            <wp:extent cx="5029200" cy="3657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7CE9D" w14:textId="77777777" w:rsidR="00F96E29" w:rsidRPr="00AA1A52" w:rsidRDefault="00F96E29" w:rsidP="00F96E29"/>
    <w:p w14:paraId="1FBE3753" w14:textId="77777777" w:rsidR="00F96E29" w:rsidRPr="00AA1A52" w:rsidRDefault="00F96E29" w:rsidP="00F96E29"/>
    <w:p w14:paraId="5F5D4045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4: Distribution of clinician trust scores for the ITREMA participants</w:t>
      </w:r>
    </w:p>
    <w:p w14:paraId="17777E18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0.72</w:t>
      </w:r>
    </w:p>
    <w:p w14:paraId="5E2D2F31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3BC11F64" wp14:editId="7ADE266D">
            <wp:extent cx="5029200" cy="3657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847CA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5: Distribution of health literacy scores for the ITREMA participants.</w:t>
      </w:r>
    </w:p>
    <w:p w14:paraId="4F66D3D1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0.82</w:t>
      </w:r>
    </w:p>
    <w:p w14:paraId="36D8E50C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D7DB52" w14:textId="77777777" w:rsidR="00F96E29" w:rsidRPr="00AA1A52" w:rsidRDefault="00F96E29" w:rsidP="00F96E29"/>
    <w:p w14:paraId="2905AA17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37752167" wp14:editId="238F455C">
            <wp:extent cx="5029200" cy="3657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AEAE7" w14:textId="77777777" w:rsidR="00F96E29" w:rsidRPr="00AA1A52" w:rsidRDefault="00F96E29" w:rsidP="00F96E2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6: Distribution of task oriented coping scores for the ITREMA participants.</w:t>
      </w:r>
    </w:p>
    <w:p w14:paraId="0FF282C0" w14:textId="77777777" w:rsidR="00F96E29" w:rsidRPr="00AA1A52" w:rsidRDefault="00F96E29" w:rsidP="00F96E29">
      <w:pPr>
        <w:spacing w:after="0" w:line="240" w:lineRule="auto"/>
        <w:rPr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0.88</w:t>
      </w:r>
    </w:p>
    <w:p w14:paraId="658EC9A1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4A64A533" wp14:editId="12227A02">
            <wp:extent cx="5029200" cy="3657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A0313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7: Distribution of emotion oriented coping scores for the ITREMA participants.</w:t>
      </w:r>
    </w:p>
    <w:p w14:paraId="13B4C4B9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0.74</w:t>
      </w:r>
    </w:p>
    <w:p w14:paraId="18EBB85D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60C8262" w14:textId="77777777" w:rsidR="00F96E29" w:rsidRPr="00AA1A52" w:rsidRDefault="00F96E29" w:rsidP="00F96E29"/>
    <w:p w14:paraId="48F29EBA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4FAF6875" wp14:editId="17472028">
            <wp:extent cx="5029200" cy="3657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01718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8: Distribution of avoidance oriented coping scores for the ITREMA participants.</w:t>
      </w:r>
    </w:p>
    <w:p w14:paraId="4A42BF2C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0.74</w:t>
      </w:r>
    </w:p>
    <w:p w14:paraId="7DACD173" w14:textId="77777777" w:rsidR="00F96E29" w:rsidRPr="00AA1A52" w:rsidRDefault="00F96E29" w:rsidP="00F96E29"/>
    <w:p w14:paraId="69EC1A24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1EA9553B" wp14:editId="613782D6">
            <wp:extent cx="5015346" cy="364752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542" cy="364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3D08A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>Supplementary graph 9: Distribution of HIV related stigma scores for the ITREMA participants.</w:t>
      </w:r>
    </w:p>
    <w:p w14:paraId="0A540279" w14:textId="77777777" w:rsidR="00F96E29" w:rsidRPr="00AA1A52" w:rsidRDefault="00F96E29" w:rsidP="00F96E29">
      <w:pPr>
        <w:spacing w:after="0"/>
        <w:rPr>
          <w:i/>
          <w:iCs/>
          <w:sz w:val="20"/>
          <w:szCs w:val="20"/>
        </w:rPr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0.87</w:t>
      </w:r>
    </w:p>
    <w:p w14:paraId="53EF823F" w14:textId="77777777" w:rsidR="00F96E29" w:rsidRPr="00AA1A52" w:rsidRDefault="00F96E29" w:rsidP="00F96E29"/>
    <w:p w14:paraId="26647DC2" w14:textId="77777777" w:rsidR="00F96E29" w:rsidRPr="00AA1A52" w:rsidRDefault="00F96E29" w:rsidP="00F96E29">
      <w:pPr>
        <w:rPr>
          <w:noProof/>
        </w:rPr>
      </w:pPr>
    </w:p>
    <w:p w14:paraId="78395144" w14:textId="77777777" w:rsidR="00F96E29" w:rsidRPr="00AA1A52" w:rsidRDefault="00F96E29" w:rsidP="00F96E29">
      <w:r w:rsidRPr="00AA1A52">
        <w:rPr>
          <w:noProof/>
          <w:bdr w:val="single" w:sz="4" w:space="0" w:color="auto"/>
        </w:rPr>
        <w:drawing>
          <wp:inline distT="0" distB="0" distL="0" distR="0" wp14:anchorId="29A333BF" wp14:editId="7504DE5B">
            <wp:extent cx="4953000" cy="360218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706" cy="360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F9D15" w14:textId="77777777" w:rsidR="00F96E29" w:rsidRPr="00AA1A52" w:rsidRDefault="00F96E29" w:rsidP="00F96E2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A52">
        <w:rPr>
          <w:rFonts w:ascii="Times New Roman" w:hAnsi="Times New Roman" w:cs="Times New Roman"/>
          <w:sz w:val="20"/>
          <w:szCs w:val="20"/>
        </w:rPr>
        <w:t xml:space="preserve">Supplementary graph 10: Distribution of Mental health (depressive symptoms) scores for the ITREMA participants. </w:t>
      </w:r>
    </w:p>
    <w:p w14:paraId="78CF119D" w14:textId="7DDFBBC1" w:rsidR="00F96E29" w:rsidRDefault="00F96E29" w:rsidP="00AA1A52">
      <w:pPr>
        <w:spacing w:after="0"/>
      </w:pPr>
      <w:r w:rsidRPr="00AA1A52">
        <w:rPr>
          <w:rFonts w:ascii="Times New Roman" w:hAnsi="Times New Roman" w:cs="Times New Roman"/>
          <w:i/>
          <w:iCs/>
          <w:sz w:val="20"/>
          <w:szCs w:val="20"/>
        </w:rPr>
        <w:t>Cronbach’s alpha = 0.78</w:t>
      </w:r>
      <w:bookmarkStart w:id="0" w:name="_GoBack"/>
      <w:bookmarkEnd w:id="0"/>
    </w:p>
    <w:sectPr w:rsidR="00F96E29" w:rsidSect="00AA1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29"/>
    <w:rsid w:val="00AA1A52"/>
    <w:rsid w:val="00F9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041B3"/>
  <w15:chartTrackingRefBased/>
  <w15:docId w15:val="{4153B4D5-7549-40FE-AEB1-60721EB3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E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Siphamandla Gumede</dc:creator>
  <cp:keywords/>
  <dc:description/>
  <cp:lastModifiedBy>Radha S</cp:lastModifiedBy>
  <cp:revision>2</cp:revision>
  <dcterms:created xsi:type="dcterms:W3CDTF">2023-03-06T09:10:00Z</dcterms:created>
  <dcterms:modified xsi:type="dcterms:W3CDTF">2023-06-06T15:29:00Z</dcterms:modified>
</cp:coreProperties>
</file>