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B3CA" w14:textId="77777777" w:rsidR="009D1806" w:rsidRDefault="009D1806" w:rsidP="009D1806">
      <w:pPr>
        <w:rPr>
          <w:b/>
          <w:bCs/>
        </w:rPr>
      </w:pPr>
      <w:r>
        <w:rPr>
          <w:b/>
          <w:bCs/>
        </w:rPr>
        <w:t>INVESTIGATING THE ASSOCIATIONS BETWEEN DROUGHT, POVERTY, HIGH-RISK SEXUAL BEHAVIOURS, AND HIV INCIDENCE IN SUB-SAHARAN AFRICA: A CROSS-SECTIONAL STUDY</w:t>
      </w:r>
    </w:p>
    <w:p w14:paraId="17BE9360" w14:textId="1DDCFF5F" w:rsidR="00165EBC" w:rsidRDefault="00165EBC">
      <w:pPr>
        <w:rPr>
          <w:b/>
          <w:bCs/>
        </w:rPr>
      </w:pPr>
      <w:r>
        <w:rPr>
          <w:b/>
          <w:bCs/>
        </w:rPr>
        <w:t>APPENDIX</w:t>
      </w:r>
    </w:p>
    <w:p w14:paraId="26ECEA82" w14:textId="77777777" w:rsidR="008D27C0" w:rsidRDefault="008D27C0">
      <w:pPr>
        <w:rPr>
          <w:b/>
          <w:bCs/>
        </w:rPr>
      </w:pPr>
      <w:r>
        <w:rPr>
          <w:b/>
          <w:bCs/>
        </w:rPr>
        <w:t>Contents</w:t>
      </w:r>
    </w:p>
    <w:p w14:paraId="495A1F4D" w14:textId="475655A9" w:rsidR="00A32BF0" w:rsidRDefault="00A32BF0" w:rsidP="00A32BF0">
      <w:r>
        <w:t xml:space="preserve">Page </w:t>
      </w:r>
      <w:r w:rsidR="00582677">
        <w:t>2</w:t>
      </w:r>
      <w:r>
        <w:t xml:space="preserve"> - PHIA survey design</w:t>
      </w:r>
    </w:p>
    <w:p w14:paraId="216FB341" w14:textId="5621126E" w:rsidR="00A32BF0" w:rsidRDefault="00A32BF0" w:rsidP="00A32BF0">
      <w:r>
        <w:t xml:space="preserve">Page </w:t>
      </w:r>
      <w:r w:rsidR="00582677">
        <w:t>3</w:t>
      </w:r>
      <w:r>
        <w:t xml:space="preserve"> - Supplementary table </w:t>
      </w:r>
      <w:r w:rsidR="00DB77DD">
        <w:t>1</w:t>
      </w:r>
      <w:r>
        <w:t>: PHIA survey sampling frames and sample sizes</w:t>
      </w:r>
    </w:p>
    <w:p w14:paraId="1899FF53" w14:textId="4DCCDE3A" w:rsidR="00A32BF0" w:rsidRDefault="00A32BF0" w:rsidP="00A32BF0">
      <w:r>
        <w:t xml:space="preserve">Page </w:t>
      </w:r>
      <w:r w:rsidR="00582677">
        <w:t>5</w:t>
      </w:r>
      <w:r>
        <w:t xml:space="preserve"> - Supplementary table </w:t>
      </w:r>
      <w:r w:rsidR="00DB77DD">
        <w:t>2</w:t>
      </w:r>
      <w:r>
        <w:t>: PHIA survey eligibility criteria</w:t>
      </w:r>
    </w:p>
    <w:p w14:paraId="73E98609" w14:textId="47762FDC" w:rsidR="00A32BF0" w:rsidRDefault="00A32BF0" w:rsidP="00A32BF0">
      <w:r>
        <w:t xml:space="preserve">Page </w:t>
      </w:r>
      <w:r w:rsidR="00582677">
        <w:t>6</w:t>
      </w:r>
      <w:r>
        <w:t xml:space="preserve"> - Supplementary table </w:t>
      </w:r>
      <w:r w:rsidR="00DB77DD">
        <w:t>3</w:t>
      </w:r>
      <w:r>
        <w:t>: PHIA survey consent procedures</w:t>
      </w:r>
    </w:p>
    <w:p w14:paraId="70BD2DC7" w14:textId="1C16EE21" w:rsidR="00A32BF0" w:rsidRDefault="00A32BF0" w:rsidP="00A32BF0">
      <w:r>
        <w:t xml:space="preserve">Page </w:t>
      </w:r>
      <w:r w:rsidR="00582677">
        <w:t>8</w:t>
      </w:r>
      <w:r>
        <w:t xml:space="preserve"> - PHIA survey staff training</w:t>
      </w:r>
    </w:p>
    <w:p w14:paraId="126B4933" w14:textId="1F90D551" w:rsidR="00A32BF0" w:rsidRDefault="00A32BF0" w:rsidP="00A32BF0">
      <w:r>
        <w:t xml:space="preserve">Page </w:t>
      </w:r>
      <w:r w:rsidR="00582677">
        <w:t>9</w:t>
      </w:r>
      <w:r>
        <w:t xml:space="preserve"> - Supplementary table </w:t>
      </w:r>
      <w:r w:rsidR="00DB77DD">
        <w:t>4</w:t>
      </w:r>
      <w:r>
        <w:t>: PHIA survey staff</w:t>
      </w:r>
    </w:p>
    <w:p w14:paraId="1B0C453C" w14:textId="125434C2" w:rsidR="00A32BF0" w:rsidRDefault="00A32BF0" w:rsidP="00A32BF0">
      <w:r>
        <w:t>Page 1</w:t>
      </w:r>
      <w:r w:rsidR="00582677">
        <w:t>0</w:t>
      </w:r>
      <w:r>
        <w:t xml:space="preserve"> - PHIA survey data collection and cleaning</w:t>
      </w:r>
    </w:p>
    <w:p w14:paraId="5A62BD07" w14:textId="4378B006" w:rsidR="00A32BF0" w:rsidRDefault="00A32BF0" w:rsidP="00A32BF0">
      <w:r w:rsidRPr="00A32BF0">
        <w:t>Page 1</w:t>
      </w:r>
      <w:r w:rsidR="00582677">
        <w:t>1</w:t>
      </w:r>
      <w:r w:rsidRPr="00A32BF0">
        <w:t xml:space="preserve"> - Supplementary table </w:t>
      </w:r>
      <w:r w:rsidR="00DB77DD">
        <w:t>5</w:t>
      </w:r>
      <w:r w:rsidRPr="00A32BF0">
        <w:t>: PHIA survey re</w:t>
      </w:r>
      <w:r w:rsidR="004703E6">
        <w:t>s</w:t>
      </w:r>
      <w:r w:rsidRPr="00A32BF0">
        <w:t>ponse rates</w:t>
      </w:r>
    </w:p>
    <w:p w14:paraId="0D79748F" w14:textId="08059CD7" w:rsidR="006B48F5" w:rsidRPr="00A32BF0" w:rsidRDefault="006B48F5" w:rsidP="00D944EA">
      <w:r>
        <w:t>Page 1</w:t>
      </w:r>
      <w:r w:rsidR="00582677">
        <w:t>3</w:t>
      </w:r>
      <w:r>
        <w:t xml:space="preserve"> - </w:t>
      </w:r>
      <w:r w:rsidR="00D944EA">
        <w:t xml:space="preserve">Numbers included in analyses and missing </w:t>
      </w:r>
      <w:proofErr w:type="gramStart"/>
      <w:r w:rsidR="00D944EA">
        <w:t>data</w:t>
      </w:r>
      <w:proofErr w:type="gramEnd"/>
    </w:p>
    <w:p w14:paraId="57F682F5" w14:textId="5A5EA298" w:rsidR="00F4486B" w:rsidRPr="000E3809" w:rsidRDefault="00F4486B" w:rsidP="00F4486B">
      <w:r w:rsidRPr="000E3809">
        <w:t xml:space="preserve">Page </w:t>
      </w:r>
      <w:r>
        <w:t>1</w:t>
      </w:r>
      <w:r w:rsidR="00582677">
        <w:t>4</w:t>
      </w:r>
      <w:r w:rsidRPr="000E3809">
        <w:t xml:space="preserve"> - Climate context preceding and during PHIA data </w:t>
      </w:r>
      <w:proofErr w:type="gramStart"/>
      <w:r w:rsidRPr="000E3809">
        <w:t>collection</w:t>
      </w:r>
      <w:proofErr w:type="gramEnd"/>
    </w:p>
    <w:p w14:paraId="270ACFDD" w14:textId="5113A751" w:rsidR="00F4486B" w:rsidRPr="000E3809" w:rsidRDefault="00F4486B" w:rsidP="00F4486B">
      <w:r w:rsidRPr="000E3809">
        <w:t xml:space="preserve">Page </w:t>
      </w:r>
      <w:r>
        <w:t>1</w:t>
      </w:r>
      <w:r w:rsidR="00582677">
        <w:t>5</w:t>
      </w:r>
      <w:r w:rsidRPr="000E3809">
        <w:t xml:space="preserve"> - Supplementary figure </w:t>
      </w:r>
      <w:r w:rsidR="000C2151">
        <w:t>1</w:t>
      </w:r>
      <w:r w:rsidRPr="000E3809">
        <w:t>: Climate conditions preceding data collection in each country</w:t>
      </w:r>
    </w:p>
    <w:p w14:paraId="64D52979" w14:textId="7A06ADA8" w:rsidR="00F4486B" w:rsidRDefault="00F4486B" w:rsidP="00F4486B">
      <w:r w:rsidRPr="000E3809">
        <w:t xml:space="preserve">Page </w:t>
      </w:r>
      <w:r>
        <w:t>1</w:t>
      </w:r>
      <w:r w:rsidR="00582677">
        <w:t>6</w:t>
      </w:r>
      <w:r w:rsidRPr="000E3809">
        <w:t xml:space="preserve"> - Supplementary table </w:t>
      </w:r>
      <w:r w:rsidR="00DB77DD">
        <w:t>6</w:t>
      </w:r>
      <w:r w:rsidRPr="000E3809">
        <w:t>: Proportion of country affected by drought (defined as SPI-3 &lt; -1) in Oct-Dec 2015 and Oct-Dec 2016</w:t>
      </w:r>
    </w:p>
    <w:p w14:paraId="4F676664" w14:textId="6D410110" w:rsidR="001D05A0" w:rsidRDefault="001D05A0" w:rsidP="001D05A0">
      <w:r w:rsidRPr="00A32BF0">
        <w:t xml:space="preserve">Page </w:t>
      </w:r>
      <w:r w:rsidRPr="0072553A">
        <w:t>1</w:t>
      </w:r>
      <w:r w:rsidR="00D646E2">
        <w:t>7</w:t>
      </w:r>
      <w:r w:rsidRPr="00A32BF0">
        <w:t xml:space="preserve"> - Generation of wealth quintiles in PHIA surveys</w:t>
      </w:r>
    </w:p>
    <w:p w14:paraId="01EEC91A" w14:textId="4618FAF9" w:rsidR="00D3327D" w:rsidRDefault="00D3327D" w:rsidP="001D05A0">
      <w:r>
        <w:t>Page 1</w:t>
      </w:r>
      <w:r w:rsidR="004A3699">
        <w:t>8</w:t>
      </w:r>
      <w:r>
        <w:t xml:space="preserve"> – Supplementary table 7: </w:t>
      </w:r>
      <w:r w:rsidR="004D7B66">
        <w:t xml:space="preserve">Weighted </w:t>
      </w:r>
      <w:r w:rsidR="00A47832">
        <w:t xml:space="preserve">multivariable </w:t>
      </w:r>
      <w:r w:rsidR="004D7B66">
        <w:t xml:space="preserve">odds ratios of poverty, with </w:t>
      </w:r>
      <w:r w:rsidR="005D5EF2">
        <w:t xml:space="preserve">age </w:t>
      </w:r>
      <w:proofErr w:type="gramStart"/>
      <w:r w:rsidR="005D5EF2">
        <w:t>categorised</w:t>
      </w:r>
      <w:proofErr w:type="gramEnd"/>
    </w:p>
    <w:p w14:paraId="2E074347" w14:textId="4CAAB907" w:rsidR="00DE4E4D" w:rsidRDefault="00DE4E4D" w:rsidP="001D05A0">
      <w:r>
        <w:t xml:space="preserve">Page </w:t>
      </w:r>
      <w:r w:rsidR="004A3699">
        <w:t>19</w:t>
      </w:r>
      <w:r>
        <w:t xml:space="preserve"> </w:t>
      </w:r>
      <w:r w:rsidR="00F17E8B">
        <w:t>–</w:t>
      </w:r>
      <w:r>
        <w:t xml:space="preserve"> </w:t>
      </w:r>
      <w:r w:rsidR="00F17E8B">
        <w:t>Supplementary table 8: Full adjusted weighted odds ratios of sexual behaviours</w:t>
      </w:r>
      <w:r w:rsidR="0027333E">
        <w:t xml:space="preserve"> for each wealth quintile</w:t>
      </w:r>
    </w:p>
    <w:p w14:paraId="6E8A18B3" w14:textId="31C35082" w:rsidR="002C23C1" w:rsidRDefault="002C23C1" w:rsidP="001D05A0">
      <w:r w:rsidRPr="00E31B0F">
        <w:t xml:space="preserve">Page </w:t>
      </w:r>
      <w:r w:rsidR="00DE4E4D">
        <w:t>2</w:t>
      </w:r>
      <w:r w:rsidR="004A3699">
        <w:t>0</w:t>
      </w:r>
      <w:r w:rsidR="00BA4E60" w:rsidRPr="00A32BF0">
        <w:t xml:space="preserve"> - </w:t>
      </w:r>
      <w:r w:rsidRPr="00E31B0F">
        <w:t xml:space="preserve">Supplementary table </w:t>
      </w:r>
      <w:r w:rsidR="0027333E">
        <w:t>9</w:t>
      </w:r>
      <w:r w:rsidRPr="00E31B0F">
        <w:t xml:space="preserve">: Full </w:t>
      </w:r>
      <w:r w:rsidR="00A85448" w:rsidRPr="00D43AA5">
        <w:t xml:space="preserve">adjusted </w:t>
      </w:r>
      <w:r w:rsidRPr="00E31B0F">
        <w:t xml:space="preserve">model </w:t>
      </w:r>
      <w:r w:rsidR="002F25F0" w:rsidRPr="00E31B0F">
        <w:t>results for s</w:t>
      </w:r>
      <w:r w:rsidRPr="00E31B0F">
        <w:t>exual behaviour</w:t>
      </w:r>
      <w:r w:rsidR="002F25F0" w:rsidRPr="00E31B0F">
        <w:t>s</w:t>
      </w:r>
      <w:r w:rsidRPr="00E31B0F">
        <w:t xml:space="preserve"> and recent HIV</w:t>
      </w:r>
    </w:p>
    <w:p w14:paraId="2975C83A" w14:textId="372F2AD7" w:rsidR="00BA4E60" w:rsidRDefault="00BA4E60" w:rsidP="001D05A0">
      <w:r>
        <w:t xml:space="preserve">Page </w:t>
      </w:r>
      <w:r w:rsidR="005163F0">
        <w:t>2</w:t>
      </w:r>
      <w:r w:rsidR="004A3699">
        <w:t>1</w:t>
      </w:r>
      <w:r>
        <w:t xml:space="preserve"> </w:t>
      </w:r>
      <w:r w:rsidR="004718DB">
        <w:t>-</w:t>
      </w:r>
      <w:r>
        <w:t xml:space="preserve"> Supplementary table </w:t>
      </w:r>
      <w:r w:rsidR="0027333E">
        <w:t>10</w:t>
      </w:r>
      <w:r>
        <w:t xml:space="preserve">: </w:t>
      </w:r>
      <w:r w:rsidR="00DA7AEF">
        <w:t xml:space="preserve">Sensitivity analyses for </w:t>
      </w:r>
      <w:r w:rsidR="005F51F8">
        <w:t xml:space="preserve">the association between </w:t>
      </w:r>
      <w:r w:rsidR="00DA7AEF">
        <w:t>drought and recent HIV</w:t>
      </w:r>
    </w:p>
    <w:p w14:paraId="0E5DDC4C" w14:textId="278B46D5" w:rsidR="00085EED" w:rsidRDefault="00085EED" w:rsidP="001D05A0">
      <w:r>
        <w:t xml:space="preserve">Page </w:t>
      </w:r>
      <w:r w:rsidR="00946823">
        <w:t>2</w:t>
      </w:r>
      <w:r w:rsidR="004A3699">
        <w:t>2</w:t>
      </w:r>
      <w:r w:rsidR="00946823">
        <w:t xml:space="preserve"> </w:t>
      </w:r>
      <w:r>
        <w:t xml:space="preserve">– Supplementary table 11: </w:t>
      </w:r>
      <w:r w:rsidR="0059148A">
        <w:t xml:space="preserve">Full adjusted weighted odds ratios of having recently acquired HIV, </w:t>
      </w:r>
      <w:r w:rsidR="00C77594">
        <w:t xml:space="preserve">with age and wealth quintile </w:t>
      </w:r>
      <w:proofErr w:type="gramStart"/>
      <w:r w:rsidR="00C77594">
        <w:t>categorised</w:t>
      </w:r>
      <w:proofErr w:type="gramEnd"/>
    </w:p>
    <w:p w14:paraId="23C18B06" w14:textId="25293338" w:rsidR="004718DB" w:rsidRPr="00E31B0F" w:rsidRDefault="004718DB" w:rsidP="001D05A0">
      <w:r>
        <w:t>Page 2</w:t>
      </w:r>
      <w:r w:rsidR="004A3699">
        <w:t>3</w:t>
      </w:r>
      <w:r>
        <w:t xml:space="preserve"> - In depth comparison with other literature</w:t>
      </w:r>
    </w:p>
    <w:p w14:paraId="2EC98657" w14:textId="3CC61BD8" w:rsidR="003E1BC1" w:rsidRDefault="003E1BC1" w:rsidP="001D05A0">
      <w:r w:rsidRPr="002B7433">
        <w:t xml:space="preserve">Page </w:t>
      </w:r>
      <w:r w:rsidR="006B48F5">
        <w:t>2</w:t>
      </w:r>
      <w:r w:rsidR="004A3699">
        <w:t>4</w:t>
      </w:r>
      <w:r w:rsidR="00BA4E60" w:rsidRPr="00A32BF0">
        <w:t xml:space="preserve"> - </w:t>
      </w:r>
      <w:r w:rsidR="00412668" w:rsidRPr="00E31B0F">
        <w:t xml:space="preserve">Supplementary table </w:t>
      </w:r>
      <w:r w:rsidR="005163F0">
        <w:t>1</w:t>
      </w:r>
      <w:r w:rsidR="00946823">
        <w:t>2</w:t>
      </w:r>
      <w:r w:rsidR="00412668" w:rsidRPr="00E31B0F">
        <w:t xml:space="preserve">: </w:t>
      </w:r>
      <w:proofErr w:type="spellStart"/>
      <w:r w:rsidR="00600E57">
        <w:t>STrengthening</w:t>
      </w:r>
      <w:proofErr w:type="spellEnd"/>
      <w:r w:rsidR="00600E57">
        <w:t xml:space="preserve"> the Reporting of </w:t>
      </w:r>
      <w:proofErr w:type="spellStart"/>
      <w:r w:rsidR="00600E57">
        <w:t>OBservational</w:t>
      </w:r>
      <w:proofErr w:type="spellEnd"/>
      <w:r w:rsidR="00600E57">
        <w:t xml:space="preserve"> studies in Epidemiology (</w:t>
      </w:r>
      <w:r w:rsidR="00600E57" w:rsidRPr="00412668">
        <w:t>STROBE</w:t>
      </w:r>
      <w:r w:rsidR="00600E57">
        <w:t>)</w:t>
      </w:r>
      <w:r w:rsidR="00600E57" w:rsidRPr="00412668">
        <w:t xml:space="preserve"> </w:t>
      </w:r>
      <w:proofErr w:type="gramStart"/>
      <w:r w:rsidR="00600E57" w:rsidRPr="00412668">
        <w:t>checklist</w:t>
      </w:r>
      <w:proofErr w:type="gramEnd"/>
    </w:p>
    <w:p w14:paraId="5C855212" w14:textId="1726FBB2" w:rsidR="00600E57" w:rsidRPr="000E3809" w:rsidRDefault="00600E57" w:rsidP="001D05A0">
      <w:r>
        <w:t>Page 2</w:t>
      </w:r>
      <w:r w:rsidR="004A3699">
        <w:t>7</w:t>
      </w:r>
      <w:r w:rsidR="00BA4E60" w:rsidRPr="00A32BF0">
        <w:t xml:space="preserve"> - </w:t>
      </w:r>
      <w:r>
        <w:t>References.</w:t>
      </w:r>
    </w:p>
    <w:p w14:paraId="16AD8EFB" w14:textId="77777777" w:rsidR="001D05A0" w:rsidRDefault="001D05A0" w:rsidP="00F4486B"/>
    <w:p w14:paraId="79D24B19" w14:textId="77777777" w:rsidR="000E3809" w:rsidRDefault="000E3809">
      <w:pPr>
        <w:rPr>
          <w:b/>
          <w:bCs/>
        </w:rPr>
      </w:pPr>
    </w:p>
    <w:p w14:paraId="1E5DD3CB" w14:textId="77777777" w:rsidR="00AC66E5" w:rsidRDefault="001019EB">
      <w:pPr>
        <w:rPr>
          <w:b/>
          <w:bCs/>
        </w:rPr>
      </w:pPr>
      <w:r>
        <w:rPr>
          <w:b/>
          <w:bCs/>
        </w:rPr>
        <w:lastRenderedPageBreak/>
        <w:t>PHIA survey design</w:t>
      </w:r>
    </w:p>
    <w:p w14:paraId="4D7967AF" w14:textId="4EF37366" w:rsidR="00BB69F8" w:rsidRPr="00D43AA5" w:rsidRDefault="00BB69F8">
      <w:r>
        <w:t>The data-use manual for PHIA surveys is available here</w:t>
      </w:r>
      <w:r w:rsidR="00A5423C">
        <w:t>:</w:t>
      </w:r>
    </w:p>
    <w:p w14:paraId="63268C00" w14:textId="3CA3DA5A" w:rsidR="00B83048" w:rsidRDefault="00000000">
      <w:hyperlink r:id="rId8" w:history="1">
        <w:r w:rsidR="00B83048" w:rsidRPr="00D43AA5">
          <w:rPr>
            <w:rStyle w:val="Hyperlink"/>
          </w:rPr>
          <w:t>https://phia-data.icap.columbia.edu/storage/Country/28-09-2021-22-01-17-615390ad6a147.pdf</w:t>
        </w:r>
      </w:hyperlink>
    </w:p>
    <w:p w14:paraId="0EDB93D4" w14:textId="496D5CEF" w:rsidR="00A5423C" w:rsidRDefault="00A5423C">
      <w:r>
        <w:t xml:space="preserve">The final reports for each of the </w:t>
      </w:r>
      <w:r w:rsidR="0080284F">
        <w:t xml:space="preserve">five </w:t>
      </w:r>
      <w:r>
        <w:t>included PHIA surveys are available here below.</w:t>
      </w:r>
      <w:r w:rsidR="00740EF7">
        <w:t xml:space="preserve"> Each survey </w:t>
      </w:r>
      <w:r w:rsidR="003E5485">
        <w:t xml:space="preserve">report </w:t>
      </w:r>
      <w:r w:rsidR="00740EF7">
        <w:t>contains details of the sampling frame and design, eligibility criteria, recruitment, consent procedures, sur</w:t>
      </w:r>
      <w:r w:rsidR="00FA42EC">
        <w:t>vey implementation, testing procedures, response rates, and key findings</w:t>
      </w:r>
      <w:r w:rsidR="003E5485">
        <w:t>, as well as the questionnaires.</w:t>
      </w:r>
    </w:p>
    <w:p w14:paraId="3A4E310A" w14:textId="70CB6245" w:rsidR="00FA42EC" w:rsidRDefault="00FA42EC">
      <w:r w:rsidRPr="00D43AA5">
        <w:rPr>
          <w:b/>
          <w:bCs/>
        </w:rPr>
        <w:t>Eswatini:</w:t>
      </w:r>
      <w:r>
        <w:t xml:space="preserve"> </w:t>
      </w:r>
      <w:hyperlink r:id="rId9" w:history="1">
        <w:r w:rsidRPr="006B67CE">
          <w:rPr>
            <w:rStyle w:val="Hyperlink"/>
          </w:rPr>
          <w:t>https://phia.icap.columbia.edu/wp-content/uploads/2020/02/SHIMS2_Final-Report_05.03.2019_forWEB.pdf</w:t>
        </w:r>
      </w:hyperlink>
    </w:p>
    <w:p w14:paraId="0E76F67B" w14:textId="1BE22615" w:rsidR="00FA42EC" w:rsidRDefault="00705687">
      <w:r w:rsidRPr="00D43AA5">
        <w:rPr>
          <w:b/>
          <w:bCs/>
        </w:rPr>
        <w:t xml:space="preserve">Lesotho: </w:t>
      </w:r>
      <w:hyperlink r:id="rId10" w:history="1">
        <w:r w:rsidRPr="006B67CE">
          <w:rPr>
            <w:rStyle w:val="Hyperlink"/>
          </w:rPr>
          <w:t>https://phia.icap.columbia.edu/wp-content/uploads/2020/02/LePHIA_FinalReport_Web.pdf</w:t>
        </w:r>
      </w:hyperlink>
    </w:p>
    <w:p w14:paraId="377DF57C" w14:textId="7E45B1DE" w:rsidR="003A58BF" w:rsidRDefault="003A58BF">
      <w:r w:rsidRPr="00D43AA5">
        <w:rPr>
          <w:b/>
          <w:bCs/>
        </w:rPr>
        <w:t>Tanzania:</w:t>
      </w:r>
      <w:r>
        <w:t xml:space="preserve"> </w:t>
      </w:r>
      <w:hyperlink r:id="rId11" w:history="1">
        <w:r w:rsidR="00BB4A0C" w:rsidRPr="006B67CE">
          <w:rPr>
            <w:rStyle w:val="Hyperlink"/>
          </w:rPr>
          <w:t>https://phia.icap.columbia.edu/wp-content/uploads/2020/02/FINAL_THIS-2016-2017_Final-Report__06.21.19_for-web_TS.pdf</w:t>
        </w:r>
      </w:hyperlink>
    </w:p>
    <w:p w14:paraId="01187489" w14:textId="0BD64E13" w:rsidR="00705687" w:rsidRDefault="003A58BF">
      <w:r w:rsidRPr="00D43AA5">
        <w:rPr>
          <w:b/>
          <w:bCs/>
        </w:rPr>
        <w:t>Uganda:</w:t>
      </w:r>
      <w:r>
        <w:t xml:space="preserve"> </w:t>
      </w:r>
      <w:hyperlink r:id="rId12" w:history="1">
        <w:r w:rsidRPr="006B67CE">
          <w:rPr>
            <w:rStyle w:val="Hyperlink"/>
          </w:rPr>
          <w:t>https://phia.icap.columbia.edu/wp-content/uploads/2020/02/UPHIA_Final_Report_Revise_07.11.2019_Final_for-web.pdf</w:t>
        </w:r>
      </w:hyperlink>
    </w:p>
    <w:p w14:paraId="5995A0A0" w14:textId="3B8A7D44" w:rsidR="00A5423C" w:rsidRDefault="00A5423C">
      <w:r w:rsidRPr="00D43AA5">
        <w:rPr>
          <w:b/>
          <w:bCs/>
        </w:rPr>
        <w:t>Zambia:</w:t>
      </w:r>
      <w:r>
        <w:t xml:space="preserve"> </w:t>
      </w:r>
      <w:hyperlink r:id="rId13" w:history="1">
        <w:r w:rsidRPr="006B67CE">
          <w:rPr>
            <w:rStyle w:val="Hyperlink"/>
          </w:rPr>
          <w:t>https://phia.icap.columbia.edu/wp-content/uploads/2019/03/ZAMPHIA-Final-Report__2.26.19.pdf</w:t>
        </w:r>
      </w:hyperlink>
    </w:p>
    <w:p w14:paraId="12F32D62" w14:textId="117FA3F1" w:rsidR="002C1817" w:rsidRDefault="00FF2795">
      <w:r>
        <w:t>Each survey used a two-stage, stratified cluster sample design.</w:t>
      </w:r>
      <w:r w:rsidR="000B416C">
        <w:t xml:space="preserve"> Information from each report is </w:t>
      </w:r>
      <w:r w:rsidR="00880C42">
        <w:t>included in the tables below</w:t>
      </w:r>
      <w:r w:rsidR="007350F1">
        <w:t>.</w:t>
      </w:r>
    </w:p>
    <w:p w14:paraId="12D68251" w14:textId="77777777" w:rsidR="00EB4D11" w:rsidRDefault="00EB4D11">
      <w:pPr>
        <w:rPr>
          <w:b/>
          <w:bCs/>
        </w:rPr>
      </w:pPr>
      <w:r>
        <w:rPr>
          <w:b/>
          <w:bCs/>
        </w:rPr>
        <w:br w:type="page"/>
      </w:r>
    </w:p>
    <w:p w14:paraId="15312885" w14:textId="329F1B6A" w:rsidR="007350F1" w:rsidRDefault="008949E4">
      <w:r w:rsidRPr="00D43AA5">
        <w:rPr>
          <w:b/>
          <w:bCs/>
        </w:rPr>
        <w:lastRenderedPageBreak/>
        <w:t xml:space="preserve">Supplementary table </w:t>
      </w:r>
      <w:r w:rsidR="008C1163">
        <w:rPr>
          <w:b/>
          <w:bCs/>
        </w:rPr>
        <w:t>1</w:t>
      </w:r>
      <w:r w:rsidR="00EB4D11" w:rsidRPr="00D43AA5">
        <w:rPr>
          <w:b/>
          <w:bCs/>
        </w:rPr>
        <w:t>:</w:t>
      </w:r>
      <w:r w:rsidR="00EB4D11">
        <w:t xml:space="preserve"> </w:t>
      </w:r>
      <w:r w:rsidR="001A7161">
        <w:t>PHIA survey s</w:t>
      </w:r>
      <w:r w:rsidR="00EB4D11">
        <w:t>ampling frame</w:t>
      </w:r>
      <w:r w:rsidR="001A7161">
        <w:t>s</w:t>
      </w:r>
      <w:r w:rsidR="00EB4D11">
        <w:t xml:space="preserve"> and sample size</w:t>
      </w:r>
      <w:r w:rsidR="001A7161">
        <w:t>s</w:t>
      </w:r>
    </w:p>
    <w:tbl>
      <w:tblPr>
        <w:tblW w:w="9755" w:type="dxa"/>
        <w:tblLook w:val="04A0" w:firstRow="1" w:lastRow="0" w:firstColumn="1" w:lastColumn="0" w:noHBand="0" w:noVBand="1"/>
      </w:tblPr>
      <w:tblGrid>
        <w:gridCol w:w="1049"/>
        <w:gridCol w:w="8706"/>
      </w:tblGrid>
      <w:tr w:rsidR="00EB4D11" w:rsidRPr="00FF6DE2" w14:paraId="41866BD9" w14:textId="77777777" w:rsidTr="00D43AA5">
        <w:trPr>
          <w:trHeight w:val="3877"/>
        </w:trPr>
        <w:tc>
          <w:tcPr>
            <w:tcW w:w="1049" w:type="dxa"/>
            <w:tcBorders>
              <w:top w:val="nil"/>
              <w:left w:val="nil"/>
              <w:bottom w:val="nil"/>
              <w:right w:val="nil"/>
            </w:tcBorders>
            <w:shd w:val="clear" w:color="auto" w:fill="auto"/>
            <w:noWrap/>
            <w:hideMark/>
          </w:tcPr>
          <w:p w14:paraId="5830F615" w14:textId="77777777" w:rsidR="00EB4D11" w:rsidRPr="00D43AA5" w:rsidRDefault="00EB4D11" w:rsidP="00EB4D11">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Eswatini</w:t>
            </w:r>
          </w:p>
        </w:tc>
        <w:tc>
          <w:tcPr>
            <w:tcW w:w="8706" w:type="dxa"/>
            <w:tcBorders>
              <w:top w:val="nil"/>
              <w:left w:val="nil"/>
              <w:bottom w:val="nil"/>
              <w:right w:val="nil"/>
            </w:tcBorders>
            <w:shd w:val="clear" w:color="auto" w:fill="auto"/>
            <w:hideMark/>
          </w:tcPr>
          <w:p w14:paraId="695D760B" w14:textId="77777777" w:rsidR="00EB4D11" w:rsidRPr="00D43AA5" w:rsidRDefault="00EB4D11" w:rsidP="00EB4D11">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The sampling frame was comprised of all households in the country based on the 2007 Swaziland Population and Housing Census, which includes 2,064 enumeration areas (EA), containing an estimated 212,195 households. The first stage selected 286 EA (clusters) using a probability proportional to size method. The 286 EAs were stratified by four geographical regions (</w:t>
            </w:r>
            <w:proofErr w:type="spellStart"/>
            <w:r w:rsidRPr="00D43AA5">
              <w:rPr>
                <w:rFonts w:ascii="Calibri" w:eastAsia="Times New Roman" w:hAnsi="Calibri" w:cs="Calibri"/>
                <w:color w:val="000000"/>
                <w:sz w:val="20"/>
                <w:szCs w:val="20"/>
                <w:lang w:eastAsia="en-GB"/>
              </w:rPr>
              <w:t>Hhohho</w:t>
            </w:r>
            <w:proofErr w:type="spellEnd"/>
            <w:r w:rsidRPr="00D43AA5">
              <w:rPr>
                <w:rFonts w:ascii="Calibri" w:eastAsia="Times New Roman" w:hAnsi="Calibri" w:cs="Calibri"/>
                <w:color w:val="000000"/>
                <w:sz w:val="20"/>
                <w:szCs w:val="20"/>
                <w:lang w:eastAsia="en-GB"/>
              </w:rPr>
              <w:t xml:space="preserve">, Manzini, </w:t>
            </w:r>
            <w:proofErr w:type="spellStart"/>
            <w:r w:rsidRPr="00D43AA5">
              <w:rPr>
                <w:rFonts w:ascii="Calibri" w:eastAsia="Times New Roman" w:hAnsi="Calibri" w:cs="Calibri"/>
                <w:color w:val="000000"/>
                <w:sz w:val="20"/>
                <w:szCs w:val="20"/>
                <w:lang w:eastAsia="en-GB"/>
              </w:rPr>
              <w:t>Shiselweni</w:t>
            </w:r>
            <w:proofErr w:type="spellEnd"/>
            <w:r w:rsidRPr="00D43AA5">
              <w:rPr>
                <w:rFonts w:ascii="Calibri" w:eastAsia="Times New Roman" w:hAnsi="Calibri" w:cs="Calibri"/>
                <w:color w:val="000000"/>
                <w:sz w:val="20"/>
                <w:szCs w:val="20"/>
                <w:lang w:eastAsia="en-GB"/>
              </w:rPr>
              <w:t xml:space="preserve">, and </w:t>
            </w:r>
            <w:proofErr w:type="spellStart"/>
            <w:r w:rsidRPr="00D43AA5">
              <w:rPr>
                <w:rFonts w:ascii="Calibri" w:eastAsia="Times New Roman" w:hAnsi="Calibri" w:cs="Calibri"/>
                <w:color w:val="000000"/>
                <w:sz w:val="20"/>
                <w:szCs w:val="20"/>
                <w:lang w:eastAsia="en-GB"/>
              </w:rPr>
              <w:t>Lubombo</w:t>
            </w:r>
            <w:proofErr w:type="spellEnd"/>
            <w:r w:rsidRPr="00D43AA5">
              <w:rPr>
                <w:rFonts w:ascii="Calibri" w:eastAsia="Times New Roman" w:hAnsi="Calibri" w:cs="Calibri"/>
                <w:color w:val="000000"/>
                <w:sz w:val="20"/>
                <w:szCs w:val="20"/>
                <w:lang w:eastAsia="en-GB"/>
              </w:rPr>
              <w:t xml:space="preserve">), with each EA defined by rural and urban status. During the second stage, a sample of households was randomly selected within each EA, or cluster, using an equal probability method, where the average number of households selected per cluster was 20 and the actual number of households selected per cluster ranged from 15 to 43. The sample size was calculated to provide a representative national estimate of HIV incidence among adults aged 15-49 years with a relative standard error less than or equal to 20.0%. Representative regional estimates of VLS prevalence, among HIV-positive adults aged 15-49 years with 95% confidence intervals (CI) with ±10% bounds around the point estimates, were also used. One-half of the households were randomly selected for inclusion of children, which was designed to provide a representative national estimate of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HIV prevalence with a relative standard error less than or equal to 15.0%. The target sample size was 12,042 for adults, and 3,361 for children.</w:t>
            </w:r>
          </w:p>
        </w:tc>
      </w:tr>
      <w:tr w:rsidR="00EB4D11" w:rsidRPr="00FF6DE2" w14:paraId="5F3CD6B2" w14:textId="77777777" w:rsidTr="00D43AA5">
        <w:trPr>
          <w:trHeight w:val="4753"/>
        </w:trPr>
        <w:tc>
          <w:tcPr>
            <w:tcW w:w="1049" w:type="dxa"/>
            <w:tcBorders>
              <w:top w:val="nil"/>
              <w:left w:val="nil"/>
              <w:bottom w:val="nil"/>
              <w:right w:val="nil"/>
            </w:tcBorders>
            <w:shd w:val="clear" w:color="auto" w:fill="auto"/>
            <w:noWrap/>
            <w:hideMark/>
          </w:tcPr>
          <w:p w14:paraId="5CE4343B" w14:textId="77777777" w:rsidR="00EB4D11" w:rsidRPr="00D43AA5" w:rsidRDefault="00EB4D11" w:rsidP="00EB4D11">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Lesotho</w:t>
            </w:r>
          </w:p>
        </w:tc>
        <w:tc>
          <w:tcPr>
            <w:tcW w:w="8706" w:type="dxa"/>
            <w:tcBorders>
              <w:top w:val="nil"/>
              <w:left w:val="nil"/>
              <w:bottom w:val="nil"/>
              <w:right w:val="nil"/>
            </w:tcBorders>
            <w:shd w:val="clear" w:color="auto" w:fill="auto"/>
            <w:hideMark/>
          </w:tcPr>
          <w:p w14:paraId="39B49174" w14:textId="77777777" w:rsidR="00EB4D11" w:rsidRPr="00D43AA5" w:rsidRDefault="00EB4D11" w:rsidP="00EB4D11">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The sampling frame was comprised of all households in the country based on preliminary data from the 2016 Population and Housing Census, which includes 5,684 residential EAs, containing an estimated 568,429 households. The first stage selected 418 EAs (clusters) using a probability proportional to size method. The 418 EAs were stratified by ten districts: </w:t>
            </w:r>
            <w:proofErr w:type="spellStart"/>
            <w:r w:rsidRPr="00D43AA5">
              <w:rPr>
                <w:rFonts w:ascii="Calibri" w:eastAsia="Times New Roman" w:hAnsi="Calibri" w:cs="Calibri"/>
                <w:color w:val="000000"/>
                <w:sz w:val="20"/>
                <w:szCs w:val="20"/>
                <w:lang w:eastAsia="en-GB"/>
              </w:rPr>
              <w:t>Butha</w:t>
            </w:r>
            <w:proofErr w:type="spellEnd"/>
            <w:r w:rsidRPr="00D43AA5">
              <w:rPr>
                <w:rFonts w:ascii="Calibri" w:eastAsia="Times New Roman" w:hAnsi="Calibri" w:cs="Calibri"/>
                <w:color w:val="000000"/>
                <w:sz w:val="20"/>
                <w:szCs w:val="20"/>
                <w:lang w:eastAsia="en-GB"/>
              </w:rPr>
              <w:t xml:space="preserve"> Buthe, </w:t>
            </w:r>
            <w:proofErr w:type="spellStart"/>
            <w:r w:rsidRPr="00D43AA5">
              <w:rPr>
                <w:rFonts w:ascii="Calibri" w:eastAsia="Times New Roman" w:hAnsi="Calibri" w:cs="Calibri"/>
                <w:color w:val="000000"/>
                <w:sz w:val="20"/>
                <w:szCs w:val="20"/>
                <w:lang w:eastAsia="en-GB"/>
              </w:rPr>
              <w:t>Leribe</w:t>
            </w:r>
            <w:proofErr w:type="spellEnd"/>
            <w:r w:rsidRPr="00D43AA5">
              <w:rPr>
                <w:rFonts w:ascii="Calibri" w:eastAsia="Times New Roman" w:hAnsi="Calibri" w:cs="Calibri"/>
                <w:color w:val="000000"/>
                <w:sz w:val="20"/>
                <w:szCs w:val="20"/>
                <w:lang w:eastAsia="en-GB"/>
              </w:rPr>
              <w:t xml:space="preserve">, Berea, Maseru, Mafeteng, Mohale’s Hoek, </w:t>
            </w:r>
            <w:proofErr w:type="spellStart"/>
            <w:r w:rsidRPr="00D43AA5">
              <w:rPr>
                <w:rFonts w:ascii="Calibri" w:eastAsia="Times New Roman" w:hAnsi="Calibri" w:cs="Calibri"/>
                <w:color w:val="000000"/>
                <w:sz w:val="20"/>
                <w:szCs w:val="20"/>
                <w:lang w:eastAsia="en-GB"/>
              </w:rPr>
              <w:t>Quthing</w:t>
            </w:r>
            <w:proofErr w:type="spellEnd"/>
            <w:r w:rsidRPr="00D43AA5">
              <w:rPr>
                <w:rFonts w:ascii="Calibri" w:eastAsia="Times New Roman" w:hAnsi="Calibri" w:cs="Calibri"/>
                <w:color w:val="000000"/>
                <w:sz w:val="20"/>
                <w:szCs w:val="20"/>
                <w:lang w:eastAsia="en-GB"/>
              </w:rPr>
              <w:t xml:space="preserve">, Qacha’s Nek, </w:t>
            </w:r>
            <w:proofErr w:type="spellStart"/>
            <w:r w:rsidRPr="00D43AA5">
              <w:rPr>
                <w:rFonts w:ascii="Calibri" w:eastAsia="Times New Roman" w:hAnsi="Calibri" w:cs="Calibri"/>
                <w:color w:val="000000"/>
                <w:sz w:val="20"/>
                <w:szCs w:val="20"/>
                <w:lang w:eastAsia="en-GB"/>
              </w:rPr>
              <w:t>Mokhotlong</w:t>
            </w:r>
            <w:proofErr w:type="spellEnd"/>
            <w:r w:rsidRPr="00D43AA5">
              <w:rPr>
                <w:rFonts w:ascii="Calibri" w:eastAsia="Times New Roman" w:hAnsi="Calibri" w:cs="Calibri"/>
                <w:color w:val="000000"/>
                <w:sz w:val="20"/>
                <w:szCs w:val="20"/>
                <w:lang w:eastAsia="en-GB"/>
              </w:rPr>
              <w:t xml:space="preserve"> and </w:t>
            </w:r>
            <w:proofErr w:type="spellStart"/>
            <w:r w:rsidRPr="00D43AA5">
              <w:rPr>
                <w:rFonts w:ascii="Calibri" w:eastAsia="Times New Roman" w:hAnsi="Calibri" w:cs="Calibri"/>
                <w:color w:val="000000"/>
                <w:sz w:val="20"/>
                <w:szCs w:val="20"/>
                <w:lang w:eastAsia="en-GB"/>
              </w:rPr>
              <w:t>Thaba</w:t>
            </w:r>
            <w:proofErr w:type="spellEnd"/>
            <w:r w:rsidRPr="00D43AA5">
              <w:rPr>
                <w:rFonts w:ascii="Calibri" w:eastAsia="Times New Roman" w:hAnsi="Calibri" w:cs="Calibri"/>
                <w:color w:val="000000"/>
                <w:sz w:val="20"/>
                <w:szCs w:val="20"/>
                <w:lang w:eastAsia="en-GB"/>
              </w:rPr>
              <w:t xml:space="preserve"> </w:t>
            </w:r>
            <w:proofErr w:type="spellStart"/>
            <w:r w:rsidRPr="00D43AA5">
              <w:rPr>
                <w:rFonts w:ascii="Calibri" w:eastAsia="Times New Roman" w:hAnsi="Calibri" w:cs="Calibri"/>
                <w:color w:val="000000"/>
                <w:sz w:val="20"/>
                <w:szCs w:val="20"/>
                <w:lang w:eastAsia="en-GB"/>
              </w:rPr>
              <w:t>Tseka</w:t>
            </w:r>
            <w:proofErr w:type="spellEnd"/>
            <w:r w:rsidRPr="00D43AA5">
              <w:rPr>
                <w:rFonts w:ascii="Calibri" w:eastAsia="Times New Roman" w:hAnsi="Calibri" w:cs="Calibri"/>
                <w:color w:val="000000"/>
                <w:sz w:val="20"/>
                <w:szCs w:val="20"/>
                <w:lang w:eastAsia="en-GB"/>
              </w:rPr>
              <w:t xml:space="preserve">. During the second stage, a sample of households was randomly selected within each EA, or cluster, using an equal probability method, where the average number of households selected per cluster was 26 and the actual number of households selected per cluster ranged from 15 to 35. Urban areas were defined by the BOS, and were characterized by either high population density, or of a high level of economic activities or infrastructure. Peri-urban areas were defined as areas with moderate population density, or a lesser extent of economic activities or infrastructure. Rural areas were those with only minimal population density or little infrastructure or economic activities. The sample size was calculated to provide representative national estimates of HIV incidence among older adolescent girls and young women aged 15-24 years and adults aged 15-59 years with a relative standard error less than or equal to 30.0%, as well as representative district estimates of VLS prevalence among HIV-positive adults with 95% confidence intervals (CIs) with ±10% bounds around the point estimates. One-half of the households were randomly selected for inclusion of children, which was designed to provide a representative national estimate of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HIV prevalence with a relative standard error less than or equal to 13.0%. The target sample size was 12,698 for adults and 4,222 for children.</w:t>
            </w:r>
          </w:p>
        </w:tc>
      </w:tr>
      <w:tr w:rsidR="00EB4D11" w:rsidRPr="00FF6DE2" w14:paraId="6E866F06" w14:textId="77777777" w:rsidTr="00D43AA5">
        <w:trPr>
          <w:trHeight w:val="1134"/>
        </w:trPr>
        <w:tc>
          <w:tcPr>
            <w:tcW w:w="1049" w:type="dxa"/>
            <w:tcBorders>
              <w:top w:val="nil"/>
              <w:left w:val="nil"/>
              <w:bottom w:val="nil"/>
              <w:right w:val="nil"/>
            </w:tcBorders>
            <w:shd w:val="clear" w:color="auto" w:fill="auto"/>
            <w:noWrap/>
            <w:hideMark/>
          </w:tcPr>
          <w:p w14:paraId="3C055669" w14:textId="77777777" w:rsidR="00EB4D11" w:rsidRPr="00D43AA5" w:rsidRDefault="00EB4D11" w:rsidP="00EB4D11">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Tanzania</w:t>
            </w:r>
          </w:p>
        </w:tc>
        <w:tc>
          <w:tcPr>
            <w:tcW w:w="8706" w:type="dxa"/>
            <w:tcBorders>
              <w:top w:val="nil"/>
              <w:left w:val="nil"/>
              <w:bottom w:val="nil"/>
              <w:right w:val="nil"/>
            </w:tcBorders>
            <w:shd w:val="clear" w:color="auto" w:fill="auto"/>
            <w:hideMark/>
          </w:tcPr>
          <w:p w14:paraId="33D0DBA1" w14:textId="77777777" w:rsidR="00EB4D11" w:rsidRPr="00D43AA5" w:rsidRDefault="00EB4D11" w:rsidP="00EB4D11">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The sampling frame was comprised of all enumeration areas (EAs in the country based on the 2012 Tanzania Population and Housing Census, which included 106,642 EAs, containing an estimated 9,362,758 households. The first stage selected 526 EAs (clusters) using a Probability Proportional to Size (PPS) method. The 526 EAs were stratified by 31 geographical regions. During the second stage, a sample of households was randomly selected within each EA, using a PPS method, where the average number of households to be selected per EA was 30, but the actual number of households selected per EA ranged from 15 to 61. The sample size was calculated to provide a representative national estimate of HIV incidence among adults aged 15 years and older, with a relative standard error less than or equal to 37.0%, as well as representative regional estimates of VLS prevalence among HIV-positive adults aged 15 years and older, with 95% CI with ±10% bounds around the point estimates for high prevalence regions. Based on the selected households, one-third were randomly selected for inclusion of children aged 0-14 years, which was designed to provide a representative national estimate of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HIV prevalence, with a relative standard error less than or equal to 16.2%. Although the survey also measured VLS in children under the age of 15 years, the sample size has not been powered to assure the same level of precision for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VLS. The target sample size was 31,730 for adults aged 15 years and older, and 8,296 for children aged 0-14 years.</w:t>
            </w:r>
          </w:p>
        </w:tc>
      </w:tr>
      <w:tr w:rsidR="00EB4D11" w:rsidRPr="00FF6DE2" w14:paraId="34B472F1" w14:textId="77777777" w:rsidTr="00D43AA5">
        <w:trPr>
          <w:trHeight w:val="3119"/>
        </w:trPr>
        <w:tc>
          <w:tcPr>
            <w:tcW w:w="1049" w:type="dxa"/>
            <w:tcBorders>
              <w:top w:val="nil"/>
              <w:left w:val="nil"/>
              <w:bottom w:val="nil"/>
              <w:right w:val="nil"/>
            </w:tcBorders>
            <w:shd w:val="clear" w:color="auto" w:fill="auto"/>
            <w:noWrap/>
            <w:hideMark/>
          </w:tcPr>
          <w:p w14:paraId="365E3A95" w14:textId="77777777" w:rsidR="00EB4D11" w:rsidRPr="00D43AA5" w:rsidRDefault="00EB4D11" w:rsidP="00EB4D11">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lastRenderedPageBreak/>
              <w:t>Uganda</w:t>
            </w:r>
          </w:p>
        </w:tc>
        <w:tc>
          <w:tcPr>
            <w:tcW w:w="8706" w:type="dxa"/>
            <w:tcBorders>
              <w:top w:val="nil"/>
              <w:left w:val="nil"/>
              <w:bottom w:val="nil"/>
              <w:right w:val="nil"/>
            </w:tcBorders>
            <w:shd w:val="clear" w:color="auto" w:fill="auto"/>
            <w:hideMark/>
          </w:tcPr>
          <w:p w14:paraId="57FA3447" w14:textId="77777777" w:rsidR="00EB4D11" w:rsidRPr="00D43AA5" w:rsidRDefault="00EB4D11" w:rsidP="00EB4D11">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The sampling frame comprised all households in the country, based on the 2014 National Housing and Population census, which includes 80,000 EAs, containing an estimated 7,800,000 households. The first stage selected 520 EAs (clusters) using a probability proportional to size method. The EAs were stratified by ten regions: Central 1, Central 2, Kampala, East-Central, Mid-Eastern, North-East, West Nile, Mid-North, Mid-West, and South-West. During the second stage, a sample of households was randomly selected within each EA, or cluster, using an equal probability method. The sample size was calculated to provide a representative national estimate of HIV incidence among adults with a relative standard error (RSE) less than or equal to 30%, as well as representative regional estimates of VLS prevalence among HIV-positive adults with 95% CIs with ±9% or less bounds around the point estimates. Slightly over one-half (59.3%) of the households were randomly selected for inclusion of children, which was designed to provide a representative national estimate of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HIV prevalence with an RSE less than or equal to 20.0%. The sample size was 33,243 for adults, and 10,956 for children.</w:t>
            </w:r>
          </w:p>
        </w:tc>
      </w:tr>
      <w:tr w:rsidR="00EB4D11" w:rsidRPr="00FF6DE2" w14:paraId="545C129A" w14:textId="77777777" w:rsidTr="00D43AA5">
        <w:trPr>
          <w:trHeight w:val="3459"/>
        </w:trPr>
        <w:tc>
          <w:tcPr>
            <w:tcW w:w="1049" w:type="dxa"/>
            <w:tcBorders>
              <w:top w:val="nil"/>
              <w:left w:val="nil"/>
              <w:bottom w:val="nil"/>
              <w:right w:val="nil"/>
            </w:tcBorders>
            <w:shd w:val="clear" w:color="auto" w:fill="auto"/>
            <w:noWrap/>
            <w:hideMark/>
          </w:tcPr>
          <w:p w14:paraId="09AA57A7" w14:textId="77777777" w:rsidR="00EB4D11" w:rsidRPr="00D43AA5" w:rsidRDefault="00EB4D11" w:rsidP="00EB4D11">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Zambia</w:t>
            </w:r>
          </w:p>
        </w:tc>
        <w:tc>
          <w:tcPr>
            <w:tcW w:w="8706" w:type="dxa"/>
            <w:tcBorders>
              <w:top w:val="nil"/>
              <w:left w:val="nil"/>
              <w:bottom w:val="nil"/>
              <w:right w:val="nil"/>
            </w:tcBorders>
            <w:shd w:val="clear" w:color="auto" w:fill="auto"/>
            <w:hideMark/>
          </w:tcPr>
          <w:p w14:paraId="66F15BCF" w14:textId="77777777" w:rsidR="00EB4D11" w:rsidRPr="00D43AA5" w:rsidRDefault="00EB4D11" w:rsidP="00EB4D11">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The first stage selected 511 enumeration areas (EAs) from the 2010 Census of Population and Housing in Zambia, using a probability proportional to size method. The second stage randomly selected a sample of households in each EA (cluster) using an equal probability method, where the average number of households selected per cluster was 27 and the actual number of households selected per cluster ranged from 11 to 48. The sampling frame for the second stage was defined based on a household listing exercise conducted from August to September 2015, prior to the initiation of data collection. The sample size of selected households was calculated to provide a representative national estimate of HIV incidence among adults aged 15-59 years with a relative standard error less than or equal to 31.2%, as well as representative provincial estimates of VLS prevalence among HIV-positive adults aged 15-59 years with 95% confidence intervals (CIs) ±11.0%. One-half of households were randomly selected for inclusion of children aged 0-14 years, which was designed to provide a representative national estimate of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HIV prevalence with a relative standard error ≤14.6%. The target sample size was 19,168 for adults aged 15-59 years, and 8,974 for children aged 0-14 years.</w:t>
            </w:r>
          </w:p>
        </w:tc>
      </w:tr>
    </w:tbl>
    <w:p w14:paraId="261A495F" w14:textId="77777777" w:rsidR="00EB4D11" w:rsidRDefault="00EB4D11"/>
    <w:p w14:paraId="2FA312B4" w14:textId="77777777" w:rsidR="007350F1" w:rsidRDefault="007350F1"/>
    <w:p w14:paraId="55E6E1EE" w14:textId="77777777" w:rsidR="008D589E" w:rsidRDefault="008D589E">
      <w:pPr>
        <w:rPr>
          <w:b/>
          <w:bCs/>
        </w:rPr>
      </w:pPr>
      <w:r>
        <w:rPr>
          <w:b/>
          <w:bCs/>
        </w:rPr>
        <w:br w:type="page"/>
      </w:r>
    </w:p>
    <w:p w14:paraId="59F0F628" w14:textId="42EEBB5B" w:rsidR="007350F1" w:rsidRDefault="00EB4D11">
      <w:r w:rsidRPr="00D43AA5">
        <w:rPr>
          <w:b/>
          <w:bCs/>
        </w:rPr>
        <w:lastRenderedPageBreak/>
        <w:t xml:space="preserve">Supplementary table </w:t>
      </w:r>
      <w:r w:rsidR="008C1163">
        <w:rPr>
          <w:b/>
          <w:bCs/>
        </w:rPr>
        <w:t>2</w:t>
      </w:r>
      <w:r w:rsidR="008D589E" w:rsidRPr="00D43AA5">
        <w:rPr>
          <w:b/>
          <w:bCs/>
        </w:rPr>
        <w:t>:</w:t>
      </w:r>
      <w:r w:rsidR="008D589E">
        <w:t xml:space="preserve"> </w:t>
      </w:r>
      <w:r w:rsidR="001A7161">
        <w:t>PHIA survey e</w:t>
      </w:r>
      <w:r w:rsidR="008D589E">
        <w:t>ligibility criteria</w:t>
      </w:r>
    </w:p>
    <w:tbl>
      <w:tblPr>
        <w:tblW w:w="9624" w:type="dxa"/>
        <w:tblLook w:val="04A0" w:firstRow="1" w:lastRow="0" w:firstColumn="1" w:lastColumn="0" w:noHBand="0" w:noVBand="1"/>
      </w:tblPr>
      <w:tblGrid>
        <w:gridCol w:w="955"/>
        <w:gridCol w:w="8669"/>
      </w:tblGrid>
      <w:tr w:rsidR="008D589E" w:rsidRPr="008D589E" w14:paraId="2BC2E23B" w14:textId="77777777" w:rsidTr="00D43AA5">
        <w:trPr>
          <w:trHeight w:val="2737"/>
        </w:trPr>
        <w:tc>
          <w:tcPr>
            <w:tcW w:w="831" w:type="dxa"/>
            <w:tcBorders>
              <w:top w:val="nil"/>
              <w:left w:val="nil"/>
              <w:bottom w:val="nil"/>
              <w:right w:val="nil"/>
            </w:tcBorders>
            <w:shd w:val="clear" w:color="auto" w:fill="auto"/>
            <w:noWrap/>
            <w:hideMark/>
          </w:tcPr>
          <w:p w14:paraId="01C0639F" w14:textId="77777777" w:rsidR="008D589E" w:rsidRPr="00D43AA5" w:rsidRDefault="008D589E" w:rsidP="008D589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Eswatini</w:t>
            </w:r>
          </w:p>
        </w:tc>
        <w:tc>
          <w:tcPr>
            <w:tcW w:w="8793" w:type="dxa"/>
            <w:tcBorders>
              <w:top w:val="nil"/>
              <w:left w:val="nil"/>
              <w:bottom w:val="nil"/>
              <w:right w:val="nil"/>
            </w:tcBorders>
            <w:shd w:val="clear" w:color="auto" w:fill="auto"/>
            <w:hideMark/>
          </w:tcPr>
          <w:p w14:paraId="4CBA8D13" w14:textId="77777777" w:rsidR="008D589E" w:rsidRPr="00D43AA5" w:rsidRDefault="008D589E" w:rsidP="008D589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The eligible survey population included: Women and men aged 18 years and older living in the selected households and visitors who slept in the household the night before the survey, who were willing and able to provide written consent in either siSwati or English.</w:t>
            </w:r>
            <w:r w:rsidRPr="00D43AA5">
              <w:rPr>
                <w:rFonts w:ascii="Calibri" w:eastAsia="Times New Roman" w:hAnsi="Calibri" w:cs="Calibri"/>
                <w:color w:val="000000"/>
                <w:sz w:val="20"/>
                <w:szCs w:val="20"/>
                <w:lang w:eastAsia="en-GB"/>
              </w:rPr>
              <w:br/>
              <w:t>Adolescents aged 10-17 years living in the selected households, and visitors who slept in the household the night before the survey, who were willing and able to provide written assent in either siSwati or English, and whose parents or guardians were willing and able to provide written permission for their participation in either siSwati or English.</w:t>
            </w:r>
            <w:r w:rsidRPr="00D43AA5">
              <w:rPr>
                <w:rFonts w:ascii="Calibri" w:eastAsia="Times New Roman" w:hAnsi="Calibri" w:cs="Calibri"/>
                <w:color w:val="000000"/>
                <w:sz w:val="20"/>
                <w:szCs w:val="20"/>
                <w:lang w:eastAsia="en-GB"/>
              </w:rPr>
              <w:br/>
              <w:t>Children aged 0-9 years living in the selected households, and child visitors who slept in the household the night before the survey, whose parents or guardians were willing and able to provide written consent for their participation in either siSwati or English</w:t>
            </w:r>
          </w:p>
        </w:tc>
      </w:tr>
      <w:tr w:rsidR="00FF6DE2" w:rsidRPr="008D589E" w14:paraId="02C2144D" w14:textId="77777777" w:rsidTr="00FF6DE2">
        <w:trPr>
          <w:trHeight w:val="1916"/>
        </w:trPr>
        <w:tc>
          <w:tcPr>
            <w:tcW w:w="831" w:type="dxa"/>
            <w:tcBorders>
              <w:top w:val="nil"/>
              <w:left w:val="nil"/>
              <w:bottom w:val="nil"/>
              <w:right w:val="nil"/>
            </w:tcBorders>
            <w:shd w:val="clear" w:color="auto" w:fill="auto"/>
            <w:noWrap/>
            <w:hideMark/>
          </w:tcPr>
          <w:p w14:paraId="6E6DB11F" w14:textId="77777777" w:rsidR="008D589E" w:rsidRPr="00D43AA5" w:rsidRDefault="008D589E" w:rsidP="008D589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Lesotho</w:t>
            </w:r>
          </w:p>
        </w:tc>
        <w:tc>
          <w:tcPr>
            <w:tcW w:w="8793" w:type="dxa"/>
            <w:tcBorders>
              <w:top w:val="nil"/>
              <w:left w:val="nil"/>
              <w:bottom w:val="nil"/>
              <w:right w:val="nil"/>
            </w:tcBorders>
            <w:shd w:val="clear" w:color="auto" w:fill="auto"/>
            <w:hideMark/>
          </w:tcPr>
          <w:p w14:paraId="0130DB3E" w14:textId="23FE8C45" w:rsidR="008D589E" w:rsidRPr="00D43AA5" w:rsidRDefault="008D589E" w:rsidP="008D589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The eligible survey population included individuals living in the selected households, or visitors who</w:t>
            </w:r>
            <w:r w:rsidR="003842C8" w:rsidRPr="00D43AA5">
              <w:rPr>
                <w:rFonts w:ascii="Calibri" w:eastAsia="Times New Roman" w:hAnsi="Calibri" w:cs="Calibri"/>
                <w:color w:val="000000"/>
                <w:sz w:val="20"/>
                <w:szCs w:val="20"/>
                <w:lang w:eastAsia="en-GB"/>
              </w:rPr>
              <w:t xml:space="preserve"> </w:t>
            </w:r>
            <w:r w:rsidRPr="00D43AA5">
              <w:rPr>
                <w:rFonts w:ascii="Calibri" w:eastAsia="Times New Roman" w:hAnsi="Calibri" w:cs="Calibri"/>
                <w:color w:val="000000"/>
                <w:sz w:val="20"/>
                <w:szCs w:val="20"/>
                <w:lang w:eastAsia="en-GB"/>
              </w:rPr>
              <w:t>slept in the household the night before the survey who were:</w:t>
            </w:r>
            <w:r w:rsidRPr="00D43AA5">
              <w:rPr>
                <w:rFonts w:ascii="Calibri" w:eastAsia="Times New Roman" w:hAnsi="Calibri" w:cs="Calibri"/>
                <w:color w:val="000000"/>
                <w:sz w:val="20"/>
                <w:szCs w:val="20"/>
                <w:lang w:eastAsia="en-GB"/>
              </w:rPr>
              <w:br/>
              <w:t>▪ Women and men aged 18-59 years who were willing and able to provide written consent,</w:t>
            </w:r>
            <w:r w:rsidRPr="00D43AA5">
              <w:rPr>
                <w:rFonts w:ascii="Calibri" w:eastAsia="Times New Roman" w:hAnsi="Calibri" w:cs="Calibri"/>
                <w:color w:val="000000"/>
                <w:sz w:val="20"/>
                <w:szCs w:val="20"/>
                <w:lang w:eastAsia="en-GB"/>
              </w:rPr>
              <w:br/>
              <w:t>▪ Adolescents aged 12-17 who were willing and able to provide written assent, and whose parents or</w:t>
            </w:r>
            <w:r w:rsidR="003842C8" w:rsidRPr="00D43AA5">
              <w:rPr>
                <w:rFonts w:ascii="Calibri" w:eastAsia="Times New Roman" w:hAnsi="Calibri" w:cs="Calibri"/>
                <w:color w:val="000000"/>
                <w:sz w:val="20"/>
                <w:szCs w:val="20"/>
                <w:lang w:eastAsia="en-GB"/>
              </w:rPr>
              <w:t xml:space="preserve"> </w:t>
            </w:r>
            <w:r w:rsidRPr="00D43AA5">
              <w:rPr>
                <w:rFonts w:ascii="Calibri" w:eastAsia="Times New Roman" w:hAnsi="Calibri" w:cs="Calibri"/>
                <w:color w:val="000000"/>
                <w:sz w:val="20"/>
                <w:szCs w:val="20"/>
                <w:lang w:eastAsia="en-GB"/>
              </w:rPr>
              <w:t>guardians were willing and able to provide written permission for their participation, and</w:t>
            </w:r>
            <w:r w:rsidRPr="00D43AA5">
              <w:rPr>
                <w:rFonts w:ascii="Calibri" w:eastAsia="Times New Roman" w:hAnsi="Calibri" w:cs="Calibri"/>
                <w:color w:val="000000"/>
                <w:sz w:val="20"/>
                <w:szCs w:val="20"/>
                <w:lang w:eastAsia="en-GB"/>
              </w:rPr>
              <w:br/>
              <w:t>▪ Children aged 0-11 years whose parents or guardians were willing and able to provide written</w:t>
            </w:r>
            <w:r w:rsidR="003842C8" w:rsidRPr="00D43AA5">
              <w:rPr>
                <w:rFonts w:ascii="Calibri" w:eastAsia="Times New Roman" w:hAnsi="Calibri" w:cs="Calibri"/>
                <w:color w:val="000000"/>
                <w:sz w:val="20"/>
                <w:szCs w:val="20"/>
                <w:lang w:eastAsia="en-GB"/>
              </w:rPr>
              <w:t xml:space="preserve"> </w:t>
            </w:r>
            <w:r w:rsidRPr="00D43AA5">
              <w:rPr>
                <w:rFonts w:ascii="Calibri" w:eastAsia="Times New Roman" w:hAnsi="Calibri" w:cs="Calibri"/>
                <w:color w:val="000000"/>
                <w:sz w:val="20"/>
                <w:szCs w:val="20"/>
                <w:lang w:eastAsia="en-GB"/>
              </w:rPr>
              <w:t>consent for their participation.</w:t>
            </w:r>
          </w:p>
        </w:tc>
      </w:tr>
      <w:tr w:rsidR="00FF6DE2" w:rsidRPr="008D589E" w14:paraId="75F646A5" w14:textId="77777777" w:rsidTr="00FF6DE2">
        <w:trPr>
          <w:trHeight w:val="2411"/>
        </w:trPr>
        <w:tc>
          <w:tcPr>
            <w:tcW w:w="831" w:type="dxa"/>
            <w:tcBorders>
              <w:top w:val="nil"/>
              <w:left w:val="nil"/>
              <w:bottom w:val="nil"/>
              <w:right w:val="nil"/>
            </w:tcBorders>
            <w:shd w:val="clear" w:color="auto" w:fill="auto"/>
            <w:noWrap/>
            <w:hideMark/>
          </w:tcPr>
          <w:p w14:paraId="18CC6D14" w14:textId="77777777" w:rsidR="008D589E" w:rsidRPr="00D43AA5" w:rsidRDefault="008D589E" w:rsidP="008D589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Tanzania</w:t>
            </w:r>
          </w:p>
        </w:tc>
        <w:tc>
          <w:tcPr>
            <w:tcW w:w="8793" w:type="dxa"/>
            <w:tcBorders>
              <w:top w:val="nil"/>
              <w:left w:val="nil"/>
              <w:bottom w:val="nil"/>
              <w:right w:val="nil"/>
            </w:tcBorders>
            <w:shd w:val="clear" w:color="auto" w:fill="auto"/>
            <w:hideMark/>
          </w:tcPr>
          <w:p w14:paraId="7581466B" w14:textId="77777777" w:rsidR="008D589E" w:rsidRPr="00D43AA5" w:rsidRDefault="008D589E" w:rsidP="008D589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The eligible survey population included:</w:t>
            </w:r>
            <w:r w:rsidRPr="00D43AA5">
              <w:rPr>
                <w:rFonts w:ascii="Calibri" w:eastAsia="Times New Roman" w:hAnsi="Calibri" w:cs="Calibri"/>
                <w:color w:val="000000"/>
                <w:sz w:val="20"/>
                <w:szCs w:val="20"/>
                <w:lang w:eastAsia="en-GB"/>
              </w:rPr>
              <w:br/>
              <w:t>▪ Females and males aged 18 years and older who slept in the household the night before the survey and were willing and able to provide verbal informed consent in Kiswahili or English.</w:t>
            </w:r>
            <w:r w:rsidRPr="00D43AA5">
              <w:rPr>
                <w:rFonts w:ascii="Calibri" w:eastAsia="Times New Roman" w:hAnsi="Calibri" w:cs="Calibri"/>
                <w:color w:val="000000"/>
                <w:sz w:val="20"/>
                <w:szCs w:val="20"/>
                <w:lang w:eastAsia="en-GB"/>
              </w:rPr>
              <w:br/>
              <w:t>▪ Persons aged 10-17 years who slept in the household the night before the survey, who were willing and able to provide verbal assent in Kiswahili or English, and whose parents or guardians were willing and able to provide verbal permission for their participation in Kiswahili or English.</w:t>
            </w:r>
            <w:r w:rsidRPr="00D43AA5">
              <w:rPr>
                <w:rFonts w:ascii="Calibri" w:eastAsia="Times New Roman" w:hAnsi="Calibri" w:cs="Calibri"/>
                <w:color w:val="000000"/>
                <w:sz w:val="20"/>
                <w:szCs w:val="20"/>
                <w:lang w:eastAsia="en-GB"/>
              </w:rPr>
              <w:br/>
              <w:t>▪ Children aged 0-9 years who slept in the household the night before the survey, whose parents or guardians were willing and able to provide verbal informed consent in Kiswahili or English for their participation.</w:t>
            </w:r>
          </w:p>
        </w:tc>
      </w:tr>
      <w:tr w:rsidR="008D589E" w:rsidRPr="008D589E" w14:paraId="52CA2560" w14:textId="77777777" w:rsidTr="00D43AA5">
        <w:trPr>
          <w:trHeight w:val="2737"/>
        </w:trPr>
        <w:tc>
          <w:tcPr>
            <w:tcW w:w="831" w:type="dxa"/>
            <w:tcBorders>
              <w:top w:val="nil"/>
              <w:left w:val="nil"/>
              <w:bottom w:val="nil"/>
              <w:right w:val="nil"/>
            </w:tcBorders>
            <w:shd w:val="clear" w:color="auto" w:fill="auto"/>
            <w:noWrap/>
            <w:hideMark/>
          </w:tcPr>
          <w:p w14:paraId="307EECE5" w14:textId="77777777" w:rsidR="008D589E" w:rsidRPr="00D43AA5" w:rsidRDefault="008D589E" w:rsidP="008D589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Uganda</w:t>
            </w:r>
          </w:p>
        </w:tc>
        <w:tc>
          <w:tcPr>
            <w:tcW w:w="8793" w:type="dxa"/>
            <w:tcBorders>
              <w:top w:val="nil"/>
              <w:left w:val="nil"/>
              <w:bottom w:val="nil"/>
              <w:right w:val="nil"/>
            </w:tcBorders>
            <w:shd w:val="clear" w:color="auto" w:fill="auto"/>
            <w:hideMark/>
          </w:tcPr>
          <w:p w14:paraId="1052C7DD" w14:textId="77777777" w:rsidR="008D589E" w:rsidRPr="00D43AA5" w:rsidRDefault="008D589E" w:rsidP="008D589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The eligible survey population included:</w:t>
            </w:r>
            <w:r w:rsidRPr="00D43AA5">
              <w:rPr>
                <w:rFonts w:ascii="Calibri" w:eastAsia="Times New Roman" w:hAnsi="Calibri" w:cs="Calibri"/>
                <w:color w:val="000000"/>
                <w:sz w:val="20"/>
                <w:szCs w:val="20"/>
                <w:lang w:eastAsia="en-GB"/>
              </w:rPr>
              <w:br/>
              <w:t>▪ Women and men aged 18-64 years living in the selected households (and visitors who slept in the household the night before the survey) who were willing and able to provide verbal consent.</w:t>
            </w:r>
            <w:r w:rsidRPr="00D43AA5">
              <w:rPr>
                <w:rFonts w:ascii="Calibri" w:eastAsia="Times New Roman" w:hAnsi="Calibri" w:cs="Calibri"/>
                <w:color w:val="000000"/>
                <w:sz w:val="20"/>
                <w:szCs w:val="20"/>
                <w:lang w:eastAsia="en-GB"/>
              </w:rPr>
              <w:br/>
              <w:t>▪ Children and adolescents aged 8-17 years living in the selected households (and visitors aged 8-17 years who slept in the household the night before the survey) who were willing and able to provide verbal assent, and whose parents or guardians were willing and able to provide verbal permission for their participation.</w:t>
            </w:r>
            <w:r w:rsidRPr="00D43AA5">
              <w:rPr>
                <w:rFonts w:ascii="Calibri" w:eastAsia="Times New Roman" w:hAnsi="Calibri" w:cs="Calibri"/>
                <w:color w:val="000000"/>
                <w:sz w:val="20"/>
                <w:szCs w:val="20"/>
                <w:lang w:eastAsia="en-GB"/>
              </w:rPr>
              <w:br/>
              <w:t>▪ Children aged 0-7 years living in the selected households (and visitors aged 0-7 years who slept in the household the night before the survey) whose parents or guardians were willing and able to provide verbal consent for their participation.</w:t>
            </w:r>
          </w:p>
        </w:tc>
      </w:tr>
      <w:tr w:rsidR="008D589E" w:rsidRPr="008D589E" w14:paraId="2E992ABA" w14:textId="77777777" w:rsidTr="00D43AA5">
        <w:trPr>
          <w:trHeight w:val="2737"/>
        </w:trPr>
        <w:tc>
          <w:tcPr>
            <w:tcW w:w="831" w:type="dxa"/>
            <w:tcBorders>
              <w:top w:val="nil"/>
              <w:left w:val="nil"/>
              <w:bottom w:val="nil"/>
              <w:right w:val="nil"/>
            </w:tcBorders>
            <w:shd w:val="clear" w:color="auto" w:fill="auto"/>
            <w:noWrap/>
            <w:hideMark/>
          </w:tcPr>
          <w:p w14:paraId="3008C7A4" w14:textId="77777777" w:rsidR="008D589E" w:rsidRPr="00D43AA5" w:rsidRDefault="008D589E" w:rsidP="008D589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Zambia</w:t>
            </w:r>
          </w:p>
        </w:tc>
        <w:tc>
          <w:tcPr>
            <w:tcW w:w="8793" w:type="dxa"/>
            <w:tcBorders>
              <w:top w:val="nil"/>
              <w:left w:val="nil"/>
              <w:bottom w:val="nil"/>
              <w:right w:val="nil"/>
            </w:tcBorders>
            <w:shd w:val="clear" w:color="auto" w:fill="auto"/>
            <w:hideMark/>
          </w:tcPr>
          <w:p w14:paraId="5BDFAA67" w14:textId="77777777" w:rsidR="008D589E" w:rsidRPr="00D43AA5" w:rsidRDefault="008D589E" w:rsidP="008D589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Participants were eligible if they were literate in one of the survey languages or could provide a literate witness and were willing and cognitively able to provide consent. The eligible survey population included:</w:t>
            </w:r>
            <w:r w:rsidRPr="00D43AA5">
              <w:rPr>
                <w:rFonts w:ascii="Calibri" w:eastAsia="Times New Roman" w:hAnsi="Calibri" w:cs="Calibri"/>
                <w:color w:val="000000"/>
                <w:sz w:val="20"/>
                <w:szCs w:val="20"/>
                <w:lang w:eastAsia="en-GB"/>
              </w:rPr>
              <w:br/>
              <w:t>▪ Children aged 0-9 years living in residential households, and child visitors who slept in the household the night before the survey, whose parents or guardians were able to provide consent for their participation.</w:t>
            </w:r>
            <w:r w:rsidRPr="00D43AA5">
              <w:rPr>
                <w:rFonts w:ascii="Calibri" w:eastAsia="Times New Roman" w:hAnsi="Calibri" w:cs="Calibri"/>
                <w:color w:val="000000"/>
                <w:sz w:val="20"/>
                <w:szCs w:val="20"/>
                <w:lang w:eastAsia="en-GB"/>
              </w:rPr>
              <w:br/>
              <w:t>▪ Young people aged 10-17 years living in residential households, and young visitors who slept in the household the night before the survey, willing and able to provide assent and whose parents or guardians provided permission.</w:t>
            </w:r>
            <w:r w:rsidRPr="00D43AA5">
              <w:rPr>
                <w:rFonts w:ascii="Calibri" w:eastAsia="Times New Roman" w:hAnsi="Calibri" w:cs="Calibri"/>
                <w:color w:val="000000"/>
                <w:sz w:val="20"/>
                <w:szCs w:val="20"/>
                <w:lang w:eastAsia="en-GB"/>
              </w:rPr>
              <w:br/>
              <w:t xml:space="preserve">▪ Women and men aged 18-59 years living in residential households, and visitors who slept in the household the night before the survey, who were able to provide consent in one of the eight survey languages (English, Bemba, Nyanja, Lozi, Tonga, Lunda, </w:t>
            </w:r>
            <w:proofErr w:type="spellStart"/>
            <w:r w:rsidRPr="00D43AA5">
              <w:rPr>
                <w:rFonts w:ascii="Calibri" w:eastAsia="Times New Roman" w:hAnsi="Calibri" w:cs="Calibri"/>
                <w:color w:val="000000"/>
                <w:sz w:val="20"/>
                <w:szCs w:val="20"/>
                <w:lang w:eastAsia="en-GB"/>
              </w:rPr>
              <w:t>Luvale</w:t>
            </w:r>
            <w:proofErr w:type="spellEnd"/>
            <w:r w:rsidRPr="00D43AA5">
              <w:rPr>
                <w:rFonts w:ascii="Calibri" w:eastAsia="Times New Roman" w:hAnsi="Calibri" w:cs="Calibri"/>
                <w:color w:val="000000"/>
                <w:sz w:val="20"/>
                <w:szCs w:val="20"/>
                <w:lang w:eastAsia="en-GB"/>
              </w:rPr>
              <w:t>, or Kaonde).</w:t>
            </w:r>
          </w:p>
        </w:tc>
      </w:tr>
    </w:tbl>
    <w:p w14:paraId="6CD768CA" w14:textId="77777777" w:rsidR="007350F1" w:rsidRDefault="007350F1"/>
    <w:p w14:paraId="183D48D1" w14:textId="77777777" w:rsidR="008D589E" w:rsidRDefault="008D589E">
      <w:r>
        <w:br w:type="page"/>
      </w:r>
    </w:p>
    <w:p w14:paraId="533B1193" w14:textId="17447EA1" w:rsidR="007350F1" w:rsidRDefault="008D589E">
      <w:r w:rsidRPr="00D43AA5">
        <w:rPr>
          <w:b/>
          <w:bCs/>
        </w:rPr>
        <w:lastRenderedPageBreak/>
        <w:t xml:space="preserve">Supplementary table </w:t>
      </w:r>
      <w:r w:rsidR="008C1163">
        <w:rPr>
          <w:b/>
          <w:bCs/>
        </w:rPr>
        <w:t>3</w:t>
      </w:r>
      <w:r w:rsidRPr="00D43AA5">
        <w:rPr>
          <w:b/>
          <w:bCs/>
        </w:rPr>
        <w:t>:</w:t>
      </w:r>
      <w:r>
        <w:t xml:space="preserve"> </w:t>
      </w:r>
      <w:r w:rsidR="00486F2D">
        <w:t>PHIA survey c</w:t>
      </w:r>
      <w:r>
        <w:t>onsent procedures.</w:t>
      </w:r>
    </w:p>
    <w:tbl>
      <w:tblPr>
        <w:tblW w:w="10004" w:type="dxa"/>
        <w:tblInd w:w="-426" w:type="dxa"/>
        <w:tblLook w:val="04A0" w:firstRow="1" w:lastRow="0" w:firstColumn="1" w:lastColumn="0" w:noHBand="0" w:noVBand="1"/>
      </w:tblPr>
      <w:tblGrid>
        <w:gridCol w:w="955"/>
        <w:gridCol w:w="9049"/>
      </w:tblGrid>
      <w:tr w:rsidR="00486F2D" w:rsidRPr="00F1075C" w14:paraId="290F0195" w14:textId="77777777" w:rsidTr="00D43AA5">
        <w:trPr>
          <w:trHeight w:val="4515"/>
        </w:trPr>
        <w:tc>
          <w:tcPr>
            <w:tcW w:w="710" w:type="dxa"/>
            <w:tcBorders>
              <w:top w:val="nil"/>
              <w:left w:val="nil"/>
              <w:bottom w:val="nil"/>
              <w:right w:val="nil"/>
            </w:tcBorders>
            <w:shd w:val="clear" w:color="auto" w:fill="auto"/>
            <w:noWrap/>
            <w:hideMark/>
          </w:tcPr>
          <w:p w14:paraId="41369376" w14:textId="77777777" w:rsidR="00F1075C" w:rsidRPr="00D43AA5" w:rsidRDefault="00F1075C" w:rsidP="00F1075C">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Eswatini</w:t>
            </w:r>
          </w:p>
        </w:tc>
        <w:tc>
          <w:tcPr>
            <w:tcW w:w="9294" w:type="dxa"/>
            <w:tcBorders>
              <w:top w:val="nil"/>
              <w:left w:val="nil"/>
              <w:bottom w:val="nil"/>
              <w:right w:val="nil"/>
            </w:tcBorders>
            <w:shd w:val="clear" w:color="auto" w:fill="auto"/>
            <w:hideMark/>
          </w:tcPr>
          <w:p w14:paraId="65C3F15A" w14:textId="77777777" w:rsidR="00F1075C" w:rsidRPr="00D43AA5" w:rsidRDefault="00F1075C" w:rsidP="00F1075C">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An electronic informed consent form was administered using a tablet computer. At each stage of the consent process, consent was indicated by signing or making a mark on the consent form on the tablet and on a printed copy, which was retained by the participant. A designated head of household provided written consent for household members to participate in the survey, after which individual members were rostered during a household interview. Adults and children with special circumstances (e.g., emancipated minors) provided written consent on the tablet for an interview. After completing the interview, they provided written consent for participation in the biomarker component of the survey, including home-based testing and counselling (HBTC), with return of HIV-testing results and CD4 counts during the household visit. Receipt of tests results was a requirement for participation in the biomarker component. If an individual did not want to receive his or her HIV test result, this was considered a refusal for the biomarker component. Adults were also asked for written consent to store their blood samples in a repository to perform additional tests in the future. Participants aged 10-17 years were asked for assent to the interview and biomarker components after permission was granted by their parents or guardians. Parents provided consent for biomarker testing for minors below the age of assent (ages 0-9 years). Procedures with illiterate participants or participants with a sight disability involved the use of an impartial witness, chosen by the potential participant, who also signed or made a mark on the consent form on the tablet and the printed copy. If no witness could be identified, the potential participant or household (if the head of household was sight disabled or illiterate) was deemed ineligible.</w:t>
            </w:r>
          </w:p>
        </w:tc>
      </w:tr>
      <w:tr w:rsidR="00486F2D" w:rsidRPr="00F1075C" w14:paraId="48E397C7" w14:textId="77777777" w:rsidTr="00D43AA5">
        <w:trPr>
          <w:trHeight w:val="4980"/>
        </w:trPr>
        <w:tc>
          <w:tcPr>
            <w:tcW w:w="710" w:type="dxa"/>
            <w:tcBorders>
              <w:top w:val="nil"/>
              <w:left w:val="nil"/>
              <w:bottom w:val="nil"/>
              <w:right w:val="nil"/>
            </w:tcBorders>
            <w:shd w:val="clear" w:color="auto" w:fill="auto"/>
            <w:noWrap/>
            <w:hideMark/>
          </w:tcPr>
          <w:p w14:paraId="3FBC7C95" w14:textId="77777777" w:rsidR="00F1075C" w:rsidRPr="00D43AA5" w:rsidRDefault="00F1075C" w:rsidP="00F1075C">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Lesotho</w:t>
            </w:r>
          </w:p>
        </w:tc>
        <w:tc>
          <w:tcPr>
            <w:tcW w:w="9294" w:type="dxa"/>
            <w:tcBorders>
              <w:top w:val="nil"/>
              <w:left w:val="nil"/>
              <w:bottom w:val="nil"/>
              <w:right w:val="nil"/>
            </w:tcBorders>
            <w:shd w:val="clear" w:color="auto" w:fill="auto"/>
            <w:hideMark/>
          </w:tcPr>
          <w:p w14:paraId="3D043699" w14:textId="77777777" w:rsidR="00F1075C" w:rsidRPr="00D43AA5" w:rsidRDefault="00F1075C" w:rsidP="00F1075C">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An electronic informed consent form was administered using a tablet. At each stage of the consent process, consent was indicated by signing or making a mark on the consent form on the tablet and on a printed copy, which was retained by the participant. A household-designated head provided written consent for household members to participate in the survey, after which individual members were rostered during a household interview. Adults and emancipated minors then provided written consent on the tablet for an interview. After completing the interview, they provided written consent for participation in the biomarker component of the survey, including HBTC, with return of HIV test results and CD4 counts during the household visit. Receipt of HIV test results was a requirement for participation in the biomarker component. If an individual did not want to receive his or her HIV test result, this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concluded. Adults were also asked for written consent to store their blood samples in a repository to perform additional tests in the future, and for consent to share their contact information with the MOH or an implementing partner if HIV positive for active linkage to care. Adolescents aged 12-17 years were asked for assent to the interview and biomarker components after permission was granted by their parents or guardians. Parents provided consent for interview and biomarker testing for children aged 10-11 </w:t>
            </w:r>
            <w:proofErr w:type="gramStart"/>
            <w:r w:rsidRPr="00D43AA5">
              <w:rPr>
                <w:rFonts w:ascii="Calibri" w:eastAsia="Times New Roman" w:hAnsi="Calibri" w:cs="Calibri"/>
                <w:color w:val="000000"/>
                <w:sz w:val="20"/>
                <w:szCs w:val="20"/>
                <w:lang w:eastAsia="en-GB"/>
              </w:rPr>
              <w:t>years, and</w:t>
            </w:r>
            <w:proofErr w:type="gramEnd"/>
            <w:r w:rsidRPr="00D43AA5">
              <w:rPr>
                <w:rFonts w:ascii="Calibri" w:eastAsia="Times New Roman" w:hAnsi="Calibri" w:cs="Calibri"/>
                <w:color w:val="000000"/>
                <w:sz w:val="20"/>
                <w:szCs w:val="20"/>
                <w:lang w:eastAsia="en-GB"/>
              </w:rPr>
              <w:t xml:space="preserve"> provided consent for biomarker testing for children below the age of 10 years. In both cases, if a parent or guardian did not want to receive his or her child’s HIV test result, this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concluded. Adolescents aged 12-17 years were also asked for consent for linkage to care as in adults, and parents provided consent for children aged 0-11 years. Procedures with illiterate participants, or participants with a sight disability, involved the use of an impartial witness, chosen by the potential participant, who also signed or made a mark on the consent form on the tablet and the printed copy. If no witness could be identified, the potential participant or household (if the head of household was sight disabled or illiterate) was deemed ineligible.</w:t>
            </w:r>
          </w:p>
        </w:tc>
      </w:tr>
      <w:tr w:rsidR="00486F2D" w:rsidRPr="00F1075C" w14:paraId="74D48E8F" w14:textId="77777777" w:rsidTr="00D43AA5">
        <w:trPr>
          <w:trHeight w:val="4537"/>
        </w:trPr>
        <w:tc>
          <w:tcPr>
            <w:tcW w:w="710" w:type="dxa"/>
            <w:tcBorders>
              <w:top w:val="nil"/>
              <w:left w:val="nil"/>
              <w:bottom w:val="nil"/>
              <w:right w:val="nil"/>
            </w:tcBorders>
            <w:shd w:val="clear" w:color="auto" w:fill="auto"/>
            <w:noWrap/>
            <w:hideMark/>
          </w:tcPr>
          <w:p w14:paraId="12998B84" w14:textId="77777777" w:rsidR="00F1075C" w:rsidRPr="00D43AA5" w:rsidRDefault="00F1075C" w:rsidP="00F1075C">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lastRenderedPageBreak/>
              <w:t>Tanzania</w:t>
            </w:r>
          </w:p>
        </w:tc>
        <w:tc>
          <w:tcPr>
            <w:tcW w:w="9294" w:type="dxa"/>
            <w:tcBorders>
              <w:top w:val="nil"/>
              <w:left w:val="nil"/>
              <w:bottom w:val="nil"/>
              <w:right w:val="nil"/>
            </w:tcBorders>
            <w:shd w:val="clear" w:color="auto" w:fill="auto"/>
            <w:hideMark/>
          </w:tcPr>
          <w:p w14:paraId="278A0452" w14:textId="77777777" w:rsidR="00F1075C" w:rsidRPr="00D43AA5" w:rsidRDefault="00F1075C" w:rsidP="00F1075C">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An electronic informed consent form was administered using a tablet computer. Respondents provided verbal informed consent, which was then noted in the tablet. A designated head of household provided consent for household members to participate in the survey, after which individual members had to provide consent/assent for an interview. After completing the interview, individuals aged 18 years and older provided verbal consent for participation in the biomarker component of the survey, including HBTC and syphilis testing, with return of HIV and syphilis test results and CD4 counts during the household visit. People in the household aged 10-17 years were asked for assent to the interview and biomarker components after permission was granted by their parents or guardians. Parents provided consent for biomarker testing for minors below the age of assent (ages 0-9 years). A CD4 count was conducted for all participants who tested HIV positive and 2.0% of the HIV-negative participants who were randomly selected by a computerized algorithm. Receipt of test results was a requirement for participation in the biomarker component. If an individual did not want to receive his or her HIV test result, this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concluded. Participants were also asked for consent/assent to store their blood samples in a repository for future use to perform additional tests. All participants were assessed for cognitive ability prior to obtaining their consent. Cognitive ability to consent was assessed by providing information on survey participation and then asking participants to summarize their understanding of the purpose of the survey and what is requested from them if they chose to participate. In addition to verbal consent, participants who consented were provided with a hardcopy version of the same consent form. </w:t>
            </w:r>
          </w:p>
        </w:tc>
      </w:tr>
      <w:tr w:rsidR="00486F2D" w:rsidRPr="00F1075C" w14:paraId="49370E0E" w14:textId="77777777" w:rsidTr="00D43AA5">
        <w:trPr>
          <w:trHeight w:val="4260"/>
        </w:trPr>
        <w:tc>
          <w:tcPr>
            <w:tcW w:w="710" w:type="dxa"/>
            <w:tcBorders>
              <w:top w:val="nil"/>
              <w:left w:val="nil"/>
              <w:bottom w:val="nil"/>
              <w:right w:val="nil"/>
            </w:tcBorders>
            <w:shd w:val="clear" w:color="auto" w:fill="auto"/>
            <w:noWrap/>
            <w:hideMark/>
          </w:tcPr>
          <w:p w14:paraId="196DFCD0" w14:textId="77777777" w:rsidR="00F1075C" w:rsidRPr="00D43AA5" w:rsidRDefault="00F1075C" w:rsidP="00F1075C">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Uganda</w:t>
            </w:r>
          </w:p>
        </w:tc>
        <w:tc>
          <w:tcPr>
            <w:tcW w:w="9294" w:type="dxa"/>
            <w:tcBorders>
              <w:top w:val="nil"/>
              <w:left w:val="nil"/>
              <w:bottom w:val="nil"/>
              <w:right w:val="nil"/>
            </w:tcBorders>
            <w:shd w:val="clear" w:color="auto" w:fill="auto"/>
            <w:hideMark/>
          </w:tcPr>
          <w:p w14:paraId="0D0D3615" w14:textId="77777777" w:rsidR="00F1075C" w:rsidRDefault="00F1075C" w:rsidP="00F1075C">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An electronic informed consent form was administered using a tablet. A designated head of household provided consent for household members to participate in the survey, after which individual members were rostered during a household interview. Adults and emancipated minors then provided consent for an interview. After completing the interview, they provided consent for participation in the biomarker component of the survey, including HBTC, with return of HIV test results and CD4 counts during the household visit. Receipt of test results was a requirement for participation in the biomarker component. If an individual did not want to receive his or her HIV test result, this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concluded. Adults were also asked for consent to store their blood samples in a repository to perform additional tests in the future. Children and adolescents aged 8-17 years were asked for assent to the interview (ages 15-17 years only) and biomarker components (ages 8-17 years) after permission was granted by their parents or guardians. Parents provided consent for biomarker testing for children below the age of assent (ages 0-7 years). If a parent or guardian did not want to receive their child’s HIV test result, this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concluded. Procedures with illiterate participants or participants with a sight disability involved the use of an impartial witness, chosen by the potential participant, who also signed or made a mark on the consent form on the tablet and the printed copy. If no witness could be identified, the potential participant or household (if the head of household was hearing or sight disabled or illiterate) was deemed ineligible.</w:t>
            </w:r>
          </w:p>
          <w:p w14:paraId="2B886A97" w14:textId="5D11C05A" w:rsidR="00FF6DE2" w:rsidRPr="00D43AA5" w:rsidRDefault="00FF6DE2" w:rsidP="00F1075C">
            <w:pPr>
              <w:spacing w:after="0" w:line="240" w:lineRule="auto"/>
              <w:rPr>
                <w:rFonts w:ascii="Calibri" w:eastAsia="Times New Roman" w:hAnsi="Calibri" w:cs="Calibri"/>
                <w:color w:val="000000"/>
                <w:sz w:val="20"/>
                <w:szCs w:val="20"/>
                <w:lang w:eastAsia="en-GB"/>
              </w:rPr>
            </w:pPr>
          </w:p>
        </w:tc>
      </w:tr>
      <w:tr w:rsidR="00486F2D" w:rsidRPr="00F1075C" w14:paraId="1640CDC6" w14:textId="77777777" w:rsidTr="00D43AA5">
        <w:trPr>
          <w:trHeight w:val="4618"/>
        </w:trPr>
        <w:tc>
          <w:tcPr>
            <w:tcW w:w="710" w:type="dxa"/>
            <w:tcBorders>
              <w:top w:val="nil"/>
              <w:left w:val="nil"/>
              <w:bottom w:val="nil"/>
              <w:right w:val="nil"/>
            </w:tcBorders>
            <w:shd w:val="clear" w:color="auto" w:fill="auto"/>
            <w:noWrap/>
            <w:hideMark/>
          </w:tcPr>
          <w:p w14:paraId="33C67E62" w14:textId="77777777" w:rsidR="00F1075C" w:rsidRPr="00D43AA5" w:rsidRDefault="00F1075C" w:rsidP="00F1075C">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Zambia</w:t>
            </w:r>
          </w:p>
        </w:tc>
        <w:tc>
          <w:tcPr>
            <w:tcW w:w="9294" w:type="dxa"/>
            <w:tcBorders>
              <w:top w:val="nil"/>
              <w:left w:val="nil"/>
              <w:bottom w:val="nil"/>
              <w:right w:val="nil"/>
            </w:tcBorders>
            <w:shd w:val="clear" w:color="auto" w:fill="auto"/>
            <w:hideMark/>
          </w:tcPr>
          <w:p w14:paraId="60EB4194" w14:textId="5C33565F" w:rsidR="00F1075C" w:rsidRPr="00D43AA5" w:rsidRDefault="00F1075C" w:rsidP="00F1075C">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A designated head of household provided written consent for household members to participate in the survey on an electronic informed consent form administered using a tablet. Individual members were then rostered during a household interview. Persons aged 15-59 (note that parental permission and participant assent were obtained for adolescents 15 to 17 years of age) and emancipated minors (minors 15-17 years of age who are married, have children and or living without parental/guardian supervision) then provided written consent for an interview on the tablet. After completing the interview, they provided written consent for participation in the biomarker component of the survey, which included home-based testing and counsel</w:t>
            </w:r>
            <w:r w:rsidR="00632291">
              <w:rPr>
                <w:rFonts w:ascii="Calibri" w:eastAsia="Times New Roman" w:hAnsi="Calibri" w:cs="Calibri"/>
                <w:color w:val="000000"/>
                <w:sz w:val="20"/>
                <w:szCs w:val="20"/>
                <w:lang w:eastAsia="en-GB"/>
              </w:rPr>
              <w:t>l</w:t>
            </w:r>
            <w:r w:rsidRPr="00D43AA5">
              <w:rPr>
                <w:rFonts w:ascii="Calibri" w:eastAsia="Times New Roman" w:hAnsi="Calibri" w:cs="Calibri"/>
                <w:color w:val="000000"/>
                <w:sz w:val="20"/>
                <w:szCs w:val="20"/>
                <w:lang w:eastAsia="en-GB"/>
              </w:rPr>
              <w:t xml:space="preserve">ing (HBTC) for HIV, hepatitis B, and syphilis (for persons 15-59 years of age) with return of HIV test results and CD4 count results for those who tested HIV positive, during the household visit. If an individual did not want to receive his or her HIV test result, it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stopped. Adults were also asked for written consent for their blood samples to be stored in a repository for future testing. At each stage of the consent process, consent was indicated by signing or making a mark on the consent form on the tablet and on a printed copy, which was retained by the participant. Adolescents aged 10-14 years were asked for assent to the interview and biomarker components after permission was granted by their parents or guardians. Parents or guardians provided consent directly for minors below the age of assent (ages 0-9 years). In both cases, if a parent or guardian did not want to receive his or her HIV test result, this was considered a </w:t>
            </w:r>
            <w:proofErr w:type="gramStart"/>
            <w:r w:rsidRPr="00D43AA5">
              <w:rPr>
                <w:rFonts w:ascii="Calibri" w:eastAsia="Times New Roman" w:hAnsi="Calibri" w:cs="Calibri"/>
                <w:color w:val="000000"/>
                <w:sz w:val="20"/>
                <w:szCs w:val="20"/>
                <w:lang w:eastAsia="en-GB"/>
              </w:rPr>
              <w:t>refusal</w:t>
            </w:r>
            <w:proofErr w:type="gramEnd"/>
            <w:r w:rsidRPr="00D43AA5">
              <w:rPr>
                <w:rFonts w:ascii="Calibri" w:eastAsia="Times New Roman" w:hAnsi="Calibri" w:cs="Calibri"/>
                <w:color w:val="000000"/>
                <w:sz w:val="20"/>
                <w:szCs w:val="20"/>
                <w:lang w:eastAsia="en-GB"/>
              </w:rPr>
              <w:t xml:space="preserve"> and the survey was concluded. Procedures with non-literate participants, or participants with a sight disability, involved the use of an impartial witness, chosen by the potential participant who also signed or made a mark on the consent form on the tablet and the printed copy. If no witness could be identified, the potential participant or household (if the head of household was illiterate) was deemed ineligible.</w:t>
            </w:r>
          </w:p>
        </w:tc>
      </w:tr>
    </w:tbl>
    <w:p w14:paraId="146327CF" w14:textId="2647DEAD" w:rsidR="00E93E22" w:rsidRPr="005977B9" w:rsidRDefault="00104E1E" w:rsidP="00310D00">
      <w:r>
        <w:rPr>
          <w:b/>
          <w:bCs/>
        </w:rPr>
        <w:lastRenderedPageBreak/>
        <w:t>PHIA survey s</w:t>
      </w:r>
      <w:r w:rsidR="00E93E22" w:rsidRPr="00D43AA5">
        <w:rPr>
          <w:b/>
          <w:bCs/>
        </w:rPr>
        <w:t>taff training</w:t>
      </w:r>
    </w:p>
    <w:p w14:paraId="37EB8DF3" w14:textId="4465E731" w:rsidR="00310D00" w:rsidRDefault="00310D00" w:rsidP="00310D00">
      <w:r>
        <w:t>In each survey, survey staff received training on both the contents of the data collection instruments and tablet use. The training curriculum included:</w:t>
      </w:r>
    </w:p>
    <w:p w14:paraId="62B18701" w14:textId="77777777" w:rsidR="00310D00" w:rsidRDefault="00310D00" w:rsidP="00310D00">
      <w:r>
        <w:t>▪ Scientific objectives of the survey</w:t>
      </w:r>
    </w:p>
    <w:p w14:paraId="4F952880" w14:textId="77777777" w:rsidR="00310D00" w:rsidRDefault="00310D00" w:rsidP="00310D00">
      <w:r>
        <w:t>▪ Survey design and methodology</w:t>
      </w:r>
    </w:p>
    <w:p w14:paraId="283F88FF" w14:textId="77777777" w:rsidR="00310D00" w:rsidRDefault="00310D00" w:rsidP="00310D00">
      <w:r>
        <w:t>▪ Completion of survey forms</w:t>
      </w:r>
    </w:p>
    <w:p w14:paraId="287777F4" w14:textId="77777777" w:rsidR="00310D00" w:rsidRDefault="00310D00" w:rsidP="00310D00">
      <w:r>
        <w:t>▪ Data collection</w:t>
      </w:r>
    </w:p>
    <w:p w14:paraId="0A4192E7" w14:textId="77777777" w:rsidR="00310D00" w:rsidRDefault="00310D00" w:rsidP="00310D00">
      <w:r>
        <w:t>▪ Staff responsibilities</w:t>
      </w:r>
    </w:p>
    <w:p w14:paraId="10AD516E" w14:textId="77777777" w:rsidR="00310D00" w:rsidRDefault="00310D00" w:rsidP="00310D00">
      <w:r>
        <w:t>▪ Recruitment of participants</w:t>
      </w:r>
    </w:p>
    <w:p w14:paraId="6419B490" w14:textId="77777777" w:rsidR="00310D00" w:rsidRDefault="00310D00" w:rsidP="00310D00">
      <w:r>
        <w:t>▪ Informed consent procedures including human participants’ protection, privacy, and confidentiality</w:t>
      </w:r>
    </w:p>
    <w:p w14:paraId="4930DCB7" w14:textId="77777777" w:rsidR="00310D00" w:rsidRDefault="00310D00" w:rsidP="00310D00">
      <w:r>
        <w:t>▪ Blood collection for children and adults, including venipuncture and finger/heel stick</w:t>
      </w:r>
    </w:p>
    <w:p w14:paraId="7290419A" w14:textId="77777777" w:rsidR="00310D00" w:rsidRDefault="00310D00" w:rsidP="00310D00">
      <w:r>
        <w:t>▪ HIV HBTC</w:t>
      </w:r>
    </w:p>
    <w:p w14:paraId="2331AB15" w14:textId="77777777" w:rsidR="00310D00" w:rsidRDefault="00310D00" w:rsidP="00310D00">
      <w:r>
        <w:t>▪ CD4 count measurement using a POC PIMA Analyzer</w:t>
      </w:r>
    </w:p>
    <w:p w14:paraId="437CFB1A" w14:textId="77777777" w:rsidR="00310D00" w:rsidRDefault="00310D00" w:rsidP="00310D00">
      <w:r>
        <w:t>▪ Referral of participants to health and social services</w:t>
      </w:r>
    </w:p>
    <w:p w14:paraId="2CB9F04F" w14:textId="77777777" w:rsidR="00310D00" w:rsidRDefault="00310D00" w:rsidP="00310D00">
      <w:r>
        <w:t>▪ Management and transportation of blood specimens</w:t>
      </w:r>
    </w:p>
    <w:p w14:paraId="7444D4B2" w14:textId="77777777" w:rsidR="00310D00" w:rsidRDefault="00310D00" w:rsidP="00310D00">
      <w:r>
        <w:t>▪ Biosafety</w:t>
      </w:r>
    </w:p>
    <w:p w14:paraId="0FA0B43E" w14:textId="77777777" w:rsidR="00310D00" w:rsidRDefault="00310D00" w:rsidP="00310D00">
      <w:r>
        <w:t>▪ Communication skills</w:t>
      </w:r>
    </w:p>
    <w:p w14:paraId="232F6081" w14:textId="77777777" w:rsidR="00310D00" w:rsidRDefault="00310D00" w:rsidP="00310D00">
      <w:r>
        <w:t>▪ Protocol deviations, adverse events, and reporting of events</w:t>
      </w:r>
    </w:p>
    <w:p w14:paraId="1EB239C5" w14:textId="6B95EE42" w:rsidR="00310D00" w:rsidRDefault="00310D00" w:rsidP="00310D00">
      <w:r>
        <w:t xml:space="preserve">Laboratory staff were trained in specimen management, including sample processing, </w:t>
      </w:r>
      <w:proofErr w:type="spellStart"/>
      <w:r>
        <w:t>labeling</w:t>
      </w:r>
      <w:proofErr w:type="spellEnd"/>
      <w:r>
        <w:t>, and QA. Central laboratory staff were trained in VL measurement, EID, HIV confirmatory testing, and HIV recency testing using the limiting antigen (</w:t>
      </w:r>
      <w:proofErr w:type="spellStart"/>
      <w:r>
        <w:t>LAg</w:t>
      </w:r>
      <w:proofErr w:type="spellEnd"/>
      <w:r>
        <w:t>) avidity enzyme immunoassay (EIA).</w:t>
      </w:r>
    </w:p>
    <w:p w14:paraId="1FCA9EE6" w14:textId="77777777" w:rsidR="00104E1E" w:rsidRDefault="00104E1E">
      <w:pPr>
        <w:rPr>
          <w:b/>
          <w:bCs/>
        </w:rPr>
      </w:pPr>
      <w:r>
        <w:rPr>
          <w:b/>
          <w:bCs/>
        </w:rPr>
        <w:br w:type="page"/>
      </w:r>
    </w:p>
    <w:p w14:paraId="1D1FD911" w14:textId="608A2E22" w:rsidR="007350F1" w:rsidRDefault="002C4AD8">
      <w:r w:rsidRPr="00D43AA5">
        <w:rPr>
          <w:b/>
          <w:bCs/>
        </w:rPr>
        <w:lastRenderedPageBreak/>
        <w:t xml:space="preserve">Supplementary table </w:t>
      </w:r>
      <w:r w:rsidR="008C1163">
        <w:rPr>
          <w:b/>
          <w:bCs/>
        </w:rPr>
        <w:t>4</w:t>
      </w:r>
      <w:r w:rsidRPr="00D43AA5">
        <w:rPr>
          <w:b/>
          <w:bCs/>
        </w:rPr>
        <w:t>:</w:t>
      </w:r>
      <w:r>
        <w:t xml:space="preserve"> </w:t>
      </w:r>
      <w:r w:rsidR="00104E1E">
        <w:t>PHIA s</w:t>
      </w:r>
      <w:r>
        <w:t>urvey staff</w:t>
      </w:r>
    </w:p>
    <w:tbl>
      <w:tblPr>
        <w:tblW w:w="9089" w:type="dxa"/>
        <w:tblLook w:val="04A0" w:firstRow="1" w:lastRow="0" w:firstColumn="1" w:lastColumn="0" w:noHBand="0" w:noVBand="1"/>
      </w:tblPr>
      <w:tblGrid>
        <w:gridCol w:w="955"/>
        <w:gridCol w:w="8134"/>
      </w:tblGrid>
      <w:tr w:rsidR="00177E14" w:rsidRPr="00C14563" w14:paraId="02E68A91" w14:textId="77777777" w:rsidTr="00177E14">
        <w:trPr>
          <w:trHeight w:val="3766"/>
        </w:trPr>
        <w:tc>
          <w:tcPr>
            <w:tcW w:w="567" w:type="dxa"/>
            <w:tcBorders>
              <w:top w:val="nil"/>
              <w:left w:val="nil"/>
              <w:bottom w:val="nil"/>
              <w:right w:val="nil"/>
            </w:tcBorders>
            <w:shd w:val="clear" w:color="auto" w:fill="auto"/>
            <w:noWrap/>
            <w:hideMark/>
          </w:tcPr>
          <w:p w14:paraId="77C03899" w14:textId="77777777" w:rsidR="008A54CE" w:rsidRPr="00D43AA5" w:rsidRDefault="008A54CE" w:rsidP="008A54C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Eswatini</w:t>
            </w:r>
          </w:p>
        </w:tc>
        <w:tc>
          <w:tcPr>
            <w:tcW w:w="8522" w:type="dxa"/>
            <w:tcBorders>
              <w:top w:val="nil"/>
              <w:left w:val="nil"/>
              <w:bottom w:val="nil"/>
              <w:right w:val="nil"/>
            </w:tcBorders>
            <w:shd w:val="clear" w:color="auto" w:fill="auto"/>
            <w:hideMark/>
          </w:tcPr>
          <w:p w14:paraId="244840B1" w14:textId="77777777" w:rsidR="008A54CE" w:rsidRPr="00D43AA5" w:rsidRDefault="008A54CE" w:rsidP="008A54C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Fieldwork started on August 30, </w:t>
            </w:r>
            <w:proofErr w:type="gramStart"/>
            <w:r w:rsidRPr="00D43AA5">
              <w:rPr>
                <w:rFonts w:ascii="Calibri" w:eastAsia="Times New Roman" w:hAnsi="Calibri" w:cs="Calibri"/>
                <w:color w:val="000000"/>
                <w:sz w:val="20"/>
                <w:szCs w:val="20"/>
                <w:lang w:eastAsia="en-GB"/>
              </w:rPr>
              <w:t>2016</w:t>
            </w:r>
            <w:proofErr w:type="gramEnd"/>
            <w:r w:rsidRPr="00D43AA5">
              <w:rPr>
                <w:rFonts w:ascii="Calibri" w:eastAsia="Times New Roman" w:hAnsi="Calibri" w:cs="Calibri"/>
                <w:color w:val="000000"/>
                <w:sz w:val="20"/>
                <w:szCs w:val="20"/>
                <w:lang w:eastAsia="en-GB"/>
              </w:rPr>
              <w:t xml:space="preserve"> and completed on March 31, 2017. Fieldwork was conducted by 16 locally hired field teams composed of a supervisor, six health workers, and a driver. Field teams included both male and female staff and members spoke both siSwati and English. A total of 163 regional coordinators, team supervisors, field health workers, community-mobilization coordinators, and drivers participated in data collection. Survey personnel were selected based on their qualifications and areas of expertise. The field health workers obtained consent, administered the interview, conducted phlebotomy, performed CD4 counts using a point-of-care instrument, and delivered HIV testing services (HTS) for adults and children. The field teams were managed by four regional coordinators and supervised by sixteen team supervisors, who guided and oversaw data collection activities, performed quality checks, and provided technical support. In addition, 15 laboratory technicians processed samples and performed additional procedures for HIV-1 VL, infant virologic HIV testing, and quality control (QC) and QA. National and international monitors periodically conducted direct observation of data collection activities in the field and in the laboratories to provide technical support and ensure quality.</w:t>
            </w:r>
          </w:p>
        </w:tc>
      </w:tr>
      <w:tr w:rsidR="00177E14" w:rsidRPr="00C14563" w14:paraId="099C58EA" w14:textId="77777777" w:rsidTr="00177E14">
        <w:trPr>
          <w:trHeight w:val="3158"/>
        </w:trPr>
        <w:tc>
          <w:tcPr>
            <w:tcW w:w="567" w:type="dxa"/>
            <w:tcBorders>
              <w:top w:val="nil"/>
              <w:left w:val="nil"/>
              <w:bottom w:val="nil"/>
              <w:right w:val="nil"/>
            </w:tcBorders>
            <w:shd w:val="clear" w:color="auto" w:fill="auto"/>
            <w:noWrap/>
            <w:hideMark/>
          </w:tcPr>
          <w:p w14:paraId="615E7BFE" w14:textId="77777777" w:rsidR="008A54CE" w:rsidRPr="00D43AA5" w:rsidRDefault="008A54CE" w:rsidP="008A54C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Lesotho</w:t>
            </w:r>
          </w:p>
        </w:tc>
        <w:tc>
          <w:tcPr>
            <w:tcW w:w="8522" w:type="dxa"/>
            <w:tcBorders>
              <w:top w:val="nil"/>
              <w:left w:val="nil"/>
              <w:bottom w:val="nil"/>
              <w:right w:val="nil"/>
            </w:tcBorders>
            <w:shd w:val="clear" w:color="auto" w:fill="auto"/>
            <w:hideMark/>
          </w:tcPr>
          <w:p w14:paraId="00C7BCA3" w14:textId="77777777" w:rsidR="008A54CE" w:rsidRPr="00D43AA5" w:rsidRDefault="008A54CE" w:rsidP="008A54C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Fieldwork started at the end of November 2016 and was completed in May 2017. Fieldwork was conducted by 24 locally hired field teams composed of a team leader, four nurse interviewers, two additional interviewers, and a driver. A total of 256 field staff including field coordinators, team leaders, nurses, interviewers, community-mobilization coordinators and community mobilizers, and drivers participated in data collection. Survey personnel were selected based on their qualifications and areas of expertise. Each field team was supervised by a team leader, and all teams were overseen by four regional coordinators, who guided and oversaw data collection activities, performed quality checks, and provided technical support. In addition, seven laboratory technicians processed samples and performed additional procedures for HIV-1 VL, infant virological HIV testing, and quality control (QC) and QA. National and international monitors periodically conducted direct observation of data collection activities in the field and in the laboratories to provide technical support and ensure quality.</w:t>
            </w:r>
          </w:p>
        </w:tc>
      </w:tr>
      <w:tr w:rsidR="00177E14" w:rsidRPr="00C14563" w14:paraId="380F29B7" w14:textId="77777777" w:rsidTr="00177E14">
        <w:trPr>
          <w:trHeight w:val="2900"/>
        </w:trPr>
        <w:tc>
          <w:tcPr>
            <w:tcW w:w="567" w:type="dxa"/>
            <w:tcBorders>
              <w:top w:val="nil"/>
              <w:left w:val="nil"/>
              <w:bottom w:val="nil"/>
              <w:right w:val="nil"/>
            </w:tcBorders>
            <w:shd w:val="clear" w:color="auto" w:fill="auto"/>
            <w:noWrap/>
            <w:hideMark/>
          </w:tcPr>
          <w:p w14:paraId="4E0BB61E" w14:textId="77777777" w:rsidR="008A54CE" w:rsidRPr="00D43AA5" w:rsidRDefault="008A54CE" w:rsidP="008A54C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Tanzania</w:t>
            </w:r>
          </w:p>
        </w:tc>
        <w:tc>
          <w:tcPr>
            <w:tcW w:w="8522" w:type="dxa"/>
            <w:tcBorders>
              <w:top w:val="nil"/>
              <w:left w:val="nil"/>
              <w:bottom w:val="nil"/>
              <w:right w:val="nil"/>
            </w:tcBorders>
            <w:shd w:val="clear" w:color="auto" w:fill="auto"/>
            <w:hideMark/>
          </w:tcPr>
          <w:p w14:paraId="32566937" w14:textId="77777777" w:rsidR="008A54CE" w:rsidRPr="00D43AA5" w:rsidRDefault="008A54CE" w:rsidP="008A54C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A total of 323 participants participated in the training that comprised 187 interviewers, 31 supervisors, 51 facilitators, and 46 laboratory technicians. Facilitators and supervisors were from the NBS, OCGS, ICAP at Columbia University, TACAIDS, NHLQATC, MOH Zanzibar, </w:t>
            </w:r>
            <w:proofErr w:type="spellStart"/>
            <w:r w:rsidRPr="00D43AA5">
              <w:rPr>
                <w:rFonts w:ascii="Calibri" w:eastAsia="Times New Roman" w:hAnsi="Calibri" w:cs="Calibri"/>
                <w:color w:val="000000"/>
                <w:sz w:val="20"/>
                <w:szCs w:val="20"/>
                <w:lang w:eastAsia="en-GB"/>
              </w:rPr>
              <w:t>MoHCDGEC</w:t>
            </w:r>
            <w:proofErr w:type="spellEnd"/>
            <w:r w:rsidRPr="00D43AA5">
              <w:rPr>
                <w:rFonts w:ascii="Calibri" w:eastAsia="Times New Roman" w:hAnsi="Calibri" w:cs="Calibri"/>
                <w:color w:val="000000"/>
                <w:sz w:val="20"/>
                <w:szCs w:val="20"/>
                <w:lang w:eastAsia="en-GB"/>
              </w:rPr>
              <w:t xml:space="preserve">, ZIHHTLP, CDC both Tanzania and Atlanta, U.S., </w:t>
            </w:r>
            <w:proofErr w:type="spellStart"/>
            <w:r w:rsidRPr="00D43AA5">
              <w:rPr>
                <w:rFonts w:ascii="Calibri" w:eastAsia="Times New Roman" w:hAnsi="Calibri" w:cs="Calibri"/>
                <w:color w:val="000000"/>
                <w:sz w:val="20"/>
                <w:szCs w:val="20"/>
                <w:lang w:eastAsia="en-GB"/>
              </w:rPr>
              <w:t>Westat</w:t>
            </w:r>
            <w:proofErr w:type="spellEnd"/>
            <w:r w:rsidRPr="00D43AA5">
              <w:rPr>
                <w:rFonts w:ascii="Calibri" w:eastAsia="Times New Roman" w:hAnsi="Calibri" w:cs="Calibri"/>
                <w:color w:val="000000"/>
                <w:sz w:val="20"/>
                <w:szCs w:val="20"/>
                <w:lang w:eastAsia="en-GB"/>
              </w:rPr>
              <w:t xml:space="preserve"> and other staff from the private sector. A total of 46 laboratory technologists and 187 nurse counsellors were recruited from public health facilities after they were identified through a competitive process overseen by the MOH through the Regional Medical Offices. Those who qualified were recruited to serve as interviewers, counsellors, and testers during the survey. The selection criteria for a nurse interviewer for THIS was the individual had to be a certified nurse and accredited by the MOH as an HIV counsellor. Additional survey management, supervision, and support staff were also recruited and trained accordingly prior to data collection. </w:t>
            </w:r>
          </w:p>
        </w:tc>
      </w:tr>
      <w:tr w:rsidR="00177E14" w:rsidRPr="00C14563" w14:paraId="060F9800" w14:textId="77777777" w:rsidTr="00D43AA5">
        <w:trPr>
          <w:trHeight w:val="3828"/>
        </w:trPr>
        <w:tc>
          <w:tcPr>
            <w:tcW w:w="567" w:type="dxa"/>
            <w:tcBorders>
              <w:top w:val="nil"/>
              <w:left w:val="nil"/>
              <w:bottom w:val="nil"/>
              <w:right w:val="nil"/>
            </w:tcBorders>
            <w:shd w:val="clear" w:color="auto" w:fill="auto"/>
            <w:noWrap/>
            <w:hideMark/>
          </w:tcPr>
          <w:p w14:paraId="38C016F1" w14:textId="77777777" w:rsidR="008A54CE" w:rsidRPr="00D43AA5" w:rsidRDefault="008A54CE" w:rsidP="008A54C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lastRenderedPageBreak/>
              <w:t>Uganda</w:t>
            </w:r>
          </w:p>
        </w:tc>
        <w:tc>
          <w:tcPr>
            <w:tcW w:w="8522" w:type="dxa"/>
            <w:tcBorders>
              <w:top w:val="nil"/>
              <w:left w:val="nil"/>
              <w:bottom w:val="nil"/>
              <w:right w:val="nil"/>
            </w:tcBorders>
            <w:shd w:val="clear" w:color="auto" w:fill="auto"/>
            <w:hideMark/>
          </w:tcPr>
          <w:p w14:paraId="3C3CDDA3" w14:textId="77777777" w:rsidR="008A54CE" w:rsidRPr="00D43AA5" w:rsidRDefault="008A54CE" w:rsidP="008A54C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Fieldwork was conducted by 31 field teams composed of a team leader, two interviewers, two HBTC providers, two lab technicians, and a driver. A total of 256 people, including field coordinators, team leaders, field health workers, HBTC providers, lab technicians, community-mobilization coordinators, and drivers participated in data collection. Survey personnel were selected based on their qualifications and areas of expertise. The interviewers had primary responsibility for obtaining consent and administering the interview. The lab technicians conducted phlebotomy, HIV testing and performed CD4 counts using a point of care (POC) instrument. The HBTC providers were responsible for delivering adult and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w:t>
            </w:r>
            <w:proofErr w:type="spellStart"/>
            <w:r w:rsidRPr="00D43AA5">
              <w:rPr>
                <w:rFonts w:ascii="Calibri" w:eastAsia="Times New Roman" w:hAnsi="Calibri" w:cs="Calibri"/>
                <w:color w:val="000000"/>
                <w:sz w:val="20"/>
                <w:szCs w:val="20"/>
                <w:lang w:eastAsia="en-GB"/>
              </w:rPr>
              <w:t>counseling</w:t>
            </w:r>
            <w:proofErr w:type="spellEnd"/>
            <w:r w:rsidRPr="00D43AA5">
              <w:rPr>
                <w:rFonts w:ascii="Calibri" w:eastAsia="Times New Roman" w:hAnsi="Calibri" w:cs="Calibri"/>
                <w:color w:val="000000"/>
                <w:sz w:val="20"/>
                <w:szCs w:val="20"/>
                <w:lang w:eastAsia="en-GB"/>
              </w:rPr>
              <w:t xml:space="preserve"> and return of test results. The field teams were supervised by four field supervisors and managed by four field coordinators, who guided and oversaw data collection activities, performed quality checks, and provided technical support. In addition, 48 laboratory technicians processed samples at the 10 satellite labs and performed additional procedures centrally for HIV-1 VL, early infant diagnosis (EID), quality control (QC) and quality assurance (QA). National and international monitors periodically conducted direct supervision and observation of data collection activities in the field and in the laboratories </w:t>
            </w:r>
            <w:proofErr w:type="gramStart"/>
            <w:r w:rsidRPr="00D43AA5">
              <w:rPr>
                <w:rFonts w:ascii="Calibri" w:eastAsia="Times New Roman" w:hAnsi="Calibri" w:cs="Calibri"/>
                <w:color w:val="000000"/>
                <w:sz w:val="20"/>
                <w:szCs w:val="20"/>
                <w:lang w:eastAsia="en-GB"/>
              </w:rPr>
              <w:t>in order to</w:t>
            </w:r>
            <w:proofErr w:type="gramEnd"/>
            <w:r w:rsidRPr="00D43AA5">
              <w:rPr>
                <w:rFonts w:ascii="Calibri" w:eastAsia="Times New Roman" w:hAnsi="Calibri" w:cs="Calibri"/>
                <w:color w:val="000000"/>
                <w:sz w:val="20"/>
                <w:szCs w:val="20"/>
                <w:lang w:eastAsia="en-GB"/>
              </w:rPr>
              <w:t xml:space="preserve"> provide technical support and ensure quality.</w:t>
            </w:r>
          </w:p>
        </w:tc>
      </w:tr>
      <w:tr w:rsidR="00177E14" w:rsidRPr="00C14563" w14:paraId="5E29315E" w14:textId="77777777" w:rsidTr="00177E14">
        <w:trPr>
          <w:trHeight w:val="3432"/>
        </w:trPr>
        <w:tc>
          <w:tcPr>
            <w:tcW w:w="567" w:type="dxa"/>
            <w:tcBorders>
              <w:top w:val="nil"/>
              <w:left w:val="nil"/>
              <w:bottom w:val="nil"/>
              <w:right w:val="nil"/>
            </w:tcBorders>
            <w:shd w:val="clear" w:color="auto" w:fill="auto"/>
            <w:noWrap/>
            <w:hideMark/>
          </w:tcPr>
          <w:p w14:paraId="1F46ED0D" w14:textId="77777777" w:rsidR="008A54CE" w:rsidRPr="00D43AA5" w:rsidRDefault="008A54CE" w:rsidP="008A54CE">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Zambia</w:t>
            </w:r>
          </w:p>
        </w:tc>
        <w:tc>
          <w:tcPr>
            <w:tcW w:w="8522" w:type="dxa"/>
            <w:tcBorders>
              <w:top w:val="nil"/>
              <w:left w:val="nil"/>
              <w:bottom w:val="nil"/>
              <w:right w:val="nil"/>
            </w:tcBorders>
            <w:shd w:val="clear" w:color="auto" w:fill="auto"/>
            <w:hideMark/>
          </w:tcPr>
          <w:p w14:paraId="7F00D646" w14:textId="77777777" w:rsidR="008A54CE" w:rsidRPr="00D43AA5" w:rsidRDefault="008A54CE" w:rsidP="008A54CE">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Field work started on March 1, </w:t>
            </w:r>
            <w:proofErr w:type="gramStart"/>
            <w:r w:rsidRPr="00D43AA5">
              <w:rPr>
                <w:rFonts w:ascii="Calibri" w:eastAsia="Times New Roman" w:hAnsi="Calibri" w:cs="Calibri"/>
                <w:color w:val="000000"/>
                <w:sz w:val="20"/>
                <w:szCs w:val="20"/>
                <w:lang w:eastAsia="en-GB"/>
              </w:rPr>
              <w:t>2016</w:t>
            </w:r>
            <w:proofErr w:type="gramEnd"/>
            <w:r w:rsidRPr="00D43AA5">
              <w:rPr>
                <w:rFonts w:ascii="Calibri" w:eastAsia="Times New Roman" w:hAnsi="Calibri" w:cs="Calibri"/>
                <w:color w:val="000000"/>
                <w:sz w:val="20"/>
                <w:szCs w:val="20"/>
                <w:lang w:eastAsia="en-GB"/>
              </w:rPr>
              <w:t xml:space="preserve"> and completed by August 31, 2016. A total of 47 field teams conducted the survey; however, at any given time, there were a maximum of 37 teams in the field. Each team was composed of one team leader, two interviewers, two nurse </w:t>
            </w:r>
            <w:proofErr w:type="spellStart"/>
            <w:r w:rsidRPr="00D43AA5">
              <w:rPr>
                <w:rFonts w:ascii="Calibri" w:eastAsia="Times New Roman" w:hAnsi="Calibri" w:cs="Calibri"/>
                <w:color w:val="000000"/>
                <w:sz w:val="20"/>
                <w:szCs w:val="20"/>
                <w:lang w:eastAsia="en-GB"/>
              </w:rPr>
              <w:t>counselors</w:t>
            </w:r>
            <w:proofErr w:type="spellEnd"/>
            <w:r w:rsidRPr="00D43AA5">
              <w:rPr>
                <w:rFonts w:ascii="Calibri" w:eastAsia="Times New Roman" w:hAnsi="Calibri" w:cs="Calibri"/>
                <w:color w:val="000000"/>
                <w:sz w:val="20"/>
                <w:szCs w:val="20"/>
                <w:lang w:eastAsia="en-GB"/>
              </w:rPr>
              <w:t xml:space="preserve">, one midwife, and one laboratory technician. Survey personnel were selected based on local language proficiency and profession. While all survey personnel had the responsibility of obtaining consent and administering the interview, nurse </w:t>
            </w:r>
            <w:proofErr w:type="spellStart"/>
            <w:r w:rsidRPr="00D43AA5">
              <w:rPr>
                <w:rFonts w:ascii="Calibri" w:eastAsia="Times New Roman" w:hAnsi="Calibri" w:cs="Calibri"/>
                <w:color w:val="000000"/>
                <w:sz w:val="20"/>
                <w:szCs w:val="20"/>
                <w:lang w:eastAsia="en-GB"/>
              </w:rPr>
              <w:t>counselors</w:t>
            </w:r>
            <w:proofErr w:type="spellEnd"/>
            <w:r w:rsidRPr="00D43AA5">
              <w:rPr>
                <w:rFonts w:ascii="Calibri" w:eastAsia="Times New Roman" w:hAnsi="Calibri" w:cs="Calibri"/>
                <w:color w:val="000000"/>
                <w:sz w:val="20"/>
                <w:szCs w:val="20"/>
                <w:lang w:eastAsia="en-GB"/>
              </w:rPr>
              <w:t xml:space="preserve">, midwives, and laboratory technicians also conducted phlebotomy and other duties as needed. In addition, nurse </w:t>
            </w:r>
            <w:proofErr w:type="spellStart"/>
            <w:r w:rsidRPr="00D43AA5">
              <w:rPr>
                <w:rFonts w:ascii="Calibri" w:eastAsia="Times New Roman" w:hAnsi="Calibri" w:cs="Calibri"/>
                <w:color w:val="000000"/>
                <w:sz w:val="20"/>
                <w:szCs w:val="20"/>
                <w:lang w:eastAsia="en-GB"/>
              </w:rPr>
              <w:t>counselors</w:t>
            </w:r>
            <w:proofErr w:type="spellEnd"/>
            <w:r w:rsidRPr="00D43AA5">
              <w:rPr>
                <w:rFonts w:ascii="Calibri" w:eastAsia="Times New Roman" w:hAnsi="Calibri" w:cs="Calibri"/>
                <w:color w:val="000000"/>
                <w:sz w:val="20"/>
                <w:szCs w:val="20"/>
                <w:lang w:eastAsia="en-GB"/>
              </w:rPr>
              <w:t xml:space="preserve"> and midwives provided adult and </w:t>
            </w:r>
            <w:proofErr w:type="spellStart"/>
            <w:r w:rsidRPr="00D43AA5">
              <w:rPr>
                <w:rFonts w:ascii="Calibri" w:eastAsia="Times New Roman" w:hAnsi="Calibri" w:cs="Calibri"/>
                <w:color w:val="000000"/>
                <w:sz w:val="20"/>
                <w:szCs w:val="20"/>
                <w:lang w:eastAsia="en-GB"/>
              </w:rPr>
              <w:t>pediatric</w:t>
            </w:r>
            <w:proofErr w:type="spellEnd"/>
            <w:r w:rsidRPr="00D43AA5">
              <w:rPr>
                <w:rFonts w:ascii="Calibri" w:eastAsia="Times New Roman" w:hAnsi="Calibri" w:cs="Calibri"/>
                <w:color w:val="000000"/>
                <w:sz w:val="20"/>
                <w:szCs w:val="20"/>
                <w:lang w:eastAsia="en-GB"/>
              </w:rPr>
              <w:t xml:space="preserve"> HIV counselling. Over 40 laboratory staff processed samples and performed additional tests for HIV-1 viral load, infant virological testing, and quality control (QC) and QA. Teams were supervised by three or four provincial supervisors at a time, along with 40 rotating field monitors who performed spot-checks of teams in the field, providing technical support and assistance where needed. National and international monitors routinely provided direct observation of field work and QA.</w:t>
            </w:r>
          </w:p>
        </w:tc>
      </w:tr>
    </w:tbl>
    <w:p w14:paraId="6E05E1A3" w14:textId="77777777" w:rsidR="00A5423C" w:rsidRDefault="00A5423C"/>
    <w:p w14:paraId="1A7F251A" w14:textId="46639787" w:rsidR="00E93E22" w:rsidRPr="00D43AA5" w:rsidRDefault="009C631A" w:rsidP="00FB75F4">
      <w:pPr>
        <w:rPr>
          <w:b/>
          <w:bCs/>
        </w:rPr>
      </w:pPr>
      <w:r>
        <w:rPr>
          <w:b/>
          <w:bCs/>
        </w:rPr>
        <w:t>PHIA survey d</w:t>
      </w:r>
      <w:r w:rsidR="00E93E22" w:rsidRPr="00D43AA5">
        <w:rPr>
          <w:b/>
          <w:bCs/>
        </w:rPr>
        <w:t>ata collection and cleaning</w:t>
      </w:r>
    </w:p>
    <w:p w14:paraId="7D628A16" w14:textId="56C3396E" w:rsidR="00D15268" w:rsidRDefault="00FB75F4" w:rsidP="00FB75F4">
      <w:r>
        <w:t>For each survey, field data were collected on tablet computers, transmitted to a central server using a secure virtual private network, and stored in a secure PostgreSQL database. Data cleaning was conducted using SAS 9.4 (SAS Institute Inc. Cary, North Carolina, U.S.). Laboratory data were cleaned and merged with the final questionnaire database using unique specimen bar codes and study IDs.</w:t>
      </w:r>
    </w:p>
    <w:p w14:paraId="0D03E7E5" w14:textId="77777777" w:rsidR="00D15268" w:rsidRDefault="00D15268"/>
    <w:p w14:paraId="29720787" w14:textId="77777777" w:rsidR="008A54CE" w:rsidRDefault="008A54CE">
      <w:pPr>
        <w:rPr>
          <w:b/>
          <w:bCs/>
        </w:rPr>
      </w:pPr>
      <w:r>
        <w:rPr>
          <w:b/>
          <w:bCs/>
        </w:rPr>
        <w:br w:type="page"/>
      </w:r>
    </w:p>
    <w:p w14:paraId="2DA59E54" w14:textId="64E13D83" w:rsidR="00355504" w:rsidRDefault="008A54CE">
      <w:r w:rsidRPr="00D43AA5">
        <w:rPr>
          <w:b/>
          <w:bCs/>
        </w:rPr>
        <w:lastRenderedPageBreak/>
        <w:t xml:space="preserve">Supplementary table </w:t>
      </w:r>
      <w:r w:rsidR="008C1163">
        <w:rPr>
          <w:b/>
          <w:bCs/>
        </w:rPr>
        <w:t>5</w:t>
      </w:r>
      <w:r w:rsidRPr="00D43AA5">
        <w:rPr>
          <w:b/>
          <w:bCs/>
        </w:rPr>
        <w:t>:</w:t>
      </w:r>
      <w:r>
        <w:t xml:space="preserve"> </w:t>
      </w:r>
      <w:r w:rsidR="003B2920">
        <w:t>PHIA survey r</w:t>
      </w:r>
      <w:r>
        <w:t>esponse rates</w:t>
      </w:r>
    </w:p>
    <w:tbl>
      <w:tblPr>
        <w:tblW w:w="9127" w:type="dxa"/>
        <w:tblLook w:val="04A0" w:firstRow="1" w:lastRow="0" w:firstColumn="1" w:lastColumn="0" w:noHBand="0" w:noVBand="1"/>
      </w:tblPr>
      <w:tblGrid>
        <w:gridCol w:w="955"/>
        <w:gridCol w:w="8172"/>
      </w:tblGrid>
      <w:tr w:rsidR="00355504" w:rsidRPr="00177E14" w14:paraId="23530D6E" w14:textId="77777777" w:rsidTr="00D43AA5">
        <w:trPr>
          <w:trHeight w:val="3060"/>
        </w:trPr>
        <w:tc>
          <w:tcPr>
            <w:tcW w:w="720" w:type="dxa"/>
            <w:tcBorders>
              <w:top w:val="nil"/>
              <w:left w:val="nil"/>
              <w:bottom w:val="nil"/>
              <w:right w:val="nil"/>
            </w:tcBorders>
            <w:shd w:val="clear" w:color="auto" w:fill="auto"/>
            <w:noWrap/>
            <w:hideMark/>
          </w:tcPr>
          <w:p w14:paraId="09E4CEAF" w14:textId="77777777" w:rsidR="00355504" w:rsidRPr="00D43AA5" w:rsidRDefault="00355504" w:rsidP="00355504">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Eswatini</w:t>
            </w:r>
          </w:p>
        </w:tc>
        <w:tc>
          <w:tcPr>
            <w:tcW w:w="8407" w:type="dxa"/>
            <w:tcBorders>
              <w:top w:val="nil"/>
              <w:left w:val="nil"/>
              <w:bottom w:val="nil"/>
              <w:right w:val="nil"/>
            </w:tcBorders>
            <w:shd w:val="clear" w:color="auto" w:fill="auto"/>
            <w:hideMark/>
          </w:tcPr>
          <w:p w14:paraId="29D9CB25" w14:textId="77777777" w:rsidR="00355504" w:rsidRPr="00D43AA5" w:rsidRDefault="00355504" w:rsidP="00355504">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Of the 6,417 selected households, 6,056 and 5,185 were occupied and interviewed, respectively. The overall household response rate (unweighted) was 84.9% (79.3% in urban areas and 87.2% in rural areas). After adjusting for differential sampling probabilities and nonresponse, the overall weighted household response rate was 84.5% (79.1% in urban areas and 87.1% in rural areas). A total of 12,857 adults (5,648 males and 7,209 females) were eligible to participate in the survey. Interview response rates (unweighted) were 86.8% for males and 93.9% for females. Among those adults who were interviewed, 91.9% of males and 95.0% of females (unweighted) also had their blood drawn. Children in half of the selected households were eligible for blood draw. Of the 2,697 eligible children aged 0-9 years, 82.7% of males and 81.8% of females (unweighted) had their blood drawn. Of the 1,300 eligible children aged 10-14 years, interview response rates (unweighted) were 88.9% of males and 92.5% of females. Among 10-14-year-olds interviewed, 98.3% of males and 97.5% of females (unweighted) had their blood drawn.</w:t>
            </w:r>
          </w:p>
        </w:tc>
      </w:tr>
      <w:tr w:rsidR="00355504" w:rsidRPr="00177E14" w14:paraId="5491A329" w14:textId="77777777" w:rsidTr="00D43AA5">
        <w:trPr>
          <w:trHeight w:val="3295"/>
        </w:trPr>
        <w:tc>
          <w:tcPr>
            <w:tcW w:w="720" w:type="dxa"/>
            <w:tcBorders>
              <w:top w:val="nil"/>
              <w:left w:val="nil"/>
              <w:bottom w:val="nil"/>
              <w:right w:val="nil"/>
            </w:tcBorders>
            <w:shd w:val="clear" w:color="auto" w:fill="auto"/>
            <w:noWrap/>
            <w:hideMark/>
          </w:tcPr>
          <w:p w14:paraId="4436F746" w14:textId="77777777" w:rsidR="00355504" w:rsidRPr="00D43AA5" w:rsidRDefault="00355504" w:rsidP="00355504">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Lesotho</w:t>
            </w:r>
          </w:p>
        </w:tc>
        <w:tc>
          <w:tcPr>
            <w:tcW w:w="8407" w:type="dxa"/>
            <w:tcBorders>
              <w:top w:val="nil"/>
              <w:left w:val="nil"/>
              <w:bottom w:val="nil"/>
              <w:right w:val="nil"/>
            </w:tcBorders>
            <w:shd w:val="clear" w:color="auto" w:fill="auto"/>
            <w:hideMark/>
          </w:tcPr>
          <w:p w14:paraId="0BB908C2" w14:textId="77777777" w:rsidR="00355504" w:rsidRPr="00D43AA5" w:rsidRDefault="00355504" w:rsidP="00355504">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Of the 10,892 selected households, 9,403 and 8,824 were occupied and interviewed, respectively. The overall household RR (unweighted) was 93.2% (91.2% and 91.4% in urban and peri-urban areas, respectively, and 94.9% in rural areas). After adjusting for differential sampling probabilities and nonresponse, the overall weighted household RR was 93.0%. A total of 14,028 adults (6,135 men and 7,893 women) were eligible to participate in the survey. A total of 12,887 adults participated in the individual interview: interview RR (weighted) were 86.8% for men and 95.1% for women. Among those adults who were interviewed, 88.2% of men and 91.3% of women also had their blood drawn (weighted). In </w:t>
            </w:r>
            <w:proofErr w:type="spellStart"/>
            <w:r w:rsidRPr="00D43AA5">
              <w:rPr>
                <w:rFonts w:ascii="Calibri" w:eastAsia="Times New Roman" w:hAnsi="Calibri" w:cs="Calibri"/>
                <w:color w:val="000000"/>
                <w:sz w:val="20"/>
                <w:szCs w:val="20"/>
                <w:lang w:eastAsia="en-GB"/>
              </w:rPr>
              <w:t>LePHIA</w:t>
            </w:r>
            <w:proofErr w:type="spellEnd"/>
            <w:r w:rsidRPr="00D43AA5">
              <w:rPr>
                <w:rFonts w:ascii="Calibri" w:eastAsia="Times New Roman" w:hAnsi="Calibri" w:cs="Calibri"/>
                <w:color w:val="000000"/>
                <w:sz w:val="20"/>
                <w:szCs w:val="20"/>
                <w:lang w:eastAsia="en-GB"/>
              </w:rPr>
              <w:t>, children in half of the selected households were eligible for blood draw. Of the 3,118 eligible children aged 0-9 years, 77.6% of boys and 78.7% of girls had their blood drawn (weighted). Of the 1,752 eligible young adolescents aged 10-14 years, 88.1% of young adolescent boys and 89.7% of young adolescent girls completed interviews and of those, 94.1% of young adolescent boys and 94.8% of young adolescent girls had their blood drawn (weighted).</w:t>
            </w:r>
          </w:p>
        </w:tc>
      </w:tr>
      <w:tr w:rsidR="00355504" w:rsidRPr="00177E14" w14:paraId="421B243E" w14:textId="77777777" w:rsidTr="00D43AA5">
        <w:trPr>
          <w:trHeight w:val="3283"/>
        </w:trPr>
        <w:tc>
          <w:tcPr>
            <w:tcW w:w="720" w:type="dxa"/>
            <w:tcBorders>
              <w:top w:val="nil"/>
              <w:left w:val="nil"/>
              <w:bottom w:val="nil"/>
              <w:right w:val="nil"/>
            </w:tcBorders>
            <w:shd w:val="clear" w:color="auto" w:fill="auto"/>
            <w:noWrap/>
            <w:hideMark/>
          </w:tcPr>
          <w:p w14:paraId="722D4DEF" w14:textId="77777777" w:rsidR="00355504" w:rsidRPr="00D43AA5" w:rsidRDefault="00355504" w:rsidP="00355504">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Tanzania</w:t>
            </w:r>
          </w:p>
        </w:tc>
        <w:tc>
          <w:tcPr>
            <w:tcW w:w="8407" w:type="dxa"/>
            <w:tcBorders>
              <w:top w:val="nil"/>
              <w:left w:val="nil"/>
              <w:bottom w:val="nil"/>
              <w:right w:val="nil"/>
            </w:tcBorders>
            <w:shd w:val="clear" w:color="auto" w:fill="auto"/>
            <w:hideMark/>
          </w:tcPr>
          <w:p w14:paraId="4F13B532" w14:textId="34DF3878" w:rsidR="00355504" w:rsidRPr="00D43AA5" w:rsidRDefault="00355504" w:rsidP="00355504">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Of the 16,198 selected households, 15,504 and 14,811 were occupied and interviewed, respectively. The overall household RR was 94.8%: 95.3% in urban areas and 94.5% in rural areas. Household RR were almost similar in Zanzibar (94.1%) and Tanzania mainland (94.8%). A total of 16,235 males and 19,852 females aged 15 years and older were eligible to participate in THIS. Interview RR were 88.5% for males and 93.2% for females aged 15 years and older. For males and females aged 15 and older, more than nine out of 10 (94.4% and 95.2%, respectively) persons who were</w:t>
            </w:r>
            <w:r w:rsidR="001F2EF3">
              <w:rPr>
                <w:rFonts w:ascii="Calibri" w:eastAsia="Times New Roman" w:hAnsi="Calibri" w:cs="Calibri"/>
                <w:color w:val="000000"/>
                <w:sz w:val="20"/>
                <w:szCs w:val="20"/>
                <w:lang w:eastAsia="en-GB"/>
              </w:rPr>
              <w:t xml:space="preserve"> </w:t>
            </w:r>
            <w:r w:rsidRPr="00D43AA5">
              <w:rPr>
                <w:rFonts w:ascii="Calibri" w:eastAsia="Times New Roman" w:hAnsi="Calibri" w:cs="Calibri"/>
                <w:color w:val="000000"/>
                <w:sz w:val="20"/>
                <w:szCs w:val="20"/>
                <w:lang w:eastAsia="en-GB"/>
              </w:rPr>
              <w:t xml:space="preserve">interviewed also had their blood drawn. In THIS, children aged 0-14 years in one-third of the selected households were eligible for blood draw. For young persons aged 10-14 years, the interview RR were 91.6% and 92.5% for males and females, respectively. The blood draw RR was 97.1% for males and 97.7% for females. More than nine out of 10 (91.4% for males and 91.6% for females) eligible persons aged 0-9 years had their blood drawn. Blood draw RR among ages 0-9 years were similar between genders in rural areas (92.2%). In urban areas, however, females had a slightly higher RR (89.8%) than males (89.3%). </w:t>
            </w:r>
          </w:p>
        </w:tc>
      </w:tr>
      <w:tr w:rsidR="00355504" w:rsidRPr="00177E14" w14:paraId="62C77F08" w14:textId="77777777" w:rsidTr="00D43AA5">
        <w:trPr>
          <w:trHeight w:val="2674"/>
        </w:trPr>
        <w:tc>
          <w:tcPr>
            <w:tcW w:w="720" w:type="dxa"/>
            <w:tcBorders>
              <w:top w:val="nil"/>
              <w:left w:val="nil"/>
              <w:bottom w:val="nil"/>
              <w:right w:val="nil"/>
            </w:tcBorders>
            <w:shd w:val="clear" w:color="auto" w:fill="auto"/>
            <w:noWrap/>
            <w:hideMark/>
          </w:tcPr>
          <w:p w14:paraId="264A39A3" w14:textId="77777777" w:rsidR="00355504" w:rsidRPr="00D43AA5" w:rsidRDefault="00355504" w:rsidP="00355504">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t>Uganda</w:t>
            </w:r>
          </w:p>
        </w:tc>
        <w:tc>
          <w:tcPr>
            <w:tcW w:w="8407" w:type="dxa"/>
            <w:tcBorders>
              <w:top w:val="nil"/>
              <w:left w:val="nil"/>
              <w:bottom w:val="nil"/>
              <w:right w:val="nil"/>
            </w:tcBorders>
            <w:shd w:val="clear" w:color="auto" w:fill="auto"/>
            <w:hideMark/>
          </w:tcPr>
          <w:p w14:paraId="0891F743" w14:textId="77777777" w:rsidR="00355504" w:rsidRPr="00D43AA5" w:rsidRDefault="00355504" w:rsidP="00355504">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Of the 13,435 households selected for this survey, 12,812 were occupied, and 12,386 (96.5 %) of these completed a household interview. Overall, the household RR (unweighted) was 96.5% (95.6% for urban and 96.9% for rural areas). After adjusting for differential sampling probability and nonresponse, the overall weighted household RR was 96.7%. A total of 30,581 adults (13,364 men and 17,217 women) were eligible to participate in the survey. A total of 29,383 adults participated in the individual interview: interview RRs were 94.0% for men and 97.9% for women. Among adults who were interviewed, 98.5% of men and 99.0% of women also had their blood drawn. The total RR was 92.4% among men and 96.8% among women. In UPHIA, children in half of the selected households were eligible for blood draw. Of the 10,026 eligible children aged 0-12 years, 96.2% of boys and 96.7% of girls had their blood drawn. Of the 767 eligible adolescents aged 13-14 years, 99.2% of the boys and 99.4% of the girls had their blood drawn.</w:t>
            </w:r>
          </w:p>
        </w:tc>
      </w:tr>
      <w:tr w:rsidR="00355504" w:rsidRPr="00177E14" w14:paraId="0C76E084" w14:textId="77777777" w:rsidTr="00D43AA5">
        <w:trPr>
          <w:trHeight w:val="2466"/>
        </w:trPr>
        <w:tc>
          <w:tcPr>
            <w:tcW w:w="720" w:type="dxa"/>
            <w:tcBorders>
              <w:top w:val="nil"/>
              <w:left w:val="nil"/>
              <w:bottom w:val="nil"/>
              <w:right w:val="nil"/>
            </w:tcBorders>
            <w:shd w:val="clear" w:color="auto" w:fill="auto"/>
            <w:noWrap/>
            <w:hideMark/>
          </w:tcPr>
          <w:p w14:paraId="1A6150DE" w14:textId="77777777" w:rsidR="00355504" w:rsidRPr="00D43AA5" w:rsidRDefault="00355504" w:rsidP="00355504">
            <w:pPr>
              <w:spacing w:after="0" w:line="240" w:lineRule="auto"/>
              <w:rPr>
                <w:rFonts w:ascii="Calibri" w:eastAsia="Times New Roman" w:hAnsi="Calibri" w:cs="Calibri"/>
                <w:b/>
                <w:bCs/>
                <w:color w:val="000000"/>
                <w:sz w:val="20"/>
                <w:szCs w:val="20"/>
                <w:lang w:eastAsia="en-GB"/>
              </w:rPr>
            </w:pPr>
            <w:r w:rsidRPr="00D43AA5">
              <w:rPr>
                <w:rFonts w:ascii="Calibri" w:eastAsia="Times New Roman" w:hAnsi="Calibri" w:cs="Calibri"/>
                <w:b/>
                <w:bCs/>
                <w:color w:val="000000"/>
                <w:sz w:val="20"/>
                <w:szCs w:val="20"/>
                <w:lang w:eastAsia="en-GB"/>
              </w:rPr>
              <w:lastRenderedPageBreak/>
              <w:t>Zambia</w:t>
            </w:r>
          </w:p>
        </w:tc>
        <w:tc>
          <w:tcPr>
            <w:tcW w:w="8407" w:type="dxa"/>
            <w:tcBorders>
              <w:top w:val="nil"/>
              <w:left w:val="nil"/>
              <w:bottom w:val="nil"/>
              <w:right w:val="nil"/>
            </w:tcBorders>
            <w:shd w:val="clear" w:color="auto" w:fill="auto"/>
            <w:hideMark/>
          </w:tcPr>
          <w:p w14:paraId="22680AE6" w14:textId="77777777" w:rsidR="00355504" w:rsidRPr="00D43AA5" w:rsidRDefault="00355504" w:rsidP="00355504">
            <w:pPr>
              <w:spacing w:after="0" w:line="240" w:lineRule="auto"/>
              <w:rPr>
                <w:rFonts w:ascii="Calibri" w:eastAsia="Times New Roman" w:hAnsi="Calibri" w:cs="Calibri"/>
                <w:color w:val="000000"/>
                <w:sz w:val="20"/>
                <w:szCs w:val="20"/>
                <w:lang w:eastAsia="en-GB"/>
              </w:rPr>
            </w:pPr>
            <w:r w:rsidRPr="00D43AA5">
              <w:rPr>
                <w:rFonts w:ascii="Calibri" w:eastAsia="Times New Roman" w:hAnsi="Calibri" w:cs="Calibri"/>
                <w:color w:val="000000"/>
                <w:sz w:val="20"/>
                <w:szCs w:val="20"/>
                <w:lang w:eastAsia="en-GB"/>
              </w:rPr>
              <w:t xml:space="preserve">Of the 13,441 households selected for this survey, 12,193 were occupied, and 89.4% of these completed a household interview. The urban and rural weighted household response rates were almost </w:t>
            </w:r>
            <w:proofErr w:type="gramStart"/>
            <w:r w:rsidRPr="00D43AA5">
              <w:rPr>
                <w:rFonts w:ascii="Calibri" w:eastAsia="Times New Roman" w:hAnsi="Calibri" w:cs="Calibri"/>
                <w:color w:val="000000"/>
                <w:sz w:val="20"/>
                <w:szCs w:val="20"/>
                <w:lang w:eastAsia="en-GB"/>
              </w:rPr>
              <w:t>exactly the same</w:t>
            </w:r>
            <w:proofErr w:type="gramEnd"/>
            <w:r w:rsidRPr="00D43AA5">
              <w:rPr>
                <w:rFonts w:ascii="Calibri" w:eastAsia="Times New Roman" w:hAnsi="Calibri" w:cs="Calibri"/>
                <w:color w:val="000000"/>
                <w:sz w:val="20"/>
                <w:szCs w:val="20"/>
                <w:lang w:eastAsia="en-GB"/>
              </w:rPr>
              <w:t xml:space="preserve"> at 89.5% and 89.2%, respectively. Of the 13,317 eligible women and 11,346 eligible men aged 15-59 years, 90.8% of women and 80.4% of men were interviewed. The response rate for biomarker testing among those who completed an individual interview was 88.5% for males and 90.3% for females. Of the 3,593 eligible children aged 10-14 years, 74.6% of males and 79.1% of females completed an interview, while similar percentages of males (90.9%) and females (90.6%) completed biomarker testing. Of 8,053 eligible children aged 0-9 years, about two-thirds (66.9% for males and 66.7% for females) had their blood drawn.</w:t>
            </w:r>
          </w:p>
        </w:tc>
      </w:tr>
    </w:tbl>
    <w:p w14:paraId="5D4FDFCF" w14:textId="44E2034E" w:rsidR="00FD44CA" w:rsidRPr="00D43AA5" w:rsidRDefault="00FD44CA">
      <w:pPr>
        <w:rPr>
          <w:b/>
          <w:bCs/>
          <w:sz w:val="20"/>
          <w:szCs w:val="20"/>
        </w:rPr>
      </w:pPr>
      <w:r w:rsidRPr="00D43AA5">
        <w:rPr>
          <w:b/>
          <w:bCs/>
          <w:sz w:val="20"/>
          <w:szCs w:val="20"/>
        </w:rPr>
        <w:br w:type="page"/>
      </w:r>
    </w:p>
    <w:p w14:paraId="7494511C" w14:textId="77777777" w:rsidR="009E0792" w:rsidRDefault="006B48F5">
      <w:pPr>
        <w:rPr>
          <w:b/>
        </w:rPr>
      </w:pPr>
      <w:r w:rsidRPr="00D43AA5">
        <w:rPr>
          <w:b/>
        </w:rPr>
        <w:lastRenderedPageBreak/>
        <w:t xml:space="preserve">Numbers included in analyses and missing </w:t>
      </w:r>
      <w:proofErr w:type="gramStart"/>
      <w:r w:rsidRPr="00D43AA5">
        <w:rPr>
          <w:b/>
        </w:rPr>
        <w:t>data</w:t>
      </w:r>
      <w:proofErr w:type="gramEnd"/>
    </w:p>
    <w:p w14:paraId="7E511B66" w14:textId="77777777" w:rsidR="00F269D7" w:rsidRDefault="009E0792">
      <w:pPr>
        <w:rPr>
          <w:bCs/>
        </w:rPr>
      </w:pPr>
      <w:r w:rsidRPr="00D43AA5">
        <w:rPr>
          <w:bCs/>
        </w:rPr>
        <w:t>Across the five country surveys, response rates varied from 84.5% in Eswatini (N=11673), 89.4% in Zambia (N=21280), 93.0% in Lesotho (N=12887), 94.8% in Tanzania (N=33004), to 96.7% in Uganda (N=29383). We excluded persons aged ≥60 years; 1437 in Eswatini, 3361 in Tanzania, and 997 in Uganda</w:t>
      </w:r>
      <w:r w:rsidR="00F269D7">
        <w:rPr>
          <w:bCs/>
        </w:rPr>
        <w:t>.</w:t>
      </w:r>
    </w:p>
    <w:p w14:paraId="63E256DA" w14:textId="77777777" w:rsidR="00E70CD3" w:rsidRPr="00E70CD3" w:rsidRDefault="00E70CD3" w:rsidP="00E70CD3">
      <w:pPr>
        <w:rPr>
          <w:bCs/>
        </w:rPr>
      </w:pPr>
      <w:r w:rsidRPr="00E70CD3">
        <w:rPr>
          <w:bCs/>
        </w:rPr>
        <w:t>For each of the demographic/economic variables, missingness was &lt;1% for each country. Missingness was higher for the sexual behaviour questions. In each survey, some people did not answer the questions about having partners in the previous 12 months and were then subsequently not asked about other sexual behaviours; 175 in Eswatini, 237 in Lesotho, 814 in Tanzania, 188 in Uganda, and 1164 in Zambia. Of those asked the subsequent questions, the variables with &gt;1% missingness varied between countries:</w:t>
      </w:r>
    </w:p>
    <w:p w14:paraId="7D2AD876" w14:textId="77777777" w:rsidR="00E70CD3" w:rsidRPr="00B04D4F" w:rsidRDefault="00E70CD3" w:rsidP="00D43AA5">
      <w:pPr>
        <w:pStyle w:val="ListParagraph"/>
        <w:numPr>
          <w:ilvl w:val="0"/>
          <w:numId w:val="2"/>
        </w:numPr>
        <w:rPr>
          <w:bCs/>
        </w:rPr>
      </w:pPr>
      <w:r w:rsidRPr="00B04D4F">
        <w:rPr>
          <w:bCs/>
        </w:rPr>
        <w:t>Eswatini: No relevant questions with &gt;1% missingness.</w:t>
      </w:r>
    </w:p>
    <w:p w14:paraId="6FBF1CF4" w14:textId="77777777" w:rsidR="00E70CD3" w:rsidRPr="00B04D4F" w:rsidRDefault="00E70CD3" w:rsidP="00D43AA5">
      <w:pPr>
        <w:pStyle w:val="ListParagraph"/>
        <w:numPr>
          <w:ilvl w:val="0"/>
          <w:numId w:val="2"/>
        </w:numPr>
        <w:rPr>
          <w:bCs/>
        </w:rPr>
      </w:pPr>
      <w:r w:rsidRPr="00B04D4F">
        <w:rPr>
          <w:bCs/>
        </w:rPr>
        <w:t>Lesotho: Sexual partner ages (N=335) and having ever sold sex (N=521).</w:t>
      </w:r>
    </w:p>
    <w:p w14:paraId="11C6A0AC" w14:textId="77777777" w:rsidR="00E70CD3" w:rsidRPr="00B04D4F" w:rsidRDefault="00E70CD3" w:rsidP="00D43AA5">
      <w:pPr>
        <w:pStyle w:val="ListParagraph"/>
        <w:numPr>
          <w:ilvl w:val="0"/>
          <w:numId w:val="2"/>
        </w:numPr>
        <w:rPr>
          <w:bCs/>
        </w:rPr>
      </w:pPr>
      <w:r w:rsidRPr="00B04D4F">
        <w:rPr>
          <w:bCs/>
        </w:rPr>
        <w:t>Tanzania: Having sold sex in the past 12 months (N=538).</w:t>
      </w:r>
    </w:p>
    <w:p w14:paraId="0C0EACD8" w14:textId="77777777" w:rsidR="00E70CD3" w:rsidRPr="00B04D4F" w:rsidRDefault="00E70CD3" w:rsidP="00D43AA5">
      <w:pPr>
        <w:pStyle w:val="ListParagraph"/>
        <w:numPr>
          <w:ilvl w:val="0"/>
          <w:numId w:val="2"/>
        </w:numPr>
        <w:rPr>
          <w:bCs/>
        </w:rPr>
      </w:pPr>
      <w:r w:rsidRPr="00B04D4F">
        <w:rPr>
          <w:bCs/>
        </w:rPr>
        <w:t>Uganda: Sexual partner ages (N=590)</w:t>
      </w:r>
    </w:p>
    <w:p w14:paraId="41E3C428" w14:textId="18FD149E" w:rsidR="00F269D7" w:rsidRPr="00B04D4F" w:rsidRDefault="00E70CD3" w:rsidP="00D43AA5">
      <w:pPr>
        <w:pStyle w:val="ListParagraph"/>
        <w:numPr>
          <w:ilvl w:val="0"/>
          <w:numId w:val="2"/>
        </w:numPr>
        <w:rPr>
          <w:bCs/>
        </w:rPr>
      </w:pPr>
      <w:r w:rsidRPr="00B04D4F">
        <w:rPr>
          <w:bCs/>
        </w:rPr>
        <w:t>Zambia: Having ever sold sex (N=1857)</w:t>
      </w:r>
    </w:p>
    <w:p w14:paraId="3BD5D7EF" w14:textId="32FD6E56" w:rsidR="001B466D" w:rsidRDefault="001B466D" w:rsidP="00E70CD3">
      <w:pPr>
        <w:rPr>
          <w:bCs/>
        </w:rPr>
      </w:pPr>
      <w:r w:rsidRPr="00182D55">
        <w:t xml:space="preserve">HIV testing information was unavailable for 5667 (5.6%) </w:t>
      </w:r>
      <w:r>
        <w:t>persons</w:t>
      </w:r>
      <w:r w:rsidR="00B04D4F">
        <w:t>, however, this is accounted for in the weighting.</w:t>
      </w:r>
    </w:p>
    <w:p w14:paraId="3FB6A5D6" w14:textId="77777777" w:rsidR="00755E22" w:rsidRDefault="00B316AD">
      <w:pPr>
        <w:rPr>
          <w:bCs/>
        </w:rPr>
      </w:pPr>
      <w:r>
        <w:rPr>
          <w:bCs/>
        </w:rPr>
        <w:t>We also excluded</w:t>
      </w:r>
      <w:r w:rsidR="009E0792" w:rsidRPr="00D43AA5">
        <w:rPr>
          <w:bCs/>
        </w:rPr>
        <w:t xml:space="preserve"> persons with missing data on wealth quintile or education level; 15 in Eswatini, 42 in Lesotho, 22 in Tanzania, 159 in Uganda, and 113 in Zambia. </w:t>
      </w:r>
    </w:p>
    <w:p w14:paraId="64F0A34B" w14:textId="57B628B5" w:rsidR="006B48F5" w:rsidRPr="00D43AA5" w:rsidRDefault="009E0792">
      <w:pPr>
        <w:rPr>
          <w:rFonts w:ascii="Times New Roman" w:eastAsiaTheme="majorEastAsia" w:hAnsi="Times New Roman" w:cstheme="majorBidi"/>
          <w:bCs/>
          <w:color w:val="2F5496" w:themeColor="accent1" w:themeShade="BF"/>
          <w:sz w:val="24"/>
          <w:szCs w:val="32"/>
        </w:rPr>
      </w:pPr>
      <w:r w:rsidRPr="00D43AA5">
        <w:rPr>
          <w:bCs/>
        </w:rPr>
        <w:t xml:space="preserve">Therefore, </w:t>
      </w:r>
      <w:r w:rsidR="00755E22">
        <w:rPr>
          <w:bCs/>
        </w:rPr>
        <w:t>i</w:t>
      </w:r>
      <w:r w:rsidR="00755E22" w:rsidRPr="00755E22">
        <w:rPr>
          <w:bCs/>
        </w:rPr>
        <w:t xml:space="preserve">ncluded across the five surveys were 102,081 respondents aged </w:t>
      </w:r>
      <w:proofErr w:type="gramStart"/>
      <w:r w:rsidR="00755E22" w:rsidRPr="00755E22">
        <w:rPr>
          <w:bCs/>
        </w:rPr>
        <w:t>15-59;</w:t>
      </w:r>
      <w:proofErr w:type="gramEnd"/>
      <w:r w:rsidR="00755E22" w:rsidRPr="00755E22">
        <w:rPr>
          <w:bCs/>
        </w:rPr>
        <w:t xml:space="preserve"> 12,845 from Lesotho, 29,621 from Tanzania, 28,227 from Uganda, 10,221 from Eswatini, and 21,167 from Zambia. </w:t>
      </w:r>
      <w:r w:rsidR="006B48F5" w:rsidRPr="009E0792">
        <w:rPr>
          <w:bCs/>
        </w:rPr>
        <w:br w:type="page"/>
      </w:r>
    </w:p>
    <w:p w14:paraId="7556C17E" w14:textId="4C332EE5" w:rsidR="00F4486B" w:rsidRDefault="00F4486B" w:rsidP="00F4486B">
      <w:pPr>
        <w:pStyle w:val="Heading1"/>
        <w:rPr>
          <w:rFonts w:asciiTheme="minorHAnsi" w:eastAsiaTheme="minorHAnsi" w:hAnsiTheme="minorHAnsi" w:cstheme="minorBidi"/>
          <w:bCs/>
          <w:color w:val="auto"/>
          <w:sz w:val="22"/>
          <w:szCs w:val="22"/>
        </w:rPr>
      </w:pPr>
      <w:r w:rsidRPr="00FC516F">
        <w:rPr>
          <w:rFonts w:asciiTheme="minorHAnsi" w:eastAsiaTheme="minorHAnsi" w:hAnsiTheme="minorHAnsi" w:cstheme="minorBidi"/>
          <w:bCs/>
          <w:color w:val="auto"/>
          <w:sz w:val="22"/>
          <w:szCs w:val="22"/>
        </w:rPr>
        <w:lastRenderedPageBreak/>
        <w:t>Climate context preceding and during PHIA data collection</w:t>
      </w:r>
      <w:r>
        <w:rPr>
          <w:rFonts w:asciiTheme="minorHAnsi" w:eastAsiaTheme="minorHAnsi" w:hAnsiTheme="minorHAnsi" w:cstheme="minorBidi"/>
          <w:bCs/>
          <w:color w:val="auto"/>
          <w:sz w:val="22"/>
          <w:szCs w:val="22"/>
        </w:rPr>
        <w:t>*</w:t>
      </w:r>
    </w:p>
    <w:p w14:paraId="1C49F876" w14:textId="77777777" w:rsidR="00F4486B" w:rsidRDefault="00F4486B" w:rsidP="00F4486B"/>
    <w:p w14:paraId="5CCD79BE" w14:textId="77777777" w:rsidR="00F4486B" w:rsidRDefault="00F4486B" w:rsidP="00F4486B">
      <w:r w:rsidRPr="00972045">
        <w:t>*</w:t>
      </w:r>
      <w:r>
        <w:t>This section has been t</w:t>
      </w:r>
      <w:r w:rsidRPr="00972045">
        <w:t>aken from</w:t>
      </w:r>
      <w:r>
        <w:t xml:space="preserve"> </w:t>
      </w:r>
      <w:r w:rsidRPr="00AD7530">
        <w:rPr>
          <w:i/>
          <w:iCs/>
        </w:rPr>
        <w:t xml:space="preserve">“Food insecurity and the risk of HIV acquisition: findings from population-based surveys in six sub-Saharan African countries (2016-2017)” </w:t>
      </w:r>
      <w:r>
        <w:t>by Low et al.</w:t>
      </w:r>
      <w:r>
        <w:fldChar w:fldCharType="begin">
          <w:fldData xml:space="preserve">PEVuZE5vdGU+PENpdGU+PEF1dGhvcj5Mb3c8L0F1dGhvcj48WWVhcj4yMDIyPC9ZZWFyPjxSZWNO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</w:fldData>
        </w:fldChar>
      </w:r>
      <w:r>
        <w:instrText xml:space="preserve"> ADDIN EN.CITE </w:instrText>
      </w:r>
      <w:r>
        <w:fldChar w:fldCharType="begin">
          <w:fldData xml:space="preserve">PEVuZE5vdGU+PENpdGU+PEF1dGhvcj5Mb3c8L0F1dGhvcj48WWVhcj4yMDIyPC9ZZWFyPjxSZWNO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</w:fldData>
        </w:fldChar>
      </w:r>
      <w:r>
        <w:instrText xml:space="preserve"> ADDIN EN.CITE.DATA </w:instrText>
      </w:r>
      <w:r>
        <w:fldChar w:fldCharType="end"/>
      </w:r>
      <w:r>
        <w:fldChar w:fldCharType="separate"/>
      </w:r>
      <w:r>
        <w:rPr>
          <w:noProof/>
        </w:rPr>
        <w:t>(1)</w:t>
      </w:r>
      <w:r>
        <w:fldChar w:fldCharType="end"/>
      </w:r>
      <w:r>
        <w:t xml:space="preserve"> and amended, with the permission of the authors.</w:t>
      </w:r>
    </w:p>
    <w:p w14:paraId="51C454AD" w14:textId="77777777" w:rsidR="00F4486B" w:rsidRPr="0075102C" w:rsidRDefault="00F4486B" w:rsidP="00F4486B"/>
    <w:p w14:paraId="73F144D7" w14:textId="77777777" w:rsidR="00F4486B" w:rsidRPr="00FC516F" w:rsidRDefault="00F4486B" w:rsidP="00F4486B">
      <w:r w:rsidRPr="00FC516F">
        <w:t xml:space="preserve">Analysis carried out by the World Food Programme (WFP) on rainfall and temperature patterns in the past 40 years for several countries in the African continent show that while there are marked temperature increases across the region, the case is less clear cut for rainfall. Of the countries under analysis, Uganda, </w:t>
      </w:r>
      <w:proofErr w:type="gramStart"/>
      <w:r w:rsidRPr="00FC516F">
        <w:t>Tanzania</w:t>
      </w:r>
      <w:proofErr w:type="gramEnd"/>
      <w:r w:rsidRPr="00FC516F">
        <w:t xml:space="preserve"> and Zambia show positive rainfall trends over the past 40 years, while negative trends are apparent in eSwatini and Lesotho.</w:t>
      </w:r>
    </w:p>
    <w:p w14:paraId="09EADDB3" w14:textId="77777777" w:rsidR="00F4486B" w:rsidRPr="00FC516F" w:rsidRDefault="00F4486B" w:rsidP="00F4486B">
      <w:r w:rsidRPr="00FC516F">
        <w:t>The key rainfall feature for agricultural production and consequently rural food production and food insecurity is the inter-annual (year-on-year) variability in rainfall. In the long run, rainfall variability is a major determinant of livelihoods in the semi-arid tropics as beyond a certain value, purely agriculture-based livelihoods become unfeasible</w:t>
      </w:r>
      <w:r>
        <w:t>,</w:t>
      </w:r>
      <w:r w:rsidRPr="00FC516F">
        <w:t xml:space="preserve"> and households switch progressively to livestock-based livelihoods. These fluctuations subject households to the twin hazards of drought and flood. It is a long-term driver of chronic food insecurity as large and unpredictable year-on-year fluctuations in rainfall amounts prevent households from diversifying the crops they plant and lead them to become more risk averse and conservative in terms of their production strategies. In general, the magnitude of inter-annual variations is much larger than any changes arising from a possible long-term trend. </w:t>
      </w:r>
    </w:p>
    <w:p w14:paraId="002698AF" w14:textId="77777777" w:rsidR="00287C50" w:rsidRDefault="00F4486B" w:rsidP="00F4486B">
      <w:r w:rsidRPr="00FC516F">
        <w:t>Another mode of variation in seasonal rainfall that may be present is associated with multi-year periods of drier or wetter than average conditions with inter-annual variability super-imposed on these lower frequency cycles. Of the countries in the study, eSwatini and Lesotho were undergoing drier than average conditions, while both Tanzania and Uganda are in a wetter than average phase. While changes in mean and extreme rainfall have been the object of intense study, rainfall variability has received much less attention. Recent studies indicate that in response to global warming, rainfall variability in tropical areas is expected to increase more than mean precipitation due to greater increase in rainfall extremes</w:t>
      </w:r>
      <w:r>
        <w:fldChar w:fldCharType="begin"/>
      </w:r>
      <w:r>
        <w:instrText xml:space="preserve"> ADDIN EN.CITE &lt;EndNote&gt;&lt;Cite&gt;&lt;Author&gt;Pendergrass&lt;/Author&gt;&lt;Year&gt;2017&lt;/Year&gt;&lt;RecNum&gt;80&lt;/RecNum&gt;&lt;DisplayText&gt;(2)&lt;/DisplayText&gt;&lt;record&gt;&lt;rec-number&gt;80&lt;/rec-number&gt;&lt;foreign-keys&gt;&lt;key app="EN" db-id="5razretsn59atee0dznxe5pfazpsd9sva20f" timestamp="1662127395"&gt;80&lt;/key&gt;&lt;/foreign-keys&gt;&lt;ref-type name="Journal Article"&gt;17&lt;/ref-type&gt;&lt;contributors&gt;&lt;authors&gt;&lt;author&gt;Pendergrass, A. G.&lt;/author&gt;&lt;author&gt;Knutti, R.&lt;/author&gt;&lt;author&gt;Lehner, F.&lt;/author&gt;&lt;author&gt;Deser, C.&lt;/author&gt;&lt;author&gt;Sanderson, B. M.&lt;/author&gt;&lt;/authors&gt;&lt;/contributors&gt;&lt;auth-address&gt;National Center for Atmospheric Research, Boulder, CO, USA. apgrass@ucar.edu.&amp;#xD;National Center for Atmospheric Research, Boulder, CO, USA.&amp;#xD;Institute for Atmospheric and Climate Science, ETH Zurich, CH-8092, Zurich, Switzerland.&lt;/auth-address&gt;&lt;titles&gt;&lt;title&gt;Precipitation variability increases in a warmer climate&lt;/title&gt;&lt;secondary-title&gt;Sci Rep&lt;/secondary-title&gt;&lt;/titles&gt;&lt;periodical&gt;&lt;full-title&gt;Sci Rep&lt;/full-title&gt;&lt;/periodical&gt;&lt;pages&gt;17966&lt;/pages&gt;&lt;volume&gt;7&lt;/volume&gt;&lt;number&gt;1&lt;/number&gt;&lt;edition&gt;2017/12/23&lt;/edition&gt;&lt;dates&gt;&lt;year&gt;2017&lt;/year&gt;&lt;pub-dates&gt;&lt;date&gt;Dec 21&lt;/date&gt;&lt;/pub-dates&gt;&lt;/dates&gt;&lt;isbn&gt;2045-2322 (Electronic)&amp;#xD;2045-2322 (Linking)&lt;/isbn&gt;&lt;accession-num&gt;29269737&lt;/accession-num&gt;&lt;urls&gt;&lt;related-urls&gt;&lt;url&gt;https://www.ncbi.nlm.nih.gov/pubmed/29269737&lt;/url&gt;&lt;/related-urls&gt;&lt;/urls&gt;&lt;custom2&gt;PMC5740108&lt;/custom2&gt;&lt;electronic-resource-num&gt;10.1038/s41598-017-17966-y&lt;/electronic-resource-num&gt;&lt;/record&gt;&lt;/Cite&gt;&lt;/EndNote&gt;</w:instrText>
      </w:r>
      <w:r>
        <w:fldChar w:fldCharType="separate"/>
      </w:r>
      <w:r>
        <w:rPr>
          <w:noProof/>
        </w:rPr>
        <w:t>(2)</w:t>
      </w:r>
      <w:r>
        <w:fldChar w:fldCharType="end"/>
      </w:r>
      <w:r w:rsidRPr="00FC516F">
        <w:t>.</w:t>
      </w:r>
      <w:hyperlink w:anchor="_ENREF_4" w:tooltip="Pendergrass, 2017 #1100" w:history="1"/>
      <w:r w:rsidRPr="00FC516F">
        <w:t xml:space="preserve"> </w:t>
      </w:r>
    </w:p>
    <w:p w14:paraId="1247DD98" w14:textId="2F435731" w:rsidR="00F4486B" w:rsidRPr="00FC516F" w:rsidRDefault="00287C50" w:rsidP="00F4486B">
      <w:r w:rsidRPr="00287C50">
        <w:t xml:space="preserve">The surveys in this analysis were mostly carried out during a </w:t>
      </w:r>
      <w:proofErr w:type="gramStart"/>
      <w:r w:rsidRPr="00287C50">
        <w:t>fairly unique</w:t>
      </w:r>
      <w:proofErr w:type="gramEnd"/>
      <w:r w:rsidRPr="00287C50">
        <w:t xml:space="preserve"> period from a climate point of view. From late-2014 to mid-2016 one of the longest and most intense El Niño events on record developed. For Southern Africa in particular, it led to two consecutive droughts. </w:t>
      </w:r>
      <w:r w:rsidR="00AE4F85" w:rsidRPr="00AE4F85">
        <w:t>The first season (2014-2015) had a milder impact given suitable regional cereal stocks but already enhanced the food insecurity of the most vulnerable populations. The second season (2015-2016) had major impacts on crop production at regional scale and led to a large spike in food insecurity across the region. While these are separate seasons, the impacts of rainfall deficits in a first season influence the response of crops in the following season, by severely decreasing soil moisture stores and leading to delayed planting in the following season. Hence it made more sense to consider the two seasons together when assessing the extent of the drought.</w:t>
      </w:r>
      <w:r w:rsidR="00AE4F85">
        <w:t xml:space="preserve"> </w:t>
      </w:r>
      <w:r w:rsidRPr="00287C50">
        <w:t>Consecutive droughts have compounding effects on food insecurity – the first year of drought, deplete national and regional stocks and directly impact on households, enhancing their vulnerability due to reducing household savings and increasing sales of productive assets. This enhances the impact of the second year of drought through severe reductions in staple food availability and extreme market prices.</w:t>
      </w:r>
      <w:r>
        <w:t xml:space="preserve"> </w:t>
      </w:r>
      <w:r w:rsidR="00F4486B" w:rsidRPr="00FC516F">
        <w:t xml:space="preserve">This </w:t>
      </w:r>
      <w:r w:rsidR="00F4051A">
        <w:t xml:space="preserve">period </w:t>
      </w:r>
      <w:r w:rsidR="00F4486B" w:rsidRPr="00FC516F">
        <w:lastRenderedPageBreak/>
        <w:t xml:space="preserve">was followed by two La Niña events in 2016-2017 and 2017-2018, which led to drier than average conditions in East Africa and wetter conditions in Southern Africa.   </w:t>
      </w:r>
    </w:p>
    <w:p w14:paraId="065D799C" w14:textId="0637709B" w:rsidR="00F4486B" w:rsidRDefault="00F4486B" w:rsidP="00F4486B">
      <w:pPr>
        <w:rPr>
          <w:b/>
          <w:bCs/>
        </w:rPr>
      </w:pPr>
    </w:p>
    <w:p w14:paraId="4B0EF73D" w14:textId="17E7903A" w:rsidR="00F4486B" w:rsidRDefault="00F4486B" w:rsidP="00F4486B">
      <w:pPr>
        <w:rPr>
          <w:b/>
          <w:bCs/>
        </w:rPr>
      </w:pPr>
      <w:r>
        <w:rPr>
          <w:b/>
          <w:bCs/>
        </w:rPr>
        <w:t xml:space="preserve">Supplementary figure </w:t>
      </w:r>
      <w:r w:rsidR="00D825DD">
        <w:rPr>
          <w:b/>
          <w:bCs/>
        </w:rPr>
        <w:t>1</w:t>
      </w:r>
      <w:r>
        <w:rPr>
          <w:b/>
          <w:bCs/>
        </w:rPr>
        <w:t>: Climate conditions preceding data collection in each country*</w:t>
      </w:r>
    </w:p>
    <w:p w14:paraId="182FC763" w14:textId="77777777" w:rsidR="00F4486B" w:rsidRDefault="00F4486B" w:rsidP="00F4486B">
      <w:pPr>
        <w:rPr>
          <w:b/>
          <w:bCs/>
        </w:rPr>
      </w:pPr>
      <w:r w:rsidRPr="00712EE2">
        <w:rPr>
          <w:b/>
          <w:bCs/>
          <w:noProof/>
        </w:rPr>
        <w:drawing>
          <wp:inline distT="0" distB="0" distL="0" distR="0" wp14:anchorId="4BE4263E" wp14:editId="0A9BF164">
            <wp:extent cx="5731510" cy="1337310"/>
            <wp:effectExtent l="0" t="0" r="254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4"/>
                    <a:stretch>
                      <a:fillRect/>
                    </a:stretch>
                  </pic:blipFill>
                  <pic:spPr>
                    <a:xfrm>
                      <a:off x="0" y="0"/>
                      <a:ext cx="5731510" cy="1337310"/>
                    </a:xfrm>
                    <a:prstGeom prst="rect">
                      <a:avLst/>
                    </a:prstGeom>
                  </pic:spPr>
                </pic:pic>
              </a:graphicData>
            </a:graphic>
          </wp:inline>
        </w:drawing>
      </w:r>
    </w:p>
    <w:p w14:paraId="7C00EDD7" w14:textId="77777777" w:rsidR="00F4486B" w:rsidRPr="00A25A47" w:rsidRDefault="00F4486B" w:rsidP="00F4486B">
      <w:r>
        <w:t>*</w:t>
      </w:r>
      <w:r w:rsidRPr="00A25A47">
        <w:t>Cells with country names represent months of survey data collection, whereas those cells above the bolded line represent the average conditions in Southern Africa at those times.</w:t>
      </w:r>
    </w:p>
    <w:p w14:paraId="4AB138E1" w14:textId="77777777" w:rsidR="00F4486B" w:rsidRDefault="00F4486B" w:rsidP="00F4486B">
      <w:pPr>
        <w:rPr>
          <w:b/>
          <w:bCs/>
        </w:rPr>
      </w:pPr>
    </w:p>
    <w:p w14:paraId="0BDFFF9C" w14:textId="4A7E6584" w:rsidR="00F4486B" w:rsidRPr="00D15C60" w:rsidRDefault="00F4486B" w:rsidP="00F4486B">
      <w:pPr>
        <w:rPr>
          <w:b/>
          <w:bCs/>
        </w:rPr>
      </w:pPr>
      <w:r>
        <w:rPr>
          <w:b/>
          <w:bCs/>
        </w:rPr>
        <w:t xml:space="preserve">Supplementary table </w:t>
      </w:r>
      <w:r w:rsidR="008C1163">
        <w:rPr>
          <w:b/>
          <w:bCs/>
        </w:rPr>
        <w:t>6</w:t>
      </w:r>
      <w:r>
        <w:rPr>
          <w:b/>
          <w:bCs/>
        </w:rPr>
        <w:t xml:space="preserve">: </w:t>
      </w:r>
      <w:r w:rsidRPr="00520551">
        <w:t>Proportion of country affected by drought (defined as SPI-3 &lt; -1) in Oct-Dec 2015 and Oct-Dec 2016</w:t>
      </w:r>
    </w:p>
    <w:tbl>
      <w:tblPr>
        <w:tblStyle w:val="TableGrid"/>
        <w:tblW w:w="0" w:type="auto"/>
        <w:tblLook w:val="04A0" w:firstRow="1" w:lastRow="0" w:firstColumn="1" w:lastColumn="0" w:noHBand="0" w:noVBand="1"/>
      </w:tblPr>
      <w:tblGrid>
        <w:gridCol w:w="1220"/>
        <w:gridCol w:w="2319"/>
        <w:gridCol w:w="2552"/>
      </w:tblGrid>
      <w:tr w:rsidR="00F4486B" w:rsidRPr="00D15C60" w14:paraId="6253E302" w14:textId="77777777" w:rsidTr="0072553A">
        <w:trPr>
          <w:trHeight w:val="255"/>
        </w:trPr>
        <w:tc>
          <w:tcPr>
            <w:tcW w:w="1220" w:type="dxa"/>
            <w:tcBorders>
              <w:top w:val="single" w:sz="4" w:space="0" w:color="auto"/>
              <w:left w:val="single" w:sz="4" w:space="0" w:color="auto"/>
              <w:bottom w:val="single" w:sz="4" w:space="0" w:color="auto"/>
              <w:right w:val="single" w:sz="4" w:space="0" w:color="auto"/>
            </w:tcBorders>
            <w:noWrap/>
            <w:hideMark/>
          </w:tcPr>
          <w:p w14:paraId="2B5DBE6B" w14:textId="77777777" w:rsidR="00F4486B" w:rsidRPr="00520551" w:rsidRDefault="00F4486B" w:rsidP="0072553A">
            <w:pPr>
              <w:rPr>
                <w:rFonts w:cstheme="minorHAnsi"/>
                <w:b/>
                <w:bCs/>
                <w:sz w:val="22"/>
                <w:szCs w:val="22"/>
              </w:rPr>
            </w:pPr>
            <w:r w:rsidRPr="00520551">
              <w:rPr>
                <w:rFonts w:cstheme="minorHAnsi"/>
                <w:b/>
                <w:bCs/>
                <w:sz w:val="22"/>
                <w:szCs w:val="22"/>
              </w:rPr>
              <w:t>Country</w:t>
            </w:r>
          </w:p>
        </w:tc>
        <w:tc>
          <w:tcPr>
            <w:tcW w:w="2319" w:type="dxa"/>
            <w:tcBorders>
              <w:top w:val="single" w:sz="4" w:space="0" w:color="auto"/>
              <w:left w:val="single" w:sz="4" w:space="0" w:color="auto"/>
              <w:bottom w:val="single" w:sz="4" w:space="0" w:color="auto"/>
              <w:right w:val="single" w:sz="4" w:space="0" w:color="auto"/>
            </w:tcBorders>
            <w:noWrap/>
            <w:hideMark/>
          </w:tcPr>
          <w:p w14:paraId="465ED1EF" w14:textId="77777777" w:rsidR="00F4486B" w:rsidRPr="00520551" w:rsidRDefault="00F4486B" w:rsidP="0072553A">
            <w:pPr>
              <w:jc w:val="center"/>
              <w:rPr>
                <w:rFonts w:cstheme="minorHAnsi"/>
                <w:b/>
                <w:bCs/>
                <w:sz w:val="22"/>
                <w:szCs w:val="22"/>
              </w:rPr>
            </w:pPr>
            <w:r w:rsidRPr="00520551">
              <w:rPr>
                <w:rFonts w:cstheme="minorHAnsi"/>
                <w:b/>
                <w:bCs/>
                <w:sz w:val="22"/>
                <w:szCs w:val="22"/>
              </w:rPr>
              <w:t>Oct-Dec 2015</w:t>
            </w:r>
          </w:p>
        </w:tc>
        <w:tc>
          <w:tcPr>
            <w:tcW w:w="2552" w:type="dxa"/>
            <w:tcBorders>
              <w:top w:val="single" w:sz="4" w:space="0" w:color="auto"/>
              <w:left w:val="single" w:sz="4" w:space="0" w:color="auto"/>
              <w:bottom w:val="single" w:sz="4" w:space="0" w:color="auto"/>
              <w:right w:val="single" w:sz="4" w:space="0" w:color="auto"/>
            </w:tcBorders>
            <w:noWrap/>
            <w:hideMark/>
          </w:tcPr>
          <w:p w14:paraId="3EA8871B" w14:textId="77777777" w:rsidR="00F4486B" w:rsidRPr="00520551" w:rsidRDefault="00F4486B" w:rsidP="0072553A">
            <w:pPr>
              <w:jc w:val="center"/>
              <w:rPr>
                <w:rFonts w:cstheme="minorHAnsi"/>
                <w:b/>
                <w:bCs/>
                <w:sz w:val="22"/>
                <w:szCs w:val="22"/>
              </w:rPr>
            </w:pPr>
            <w:r w:rsidRPr="00520551">
              <w:rPr>
                <w:rFonts w:cstheme="minorHAnsi"/>
                <w:b/>
                <w:bCs/>
                <w:sz w:val="22"/>
                <w:szCs w:val="22"/>
              </w:rPr>
              <w:t>Oct-Dec 2016</w:t>
            </w:r>
          </w:p>
        </w:tc>
      </w:tr>
      <w:tr w:rsidR="00F4486B" w:rsidRPr="00D15C60" w14:paraId="6E157310" w14:textId="77777777" w:rsidTr="0072553A">
        <w:trPr>
          <w:trHeight w:val="255"/>
        </w:trPr>
        <w:tc>
          <w:tcPr>
            <w:tcW w:w="1220" w:type="dxa"/>
            <w:tcBorders>
              <w:top w:val="single" w:sz="4" w:space="0" w:color="auto"/>
              <w:left w:val="single" w:sz="4" w:space="0" w:color="auto"/>
              <w:bottom w:val="single" w:sz="4" w:space="0" w:color="auto"/>
              <w:right w:val="single" w:sz="4" w:space="0" w:color="auto"/>
            </w:tcBorders>
            <w:noWrap/>
            <w:hideMark/>
          </w:tcPr>
          <w:p w14:paraId="4738B984" w14:textId="77777777" w:rsidR="00F4486B" w:rsidRPr="00D15C60" w:rsidRDefault="00F4486B" w:rsidP="0072553A">
            <w:pPr>
              <w:rPr>
                <w:rFonts w:cstheme="minorHAnsi"/>
                <w:sz w:val="22"/>
                <w:szCs w:val="22"/>
              </w:rPr>
            </w:pPr>
            <w:r w:rsidRPr="00D15C60">
              <w:rPr>
                <w:rFonts w:cstheme="minorHAnsi"/>
                <w:sz w:val="22"/>
                <w:szCs w:val="22"/>
              </w:rPr>
              <w:t>Zambia</w:t>
            </w:r>
          </w:p>
        </w:tc>
        <w:tc>
          <w:tcPr>
            <w:tcW w:w="2319" w:type="dxa"/>
            <w:tcBorders>
              <w:top w:val="single" w:sz="4" w:space="0" w:color="auto"/>
              <w:left w:val="single" w:sz="4" w:space="0" w:color="auto"/>
              <w:bottom w:val="single" w:sz="4" w:space="0" w:color="auto"/>
              <w:right w:val="single" w:sz="4" w:space="0" w:color="auto"/>
            </w:tcBorders>
            <w:noWrap/>
            <w:hideMark/>
          </w:tcPr>
          <w:p w14:paraId="6631C51B" w14:textId="77777777" w:rsidR="00F4486B" w:rsidRPr="00D15C60" w:rsidRDefault="00F4486B" w:rsidP="0072553A">
            <w:pPr>
              <w:jc w:val="center"/>
              <w:rPr>
                <w:rFonts w:cstheme="minorHAnsi"/>
                <w:sz w:val="22"/>
                <w:szCs w:val="22"/>
              </w:rPr>
            </w:pPr>
            <w:r w:rsidRPr="00D15C60">
              <w:rPr>
                <w:rFonts w:cstheme="minorHAnsi"/>
                <w:sz w:val="22"/>
                <w:szCs w:val="22"/>
              </w:rPr>
              <w:t>15.7%</w:t>
            </w:r>
          </w:p>
        </w:tc>
        <w:tc>
          <w:tcPr>
            <w:tcW w:w="2552" w:type="dxa"/>
            <w:tcBorders>
              <w:top w:val="single" w:sz="4" w:space="0" w:color="auto"/>
              <w:left w:val="single" w:sz="4" w:space="0" w:color="auto"/>
              <w:bottom w:val="single" w:sz="4" w:space="0" w:color="auto"/>
              <w:right w:val="single" w:sz="4" w:space="0" w:color="auto"/>
            </w:tcBorders>
            <w:noWrap/>
            <w:hideMark/>
          </w:tcPr>
          <w:p w14:paraId="1E6399F1" w14:textId="77777777" w:rsidR="00F4486B" w:rsidRPr="00D15C60" w:rsidRDefault="00F4486B" w:rsidP="0072553A">
            <w:pPr>
              <w:rPr>
                <w:rFonts w:cstheme="minorHAnsi"/>
                <w:sz w:val="22"/>
                <w:szCs w:val="22"/>
              </w:rPr>
            </w:pPr>
          </w:p>
        </w:tc>
      </w:tr>
      <w:tr w:rsidR="00F4486B" w:rsidRPr="00D15C60" w14:paraId="098BCD9F" w14:textId="77777777" w:rsidTr="0072553A">
        <w:trPr>
          <w:trHeight w:val="255"/>
        </w:trPr>
        <w:tc>
          <w:tcPr>
            <w:tcW w:w="1220" w:type="dxa"/>
            <w:tcBorders>
              <w:top w:val="single" w:sz="4" w:space="0" w:color="auto"/>
              <w:left w:val="single" w:sz="4" w:space="0" w:color="auto"/>
              <w:bottom w:val="single" w:sz="4" w:space="0" w:color="auto"/>
              <w:right w:val="single" w:sz="4" w:space="0" w:color="auto"/>
            </w:tcBorders>
            <w:noWrap/>
            <w:hideMark/>
          </w:tcPr>
          <w:p w14:paraId="47EC15B6" w14:textId="77777777" w:rsidR="00F4486B" w:rsidRPr="00D15C60" w:rsidRDefault="00F4486B" w:rsidP="0072553A">
            <w:pPr>
              <w:rPr>
                <w:rFonts w:cstheme="minorHAnsi"/>
                <w:sz w:val="22"/>
                <w:szCs w:val="22"/>
              </w:rPr>
            </w:pPr>
            <w:r w:rsidRPr="00D15C60">
              <w:rPr>
                <w:rFonts w:cstheme="minorHAnsi"/>
                <w:sz w:val="22"/>
                <w:szCs w:val="22"/>
              </w:rPr>
              <w:t>eSwatini</w:t>
            </w:r>
          </w:p>
        </w:tc>
        <w:tc>
          <w:tcPr>
            <w:tcW w:w="2319" w:type="dxa"/>
            <w:tcBorders>
              <w:top w:val="single" w:sz="4" w:space="0" w:color="auto"/>
              <w:left w:val="single" w:sz="4" w:space="0" w:color="auto"/>
              <w:bottom w:val="single" w:sz="4" w:space="0" w:color="auto"/>
              <w:right w:val="single" w:sz="4" w:space="0" w:color="auto"/>
            </w:tcBorders>
            <w:noWrap/>
            <w:hideMark/>
          </w:tcPr>
          <w:p w14:paraId="4709CC58" w14:textId="77777777" w:rsidR="00F4486B" w:rsidRPr="00D15C60" w:rsidRDefault="00F4486B" w:rsidP="0072553A">
            <w:pPr>
              <w:jc w:val="center"/>
              <w:rPr>
                <w:rFonts w:cstheme="minorHAnsi"/>
                <w:sz w:val="22"/>
                <w:szCs w:val="22"/>
              </w:rPr>
            </w:pPr>
            <w:r w:rsidRPr="00D15C60">
              <w:rPr>
                <w:rFonts w:cstheme="minorHAnsi"/>
                <w:sz w:val="22"/>
                <w:szCs w:val="22"/>
              </w:rPr>
              <w:t>87.3%</w:t>
            </w:r>
          </w:p>
        </w:tc>
        <w:tc>
          <w:tcPr>
            <w:tcW w:w="2552" w:type="dxa"/>
            <w:tcBorders>
              <w:top w:val="single" w:sz="4" w:space="0" w:color="auto"/>
              <w:left w:val="single" w:sz="4" w:space="0" w:color="auto"/>
              <w:bottom w:val="single" w:sz="4" w:space="0" w:color="auto"/>
              <w:right w:val="single" w:sz="4" w:space="0" w:color="auto"/>
            </w:tcBorders>
            <w:noWrap/>
            <w:hideMark/>
          </w:tcPr>
          <w:p w14:paraId="5DF13504" w14:textId="77777777" w:rsidR="00F4486B" w:rsidRPr="00D15C60" w:rsidRDefault="00F4486B" w:rsidP="0072553A">
            <w:pPr>
              <w:rPr>
                <w:rFonts w:cstheme="minorHAnsi"/>
                <w:sz w:val="22"/>
                <w:szCs w:val="22"/>
              </w:rPr>
            </w:pPr>
          </w:p>
        </w:tc>
      </w:tr>
      <w:tr w:rsidR="00F4486B" w:rsidRPr="00D15C60" w14:paraId="182907A7" w14:textId="77777777" w:rsidTr="0072553A">
        <w:trPr>
          <w:trHeight w:val="255"/>
        </w:trPr>
        <w:tc>
          <w:tcPr>
            <w:tcW w:w="1220" w:type="dxa"/>
            <w:tcBorders>
              <w:top w:val="single" w:sz="4" w:space="0" w:color="auto"/>
              <w:left w:val="single" w:sz="4" w:space="0" w:color="auto"/>
              <w:bottom w:val="single" w:sz="4" w:space="0" w:color="auto"/>
              <w:right w:val="single" w:sz="4" w:space="0" w:color="auto"/>
            </w:tcBorders>
            <w:noWrap/>
            <w:hideMark/>
          </w:tcPr>
          <w:p w14:paraId="535C0734" w14:textId="77777777" w:rsidR="00F4486B" w:rsidRPr="00D15C60" w:rsidRDefault="00F4486B" w:rsidP="0072553A">
            <w:pPr>
              <w:rPr>
                <w:rFonts w:cstheme="minorHAnsi"/>
                <w:sz w:val="22"/>
                <w:szCs w:val="22"/>
              </w:rPr>
            </w:pPr>
            <w:r w:rsidRPr="00D15C60">
              <w:rPr>
                <w:rFonts w:cstheme="minorHAnsi"/>
                <w:sz w:val="22"/>
                <w:szCs w:val="22"/>
              </w:rPr>
              <w:t>Lesotho</w:t>
            </w:r>
          </w:p>
        </w:tc>
        <w:tc>
          <w:tcPr>
            <w:tcW w:w="2319" w:type="dxa"/>
            <w:tcBorders>
              <w:top w:val="single" w:sz="4" w:space="0" w:color="auto"/>
              <w:left w:val="single" w:sz="4" w:space="0" w:color="auto"/>
              <w:bottom w:val="single" w:sz="4" w:space="0" w:color="auto"/>
              <w:right w:val="single" w:sz="4" w:space="0" w:color="auto"/>
            </w:tcBorders>
            <w:noWrap/>
            <w:hideMark/>
          </w:tcPr>
          <w:p w14:paraId="0C8D49CF" w14:textId="77777777" w:rsidR="00F4486B" w:rsidRPr="00D15C60" w:rsidRDefault="00F4486B" w:rsidP="0072553A">
            <w:pPr>
              <w:jc w:val="center"/>
              <w:rPr>
                <w:rFonts w:cstheme="minorHAnsi"/>
                <w:sz w:val="22"/>
                <w:szCs w:val="22"/>
              </w:rPr>
            </w:pPr>
            <w:r w:rsidRPr="00D15C60">
              <w:rPr>
                <w:rFonts w:cstheme="minorHAnsi"/>
                <w:sz w:val="22"/>
                <w:szCs w:val="22"/>
              </w:rPr>
              <w:t>100.0%</w:t>
            </w:r>
          </w:p>
        </w:tc>
        <w:tc>
          <w:tcPr>
            <w:tcW w:w="2552" w:type="dxa"/>
            <w:tcBorders>
              <w:top w:val="single" w:sz="4" w:space="0" w:color="auto"/>
              <w:left w:val="single" w:sz="4" w:space="0" w:color="auto"/>
              <w:bottom w:val="single" w:sz="4" w:space="0" w:color="auto"/>
              <w:right w:val="single" w:sz="4" w:space="0" w:color="auto"/>
            </w:tcBorders>
            <w:noWrap/>
            <w:hideMark/>
          </w:tcPr>
          <w:p w14:paraId="23553D9A" w14:textId="77777777" w:rsidR="00F4486B" w:rsidRPr="00D15C60" w:rsidRDefault="00F4486B" w:rsidP="0072553A">
            <w:pPr>
              <w:rPr>
                <w:rFonts w:cstheme="minorHAnsi"/>
                <w:sz w:val="22"/>
                <w:szCs w:val="22"/>
              </w:rPr>
            </w:pPr>
          </w:p>
        </w:tc>
      </w:tr>
      <w:tr w:rsidR="00F4486B" w:rsidRPr="00D15C60" w14:paraId="3CC3B721" w14:textId="77777777" w:rsidTr="0072553A">
        <w:trPr>
          <w:trHeight w:val="255"/>
        </w:trPr>
        <w:tc>
          <w:tcPr>
            <w:tcW w:w="1220" w:type="dxa"/>
            <w:tcBorders>
              <w:top w:val="single" w:sz="4" w:space="0" w:color="auto"/>
              <w:left w:val="single" w:sz="4" w:space="0" w:color="auto"/>
              <w:bottom w:val="single" w:sz="4" w:space="0" w:color="auto"/>
              <w:right w:val="single" w:sz="4" w:space="0" w:color="auto"/>
            </w:tcBorders>
            <w:noWrap/>
            <w:hideMark/>
          </w:tcPr>
          <w:p w14:paraId="791748D0" w14:textId="77777777" w:rsidR="00F4486B" w:rsidRPr="00D15C60" w:rsidRDefault="00F4486B" w:rsidP="0072553A">
            <w:pPr>
              <w:rPr>
                <w:rFonts w:cstheme="minorHAnsi"/>
                <w:sz w:val="22"/>
                <w:szCs w:val="22"/>
              </w:rPr>
            </w:pPr>
            <w:r w:rsidRPr="00D15C60">
              <w:rPr>
                <w:rFonts w:cstheme="minorHAnsi"/>
                <w:sz w:val="22"/>
                <w:szCs w:val="22"/>
              </w:rPr>
              <w:t>Uganda</w:t>
            </w:r>
          </w:p>
        </w:tc>
        <w:tc>
          <w:tcPr>
            <w:tcW w:w="2319" w:type="dxa"/>
            <w:tcBorders>
              <w:top w:val="single" w:sz="4" w:space="0" w:color="auto"/>
              <w:left w:val="single" w:sz="4" w:space="0" w:color="auto"/>
              <w:bottom w:val="single" w:sz="4" w:space="0" w:color="auto"/>
              <w:right w:val="single" w:sz="4" w:space="0" w:color="auto"/>
            </w:tcBorders>
            <w:noWrap/>
            <w:hideMark/>
          </w:tcPr>
          <w:p w14:paraId="0D5147C8" w14:textId="77777777" w:rsidR="00F4486B" w:rsidRPr="00D15C60" w:rsidRDefault="00F4486B" w:rsidP="0072553A">
            <w:pPr>
              <w:rPr>
                <w:rFonts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noWrap/>
            <w:hideMark/>
          </w:tcPr>
          <w:p w14:paraId="023B6CA5" w14:textId="77777777" w:rsidR="00F4486B" w:rsidRPr="00D15C60" w:rsidRDefault="00F4486B" w:rsidP="0072553A">
            <w:pPr>
              <w:jc w:val="center"/>
              <w:rPr>
                <w:rFonts w:cstheme="minorHAnsi"/>
                <w:sz w:val="22"/>
                <w:szCs w:val="22"/>
              </w:rPr>
            </w:pPr>
            <w:r w:rsidRPr="00D15C60">
              <w:rPr>
                <w:rFonts w:cstheme="minorHAnsi"/>
                <w:sz w:val="22"/>
                <w:szCs w:val="22"/>
              </w:rPr>
              <w:t>31.8%</w:t>
            </w:r>
          </w:p>
        </w:tc>
      </w:tr>
      <w:tr w:rsidR="00F4486B" w:rsidRPr="00D15C60" w14:paraId="5B869D03" w14:textId="77777777" w:rsidTr="0072553A">
        <w:trPr>
          <w:trHeight w:val="255"/>
        </w:trPr>
        <w:tc>
          <w:tcPr>
            <w:tcW w:w="1220" w:type="dxa"/>
            <w:tcBorders>
              <w:top w:val="single" w:sz="4" w:space="0" w:color="auto"/>
              <w:left w:val="single" w:sz="4" w:space="0" w:color="auto"/>
              <w:bottom w:val="single" w:sz="4" w:space="0" w:color="auto"/>
              <w:right w:val="single" w:sz="4" w:space="0" w:color="auto"/>
            </w:tcBorders>
            <w:noWrap/>
            <w:hideMark/>
          </w:tcPr>
          <w:p w14:paraId="3B5547E1" w14:textId="77777777" w:rsidR="00F4486B" w:rsidRPr="00D15C60" w:rsidRDefault="00F4486B" w:rsidP="0072553A">
            <w:pPr>
              <w:rPr>
                <w:rFonts w:cstheme="minorHAnsi"/>
                <w:sz w:val="22"/>
                <w:szCs w:val="22"/>
              </w:rPr>
            </w:pPr>
            <w:r w:rsidRPr="00D15C60">
              <w:rPr>
                <w:rFonts w:cstheme="minorHAnsi"/>
                <w:sz w:val="22"/>
                <w:szCs w:val="22"/>
              </w:rPr>
              <w:t>Tanzania</w:t>
            </w:r>
          </w:p>
        </w:tc>
        <w:tc>
          <w:tcPr>
            <w:tcW w:w="2319" w:type="dxa"/>
            <w:tcBorders>
              <w:top w:val="single" w:sz="4" w:space="0" w:color="auto"/>
              <w:left w:val="single" w:sz="4" w:space="0" w:color="auto"/>
              <w:bottom w:val="single" w:sz="4" w:space="0" w:color="auto"/>
              <w:right w:val="single" w:sz="4" w:space="0" w:color="auto"/>
            </w:tcBorders>
            <w:noWrap/>
            <w:hideMark/>
          </w:tcPr>
          <w:p w14:paraId="51B359E1" w14:textId="77777777" w:rsidR="00F4486B" w:rsidRPr="00D15C60" w:rsidRDefault="00F4486B" w:rsidP="0072553A">
            <w:pPr>
              <w:rPr>
                <w:rFonts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noWrap/>
            <w:hideMark/>
          </w:tcPr>
          <w:p w14:paraId="688BF017" w14:textId="77777777" w:rsidR="00F4486B" w:rsidRPr="00D15C60" w:rsidRDefault="00F4486B" w:rsidP="0072553A">
            <w:pPr>
              <w:jc w:val="center"/>
              <w:rPr>
                <w:rFonts w:cstheme="minorHAnsi"/>
                <w:sz w:val="22"/>
                <w:szCs w:val="22"/>
              </w:rPr>
            </w:pPr>
            <w:r w:rsidRPr="00D15C60">
              <w:rPr>
                <w:rFonts w:cstheme="minorHAnsi"/>
                <w:sz w:val="22"/>
                <w:szCs w:val="22"/>
              </w:rPr>
              <w:t>62.5%</w:t>
            </w:r>
          </w:p>
        </w:tc>
      </w:tr>
    </w:tbl>
    <w:p w14:paraId="56426331" w14:textId="77777777" w:rsidR="00F4486B" w:rsidRPr="00D15C60" w:rsidRDefault="00F4486B" w:rsidP="00F4486B">
      <w:r w:rsidRPr="00D15C60">
        <w:t>SPI: Standardised Precipitation Index</w:t>
      </w:r>
    </w:p>
    <w:p w14:paraId="3A166464" w14:textId="77777777" w:rsidR="00F4486B" w:rsidRDefault="00F4486B" w:rsidP="003773EC">
      <w:pPr>
        <w:autoSpaceDE w:val="0"/>
        <w:autoSpaceDN w:val="0"/>
        <w:adjustRightInd w:val="0"/>
        <w:spacing w:after="0" w:line="240" w:lineRule="auto"/>
      </w:pPr>
    </w:p>
    <w:p w14:paraId="4B5CD61F" w14:textId="0D055CBC" w:rsidR="001D05A0" w:rsidRDefault="001D05A0">
      <w:r>
        <w:br w:type="page"/>
      </w:r>
    </w:p>
    <w:p w14:paraId="4FB1B5CD" w14:textId="77777777" w:rsidR="001D05A0" w:rsidRDefault="001D05A0" w:rsidP="001D05A0">
      <w:pPr>
        <w:rPr>
          <w:b/>
          <w:bCs/>
        </w:rPr>
      </w:pPr>
      <w:r w:rsidRPr="00397E66">
        <w:rPr>
          <w:b/>
          <w:bCs/>
        </w:rPr>
        <w:lastRenderedPageBreak/>
        <w:t>Generation of wealth quintiles in PHIA surveys*</w:t>
      </w:r>
    </w:p>
    <w:p w14:paraId="6F98575B" w14:textId="77777777" w:rsidR="001D05A0" w:rsidRPr="004F7FF1" w:rsidRDefault="001D05A0" w:rsidP="001D05A0">
      <w:pPr>
        <w:rPr>
          <w:i/>
          <w:iCs/>
        </w:rPr>
      </w:pPr>
      <w:r>
        <w:t xml:space="preserve">*Extract taken from </w:t>
      </w:r>
      <w:r w:rsidRPr="004F7FF1">
        <w:rPr>
          <w:i/>
          <w:iCs/>
        </w:rPr>
        <w:t>Population-based HIV Impact Assessment (PHIA) Data Use Manual. New York, NY. July 2019.</w:t>
      </w:r>
      <w:r>
        <w:rPr>
          <w:i/>
          <w:iCs/>
        </w:rPr>
        <w:fldChar w:fldCharType="begin"/>
      </w:r>
      <w:r>
        <w:rPr>
          <w:i/>
          <w:iCs/>
        </w:rPr>
        <w:instrText xml:space="preserve"> ADDIN EN.CITE &lt;EndNote&gt;&lt;Cite&gt;&lt;Author&gt;ICAP at Columbia&lt;/Author&gt;&lt;Year&gt;2019&lt;/Year&gt;&lt;RecNum&gt;85&lt;/RecNum&gt;&lt;DisplayText&gt;(3)&lt;/DisplayText&gt;&lt;record&gt;&lt;rec-number&gt;85&lt;/rec-number&gt;&lt;foreign-keys&gt;&lt;key app="EN" db-id="5razretsn59atee0dznxe5pfazpsd9sva20f" timestamp="1662127851"&gt;85&lt;/key&gt;&lt;/foreign-keys&gt;&lt;ref-type name="Report"&gt;27&lt;/ref-type&gt;&lt;contributors&gt;&lt;authors&gt;&lt;author&gt;ICAP at Columbia,&lt;/author&gt;&lt;/authors&gt;&lt;/contributors&gt;&lt;titles&gt;&lt;title&gt;Population-based HIV Impact Assessment (PHIA) Data Use Manual&lt;/title&gt;&lt;/titles&gt;&lt;dates&gt;&lt;year&gt;2019&lt;/year&gt;&lt;pub-dates&gt;&lt;date&gt;July 2019&lt;/date&gt;&lt;/pub-dates&gt;&lt;/dates&gt;&lt;pub-location&gt;New York, NY&lt;/pub-location&gt;&lt;urls&gt;&lt;/urls&gt;&lt;/record&gt;&lt;/Cite&gt;&lt;/EndNote&gt;</w:instrText>
      </w:r>
      <w:r>
        <w:rPr>
          <w:i/>
          <w:iCs/>
        </w:rPr>
        <w:fldChar w:fldCharType="separate"/>
      </w:r>
      <w:r>
        <w:rPr>
          <w:i/>
          <w:iCs/>
          <w:noProof/>
        </w:rPr>
        <w:t>(3)</w:t>
      </w:r>
      <w:r>
        <w:rPr>
          <w:i/>
          <w:iCs/>
        </w:rPr>
        <w:fldChar w:fldCharType="end"/>
      </w:r>
    </w:p>
    <w:p w14:paraId="425C2EC0" w14:textId="77777777" w:rsidR="001D05A0" w:rsidRPr="003773EC" w:rsidRDefault="001D05A0" w:rsidP="001D05A0">
      <w:pPr>
        <w:autoSpaceDE w:val="0"/>
        <w:autoSpaceDN w:val="0"/>
        <w:adjustRightInd w:val="0"/>
        <w:spacing w:line="240" w:lineRule="auto"/>
        <w:rPr>
          <w:b/>
          <w:bCs/>
        </w:rPr>
      </w:pPr>
      <w:r w:rsidRPr="003773EC">
        <w:rPr>
          <w:b/>
          <w:bCs/>
        </w:rPr>
        <w:t xml:space="preserve">Rationale. </w:t>
      </w:r>
    </w:p>
    <w:p w14:paraId="657A5CC8" w14:textId="77777777" w:rsidR="001D05A0" w:rsidRDefault="001D05A0" w:rsidP="001D05A0">
      <w:pPr>
        <w:autoSpaceDE w:val="0"/>
        <w:autoSpaceDN w:val="0"/>
        <w:adjustRightInd w:val="0"/>
        <w:spacing w:after="0" w:line="240" w:lineRule="auto"/>
      </w:pPr>
      <w:r w:rsidRPr="00397E66">
        <w:t>Wealth index methods using survey data on household assets, materials and durable</w:t>
      </w:r>
      <w:r>
        <w:t xml:space="preserve"> </w:t>
      </w:r>
      <w:r w:rsidRPr="00397E66">
        <w:t>goods have become an established measure of socioeconomic status since their adoption by</w:t>
      </w:r>
      <w:r>
        <w:t xml:space="preserve"> </w:t>
      </w:r>
      <w:r w:rsidRPr="00397E66">
        <w:t>the Demographic and Health Surveys Program (DHS)</w:t>
      </w:r>
      <w:r>
        <w:fldChar w:fldCharType="begin"/>
      </w:r>
      <w:r>
        <w:instrText xml:space="preserve"> ADDIN EN.CITE &lt;EndNote&gt;&lt;Cite&gt;&lt;Author&gt;Filmer&lt;/Author&gt;&lt;Year&gt;2001&lt;/Year&gt;&lt;RecNum&gt;81&lt;/RecNum&gt;&lt;DisplayText&gt;(4, 5)&lt;/DisplayText&gt;&lt;record&gt;&lt;rec-number&gt;81&lt;/rec-number&gt;&lt;foreign-keys&gt;&lt;key app="EN" db-id="5razretsn59atee0dznxe5pfazpsd9sva20f" timestamp="1662127513"&gt;81&lt;/key&gt;&lt;/foreign-keys&gt;&lt;ref-type name="Journal Article"&gt;17&lt;/ref-type&gt;&lt;contributors&gt;&lt;authors&gt;&lt;author&gt;Filmer, D.&lt;/author&gt;&lt;author&gt;Pritchett, L. H.&lt;/author&gt;&lt;/authors&gt;&lt;/contributors&gt;&lt;auth-address&gt;World Bank, Dev Res Grp, Washington, DC 20433 USA&amp;#xD;World Bank, John F Kennedy Sch Govt, Washington, DC 20433 USA&lt;/auth-address&gt;&lt;titles&gt;&lt;title&gt;Estimating wealth effects without expenditure data - Or tears: An application to educational enrollments in states of India&lt;/title&gt;&lt;secondary-title&gt;Demography&lt;/secondary-title&gt;&lt;alt-title&gt;Demography&lt;/alt-title&gt;&lt;/titles&gt;&lt;periodical&gt;&lt;full-title&gt;Demography&lt;/full-title&gt;&lt;abbr-1&gt;Demography&lt;/abbr-1&gt;&lt;/periodical&gt;&lt;alt-periodical&gt;&lt;full-title&gt;Demography&lt;/full-title&gt;&lt;abbr-1&gt;Demography&lt;/abbr-1&gt;&lt;/alt-periodical&gt;&lt;pages&gt;115-132&lt;/pages&gt;&lt;volume&gt;38&lt;/volume&gt;&lt;number&gt;1&lt;/number&gt;&lt;keywords&gt;&lt;keyword&gt;household&lt;/keyword&gt;&lt;keyword&gt;poverty&lt;/keyword&gt;&lt;/keywords&gt;&lt;dates&gt;&lt;year&gt;2001&lt;/year&gt;&lt;pub-dates&gt;&lt;date&gt;Feb&lt;/date&gt;&lt;/pub-dates&gt;&lt;/dates&gt;&lt;isbn&gt;0070-3370&lt;/isbn&gt;&lt;accession-num&gt;WOS:000167027400009&lt;/accession-num&gt;&lt;urls&gt;&lt;related-urls&gt;&lt;url&gt;&amp;lt;Go to ISI&amp;gt;://WOS:000167027400009&lt;/url&gt;&lt;/related-urls&gt;&lt;/urls&gt;&lt;electronic-resource-num&gt;Doi 10.2307/3088292&lt;/electronic-resource-num&gt;&lt;language&gt;English&lt;/language&gt;&lt;/record&gt;&lt;/Cite&gt;&lt;Cite&gt;&lt;Author&gt;Rutstein&lt;/Author&gt;&lt;Year&gt;2004&lt;/Year&gt;&lt;RecNum&gt;82&lt;/RecNum&gt;&lt;record&gt;&lt;rec-number&gt;82&lt;/rec-number&gt;&lt;foreign-keys&gt;&lt;key app="EN" db-id="5razretsn59atee0dznxe5pfazpsd9sva20f" timestamp="1662127615"&gt;82&lt;/key&gt;&lt;/foreign-keys&gt;&lt;ref-type name="Report"&gt;27&lt;/ref-type&gt;&lt;contributors&gt;&lt;authors&gt;&lt;author&gt;Rutstein, SO.&lt;/author&gt;&lt;author&gt;Kiersten, J.&lt;/author&gt;&lt;/authors&gt;&lt;/contributors&gt;&lt;titles&gt;&lt;title&gt;The DHS Wealth Index.&lt;/title&gt;&lt;/titles&gt;&lt;dates&gt;&lt;year&gt;2004&lt;/year&gt;&lt;/dates&gt;&lt;pub-location&gt;Calverton, Maryland: ORC Macro;&lt;/pub-location&gt;&lt;urls&gt;&lt;/urls&gt;&lt;/record&gt;&lt;/Cite&gt;&lt;/EndNote&gt;</w:instrText>
      </w:r>
      <w:r>
        <w:fldChar w:fldCharType="separate"/>
      </w:r>
      <w:r>
        <w:rPr>
          <w:noProof/>
        </w:rPr>
        <w:t>(4, 5)</w:t>
      </w:r>
      <w:r>
        <w:fldChar w:fldCharType="end"/>
      </w:r>
      <w:r w:rsidRPr="00397E66">
        <w:t>. These wealth measures are widely</w:t>
      </w:r>
      <w:r>
        <w:t xml:space="preserve"> </w:t>
      </w:r>
      <w:r w:rsidRPr="00397E66">
        <w:t>considered to be a more accurate construct than income to quantify socioeconomic status in</w:t>
      </w:r>
      <w:r>
        <w:t xml:space="preserve"> </w:t>
      </w:r>
      <w:r w:rsidRPr="00397E66">
        <w:t>resource-limited settings and are easily discernible via survey questionnaire. DHS has provided</w:t>
      </w:r>
      <w:r>
        <w:t xml:space="preserve"> </w:t>
      </w:r>
      <w:r w:rsidRPr="00397E66">
        <w:t>commonly accepted guidelines for wealth index construction</w:t>
      </w:r>
      <w:r>
        <w:fldChar w:fldCharType="begin"/>
      </w:r>
      <w:r>
        <w:instrText xml:space="preserve"> ADDIN EN.CITE &lt;EndNote&gt;&lt;Cite&gt;&lt;Author&gt;Rutstein&lt;/Author&gt;&lt;Year&gt;2004&lt;/Year&gt;&lt;RecNum&gt;82&lt;/RecNum&gt;&lt;DisplayText&gt;(5)&lt;/DisplayText&gt;&lt;record&gt;&lt;rec-number&gt;82&lt;/rec-number&gt;&lt;foreign-keys&gt;&lt;key app="EN" db-id="5razretsn59atee0dznxe5pfazpsd9sva20f" timestamp="1662127615"&gt;82&lt;/key&gt;&lt;/foreign-keys&gt;&lt;ref-type name="Report"&gt;27&lt;/ref-type&gt;&lt;contributors&gt;&lt;authors&gt;&lt;author&gt;Rutstein, SO.&lt;/author&gt;&lt;author&gt;Kiersten, J.&lt;/author&gt;&lt;/authors&gt;&lt;/contributors&gt;&lt;titles&gt;&lt;title&gt;The DHS Wealth Index.&lt;/title&gt;&lt;/titles&gt;&lt;dates&gt;&lt;year&gt;2004&lt;/year&gt;&lt;/dates&gt;&lt;pub-location&gt;Calverton, Maryland: ORC Macro;&lt;/pub-location&gt;&lt;urls&gt;&lt;/urls&gt;&lt;/record&gt;&lt;/Cite&gt;&lt;/EndNote&gt;</w:instrText>
      </w:r>
      <w:r>
        <w:fldChar w:fldCharType="separate"/>
      </w:r>
      <w:r>
        <w:rPr>
          <w:noProof/>
        </w:rPr>
        <w:t>(5)</w:t>
      </w:r>
      <w:r>
        <w:fldChar w:fldCharType="end"/>
      </w:r>
      <w:r w:rsidRPr="00397E66">
        <w:t>. Wealth index variables</w:t>
      </w:r>
      <w:r>
        <w:t xml:space="preserve"> </w:t>
      </w:r>
      <w:r w:rsidRPr="00397E66">
        <w:t>(continuous scores and quintiles) have been constructed for analysis using an easily</w:t>
      </w:r>
      <w:r>
        <w:t xml:space="preserve"> </w:t>
      </w:r>
      <w:r w:rsidRPr="00397E66">
        <w:t>reproducible method across PHIA surveys. Household dwelling characteristic and asset</w:t>
      </w:r>
      <w:r>
        <w:t xml:space="preserve"> </w:t>
      </w:r>
      <w:r w:rsidRPr="00397E66">
        <w:t>variables used to construct wealth indices vary by PHIA survey and are noted in each surve</w:t>
      </w:r>
      <w:r>
        <w:t>y’</w:t>
      </w:r>
      <w:r w:rsidRPr="00397E66">
        <w:t>s</w:t>
      </w:r>
      <w:r>
        <w:t xml:space="preserve"> </w:t>
      </w:r>
      <w:r w:rsidRPr="00397E66">
        <w:t>Data Use Manual Supplement. In PHIA datasets, two wealth index variables have been</w:t>
      </w:r>
      <w:r>
        <w:t xml:space="preserve"> </w:t>
      </w:r>
      <w:r w:rsidRPr="00397E66">
        <w:t>provided: a continuous score (</w:t>
      </w:r>
      <w:proofErr w:type="spellStart"/>
      <w:r w:rsidRPr="00397E66">
        <w:t>wealthscorecont</w:t>
      </w:r>
      <w:proofErr w:type="spellEnd"/>
      <w:r w:rsidRPr="00397E66">
        <w:t>) and categorical wealth quintile</w:t>
      </w:r>
      <w:r>
        <w:t xml:space="preserve"> </w:t>
      </w:r>
      <w:r w:rsidRPr="00397E66">
        <w:t>(</w:t>
      </w:r>
      <w:proofErr w:type="spellStart"/>
      <w:r w:rsidRPr="00397E66">
        <w:t>wealthquintile</w:t>
      </w:r>
      <w:proofErr w:type="spellEnd"/>
      <w:r w:rsidRPr="00397E66">
        <w:t>).</w:t>
      </w:r>
    </w:p>
    <w:p w14:paraId="2246471D" w14:textId="77777777" w:rsidR="001D05A0" w:rsidRPr="00397E66" w:rsidRDefault="001D05A0" w:rsidP="001D05A0">
      <w:pPr>
        <w:autoSpaceDE w:val="0"/>
        <w:autoSpaceDN w:val="0"/>
        <w:adjustRightInd w:val="0"/>
        <w:spacing w:after="0" w:line="240" w:lineRule="auto"/>
      </w:pPr>
    </w:p>
    <w:p w14:paraId="7D22F0EF" w14:textId="77777777" w:rsidR="001D05A0" w:rsidRPr="003773EC" w:rsidRDefault="001D05A0" w:rsidP="001D05A0">
      <w:pPr>
        <w:autoSpaceDE w:val="0"/>
        <w:autoSpaceDN w:val="0"/>
        <w:adjustRightInd w:val="0"/>
        <w:spacing w:line="240" w:lineRule="auto"/>
        <w:rPr>
          <w:b/>
          <w:bCs/>
        </w:rPr>
      </w:pPr>
      <w:r w:rsidRPr="003773EC">
        <w:rPr>
          <w:b/>
          <w:bCs/>
        </w:rPr>
        <w:t xml:space="preserve">Method. </w:t>
      </w:r>
    </w:p>
    <w:p w14:paraId="4081F304" w14:textId="77777777" w:rsidR="001D05A0" w:rsidRPr="00397E66" w:rsidRDefault="001D05A0" w:rsidP="001D05A0">
      <w:pPr>
        <w:autoSpaceDE w:val="0"/>
        <w:autoSpaceDN w:val="0"/>
        <w:adjustRightInd w:val="0"/>
        <w:spacing w:line="240" w:lineRule="auto"/>
      </w:pPr>
      <w:r w:rsidRPr="00397E66">
        <w:t>To construct wealth quintiles via DHS methods, the following steps are used:</w:t>
      </w:r>
    </w:p>
    <w:p w14:paraId="5454B366" w14:textId="77777777" w:rsidR="001D05A0" w:rsidRPr="00397E66" w:rsidRDefault="001D05A0" w:rsidP="001D05A0">
      <w:pPr>
        <w:autoSpaceDE w:val="0"/>
        <w:autoSpaceDN w:val="0"/>
        <w:adjustRightInd w:val="0"/>
        <w:spacing w:line="240" w:lineRule="auto"/>
      </w:pPr>
      <w:r w:rsidRPr="00397E66">
        <w:t>1. Recode asset variables. Household data include categorical variables about household</w:t>
      </w:r>
      <w:r>
        <w:t xml:space="preserve"> </w:t>
      </w:r>
      <w:r w:rsidRPr="00397E66">
        <w:t>characteristics, such as construction materials for walls, floors and roof of the household</w:t>
      </w:r>
      <w:r>
        <w:t xml:space="preserve"> </w:t>
      </w:r>
      <w:r w:rsidRPr="00397E66">
        <w:t>dwelling, source of water, availability of electricity and type of sanitation facilities used,</w:t>
      </w:r>
      <w:r>
        <w:t xml:space="preserve"> </w:t>
      </w:r>
      <w:r w:rsidRPr="00397E66">
        <w:t>and binary variables indicating ownership of durable goods such as beds, vehicles, and</w:t>
      </w:r>
      <w:r>
        <w:t xml:space="preserve"> </w:t>
      </w:r>
      <w:r w:rsidRPr="00397E66">
        <w:t>livestock, etc. The specific assets and question wording vary across PHIA surveys (see</w:t>
      </w:r>
      <w:r>
        <w:t xml:space="preserve"> </w:t>
      </w:r>
      <w:r w:rsidRPr="00397E66">
        <w:t>each PHIA surve</w:t>
      </w:r>
      <w:r>
        <w:t>y’</w:t>
      </w:r>
      <w:r w:rsidRPr="00397E66">
        <w:t>s Data Use Manual Supplement and Survey Questionnaire).</w:t>
      </w:r>
      <w:r>
        <w:t xml:space="preserve"> </w:t>
      </w:r>
      <w:r w:rsidRPr="00397E66">
        <w:t>Categorical variables are recoded as binary indicator variables (e.g., one variable was</w:t>
      </w:r>
      <w:r>
        <w:t xml:space="preserve"> </w:t>
      </w:r>
      <w:r w:rsidRPr="00397E66">
        <w:t>created for each floor type and a household receives 1 for the variable indicating their floor</w:t>
      </w:r>
      <w:r>
        <w:t xml:space="preserve"> </w:t>
      </w:r>
      <w:r w:rsidRPr="00397E66">
        <w:t>type and 0s for all others). Binary variables are coded as 1 (yes) or 0 (no). Generally,</w:t>
      </w:r>
      <w:r>
        <w:t xml:space="preserve"> </w:t>
      </w:r>
      <w:r w:rsidRPr="00397E66">
        <w:t>missing data are treated as the absence of that asset, and households that do not have</w:t>
      </w:r>
      <w:r>
        <w:t xml:space="preserve"> </w:t>
      </w:r>
      <w:r w:rsidRPr="00397E66">
        <w:t>data on any assets are not assigned wealth index scores or wealth quintiles.</w:t>
      </w:r>
    </w:p>
    <w:p w14:paraId="50732CD1" w14:textId="77777777" w:rsidR="001D05A0" w:rsidRPr="00397E66" w:rsidRDefault="001D05A0" w:rsidP="001D05A0">
      <w:pPr>
        <w:autoSpaceDE w:val="0"/>
        <w:autoSpaceDN w:val="0"/>
        <w:adjustRightInd w:val="0"/>
        <w:spacing w:line="240" w:lineRule="auto"/>
      </w:pPr>
      <w:r w:rsidRPr="00397E66">
        <w:t xml:space="preserve">2. Select the asset variables for inclusion. Asset variables are </w:t>
      </w:r>
      <w:proofErr w:type="spellStart"/>
      <w:r w:rsidRPr="00397E66">
        <w:t>analyzed</w:t>
      </w:r>
      <w:proofErr w:type="spellEnd"/>
      <w:r w:rsidRPr="00397E66">
        <w:t xml:space="preserve"> using PCA, which</w:t>
      </w:r>
      <w:r>
        <w:t xml:space="preserve"> </w:t>
      </w:r>
      <w:r w:rsidRPr="00397E66">
        <w:t>is a statistical technique that transforms a number of (correlated) variables into</w:t>
      </w:r>
      <w:r>
        <w:t xml:space="preserve"> </w:t>
      </w:r>
      <w:proofErr w:type="gramStart"/>
      <w:r w:rsidRPr="00397E66">
        <w:t xml:space="preserve">uncorrelated </w:t>
      </w:r>
      <w:r>
        <w:t xml:space="preserve"> c</w:t>
      </w:r>
      <w:r w:rsidRPr="00397E66">
        <w:t>omponents</w:t>
      </w:r>
      <w:proofErr w:type="gramEnd"/>
      <w:r w:rsidRPr="00397E66">
        <w:t xml:space="preserve"> that capture variability (information) in decreasing order; thus,</w:t>
      </w:r>
      <w:r>
        <w:t xml:space="preserve"> </w:t>
      </w:r>
      <w:r w:rsidRPr="00397E66">
        <w:t>PCA is a useful dimension reduction technique. DHS recommends using the first</w:t>
      </w:r>
      <w:r>
        <w:t xml:space="preserve"> </w:t>
      </w:r>
      <w:r w:rsidRPr="00397E66">
        <w:t>component of the model as a summary indicator for wealth (the wealth index). Since</w:t>
      </w:r>
      <w:r>
        <w:t xml:space="preserve"> </w:t>
      </w:r>
      <w:r w:rsidRPr="00397E66">
        <w:t>assets may vary in relevance in urban and rural settings, PCAs are run separately for</w:t>
      </w:r>
      <w:r>
        <w:t xml:space="preserve"> </w:t>
      </w:r>
      <w:r w:rsidRPr="00397E66">
        <w:t>urban and rural households, and then for all households combined. Decisions to include</w:t>
      </w:r>
      <w:r>
        <w:t xml:space="preserve"> </w:t>
      </w:r>
      <w:r w:rsidRPr="00397E66">
        <w:t xml:space="preserve">or exclude asset variables from either setting may be made </w:t>
      </w:r>
      <w:proofErr w:type="gramStart"/>
      <w:r w:rsidRPr="00397E66">
        <w:t>on the basis of</w:t>
      </w:r>
      <w:proofErr w:type="gramEnd"/>
      <w:r w:rsidRPr="00397E66">
        <w:t xml:space="preserve"> contextual</w:t>
      </w:r>
      <w:r>
        <w:t xml:space="preserve"> </w:t>
      </w:r>
      <w:r w:rsidRPr="00397E66">
        <w:t>PHIA Data Use Manual v4.7 - July 2019 38</w:t>
      </w:r>
      <w:r>
        <w:t xml:space="preserve"> </w:t>
      </w:r>
      <w:r w:rsidRPr="00397E66">
        <w:t>knowledge; for parsimony, all asset variables that have any variability are included in each</w:t>
      </w:r>
      <w:r>
        <w:t xml:space="preserve"> </w:t>
      </w:r>
      <w:r w:rsidRPr="00397E66">
        <w:t>analysis.</w:t>
      </w:r>
    </w:p>
    <w:p w14:paraId="6D8B22D1" w14:textId="77777777" w:rsidR="001D05A0" w:rsidRPr="00397E66" w:rsidRDefault="001D05A0" w:rsidP="001D05A0">
      <w:pPr>
        <w:autoSpaceDE w:val="0"/>
        <w:autoSpaceDN w:val="0"/>
        <w:adjustRightInd w:val="0"/>
        <w:spacing w:line="240" w:lineRule="auto"/>
      </w:pPr>
      <w:r w:rsidRPr="00397E66">
        <w:t xml:space="preserve">3. Run PCA and combine results. Three PCAs are run: a </w:t>
      </w:r>
      <w:r>
        <w:t>“</w:t>
      </w:r>
      <w:r w:rsidRPr="00397E66">
        <w:t>common</w:t>
      </w:r>
      <w:r>
        <w:t>”</w:t>
      </w:r>
      <w:r w:rsidRPr="00397E66">
        <w:t xml:space="preserve"> model across all</w:t>
      </w:r>
      <w:r>
        <w:t xml:space="preserve"> </w:t>
      </w:r>
      <w:r w:rsidRPr="00397E66">
        <w:t>households, and models restricted to</w:t>
      </w:r>
      <w:r>
        <w:t xml:space="preserve"> “</w:t>
      </w:r>
      <w:r w:rsidRPr="00397E66">
        <w:t>urba</w:t>
      </w:r>
      <w:r>
        <w:t>n”</w:t>
      </w:r>
      <w:r w:rsidRPr="00397E66">
        <w:t xml:space="preserve"> and </w:t>
      </w:r>
      <w:r>
        <w:t>“</w:t>
      </w:r>
      <w:r w:rsidRPr="00397E66">
        <w:t>rural</w:t>
      </w:r>
      <w:r>
        <w:t>”</w:t>
      </w:r>
      <w:r w:rsidRPr="00397E66">
        <w:t xml:space="preserve"> households. As per convention,</w:t>
      </w:r>
      <w:r>
        <w:t xml:space="preserve"> </w:t>
      </w:r>
      <w:r w:rsidRPr="00397E66">
        <w:t>the first factor from each model is extracted to obtain three separate wealth indices. The</w:t>
      </w:r>
      <w:r>
        <w:t xml:space="preserve"> </w:t>
      </w:r>
      <w:r w:rsidRPr="00397E66">
        <w:t>common model wealth index is regressed separately on the urban or rural wealth index</w:t>
      </w:r>
      <w:r>
        <w:t xml:space="preserve"> </w:t>
      </w:r>
      <w:r w:rsidRPr="00397E66">
        <w:t>for households in those areas, and this regression model is then used to convert each</w:t>
      </w:r>
      <w:r>
        <w:t xml:space="preserve"> </w:t>
      </w:r>
      <w:r w:rsidRPr="00397E66">
        <w:t>househol</w:t>
      </w:r>
      <w:r>
        <w:t>d’</w:t>
      </w:r>
      <w:r w:rsidRPr="00397E66">
        <w:t>s (rural or urban) wealth index into a final</w:t>
      </w:r>
      <w:r>
        <w:t xml:space="preserve"> “</w:t>
      </w:r>
      <w:r w:rsidRPr="00397E66">
        <w:t>composit</w:t>
      </w:r>
      <w:r>
        <w:t>e”</w:t>
      </w:r>
      <w:r w:rsidRPr="00397E66">
        <w:t xml:space="preserve"> wealth index</w:t>
      </w:r>
      <w:r>
        <w:t xml:space="preserve"> </w:t>
      </w:r>
      <w:r w:rsidRPr="00397E66">
        <w:t>(</w:t>
      </w:r>
      <w:proofErr w:type="spellStart"/>
      <w:r w:rsidRPr="00397E66">
        <w:t>wealthscorecont</w:t>
      </w:r>
      <w:proofErr w:type="spellEnd"/>
      <w:r w:rsidRPr="00397E66">
        <w:t>).</w:t>
      </w:r>
    </w:p>
    <w:p w14:paraId="0DC3A46A" w14:textId="77777777" w:rsidR="001D05A0" w:rsidRPr="00397E66" w:rsidRDefault="001D05A0" w:rsidP="001D05A0">
      <w:pPr>
        <w:autoSpaceDE w:val="0"/>
        <w:autoSpaceDN w:val="0"/>
        <w:adjustRightInd w:val="0"/>
        <w:spacing w:line="240" w:lineRule="auto"/>
      </w:pPr>
      <w:r w:rsidRPr="00397E66">
        <w:t>4. Generate wealth quintiles. Households are classified into quintiles (</w:t>
      </w:r>
      <w:proofErr w:type="spellStart"/>
      <w:r w:rsidRPr="00397E66">
        <w:t>wealthquintile</w:t>
      </w:r>
      <w:proofErr w:type="spellEnd"/>
      <w:r w:rsidRPr="00397E66">
        <w:t>)</w:t>
      </w:r>
      <w:r>
        <w:t xml:space="preserve"> </w:t>
      </w:r>
      <w:r w:rsidRPr="00397E66">
        <w:t>using the composite wealth index. In order to account for the complex survey design, the</w:t>
      </w:r>
      <w:r>
        <w:t xml:space="preserve"> </w:t>
      </w:r>
      <w:r w:rsidRPr="00397E66">
        <w:t>weighted cumulative distribution of the wealth index is used to identify weighted quintile</w:t>
      </w:r>
      <w:r>
        <w:t xml:space="preserve"> </w:t>
      </w:r>
      <w:proofErr w:type="gramStart"/>
      <w:r w:rsidRPr="00397E66">
        <w:t>cut-points</w:t>
      </w:r>
      <w:proofErr w:type="gramEnd"/>
      <w:r w:rsidRPr="00397E66">
        <w:t xml:space="preserve">. Weights represent </w:t>
      </w:r>
      <w:r w:rsidRPr="00397E66">
        <w:lastRenderedPageBreak/>
        <w:t>the normalized household sampling weight (hhwt0 divided</w:t>
      </w:r>
      <w:r>
        <w:t xml:space="preserve"> </w:t>
      </w:r>
      <w:r w:rsidRPr="00397E66">
        <w:t>by the mean hhwt0 across all households).</w:t>
      </w:r>
    </w:p>
    <w:p w14:paraId="25872CFC" w14:textId="77777777" w:rsidR="001D05A0" w:rsidRPr="00397E66" w:rsidRDefault="001D05A0" w:rsidP="001D05A0">
      <w:pPr>
        <w:autoSpaceDE w:val="0"/>
        <w:autoSpaceDN w:val="0"/>
        <w:adjustRightInd w:val="0"/>
        <w:spacing w:line="240" w:lineRule="auto"/>
      </w:pPr>
      <w:r w:rsidRPr="00397E66">
        <w:t>Caveats and other considerations. Wealth indices and quintiles derived using this methodology</w:t>
      </w:r>
      <w:r>
        <w:t xml:space="preserve">, </w:t>
      </w:r>
      <w:r w:rsidRPr="00397E66">
        <w:t>are intended to represent relative measures of wealth as compared to other households in the</w:t>
      </w:r>
      <w:r>
        <w:t xml:space="preserve"> </w:t>
      </w:r>
      <w:r w:rsidRPr="00397E66">
        <w:t xml:space="preserve">same country. It is important to note that the underlying </w:t>
      </w:r>
      <w:proofErr w:type="gramStart"/>
      <w:r w:rsidRPr="00397E66">
        <w:t>Principal</w:t>
      </w:r>
      <w:proofErr w:type="gramEnd"/>
      <w:r w:rsidRPr="00397E66">
        <w:t xml:space="preserve"> Components model simply</w:t>
      </w:r>
      <w:r>
        <w:t xml:space="preserve"> </w:t>
      </w:r>
      <w:r w:rsidRPr="00397E66">
        <w:t>finds the factors that best capture the variation in the data, and does not guarantee a</w:t>
      </w:r>
      <w:r>
        <w:t xml:space="preserve"> </w:t>
      </w:r>
      <w:r w:rsidRPr="00397E66">
        <w:t xml:space="preserve">straightforward </w:t>
      </w:r>
      <w:r>
        <w:t>i</w:t>
      </w:r>
      <w:r w:rsidRPr="00397E66">
        <w:t>nterpretation. On average, households in higher wealth quintiles should be</w:t>
      </w:r>
      <w:r>
        <w:t xml:space="preserve"> </w:t>
      </w:r>
      <w:proofErr w:type="gramStart"/>
      <w:r w:rsidRPr="00397E66">
        <w:t>more wealthy</w:t>
      </w:r>
      <w:proofErr w:type="gramEnd"/>
      <w:r w:rsidRPr="00397E66">
        <w:t>, but there is considerable uncertainty due to limitations of the available asset data</w:t>
      </w:r>
      <w:r>
        <w:t xml:space="preserve"> </w:t>
      </w:r>
      <w:r w:rsidRPr="00397E66">
        <w:t xml:space="preserve">and </w:t>
      </w:r>
      <w:proofErr w:type="spellStart"/>
      <w:r w:rsidRPr="00397E66">
        <w:t>modeling</w:t>
      </w:r>
      <w:proofErr w:type="spellEnd"/>
      <w:r w:rsidRPr="00397E66">
        <w:t xml:space="preserve"> procedure. Wealth is a complex concept that cannot be captured fully in the</w:t>
      </w:r>
      <w:r>
        <w:t xml:space="preserve"> </w:t>
      </w:r>
      <w:proofErr w:type="gramStart"/>
      <w:r w:rsidRPr="00397E66">
        <w:t>model,</w:t>
      </w:r>
      <w:proofErr w:type="gramEnd"/>
      <w:r w:rsidRPr="00397E66">
        <w:t xml:space="preserve"> thus wealth indices should be treated as approximate estimates rather than precise</w:t>
      </w:r>
      <w:r>
        <w:t xml:space="preserve"> </w:t>
      </w:r>
      <w:r w:rsidRPr="00397E66">
        <w:t>measures.</w:t>
      </w:r>
    </w:p>
    <w:p w14:paraId="4DD5750C" w14:textId="77777777" w:rsidR="001D05A0" w:rsidRPr="00397E66" w:rsidRDefault="001D05A0" w:rsidP="001D05A0">
      <w:pPr>
        <w:autoSpaceDE w:val="0"/>
        <w:autoSpaceDN w:val="0"/>
        <w:adjustRightInd w:val="0"/>
        <w:spacing w:line="240" w:lineRule="auto"/>
      </w:pPr>
      <w:r w:rsidRPr="00397E66">
        <w:t>The value of the wealth index should not be thought of as directly proportional to household</w:t>
      </w:r>
      <w:r>
        <w:t xml:space="preserve"> </w:t>
      </w:r>
      <w:r w:rsidRPr="00397E66">
        <w:t>wealth, or as being measured along a standard baseline that can be compared between</w:t>
      </w:r>
      <w:r>
        <w:t xml:space="preserve"> </w:t>
      </w:r>
      <w:r w:rsidRPr="00397E66">
        <w:t>different countries or sub-populations. Relative measures should not be applied to subsets of</w:t>
      </w:r>
      <w:r>
        <w:t xml:space="preserve"> </w:t>
      </w:r>
      <w:r w:rsidRPr="00397E66">
        <w:t>the population; doing so implicitly assumes that the relative distribution of wealth is similar</w:t>
      </w:r>
      <w:r>
        <w:t xml:space="preserve"> </w:t>
      </w:r>
      <w:r w:rsidRPr="00397E66">
        <w:t xml:space="preserve">between the total and </w:t>
      </w:r>
      <w:proofErr w:type="spellStart"/>
      <w:r w:rsidRPr="00397E66">
        <w:t>subsetted</w:t>
      </w:r>
      <w:proofErr w:type="spellEnd"/>
      <w:r w:rsidRPr="00397E66">
        <w:t xml:space="preserve"> population.</w:t>
      </w:r>
    </w:p>
    <w:p w14:paraId="10F81B5D" w14:textId="77777777" w:rsidR="001D05A0" w:rsidRDefault="001D05A0" w:rsidP="001D05A0">
      <w:pPr>
        <w:autoSpaceDE w:val="0"/>
        <w:autoSpaceDN w:val="0"/>
        <w:adjustRightInd w:val="0"/>
        <w:spacing w:after="0" w:line="240" w:lineRule="auto"/>
      </w:pPr>
      <w:r w:rsidRPr="00397E66">
        <w:t>For simplicity and to facilitate replication, variables were not selected differently in urban and</w:t>
      </w:r>
      <w:r>
        <w:t xml:space="preserve"> </w:t>
      </w:r>
      <w:r w:rsidRPr="00397E66">
        <w:t xml:space="preserve">rural models </w:t>
      </w:r>
      <w:proofErr w:type="gramStart"/>
      <w:r w:rsidRPr="00397E66">
        <w:t>on the basis of</w:t>
      </w:r>
      <w:proofErr w:type="gramEnd"/>
      <w:r w:rsidRPr="00397E66">
        <w:t xml:space="preserve"> contextual or subjective knowledge. However, this may not be valid</w:t>
      </w:r>
      <w:r>
        <w:t xml:space="preserve"> </w:t>
      </w:r>
      <w:r w:rsidRPr="00397E66">
        <w:t>if assets are differentially related to wealth across contexts. Sensitivity analyses excluding</w:t>
      </w:r>
      <w:r>
        <w:t xml:space="preserve"> </w:t>
      </w:r>
      <w:r w:rsidRPr="00397E66">
        <w:t xml:space="preserve">variables </w:t>
      </w:r>
      <w:r>
        <w:t>c</w:t>
      </w:r>
      <w:r w:rsidRPr="00397E66">
        <w:t>onsidered to be context-specific (e.g. livestock) or which scored the most differently</w:t>
      </w:r>
      <w:r>
        <w:t xml:space="preserve"> </w:t>
      </w:r>
      <w:r w:rsidRPr="00397E66">
        <w:t>in the rural and urban models have typically shown that wealth indices are not sensitive to</w:t>
      </w:r>
      <w:r>
        <w:t xml:space="preserve"> </w:t>
      </w:r>
      <w:r w:rsidRPr="00397E66">
        <w:t xml:space="preserve">model specification. Alternative socioeconomic indicators are </w:t>
      </w:r>
      <w:proofErr w:type="gramStart"/>
      <w:r w:rsidRPr="00397E66">
        <w:t>available</w:t>
      </w:r>
      <w:proofErr w:type="gramEnd"/>
      <w:r w:rsidRPr="00397E66">
        <w:t xml:space="preserve"> and the merits of these</w:t>
      </w:r>
      <w:r>
        <w:t xml:space="preserve"> </w:t>
      </w:r>
      <w:r w:rsidRPr="00397E66">
        <w:t>alternatives are the subject of ongoing debate</w:t>
      </w:r>
      <w:r>
        <w:fldChar w:fldCharType="begin">
          <w:fldData xml:space="preserve">PEVuZE5vdGU+PENpdGU+PEF1dGhvcj5Ib3dlPC9BdXRob3I+PFllYXI+MjAwODwvWWVhcj48UmVj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</w:fldData>
        </w:fldChar>
      </w:r>
      <w:r>
        <w:instrText xml:space="preserve"> ADDIN EN.CITE </w:instrText>
      </w:r>
      <w:r>
        <w:fldChar w:fldCharType="begin">
          <w:fldData xml:space="preserve">PEVuZE5vdGU+PENpdGU+PEF1dGhvcj5Ib3dlPC9BdXRob3I+PFllYXI+MjAwODwvWWVhcj48UmVj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</w:fldData>
        </w:fldChar>
      </w:r>
      <w:r>
        <w:instrText xml:space="preserve"> ADDIN EN.CITE.DATA </w:instrText>
      </w:r>
      <w:r>
        <w:fldChar w:fldCharType="end"/>
      </w:r>
      <w:r>
        <w:fldChar w:fldCharType="separate"/>
      </w:r>
      <w:r>
        <w:rPr>
          <w:noProof/>
        </w:rPr>
        <w:t>(6, 7)</w:t>
      </w:r>
      <w:r>
        <w:fldChar w:fldCharType="end"/>
      </w:r>
      <w:r w:rsidRPr="00397E66">
        <w:t>.</w:t>
      </w:r>
    </w:p>
    <w:p w14:paraId="193E75A3" w14:textId="77777777" w:rsidR="001D05A0" w:rsidRDefault="001D05A0" w:rsidP="001D05A0">
      <w:pPr>
        <w:autoSpaceDE w:val="0"/>
        <w:autoSpaceDN w:val="0"/>
        <w:adjustRightInd w:val="0"/>
        <w:spacing w:after="0" w:line="240" w:lineRule="auto"/>
      </w:pPr>
    </w:p>
    <w:p w14:paraId="5A51272C" w14:textId="77777777" w:rsidR="008C1163" w:rsidRDefault="008C1163">
      <w:pPr>
        <w:rPr>
          <w:b/>
          <w:bCs/>
        </w:rPr>
      </w:pPr>
      <w:r>
        <w:rPr>
          <w:b/>
          <w:bCs/>
        </w:rPr>
        <w:br w:type="page"/>
      </w:r>
    </w:p>
    <w:p w14:paraId="2607EDDF" w14:textId="64673519" w:rsidR="0037571B" w:rsidRDefault="0037571B">
      <w:pPr>
        <w:rPr>
          <w:b/>
          <w:bCs/>
        </w:rPr>
      </w:pPr>
      <w:r>
        <w:rPr>
          <w:b/>
          <w:bCs/>
        </w:rPr>
        <w:lastRenderedPageBreak/>
        <w:t xml:space="preserve">Supplementary table 7: </w:t>
      </w:r>
      <w:r w:rsidRPr="00A81A96">
        <w:t xml:space="preserve">Weighted </w:t>
      </w:r>
      <w:r w:rsidR="00A47832" w:rsidRPr="00A81A96">
        <w:t xml:space="preserve">multivariable </w:t>
      </w:r>
      <w:r w:rsidRPr="00A81A96">
        <w:t xml:space="preserve">odds ratios of poverty, with age </w:t>
      </w:r>
      <w:proofErr w:type="gramStart"/>
      <w:r w:rsidRPr="00A81A96">
        <w:t>categorised</w:t>
      </w:r>
      <w:proofErr w:type="gramEnd"/>
    </w:p>
    <w:tbl>
      <w:tblPr>
        <w:tblW w:w="7722" w:type="dxa"/>
        <w:tblLook w:val="04A0" w:firstRow="1" w:lastRow="0" w:firstColumn="1" w:lastColumn="0" w:noHBand="0" w:noVBand="1"/>
      </w:tblPr>
      <w:tblGrid>
        <w:gridCol w:w="4180"/>
        <w:gridCol w:w="1660"/>
        <w:gridCol w:w="1660"/>
        <w:gridCol w:w="222"/>
      </w:tblGrid>
      <w:tr w:rsidR="0037571B" w:rsidRPr="0037571B" w14:paraId="4DBAAD1E" w14:textId="77777777" w:rsidTr="003A4812">
        <w:trPr>
          <w:trHeight w:hRule="exact" w:val="300"/>
        </w:trPr>
        <w:tc>
          <w:tcPr>
            <w:tcW w:w="4180" w:type="dxa"/>
            <w:tcBorders>
              <w:top w:val="single" w:sz="4" w:space="0" w:color="auto"/>
              <w:left w:val="single" w:sz="8" w:space="0" w:color="auto"/>
              <w:bottom w:val="single" w:sz="8" w:space="0" w:color="auto"/>
              <w:right w:val="nil"/>
            </w:tcBorders>
            <w:shd w:val="clear" w:color="000000" w:fill="E7E6E6"/>
            <w:noWrap/>
            <w:vAlign w:val="center"/>
            <w:hideMark/>
          </w:tcPr>
          <w:p w14:paraId="3E151B57" w14:textId="2994B11A" w:rsidR="0037571B" w:rsidRPr="0037571B" w:rsidRDefault="00BC2EC3" w:rsidP="0037571B">
            <w:pPr>
              <w:spacing w:after="0" w:line="240" w:lineRule="auto"/>
              <w:rPr>
                <w:rFonts w:ascii="Calibri" w:eastAsia="Times New Roman" w:hAnsi="Calibri" w:cs="Calibri"/>
                <w:color w:val="000000"/>
                <w:lang w:eastAsia="en-GB"/>
              </w:rPr>
            </w:pPr>
            <w:r w:rsidRPr="003A4812">
              <w:rPr>
                <w:rFonts w:ascii="Calibri" w:eastAsia="Times New Roman" w:hAnsi="Calibri" w:cs="Calibri"/>
                <w:b/>
                <w:bCs/>
                <w:color w:val="000000"/>
                <w:sz w:val="18"/>
                <w:szCs w:val="18"/>
                <w:lang w:eastAsia="en-GB"/>
              </w:rPr>
              <w:t>Women</w:t>
            </w:r>
          </w:p>
        </w:tc>
        <w:tc>
          <w:tcPr>
            <w:tcW w:w="1660" w:type="dxa"/>
            <w:tcBorders>
              <w:top w:val="single" w:sz="4" w:space="0" w:color="auto"/>
              <w:left w:val="nil"/>
              <w:bottom w:val="single" w:sz="8" w:space="0" w:color="auto"/>
              <w:right w:val="nil"/>
            </w:tcBorders>
            <w:shd w:val="clear" w:color="000000" w:fill="E7E6E6"/>
            <w:noWrap/>
            <w:vAlign w:val="center"/>
            <w:hideMark/>
          </w:tcPr>
          <w:p w14:paraId="4AC6BA50" w14:textId="77777777" w:rsidR="0037571B" w:rsidRPr="0037571B" w:rsidRDefault="0037571B" w:rsidP="0037571B">
            <w:pPr>
              <w:spacing w:after="0" w:line="240" w:lineRule="auto"/>
              <w:rPr>
                <w:rFonts w:ascii="Calibri" w:eastAsia="Times New Roman" w:hAnsi="Calibri" w:cs="Calibri"/>
                <w:b/>
                <w:bCs/>
                <w:color w:val="000000"/>
                <w:sz w:val="18"/>
                <w:szCs w:val="18"/>
                <w:lang w:eastAsia="en-GB"/>
              </w:rPr>
            </w:pPr>
            <w:r w:rsidRPr="0037571B">
              <w:rPr>
                <w:rFonts w:ascii="Calibri" w:eastAsia="Times New Roman" w:hAnsi="Calibri" w:cs="Calibri"/>
                <w:b/>
                <w:bCs/>
                <w:color w:val="000000"/>
                <w:sz w:val="18"/>
                <w:szCs w:val="18"/>
                <w:lang w:eastAsia="en-GB"/>
              </w:rPr>
              <w:t>Rural</w:t>
            </w:r>
          </w:p>
        </w:tc>
        <w:tc>
          <w:tcPr>
            <w:tcW w:w="1660" w:type="dxa"/>
            <w:tcBorders>
              <w:top w:val="single" w:sz="4" w:space="0" w:color="auto"/>
              <w:left w:val="nil"/>
              <w:bottom w:val="single" w:sz="8" w:space="0" w:color="auto"/>
              <w:right w:val="single" w:sz="8" w:space="0" w:color="auto"/>
            </w:tcBorders>
            <w:shd w:val="clear" w:color="000000" w:fill="E7E6E6"/>
            <w:noWrap/>
            <w:vAlign w:val="center"/>
            <w:hideMark/>
          </w:tcPr>
          <w:p w14:paraId="44E66382" w14:textId="77777777" w:rsidR="0037571B" w:rsidRPr="0037571B" w:rsidRDefault="0037571B" w:rsidP="0037571B">
            <w:pPr>
              <w:spacing w:after="0" w:line="240" w:lineRule="auto"/>
              <w:rPr>
                <w:rFonts w:ascii="Calibri" w:eastAsia="Times New Roman" w:hAnsi="Calibri" w:cs="Calibri"/>
                <w:b/>
                <w:bCs/>
                <w:color w:val="000000"/>
                <w:sz w:val="18"/>
                <w:szCs w:val="18"/>
                <w:lang w:eastAsia="en-GB"/>
              </w:rPr>
            </w:pPr>
            <w:r w:rsidRPr="0037571B">
              <w:rPr>
                <w:rFonts w:ascii="Calibri" w:eastAsia="Times New Roman" w:hAnsi="Calibri" w:cs="Calibri"/>
                <w:b/>
                <w:bCs/>
                <w:color w:val="000000"/>
                <w:sz w:val="18"/>
                <w:szCs w:val="18"/>
                <w:lang w:eastAsia="en-GB"/>
              </w:rPr>
              <w:t>Urban</w:t>
            </w:r>
          </w:p>
        </w:tc>
        <w:tc>
          <w:tcPr>
            <w:tcW w:w="222" w:type="dxa"/>
            <w:vAlign w:val="center"/>
            <w:hideMark/>
          </w:tcPr>
          <w:p w14:paraId="558440E6"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4A82D428" w14:textId="77777777" w:rsidTr="003A4812">
        <w:trPr>
          <w:trHeight w:hRule="exact" w:val="315"/>
        </w:trPr>
        <w:tc>
          <w:tcPr>
            <w:tcW w:w="4180" w:type="dxa"/>
            <w:tcBorders>
              <w:top w:val="single" w:sz="8" w:space="0" w:color="auto"/>
              <w:left w:val="single" w:sz="8" w:space="0" w:color="auto"/>
              <w:bottom w:val="single" w:sz="8" w:space="0" w:color="auto"/>
              <w:right w:val="nil"/>
            </w:tcBorders>
            <w:shd w:val="clear" w:color="auto" w:fill="auto"/>
            <w:noWrap/>
            <w:vAlign w:val="center"/>
            <w:hideMark/>
          </w:tcPr>
          <w:p w14:paraId="1F33B7E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Drought</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1E233DB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1.28 (1.02-1.61)</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49024CD3"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1.24 (0.68-2.27)</w:t>
            </w:r>
          </w:p>
        </w:tc>
        <w:tc>
          <w:tcPr>
            <w:tcW w:w="222" w:type="dxa"/>
            <w:vAlign w:val="center"/>
            <w:hideMark/>
          </w:tcPr>
          <w:p w14:paraId="784A03DB"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6D2FA622"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1811D614"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15-19</w:t>
            </w:r>
          </w:p>
        </w:tc>
        <w:tc>
          <w:tcPr>
            <w:tcW w:w="1660" w:type="dxa"/>
            <w:tcBorders>
              <w:top w:val="nil"/>
              <w:left w:val="nil"/>
              <w:bottom w:val="nil"/>
              <w:right w:val="single" w:sz="8" w:space="0" w:color="auto"/>
            </w:tcBorders>
            <w:shd w:val="clear" w:color="auto" w:fill="auto"/>
            <w:noWrap/>
            <w:vAlign w:val="center"/>
            <w:hideMark/>
          </w:tcPr>
          <w:p w14:paraId="7F4E850B"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1660" w:type="dxa"/>
            <w:tcBorders>
              <w:top w:val="nil"/>
              <w:left w:val="nil"/>
              <w:bottom w:val="nil"/>
              <w:right w:val="single" w:sz="8" w:space="0" w:color="auto"/>
            </w:tcBorders>
            <w:shd w:val="clear" w:color="auto" w:fill="auto"/>
            <w:noWrap/>
            <w:vAlign w:val="center"/>
            <w:hideMark/>
          </w:tcPr>
          <w:p w14:paraId="0252F7A7"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222" w:type="dxa"/>
            <w:vAlign w:val="center"/>
            <w:hideMark/>
          </w:tcPr>
          <w:p w14:paraId="43F3708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2074E5F9"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580549B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20-24</w:t>
            </w:r>
          </w:p>
        </w:tc>
        <w:tc>
          <w:tcPr>
            <w:tcW w:w="1660" w:type="dxa"/>
            <w:tcBorders>
              <w:top w:val="nil"/>
              <w:left w:val="nil"/>
              <w:bottom w:val="nil"/>
              <w:right w:val="single" w:sz="8" w:space="0" w:color="auto"/>
            </w:tcBorders>
            <w:shd w:val="clear" w:color="auto" w:fill="auto"/>
            <w:noWrap/>
            <w:vAlign w:val="center"/>
            <w:hideMark/>
          </w:tcPr>
          <w:p w14:paraId="5DE9793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0.84 (0.75-0.93)</w:t>
            </w:r>
          </w:p>
        </w:tc>
        <w:tc>
          <w:tcPr>
            <w:tcW w:w="1660" w:type="dxa"/>
            <w:tcBorders>
              <w:top w:val="nil"/>
              <w:left w:val="nil"/>
              <w:bottom w:val="nil"/>
              <w:right w:val="single" w:sz="8" w:space="0" w:color="auto"/>
            </w:tcBorders>
            <w:shd w:val="clear" w:color="auto" w:fill="auto"/>
            <w:noWrap/>
            <w:vAlign w:val="center"/>
            <w:hideMark/>
          </w:tcPr>
          <w:p w14:paraId="60DB6833"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0.76 (0.56-1.02)</w:t>
            </w:r>
          </w:p>
        </w:tc>
        <w:tc>
          <w:tcPr>
            <w:tcW w:w="222" w:type="dxa"/>
            <w:vAlign w:val="center"/>
            <w:hideMark/>
          </w:tcPr>
          <w:p w14:paraId="5C396217"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116B0094"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3FA73E3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25-29</w:t>
            </w:r>
          </w:p>
        </w:tc>
        <w:tc>
          <w:tcPr>
            <w:tcW w:w="1660" w:type="dxa"/>
            <w:tcBorders>
              <w:top w:val="nil"/>
              <w:left w:val="nil"/>
              <w:bottom w:val="nil"/>
              <w:right w:val="single" w:sz="8" w:space="0" w:color="auto"/>
            </w:tcBorders>
            <w:shd w:val="clear" w:color="auto" w:fill="auto"/>
            <w:noWrap/>
            <w:vAlign w:val="center"/>
            <w:hideMark/>
          </w:tcPr>
          <w:p w14:paraId="0E0AF677"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0.69 (0.60-0.78)</w:t>
            </w:r>
          </w:p>
        </w:tc>
        <w:tc>
          <w:tcPr>
            <w:tcW w:w="1660" w:type="dxa"/>
            <w:tcBorders>
              <w:top w:val="nil"/>
              <w:left w:val="nil"/>
              <w:bottom w:val="nil"/>
              <w:right w:val="single" w:sz="8" w:space="0" w:color="auto"/>
            </w:tcBorders>
            <w:shd w:val="clear" w:color="auto" w:fill="auto"/>
            <w:noWrap/>
            <w:vAlign w:val="center"/>
            <w:hideMark/>
          </w:tcPr>
          <w:p w14:paraId="559DD9F8"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0.68 (0.48-0.95)</w:t>
            </w:r>
          </w:p>
        </w:tc>
        <w:tc>
          <w:tcPr>
            <w:tcW w:w="222" w:type="dxa"/>
            <w:vAlign w:val="center"/>
            <w:hideMark/>
          </w:tcPr>
          <w:p w14:paraId="23BFD56A"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192D2054" w14:textId="77777777" w:rsidTr="0037571B">
        <w:trPr>
          <w:trHeight w:val="315"/>
        </w:trPr>
        <w:tc>
          <w:tcPr>
            <w:tcW w:w="4180" w:type="dxa"/>
            <w:tcBorders>
              <w:top w:val="nil"/>
              <w:left w:val="single" w:sz="8" w:space="0" w:color="auto"/>
              <w:bottom w:val="nil"/>
              <w:right w:val="nil"/>
            </w:tcBorders>
            <w:shd w:val="clear" w:color="auto" w:fill="auto"/>
            <w:noWrap/>
            <w:vAlign w:val="center"/>
            <w:hideMark/>
          </w:tcPr>
          <w:p w14:paraId="5101E2A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30-34</w:t>
            </w:r>
          </w:p>
        </w:tc>
        <w:tc>
          <w:tcPr>
            <w:tcW w:w="1660" w:type="dxa"/>
            <w:tcBorders>
              <w:top w:val="nil"/>
              <w:left w:val="nil"/>
              <w:bottom w:val="nil"/>
              <w:right w:val="single" w:sz="8" w:space="0" w:color="auto"/>
            </w:tcBorders>
            <w:shd w:val="clear" w:color="auto" w:fill="auto"/>
            <w:noWrap/>
            <w:vAlign w:val="center"/>
            <w:hideMark/>
          </w:tcPr>
          <w:p w14:paraId="506176B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0.60 (0.52-0.69)</w:t>
            </w:r>
          </w:p>
        </w:tc>
        <w:tc>
          <w:tcPr>
            <w:tcW w:w="1660" w:type="dxa"/>
            <w:tcBorders>
              <w:top w:val="nil"/>
              <w:left w:val="nil"/>
              <w:bottom w:val="nil"/>
              <w:right w:val="single" w:sz="8" w:space="0" w:color="auto"/>
            </w:tcBorders>
            <w:shd w:val="clear" w:color="auto" w:fill="auto"/>
            <w:noWrap/>
            <w:vAlign w:val="center"/>
            <w:hideMark/>
          </w:tcPr>
          <w:p w14:paraId="4615087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0.66 (0.44-0.99)</w:t>
            </w:r>
          </w:p>
        </w:tc>
        <w:tc>
          <w:tcPr>
            <w:tcW w:w="222" w:type="dxa"/>
            <w:vAlign w:val="center"/>
            <w:hideMark/>
          </w:tcPr>
          <w:p w14:paraId="2FF305AA"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6D404CFB" w14:textId="77777777" w:rsidTr="0037571B">
        <w:trPr>
          <w:trHeight w:val="315"/>
        </w:trPr>
        <w:tc>
          <w:tcPr>
            <w:tcW w:w="4180" w:type="dxa"/>
            <w:tcBorders>
              <w:top w:val="nil"/>
              <w:left w:val="single" w:sz="8" w:space="0" w:color="auto"/>
              <w:bottom w:val="nil"/>
              <w:right w:val="nil"/>
            </w:tcBorders>
            <w:shd w:val="clear" w:color="auto" w:fill="auto"/>
            <w:noWrap/>
            <w:vAlign w:val="center"/>
            <w:hideMark/>
          </w:tcPr>
          <w:p w14:paraId="733DFA9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35-39</w:t>
            </w:r>
          </w:p>
        </w:tc>
        <w:tc>
          <w:tcPr>
            <w:tcW w:w="1660" w:type="dxa"/>
            <w:tcBorders>
              <w:top w:val="nil"/>
              <w:left w:val="nil"/>
              <w:bottom w:val="nil"/>
              <w:right w:val="single" w:sz="8" w:space="0" w:color="auto"/>
            </w:tcBorders>
            <w:shd w:val="clear" w:color="auto" w:fill="auto"/>
            <w:noWrap/>
            <w:vAlign w:val="center"/>
            <w:hideMark/>
          </w:tcPr>
          <w:p w14:paraId="2BC4AA3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0.56 (0.48-0.66)</w:t>
            </w:r>
          </w:p>
        </w:tc>
        <w:tc>
          <w:tcPr>
            <w:tcW w:w="1660" w:type="dxa"/>
            <w:tcBorders>
              <w:top w:val="nil"/>
              <w:left w:val="nil"/>
              <w:bottom w:val="nil"/>
              <w:right w:val="single" w:sz="8" w:space="0" w:color="auto"/>
            </w:tcBorders>
            <w:shd w:val="clear" w:color="auto" w:fill="auto"/>
            <w:noWrap/>
            <w:vAlign w:val="center"/>
            <w:hideMark/>
          </w:tcPr>
          <w:p w14:paraId="32C39F08"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0.77 (0.53-1.11)</w:t>
            </w:r>
          </w:p>
        </w:tc>
        <w:tc>
          <w:tcPr>
            <w:tcW w:w="222" w:type="dxa"/>
            <w:vAlign w:val="center"/>
            <w:hideMark/>
          </w:tcPr>
          <w:p w14:paraId="15B8CA94"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695376FB"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56D6226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40-44</w:t>
            </w:r>
          </w:p>
        </w:tc>
        <w:tc>
          <w:tcPr>
            <w:tcW w:w="1660" w:type="dxa"/>
            <w:tcBorders>
              <w:top w:val="nil"/>
              <w:left w:val="nil"/>
              <w:bottom w:val="nil"/>
              <w:right w:val="single" w:sz="8" w:space="0" w:color="auto"/>
            </w:tcBorders>
            <w:shd w:val="clear" w:color="auto" w:fill="auto"/>
            <w:noWrap/>
            <w:vAlign w:val="center"/>
            <w:hideMark/>
          </w:tcPr>
          <w:p w14:paraId="6FF1E45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0.57 (0.49-0.65)</w:t>
            </w:r>
          </w:p>
        </w:tc>
        <w:tc>
          <w:tcPr>
            <w:tcW w:w="1660" w:type="dxa"/>
            <w:tcBorders>
              <w:top w:val="nil"/>
              <w:left w:val="nil"/>
              <w:bottom w:val="nil"/>
              <w:right w:val="single" w:sz="8" w:space="0" w:color="auto"/>
            </w:tcBorders>
            <w:shd w:val="clear" w:color="auto" w:fill="auto"/>
            <w:noWrap/>
            <w:vAlign w:val="center"/>
            <w:hideMark/>
          </w:tcPr>
          <w:p w14:paraId="2DD1B62C"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0.98 (0.68-1.41)</w:t>
            </w:r>
          </w:p>
        </w:tc>
        <w:tc>
          <w:tcPr>
            <w:tcW w:w="222" w:type="dxa"/>
            <w:vAlign w:val="center"/>
            <w:hideMark/>
          </w:tcPr>
          <w:p w14:paraId="6146846F"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48DF6C60"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4208612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45-49</w:t>
            </w:r>
          </w:p>
        </w:tc>
        <w:tc>
          <w:tcPr>
            <w:tcW w:w="1660" w:type="dxa"/>
            <w:tcBorders>
              <w:top w:val="nil"/>
              <w:left w:val="nil"/>
              <w:bottom w:val="nil"/>
              <w:right w:val="single" w:sz="8" w:space="0" w:color="auto"/>
            </w:tcBorders>
            <w:shd w:val="clear" w:color="auto" w:fill="auto"/>
            <w:noWrap/>
            <w:vAlign w:val="center"/>
            <w:hideMark/>
          </w:tcPr>
          <w:p w14:paraId="568443E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0.55 (0.47-0.65)</w:t>
            </w:r>
          </w:p>
        </w:tc>
        <w:tc>
          <w:tcPr>
            <w:tcW w:w="1660" w:type="dxa"/>
            <w:tcBorders>
              <w:top w:val="nil"/>
              <w:left w:val="nil"/>
              <w:bottom w:val="nil"/>
              <w:right w:val="single" w:sz="8" w:space="0" w:color="auto"/>
            </w:tcBorders>
            <w:shd w:val="clear" w:color="auto" w:fill="auto"/>
            <w:noWrap/>
            <w:vAlign w:val="center"/>
            <w:hideMark/>
          </w:tcPr>
          <w:p w14:paraId="2B2DBEE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0.71 (0.46-1.08)</w:t>
            </w:r>
          </w:p>
        </w:tc>
        <w:tc>
          <w:tcPr>
            <w:tcW w:w="222" w:type="dxa"/>
            <w:vAlign w:val="center"/>
            <w:hideMark/>
          </w:tcPr>
          <w:p w14:paraId="15005592"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5184CD9F" w14:textId="77777777" w:rsidTr="0037571B">
        <w:trPr>
          <w:trHeight w:val="315"/>
        </w:trPr>
        <w:tc>
          <w:tcPr>
            <w:tcW w:w="4180" w:type="dxa"/>
            <w:tcBorders>
              <w:top w:val="nil"/>
              <w:left w:val="single" w:sz="8" w:space="0" w:color="auto"/>
              <w:bottom w:val="nil"/>
              <w:right w:val="nil"/>
            </w:tcBorders>
            <w:shd w:val="clear" w:color="auto" w:fill="auto"/>
            <w:noWrap/>
            <w:vAlign w:val="center"/>
            <w:hideMark/>
          </w:tcPr>
          <w:p w14:paraId="3E4D6A67"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50-54</w:t>
            </w:r>
          </w:p>
        </w:tc>
        <w:tc>
          <w:tcPr>
            <w:tcW w:w="1660" w:type="dxa"/>
            <w:tcBorders>
              <w:top w:val="nil"/>
              <w:left w:val="nil"/>
              <w:bottom w:val="nil"/>
              <w:right w:val="single" w:sz="8" w:space="0" w:color="auto"/>
            </w:tcBorders>
            <w:shd w:val="clear" w:color="auto" w:fill="auto"/>
            <w:noWrap/>
            <w:vAlign w:val="center"/>
            <w:hideMark/>
          </w:tcPr>
          <w:p w14:paraId="3AF7CEDB"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0.52 (0.43-0.62)</w:t>
            </w:r>
          </w:p>
        </w:tc>
        <w:tc>
          <w:tcPr>
            <w:tcW w:w="1660" w:type="dxa"/>
            <w:tcBorders>
              <w:top w:val="nil"/>
              <w:left w:val="nil"/>
              <w:bottom w:val="nil"/>
              <w:right w:val="single" w:sz="8" w:space="0" w:color="auto"/>
            </w:tcBorders>
            <w:shd w:val="clear" w:color="auto" w:fill="auto"/>
            <w:noWrap/>
            <w:vAlign w:val="center"/>
            <w:hideMark/>
          </w:tcPr>
          <w:p w14:paraId="4FC76E71"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0.95 (0.64-1.41)</w:t>
            </w:r>
          </w:p>
        </w:tc>
        <w:tc>
          <w:tcPr>
            <w:tcW w:w="222" w:type="dxa"/>
            <w:vAlign w:val="center"/>
            <w:hideMark/>
          </w:tcPr>
          <w:p w14:paraId="30E4B872"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2D4B3303" w14:textId="77777777" w:rsidTr="0037571B">
        <w:trPr>
          <w:trHeight w:val="315"/>
        </w:trPr>
        <w:tc>
          <w:tcPr>
            <w:tcW w:w="4180" w:type="dxa"/>
            <w:tcBorders>
              <w:top w:val="nil"/>
              <w:left w:val="single" w:sz="8" w:space="0" w:color="auto"/>
              <w:bottom w:val="single" w:sz="8" w:space="0" w:color="auto"/>
              <w:right w:val="nil"/>
            </w:tcBorders>
            <w:shd w:val="clear" w:color="auto" w:fill="auto"/>
            <w:noWrap/>
            <w:vAlign w:val="center"/>
            <w:hideMark/>
          </w:tcPr>
          <w:p w14:paraId="6ED12F4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55-59</w:t>
            </w:r>
          </w:p>
        </w:tc>
        <w:tc>
          <w:tcPr>
            <w:tcW w:w="1660" w:type="dxa"/>
            <w:tcBorders>
              <w:top w:val="nil"/>
              <w:left w:val="nil"/>
              <w:bottom w:val="single" w:sz="8" w:space="0" w:color="auto"/>
              <w:right w:val="single" w:sz="8" w:space="0" w:color="auto"/>
            </w:tcBorders>
            <w:shd w:val="clear" w:color="auto" w:fill="auto"/>
            <w:noWrap/>
            <w:vAlign w:val="center"/>
            <w:hideMark/>
          </w:tcPr>
          <w:p w14:paraId="6A10249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0.59 (0.49-0.71)</w:t>
            </w:r>
          </w:p>
        </w:tc>
        <w:tc>
          <w:tcPr>
            <w:tcW w:w="1660" w:type="dxa"/>
            <w:tcBorders>
              <w:top w:val="nil"/>
              <w:left w:val="nil"/>
              <w:bottom w:val="single" w:sz="8" w:space="0" w:color="auto"/>
              <w:right w:val="single" w:sz="8" w:space="0" w:color="auto"/>
            </w:tcBorders>
            <w:shd w:val="clear" w:color="auto" w:fill="auto"/>
            <w:noWrap/>
            <w:vAlign w:val="center"/>
            <w:hideMark/>
          </w:tcPr>
          <w:p w14:paraId="0859894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0.68 (0.44-1.04)</w:t>
            </w:r>
          </w:p>
        </w:tc>
        <w:tc>
          <w:tcPr>
            <w:tcW w:w="222" w:type="dxa"/>
            <w:vAlign w:val="center"/>
            <w:hideMark/>
          </w:tcPr>
          <w:p w14:paraId="6DF363DE"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3BA07662"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38F0BB34"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Secondary education or higher</w:t>
            </w:r>
          </w:p>
        </w:tc>
        <w:tc>
          <w:tcPr>
            <w:tcW w:w="1660" w:type="dxa"/>
            <w:tcBorders>
              <w:top w:val="nil"/>
              <w:left w:val="nil"/>
              <w:bottom w:val="single" w:sz="8" w:space="0" w:color="auto"/>
              <w:right w:val="single" w:sz="8" w:space="0" w:color="auto"/>
            </w:tcBorders>
            <w:shd w:val="clear" w:color="auto" w:fill="auto"/>
            <w:noWrap/>
            <w:vAlign w:val="center"/>
            <w:hideMark/>
          </w:tcPr>
          <w:p w14:paraId="064A8DD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0.25 (0.23-0.28)</w:t>
            </w:r>
          </w:p>
        </w:tc>
        <w:tc>
          <w:tcPr>
            <w:tcW w:w="1660" w:type="dxa"/>
            <w:tcBorders>
              <w:top w:val="nil"/>
              <w:left w:val="nil"/>
              <w:bottom w:val="single" w:sz="8" w:space="0" w:color="auto"/>
              <w:right w:val="single" w:sz="8" w:space="0" w:color="auto"/>
            </w:tcBorders>
            <w:shd w:val="clear" w:color="auto" w:fill="auto"/>
            <w:noWrap/>
            <w:vAlign w:val="center"/>
            <w:hideMark/>
          </w:tcPr>
          <w:p w14:paraId="752F28D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0.15 (0.11-0.20)</w:t>
            </w:r>
          </w:p>
        </w:tc>
        <w:tc>
          <w:tcPr>
            <w:tcW w:w="222" w:type="dxa"/>
            <w:vAlign w:val="center"/>
            <w:hideMark/>
          </w:tcPr>
          <w:p w14:paraId="2D3DEC56"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5CBC10D0"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15EA70F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Ever married</w:t>
            </w:r>
          </w:p>
        </w:tc>
        <w:tc>
          <w:tcPr>
            <w:tcW w:w="1660" w:type="dxa"/>
            <w:tcBorders>
              <w:top w:val="nil"/>
              <w:left w:val="nil"/>
              <w:bottom w:val="single" w:sz="8" w:space="0" w:color="auto"/>
              <w:right w:val="single" w:sz="8" w:space="0" w:color="auto"/>
            </w:tcBorders>
            <w:shd w:val="clear" w:color="auto" w:fill="auto"/>
            <w:noWrap/>
            <w:vAlign w:val="center"/>
            <w:hideMark/>
          </w:tcPr>
          <w:p w14:paraId="5DFC3B4C"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1.53 (1.36-1.74)</w:t>
            </w:r>
          </w:p>
        </w:tc>
        <w:tc>
          <w:tcPr>
            <w:tcW w:w="1660" w:type="dxa"/>
            <w:tcBorders>
              <w:top w:val="nil"/>
              <w:left w:val="nil"/>
              <w:bottom w:val="single" w:sz="8" w:space="0" w:color="auto"/>
              <w:right w:val="single" w:sz="8" w:space="0" w:color="auto"/>
            </w:tcBorders>
            <w:shd w:val="clear" w:color="auto" w:fill="auto"/>
            <w:noWrap/>
            <w:vAlign w:val="center"/>
            <w:hideMark/>
          </w:tcPr>
          <w:p w14:paraId="307BB9B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1.40 (1.07-1.84)</w:t>
            </w:r>
          </w:p>
        </w:tc>
        <w:tc>
          <w:tcPr>
            <w:tcW w:w="222" w:type="dxa"/>
            <w:vAlign w:val="center"/>
            <w:hideMark/>
          </w:tcPr>
          <w:p w14:paraId="1590529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08A35F3B" w14:textId="77777777" w:rsidTr="0037571B">
        <w:trPr>
          <w:trHeight w:val="315"/>
        </w:trPr>
        <w:tc>
          <w:tcPr>
            <w:tcW w:w="4180" w:type="dxa"/>
            <w:tcBorders>
              <w:top w:val="nil"/>
              <w:left w:val="single" w:sz="8" w:space="0" w:color="auto"/>
              <w:bottom w:val="single" w:sz="8" w:space="0" w:color="auto"/>
              <w:right w:val="nil"/>
            </w:tcBorders>
            <w:shd w:val="clear" w:color="auto" w:fill="auto"/>
            <w:noWrap/>
            <w:vAlign w:val="center"/>
            <w:hideMark/>
          </w:tcPr>
          <w:p w14:paraId="35DDE5B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 xml:space="preserve">Received </w:t>
            </w:r>
            <w:proofErr w:type="spellStart"/>
            <w:r w:rsidRPr="0037571B">
              <w:rPr>
                <w:rFonts w:ascii="Calibri" w:eastAsia="Times New Roman" w:hAnsi="Calibri" w:cs="Calibri"/>
                <w:color w:val="000000"/>
                <w:sz w:val="18"/>
                <w:szCs w:val="18"/>
                <w:lang w:eastAsia="en-GB"/>
              </w:rPr>
              <w:t>paycheck</w:t>
            </w:r>
            <w:proofErr w:type="spellEnd"/>
            <w:r w:rsidRPr="0037571B">
              <w:rPr>
                <w:rFonts w:ascii="Calibri" w:eastAsia="Times New Roman" w:hAnsi="Calibri" w:cs="Calibri"/>
                <w:color w:val="000000"/>
                <w:sz w:val="18"/>
                <w:szCs w:val="18"/>
                <w:lang w:eastAsia="en-GB"/>
              </w:rPr>
              <w:t xml:space="preserve"> in last 12 months</w:t>
            </w:r>
          </w:p>
        </w:tc>
        <w:tc>
          <w:tcPr>
            <w:tcW w:w="1660" w:type="dxa"/>
            <w:tcBorders>
              <w:top w:val="nil"/>
              <w:left w:val="nil"/>
              <w:bottom w:val="single" w:sz="8" w:space="0" w:color="auto"/>
              <w:right w:val="single" w:sz="8" w:space="0" w:color="auto"/>
            </w:tcBorders>
            <w:shd w:val="clear" w:color="auto" w:fill="auto"/>
            <w:noWrap/>
            <w:vAlign w:val="center"/>
            <w:hideMark/>
          </w:tcPr>
          <w:p w14:paraId="1CC345E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0.83 (0.77-0.90)</w:t>
            </w:r>
          </w:p>
        </w:tc>
        <w:tc>
          <w:tcPr>
            <w:tcW w:w="1660" w:type="dxa"/>
            <w:tcBorders>
              <w:top w:val="nil"/>
              <w:left w:val="nil"/>
              <w:bottom w:val="single" w:sz="8" w:space="0" w:color="auto"/>
              <w:right w:val="single" w:sz="8" w:space="0" w:color="auto"/>
            </w:tcBorders>
            <w:shd w:val="clear" w:color="auto" w:fill="auto"/>
            <w:noWrap/>
            <w:vAlign w:val="center"/>
            <w:hideMark/>
          </w:tcPr>
          <w:p w14:paraId="0A5D51E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0.75 (0.62-0.91)</w:t>
            </w:r>
          </w:p>
        </w:tc>
        <w:tc>
          <w:tcPr>
            <w:tcW w:w="222" w:type="dxa"/>
            <w:vAlign w:val="center"/>
            <w:hideMark/>
          </w:tcPr>
          <w:p w14:paraId="391C2AD1"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5147195E"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7E8922F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Food support (vs no support)</w:t>
            </w:r>
          </w:p>
        </w:tc>
        <w:tc>
          <w:tcPr>
            <w:tcW w:w="1660" w:type="dxa"/>
            <w:tcBorders>
              <w:top w:val="nil"/>
              <w:left w:val="nil"/>
              <w:bottom w:val="nil"/>
              <w:right w:val="single" w:sz="8" w:space="0" w:color="auto"/>
            </w:tcBorders>
            <w:shd w:val="clear" w:color="auto" w:fill="auto"/>
            <w:noWrap/>
            <w:vAlign w:val="center"/>
            <w:hideMark/>
          </w:tcPr>
          <w:p w14:paraId="6E0F30F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1.96 (1.32-2.91)</w:t>
            </w:r>
          </w:p>
        </w:tc>
        <w:tc>
          <w:tcPr>
            <w:tcW w:w="1660" w:type="dxa"/>
            <w:tcBorders>
              <w:top w:val="nil"/>
              <w:left w:val="nil"/>
              <w:bottom w:val="nil"/>
              <w:right w:val="single" w:sz="8" w:space="0" w:color="auto"/>
            </w:tcBorders>
            <w:shd w:val="clear" w:color="auto" w:fill="auto"/>
            <w:noWrap/>
            <w:vAlign w:val="center"/>
            <w:hideMark/>
          </w:tcPr>
          <w:p w14:paraId="57D6B92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0.83 (0.39-1.77)</w:t>
            </w:r>
          </w:p>
        </w:tc>
        <w:tc>
          <w:tcPr>
            <w:tcW w:w="222" w:type="dxa"/>
            <w:vAlign w:val="center"/>
            <w:hideMark/>
          </w:tcPr>
          <w:p w14:paraId="638A7212"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627A360F"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2FA51C84"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Other economic support (vs no support)</w:t>
            </w:r>
          </w:p>
        </w:tc>
        <w:tc>
          <w:tcPr>
            <w:tcW w:w="1660" w:type="dxa"/>
            <w:tcBorders>
              <w:top w:val="nil"/>
              <w:left w:val="nil"/>
              <w:bottom w:val="single" w:sz="8" w:space="0" w:color="auto"/>
              <w:right w:val="single" w:sz="8" w:space="0" w:color="auto"/>
            </w:tcBorders>
            <w:shd w:val="clear" w:color="auto" w:fill="auto"/>
            <w:noWrap/>
            <w:vAlign w:val="center"/>
            <w:hideMark/>
          </w:tcPr>
          <w:p w14:paraId="6C43C6F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1.69 (1.41-2.04)</w:t>
            </w:r>
          </w:p>
        </w:tc>
        <w:tc>
          <w:tcPr>
            <w:tcW w:w="1660" w:type="dxa"/>
            <w:tcBorders>
              <w:top w:val="nil"/>
              <w:left w:val="nil"/>
              <w:bottom w:val="single" w:sz="8" w:space="0" w:color="auto"/>
              <w:right w:val="single" w:sz="8" w:space="0" w:color="auto"/>
            </w:tcBorders>
            <w:shd w:val="clear" w:color="auto" w:fill="auto"/>
            <w:noWrap/>
            <w:vAlign w:val="center"/>
            <w:hideMark/>
          </w:tcPr>
          <w:p w14:paraId="7F35222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2.90 (1.99-4.23)</w:t>
            </w:r>
          </w:p>
        </w:tc>
        <w:tc>
          <w:tcPr>
            <w:tcW w:w="222" w:type="dxa"/>
            <w:vAlign w:val="center"/>
            <w:hideMark/>
          </w:tcPr>
          <w:p w14:paraId="346D5C49"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55ACC8C"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0578B99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Eswatini</w:t>
            </w:r>
          </w:p>
        </w:tc>
        <w:tc>
          <w:tcPr>
            <w:tcW w:w="1660" w:type="dxa"/>
            <w:tcBorders>
              <w:top w:val="nil"/>
              <w:left w:val="nil"/>
              <w:bottom w:val="nil"/>
              <w:right w:val="single" w:sz="8" w:space="0" w:color="auto"/>
            </w:tcBorders>
            <w:shd w:val="clear" w:color="auto" w:fill="auto"/>
            <w:noWrap/>
            <w:vAlign w:val="center"/>
            <w:hideMark/>
          </w:tcPr>
          <w:p w14:paraId="03757F8D"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1660" w:type="dxa"/>
            <w:tcBorders>
              <w:top w:val="nil"/>
              <w:left w:val="nil"/>
              <w:bottom w:val="nil"/>
              <w:right w:val="single" w:sz="8" w:space="0" w:color="auto"/>
            </w:tcBorders>
            <w:shd w:val="clear" w:color="auto" w:fill="auto"/>
            <w:noWrap/>
            <w:vAlign w:val="center"/>
            <w:hideMark/>
          </w:tcPr>
          <w:p w14:paraId="4DAAEA96"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222" w:type="dxa"/>
            <w:vAlign w:val="center"/>
            <w:hideMark/>
          </w:tcPr>
          <w:p w14:paraId="30F65655"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337BD6C0"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3766169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Lesotho</w:t>
            </w:r>
          </w:p>
        </w:tc>
        <w:tc>
          <w:tcPr>
            <w:tcW w:w="1660" w:type="dxa"/>
            <w:tcBorders>
              <w:top w:val="nil"/>
              <w:left w:val="nil"/>
              <w:bottom w:val="nil"/>
              <w:right w:val="single" w:sz="8" w:space="0" w:color="auto"/>
            </w:tcBorders>
            <w:shd w:val="clear" w:color="auto" w:fill="auto"/>
            <w:noWrap/>
            <w:vAlign w:val="center"/>
            <w:hideMark/>
          </w:tcPr>
          <w:p w14:paraId="627E535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1.13 (0.92-1.39)</w:t>
            </w:r>
          </w:p>
        </w:tc>
        <w:tc>
          <w:tcPr>
            <w:tcW w:w="1660" w:type="dxa"/>
            <w:tcBorders>
              <w:top w:val="nil"/>
              <w:left w:val="nil"/>
              <w:bottom w:val="nil"/>
              <w:right w:val="single" w:sz="8" w:space="0" w:color="auto"/>
            </w:tcBorders>
            <w:shd w:val="clear" w:color="auto" w:fill="auto"/>
            <w:noWrap/>
            <w:vAlign w:val="center"/>
            <w:hideMark/>
          </w:tcPr>
          <w:p w14:paraId="234FDCF7"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0.12 (0.07-0.20)</w:t>
            </w:r>
          </w:p>
        </w:tc>
        <w:tc>
          <w:tcPr>
            <w:tcW w:w="222" w:type="dxa"/>
            <w:vAlign w:val="center"/>
            <w:hideMark/>
          </w:tcPr>
          <w:p w14:paraId="49DCB796"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38F326E"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30EA54C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Tanzania</w:t>
            </w:r>
          </w:p>
        </w:tc>
        <w:tc>
          <w:tcPr>
            <w:tcW w:w="1660" w:type="dxa"/>
            <w:tcBorders>
              <w:top w:val="nil"/>
              <w:left w:val="nil"/>
              <w:bottom w:val="nil"/>
              <w:right w:val="single" w:sz="8" w:space="0" w:color="auto"/>
            </w:tcBorders>
            <w:shd w:val="clear" w:color="auto" w:fill="auto"/>
            <w:noWrap/>
            <w:vAlign w:val="center"/>
            <w:hideMark/>
          </w:tcPr>
          <w:p w14:paraId="28C20AC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0.97 (0.75-1.26)</w:t>
            </w:r>
          </w:p>
        </w:tc>
        <w:tc>
          <w:tcPr>
            <w:tcW w:w="1660" w:type="dxa"/>
            <w:tcBorders>
              <w:top w:val="nil"/>
              <w:left w:val="nil"/>
              <w:bottom w:val="nil"/>
              <w:right w:val="single" w:sz="8" w:space="0" w:color="auto"/>
            </w:tcBorders>
            <w:shd w:val="clear" w:color="auto" w:fill="auto"/>
            <w:noWrap/>
            <w:vAlign w:val="center"/>
            <w:hideMark/>
          </w:tcPr>
          <w:p w14:paraId="3724B45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0.08 (0.05-0.15)</w:t>
            </w:r>
          </w:p>
        </w:tc>
        <w:tc>
          <w:tcPr>
            <w:tcW w:w="222" w:type="dxa"/>
            <w:vAlign w:val="center"/>
            <w:hideMark/>
          </w:tcPr>
          <w:p w14:paraId="16270FA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068C6F50"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578EA6D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Uganda</w:t>
            </w:r>
          </w:p>
        </w:tc>
        <w:tc>
          <w:tcPr>
            <w:tcW w:w="1660" w:type="dxa"/>
            <w:tcBorders>
              <w:top w:val="nil"/>
              <w:left w:val="nil"/>
              <w:bottom w:val="nil"/>
              <w:right w:val="single" w:sz="8" w:space="0" w:color="auto"/>
            </w:tcBorders>
            <w:shd w:val="clear" w:color="auto" w:fill="auto"/>
            <w:noWrap/>
            <w:vAlign w:val="center"/>
            <w:hideMark/>
          </w:tcPr>
          <w:p w14:paraId="16A349C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0.78 (0.60-1.01)</w:t>
            </w:r>
          </w:p>
        </w:tc>
        <w:tc>
          <w:tcPr>
            <w:tcW w:w="1660" w:type="dxa"/>
            <w:tcBorders>
              <w:top w:val="nil"/>
              <w:left w:val="nil"/>
              <w:bottom w:val="nil"/>
              <w:right w:val="single" w:sz="8" w:space="0" w:color="auto"/>
            </w:tcBorders>
            <w:shd w:val="clear" w:color="auto" w:fill="auto"/>
            <w:noWrap/>
            <w:vAlign w:val="center"/>
            <w:hideMark/>
          </w:tcPr>
          <w:p w14:paraId="1151BED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0.32 (0.18-0.55)</w:t>
            </w:r>
          </w:p>
        </w:tc>
        <w:tc>
          <w:tcPr>
            <w:tcW w:w="222" w:type="dxa"/>
            <w:vAlign w:val="center"/>
            <w:hideMark/>
          </w:tcPr>
          <w:p w14:paraId="08141C4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01769778" w14:textId="77777777" w:rsidTr="0037571B">
        <w:trPr>
          <w:trHeight w:val="315"/>
        </w:trPr>
        <w:tc>
          <w:tcPr>
            <w:tcW w:w="4180" w:type="dxa"/>
            <w:tcBorders>
              <w:top w:val="nil"/>
              <w:left w:val="single" w:sz="8" w:space="0" w:color="auto"/>
              <w:bottom w:val="single" w:sz="8" w:space="0" w:color="auto"/>
              <w:right w:val="nil"/>
            </w:tcBorders>
            <w:shd w:val="clear" w:color="auto" w:fill="auto"/>
            <w:noWrap/>
            <w:vAlign w:val="center"/>
            <w:hideMark/>
          </w:tcPr>
          <w:p w14:paraId="5496FC0B"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Zambia</w:t>
            </w:r>
          </w:p>
        </w:tc>
        <w:tc>
          <w:tcPr>
            <w:tcW w:w="1660" w:type="dxa"/>
            <w:tcBorders>
              <w:top w:val="nil"/>
              <w:left w:val="nil"/>
              <w:bottom w:val="single" w:sz="8" w:space="0" w:color="auto"/>
              <w:right w:val="single" w:sz="8" w:space="0" w:color="auto"/>
            </w:tcBorders>
            <w:shd w:val="clear" w:color="auto" w:fill="auto"/>
            <w:noWrap/>
            <w:vAlign w:val="center"/>
            <w:hideMark/>
          </w:tcPr>
          <w:p w14:paraId="3F5023B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1.14 (0.93-1.40)</w:t>
            </w:r>
          </w:p>
        </w:tc>
        <w:tc>
          <w:tcPr>
            <w:tcW w:w="1660" w:type="dxa"/>
            <w:tcBorders>
              <w:top w:val="nil"/>
              <w:left w:val="nil"/>
              <w:bottom w:val="single" w:sz="8" w:space="0" w:color="auto"/>
              <w:right w:val="single" w:sz="8" w:space="0" w:color="auto"/>
            </w:tcBorders>
            <w:shd w:val="clear" w:color="auto" w:fill="auto"/>
            <w:noWrap/>
            <w:vAlign w:val="center"/>
            <w:hideMark/>
          </w:tcPr>
          <w:p w14:paraId="0077D92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0.04 (0.02-0.07)</w:t>
            </w:r>
          </w:p>
        </w:tc>
        <w:tc>
          <w:tcPr>
            <w:tcW w:w="222" w:type="dxa"/>
            <w:vAlign w:val="center"/>
            <w:hideMark/>
          </w:tcPr>
          <w:p w14:paraId="10D2C906"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4530C0E0" w14:textId="77777777" w:rsidTr="0037571B">
        <w:trPr>
          <w:trHeight w:val="315"/>
        </w:trPr>
        <w:tc>
          <w:tcPr>
            <w:tcW w:w="4180" w:type="dxa"/>
            <w:tcBorders>
              <w:top w:val="nil"/>
              <w:left w:val="single" w:sz="8" w:space="0" w:color="auto"/>
              <w:bottom w:val="single" w:sz="8" w:space="0" w:color="auto"/>
              <w:right w:val="nil"/>
            </w:tcBorders>
            <w:shd w:val="clear" w:color="000000" w:fill="E7E6E6"/>
            <w:noWrap/>
            <w:vAlign w:val="center"/>
            <w:hideMark/>
          </w:tcPr>
          <w:p w14:paraId="3D9D7C9F" w14:textId="485AF67B" w:rsidR="0037571B" w:rsidRPr="0037571B" w:rsidRDefault="00BC2EC3" w:rsidP="0037571B">
            <w:pPr>
              <w:spacing w:after="0" w:line="240" w:lineRule="auto"/>
              <w:rPr>
                <w:rFonts w:ascii="Calibri" w:eastAsia="Times New Roman" w:hAnsi="Calibri" w:cs="Calibri"/>
                <w:color w:val="000000"/>
                <w:sz w:val="18"/>
                <w:szCs w:val="18"/>
                <w:lang w:eastAsia="en-GB"/>
              </w:rPr>
            </w:pPr>
            <w:r w:rsidRPr="003A4812">
              <w:rPr>
                <w:rFonts w:ascii="Calibri" w:eastAsia="Times New Roman" w:hAnsi="Calibri" w:cs="Calibri"/>
                <w:b/>
                <w:bCs/>
                <w:color w:val="000000"/>
                <w:sz w:val="18"/>
                <w:szCs w:val="18"/>
                <w:lang w:eastAsia="en-GB"/>
              </w:rPr>
              <w:t>Men</w:t>
            </w:r>
          </w:p>
        </w:tc>
        <w:tc>
          <w:tcPr>
            <w:tcW w:w="1660" w:type="dxa"/>
            <w:tcBorders>
              <w:top w:val="nil"/>
              <w:left w:val="nil"/>
              <w:bottom w:val="single" w:sz="8" w:space="0" w:color="auto"/>
              <w:right w:val="single" w:sz="8" w:space="0" w:color="auto"/>
            </w:tcBorders>
            <w:shd w:val="clear" w:color="000000" w:fill="E7E6E6"/>
            <w:noWrap/>
            <w:vAlign w:val="center"/>
            <w:hideMark/>
          </w:tcPr>
          <w:p w14:paraId="5DC2AD6D" w14:textId="77777777" w:rsidR="0037571B" w:rsidRPr="0037571B" w:rsidRDefault="0037571B" w:rsidP="0037571B">
            <w:pPr>
              <w:spacing w:after="0" w:line="240" w:lineRule="auto"/>
              <w:rPr>
                <w:rFonts w:ascii="Calibri" w:eastAsia="Times New Roman" w:hAnsi="Calibri" w:cs="Calibri"/>
                <w:b/>
                <w:bCs/>
                <w:color w:val="000000"/>
                <w:sz w:val="18"/>
                <w:szCs w:val="18"/>
                <w:lang w:eastAsia="en-GB"/>
              </w:rPr>
            </w:pPr>
            <w:r w:rsidRPr="0037571B">
              <w:rPr>
                <w:rFonts w:ascii="Calibri" w:eastAsia="Times New Roman" w:hAnsi="Calibri" w:cs="Calibri"/>
                <w:b/>
                <w:bCs/>
                <w:color w:val="000000"/>
                <w:sz w:val="18"/>
                <w:szCs w:val="18"/>
                <w:lang w:eastAsia="en-GB"/>
              </w:rPr>
              <w:t>Multivariable</w:t>
            </w:r>
          </w:p>
        </w:tc>
        <w:tc>
          <w:tcPr>
            <w:tcW w:w="1660" w:type="dxa"/>
            <w:tcBorders>
              <w:top w:val="nil"/>
              <w:left w:val="nil"/>
              <w:bottom w:val="single" w:sz="8" w:space="0" w:color="auto"/>
              <w:right w:val="single" w:sz="8" w:space="0" w:color="auto"/>
            </w:tcBorders>
            <w:shd w:val="clear" w:color="000000" w:fill="E7E6E6"/>
            <w:noWrap/>
            <w:vAlign w:val="center"/>
            <w:hideMark/>
          </w:tcPr>
          <w:p w14:paraId="10840B23" w14:textId="77777777" w:rsidR="0037571B" w:rsidRPr="0037571B" w:rsidRDefault="0037571B" w:rsidP="0037571B">
            <w:pPr>
              <w:spacing w:after="0" w:line="240" w:lineRule="auto"/>
              <w:rPr>
                <w:rFonts w:ascii="Calibri" w:eastAsia="Times New Roman" w:hAnsi="Calibri" w:cs="Calibri"/>
                <w:b/>
                <w:bCs/>
                <w:color w:val="000000"/>
                <w:sz w:val="18"/>
                <w:szCs w:val="18"/>
                <w:lang w:eastAsia="en-GB"/>
              </w:rPr>
            </w:pPr>
            <w:r w:rsidRPr="0037571B">
              <w:rPr>
                <w:rFonts w:ascii="Calibri" w:eastAsia="Times New Roman" w:hAnsi="Calibri" w:cs="Calibri"/>
                <w:b/>
                <w:bCs/>
                <w:color w:val="000000"/>
                <w:sz w:val="18"/>
                <w:szCs w:val="18"/>
                <w:lang w:eastAsia="en-GB"/>
              </w:rPr>
              <w:t>Multivariable</w:t>
            </w:r>
          </w:p>
        </w:tc>
        <w:tc>
          <w:tcPr>
            <w:tcW w:w="222" w:type="dxa"/>
            <w:vAlign w:val="center"/>
            <w:hideMark/>
          </w:tcPr>
          <w:p w14:paraId="34ABFDB4"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17DD09AA"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7A642D1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Drought</w:t>
            </w:r>
          </w:p>
        </w:tc>
        <w:tc>
          <w:tcPr>
            <w:tcW w:w="1660" w:type="dxa"/>
            <w:tcBorders>
              <w:top w:val="nil"/>
              <w:left w:val="nil"/>
              <w:bottom w:val="single" w:sz="8" w:space="0" w:color="auto"/>
              <w:right w:val="single" w:sz="8" w:space="0" w:color="auto"/>
            </w:tcBorders>
            <w:shd w:val="clear" w:color="auto" w:fill="auto"/>
            <w:noWrap/>
            <w:vAlign w:val="center"/>
            <w:hideMark/>
          </w:tcPr>
          <w:p w14:paraId="70228B6B"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1.31 (1.04-1.66)</w:t>
            </w:r>
          </w:p>
        </w:tc>
        <w:tc>
          <w:tcPr>
            <w:tcW w:w="1660" w:type="dxa"/>
            <w:tcBorders>
              <w:top w:val="nil"/>
              <w:left w:val="nil"/>
              <w:bottom w:val="single" w:sz="8" w:space="0" w:color="auto"/>
              <w:right w:val="single" w:sz="8" w:space="0" w:color="auto"/>
            </w:tcBorders>
            <w:shd w:val="clear" w:color="auto" w:fill="auto"/>
            <w:noWrap/>
            <w:vAlign w:val="center"/>
            <w:hideMark/>
          </w:tcPr>
          <w:p w14:paraId="784B6D6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1.02 (0.46-2.28)</w:t>
            </w:r>
          </w:p>
        </w:tc>
        <w:tc>
          <w:tcPr>
            <w:tcW w:w="222" w:type="dxa"/>
            <w:vAlign w:val="center"/>
            <w:hideMark/>
          </w:tcPr>
          <w:p w14:paraId="00B0C0B1"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378F6597"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15C87D8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15-19</w:t>
            </w:r>
          </w:p>
        </w:tc>
        <w:tc>
          <w:tcPr>
            <w:tcW w:w="1660" w:type="dxa"/>
            <w:tcBorders>
              <w:top w:val="nil"/>
              <w:left w:val="nil"/>
              <w:bottom w:val="nil"/>
              <w:right w:val="single" w:sz="8" w:space="0" w:color="auto"/>
            </w:tcBorders>
            <w:shd w:val="clear" w:color="auto" w:fill="auto"/>
            <w:noWrap/>
            <w:vAlign w:val="center"/>
            <w:hideMark/>
          </w:tcPr>
          <w:p w14:paraId="47855171"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1660" w:type="dxa"/>
            <w:tcBorders>
              <w:top w:val="nil"/>
              <w:left w:val="nil"/>
              <w:bottom w:val="nil"/>
              <w:right w:val="single" w:sz="8" w:space="0" w:color="auto"/>
            </w:tcBorders>
            <w:shd w:val="clear" w:color="auto" w:fill="auto"/>
            <w:noWrap/>
            <w:vAlign w:val="center"/>
            <w:hideMark/>
          </w:tcPr>
          <w:p w14:paraId="60923B9F"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222" w:type="dxa"/>
            <w:vAlign w:val="center"/>
            <w:hideMark/>
          </w:tcPr>
          <w:p w14:paraId="65062391"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4B34C1A6"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13392B9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20-24</w:t>
            </w:r>
          </w:p>
        </w:tc>
        <w:tc>
          <w:tcPr>
            <w:tcW w:w="1660" w:type="dxa"/>
            <w:tcBorders>
              <w:top w:val="nil"/>
              <w:left w:val="nil"/>
              <w:bottom w:val="nil"/>
              <w:right w:val="single" w:sz="8" w:space="0" w:color="auto"/>
            </w:tcBorders>
            <w:shd w:val="clear" w:color="auto" w:fill="auto"/>
            <w:noWrap/>
            <w:vAlign w:val="center"/>
            <w:hideMark/>
          </w:tcPr>
          <w:p w14:paraId="134B3D78"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0.95 (0.85-1.06)</w:t>
            </w:r>
          </w:p>
        </w:tc>
        <w:tc>
          <w:tcPr>
            <w:tcW w:w="1660" w:type="dxa"/>
            <w:tcBorders>
              <w:top w:val="nil"/>
              <w:left w:val="nil"/>
              <w:bottom w:val="nil"/>
              <w:right w:val="single" w:sz="8" w:space="0" w:color="auto"/>
            </w:tcBorders>
            <w:shd w:val="clear" w:color="auto" w:fill="auto"/>
            <w:noWrap/>
            <w:vAlign w:val="center"/>
            <w:hideMark/>
          </w:tcPr>
          <w:p w14:paraId="4881DBBE"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0.86 (0.59-1.24)</w:t>
            </w:r>
          </w:p>
        </w:tc>
        <w:tc>
          <w:tcPr>
            <w:tcW w:w="222" w:type="dxa"/>
            <w:vAlign w:val="center"/>
            <w:hideMark/>
          </w:tcPr>
          <w:p w14:paraId="38D7D5E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27448E1E"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41F5DDE3"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25-29</w:t>
            </w:r>
          </w:p>
        </w:tc>
        <w:tc>
          <w:tcPr>
            <w:tcW w:w="1660" w:type="dxa"/>
            <w:tcBorders>
              <w:top w:val="nil"/>
              <w:left w:val="nil"/>
              <w:bottom w:val="nil"/>
              <w:right w:val="single" w:sz="8" w:space="0" w:color="auto"/>
            </w:tcBorders>
            <w:shd w:val="clear" w:color="auto" w:fill="auto"/>
            <w:noWrap/>
            <w:vAlign w:val="center"/>
            <w:hideMark/>
          </w:tcPr>
          <w:p w14:paraId="104E2C7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0.74 (0.64-0.87)</w:t>
            </w:r>
          </w:p>
        </w:tc>
        <w:tc>
          <w:tcPr>
            <w:tcW w:w="1660" w:type="dxa"/>
            <w:tcBorders>
              <w:top w:val="nil"/>
              <w:left w:val="nil"/>
              <w:bottom w:val="nil"/>
              <w:right w:val="single" w:sz="8" w:space="0" w:color="auto"/>
            </w:tcBorders>
            <w:shd w:val="clear" w:color="auto" w:fill="auto"/>
            <w:noWrap/>
            <w:vAlign w:val="center"/>
            <w:hideMark/>
          </w:tcPr>
          <w:p w14:paraId="220D041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0.51 (0.30-0.86)</w:t>
            </w:r>
          </w:p>
        </w:tc>
        <w:tc>
          <w:tcPr>
            <w:tcW w:w="222" w:type="dxa"/>
            <w:vAlign w:val="center"/>
            <w:hideMark/>
          </w:tcPr>
          <w:p w14:paraId="68628992"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4D833C87"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0C0CD3D7"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30-34</w:t>
            </w:r>
          </w:p>
        </w:tc>
        <w:tc>
          <w:tcPr>
            <w:tcW w:w="1660" w:type="dxa"/>
            <w:tcBorders>
              <w:top w:val="nil"/>
              <w:left w:val="nil"/>
              <w:bottom w:val="nil"/>
              <w:right w:val="single" w:sz="8" w:space="0" w:color="auto"/>
            </w:tcBorders>
            <w:shd w:val="clear" w:color="auto" w:fill="auto"/>
            <w:noWrap/>
            <w:vAlign w:val="center"/>
            <w:hideMark/>
          </w:tcPr>
          <w:p w14:paraId="6327A8C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0.64 (0.55-0.76)</w:t>
            </w:r>
          </w:p>
        </w:tc>
        <w:tc>
          <w:tcPr>
            <w:tcW w:w="1660" w:type="dxa"/>
            <w:tcBorders>
              <w:top w:val="nil"/>
              <w:left w:val="nil"/>
              <w:bottom w:val="nil"/>
              <w:right w:val="single" w:sz="8" w:space="0" w:color="auto"/>
            </w:tcBorders>
            <w:shd w:val="clear" w:color="auto" w:fill="auto"/>
            <w:noWrap/>
            <w:vAlign w:val="center"/>
            <w:hideMark/>
          </w:tcPr>
          <w:p w14:paraId="0382098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0.64 (0.40-1.03)</w:t>
            </w:r>
          </w:p>
        </w:tc>
        <w:tc>
          <w:tcPr>
            <w:tcW w:w="222" w:type="dxa"/>
            <w:vAlign w:val="center"/>
            <w:hideMark/>
          </w:tcPr>
          <w:p w14:paraId="2EB4148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59D2604A"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3EB5F291"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35-39</w:t>
            </w:r>
          </w:p>
        </w:tc>
        <w:tc>
          <w:tcPr>
            <w:tcW w:w="1660" w:type="dxa"/>
            <w:tcBorders>
              <w:top w:val="nil"/>
              <w:left w:val="nil"/>
              <w:bottom w:val="nil"/>
              <w:right w:val="single" w:sz="8" w:space="0" w:color="auto"/>
            </w:tcBorders>
            <w:shd w:val="clear" w:color="auto" w:fill="auto"/>
            <w:noWrap/>
            <w:vAlign w:val="center"/>
            <w:hideMark/>
          </w:tcPr>
          <w:p w14:paraId="6527714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0.57 (0.48-0.67)</w:t>
            </w:r>
          </w:p>
        </w:tc>
        <w:tc>
          <w:tcPr>
            <w:tcW w:w="1660" w:type="dxa"/>
            <w:tcBorders>
              <w:top w:val="nil"/>
              <w:left w:val="nil"/>
              <w:bottom w:val="nil"/>
              <w:right w:val="single" w:sz="8" w:space="0" w:color="auto"/>
            </w:tcBorders>
            <w:shd w:val="clear" w:color="auto" w:fill="auto"/>
            <w:noWrap/>
            <w:vAlign w:val="center"/>
            <w:hideMark/>
          </w:tcPr>
          <w:p w14:paraId="35309684"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0.55 (0.33-0.92)</w:t>
            </w:r>
          </w:p>
        </w:tc>
        <w:tc>
          <w:tcPr>
            <w:tcW w:w="222" w:type="dxa"/>
            <w:vAlign w:val="center"/>
            <w:hideMark/>
          </w:tcPr>
          <w:p w14:paraId="240B1FDE"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6C931D0F"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76C4CC2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40-44</w:t>
            </w:r>
          </w:p>
        </w:tc>
        <w:tc>
          <w:tcPr>
            <w:tcW w:w="1660" w:type="dxa"/>
            <w:tcBorders>
              <w:top w:val="nil"/>
              <w:left w:val="nil"/>
              <w:bottom w:val="nil"/>
              <w:right w:val="single" w:sz="8" w:space="0" w:color="auto"/>
            </w:tcBorders>
            <w:shd w:val="clear" w:color="auto" w:fill="auto"/>
            <w:noWrap/>
            <w:vAlign w:val="center"/>
            <w:hideMark/>
          </w:tcPr>
          <w:p w14:paraId="76D8C2C4"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0.56 (0.47-0.66)</w:t>
            </w:r>
          </w:p>
        </w:tc>
        <w:tc>
          <w:tcPr>
            <w:tcW w:w="1660" w:type="dxa"/>
            <w:tcBorders>
              <w:top w:val="nil"/>
              <w:left w:val="nil"/>
              <w:bottom w:val="nil"/>
              <w:right w:val="single" w:sz="8" w:space="0" w:color="auto"/>
            </w:tcBorders>
            <w:shd w:val="clear" w:color="auto" w:fill="auto"/>
            <w:noWrap/>
            <w:vAlign w:val="center"/>
            <w:hideMark/>
          </w:tcPr>
          <w:p w14:paraId="74B4C7D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0.87 (0.57-1.33)</w:t>
            </w:r>
          </w:p>
        </w:tc>
        <w:tc>
          <w:tcPr>
            <w:tcW w:w="222" w:type="dxa"/>
            <w:vAlign w:val="center"/>
            <w:hideMark/>
          </w:tcPr>
          <w:p w14:paraId="56649ACA"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3F040DFE"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62CEB4F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45-49</w:t>
            </w:r>
          </w:p>
        </w:tc>
        <w:tc>
          <w:tcPr>
            <w:tcW w:w="1660" w:type="dxa"/>
            <w:tcBorders>
              <w:top w:val="nil"/>
              <w:left w:val="nil"/>
              <w:bottom w:val="nil"/>
              <w:right w:val="single" w:sz="8" w:space="0" w:color="auto"/>
            </w:tcBorders>
            <w:shd w:val="clear" w:color="auto" w:fill="auto"/>
            <w:noWrap/>
            <w:vAlign w:val="center"/>
            <w:hideMark/>
          </w:tcPr>
          <w:p w14:paraId="2F00825B"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0.50 (0.42-0.59)</w:t>
            </w:r>
          </w:p>
        </w:tc>
        <w:tc>
          <w:tcPr>
            <w:tcW w:w="1660" w:type="dxa"/>
            <w:tcBorders>
              <w:top w:val="nil"/>
              <w:left w:val="nil"/>
              <w:bottom w:val="nil"/>
              <w:right w:val="single" w:sz="8" w:space="0" w:color="auto"/>
            </w:tcBorders>
            <w:shd w:val="clear" w:color="auto" w:fill="auto"/>
            <w:noWrap/>
            <w:vAlign w:val="center"/>
            <w:hideMark/>
          </w:tcPr>
          <w:p w14:paraId="419599C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0.76 (0.44-1.33)</w:t>
            </w:r>
          </w:p>
        </w:tc>
        <w:tc>
          <w:tcPr>
            <w:tcW w:w="222" w:type="dxa"/>
            <w:vAlign w:val="center"/>
            <w:hideMark/>
          </w:tcPr>
          <w:p w14:paraId="23383989"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28D76530" w14:textId="77777777" w:rsidTr="0037571B">
        <w:trPr>
          <w:trHeight w:val="300"/>
        </w:trPr>
        <w:tc>
          <w:tcPr>
            <w:tcW w:w="4180" w:type="dxa"/>
            <w:tcBorders>
              <w:top w:val="nil"/>
              <w:left w:val="single" w:sz="8" w:space="0" w:color="auto"/>
              <w:bottom w:val="nil"/>
              <w:right w:val="nil"/>
            </w:tcBorders>
            <w:shd w:val="clear" w:color="auto" w:fill="auto"/>
            <w:noWrap/>
            <w:vAlign w:val="center"/>
            <w:hideMark/>
          </w:tcPr>
          <w:p w14:paraId="19999F38"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50-54</w:t>
            </w:r>
          </w:p>
        </w:tc>
        <w:tc>
          <w:tcPr>
            <w:tcW w:w="1660" w:type="dxa"/>
            <w:tcBorders>
              <w:top w:val="nil"/>
              <w:left w:val="nil"/>
              <w:bottom w:val="nil"/>
              <w:right w:val="single" w:sz="8" w:space="0" w:color="auto"/>
            </w:tcBorders>
            <w:shd w:val="clear" w:color="auto" w:fill="auto"/>
            <w:noWrap/>
            <w:vAlign w:val="center"/>
            <w:hideMark/>
          </w:tcPr>
          <w:p w14:paraId="357DE7E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0.51 (0.43-0.60)</w:t>
            </w:r>
          </w:p>
        </w:tc>
        <w:tc>
          <w:tcPr>
            <w:tcW w:w="1660" w:type="dxa"/>
            <w:tcBorders>
              <w:top w:val="nil"/>
              <w:left w:val="nil"/>
              <w:bottom w:val="nil"/>
              <w:right w:val="single" w:sz="8" w:space="0" w:color="auto"/>
            </w:tcBorders>
            <w:shd w:val="clear" w:color="auto" w:fill="auto"/>
            <w:noWrap/>
            <w:vAlign w:val="center"/>
            <w:hideMark/>
          </w:tcPr>
          <w:p w14:paraId="3A378554"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0.93 (0.53-1.64)</w:t>
            </w:r>
          </w:p>
        </w:tc>
        <w:tc>
          <w:tcPr>
            <w:tcW w:w="222" w:type="dxa"/>
            <w:vAlign w:val="center"/>
            <w:hideMark/>
          </w:tcPr>
          <w:p w14:paraId="7F02C89F"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1F6807B" w14:textId="77777777" w:rsidTr="0037571B">
        <w:trPr>
          <w:trHeight w:val="315"/>
        </w:trPr>
        <w:tc>
          <w:tcPr>
            <w:tcW w:w="4180" w:type="dxa"/>
            <w:tcBorders>
              <w:top w:val="nil"/>
              <w:left w:val="single" w:sz="8" w:space="0" w:color="auto"/>
              <w:bottom w:val="single" w:sz="8" w:space="0" w:color="auto"/>
              <w:right w:val="nil"/>
            </w:tcBorders>
            <w:shd w:val="clear" w:color="auto" w:fill="auto"/>
            <w:noWrap/>
            <w:vAlign w:val="center"/>
            <w:hideMark/>
          </w:tcPr>
          <w:p w14:paraId="6A51ABC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Age 55-59</w:t>
            </w:r>
          </w:p>
        </w:tc>
        <w:tc>
          <w:tcPr>
            <w:tcW w:w="1660" w:type="dxa"/>
            <w:tcBorders>
              <w:top w:val="nil"/>
              <w:left w:val="nil"/>
              <w:bottom w:val="single" w:sz="8" w:space="0" w:color="auto"/>
              <w:right w:val="single" w:sz="8" w:space="0" w:color="auto"/>
            </w:tcBorders>
            <w:shd w:val="clear" w:color="auto" w:fill="auto"/>
            <w:noWrap/>
            <w:vAlign w:val="center"/>
            <w:hideMark/>
          </w:tcPr>
          <w:p w14:paraId="5A385DE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0.53 (0.44-0.65)</w:t>
            </w:r>
          </w:p>
        </w:tc>
        <w:tc>
          <w:tcPr>
            <w:tcW w:w="1660" w:type="dxa"/>
            <w:tcBorders>
              <w:top w:val="nil"/>
              <w:left w:val="nil"/>
              <w:bottom w:val="single" w:sz="8" w:space="0" w:color="auto"/>
              <w:right w:val="single" w:sz="8" w:space="0" w:color="auto"/>
            </w:tcBorders>
            <w:shd w:val="clear" w:color="auto" w:fill="auto"/>
            <w:noWrap/>
            <w:vAlign w:val="center"/>
            <w:hideMark/>
          </w:tcPr>
          <w:p w14:paraId="3F77CBA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1.05 (0.54-2.06)</w:t>
            </w:r>
          </w:p>
        </w:tc>
        <w:tc>
          <w:tcPr>
            <w:tcW w:w="222" w:type="dxa"/>
            <w:vAlign w:val="center"/>
            <w:hideMark/>
          </w:tcPr>
          <w:p w14:paraId="71CD7460"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427DA53"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18ABE76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Secondary education or higher</w:t>
            </w:r>
          </w:p>
        </w:tc>
        <w:tc>
          <w:tcPr>
            <w:tcW w:w="1660" w:type="dxa"/>
            <w:tcBorders>
              <w:top w:val="nil"/>
              <w:left w:val="nil"/>
              <w:bottom w:val="single" w:sz="8" w:space="0" w:color="auto"/>
              <w:right w:val="single" w:sz="8" w:space="0" w:color="auto"/>
            </w:tcBorders>
            <w:shd w:val="clear" w:color="auto" w:fill="auto"/>
            <w:noWrap/>
            <w:vAlign w:val="center"/>
            <w:hideMark/>
          </w:tcPr>
          <w:p w14:paraId="15D8D92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0.34 (0.31-0.37)</w:t>
            </w:r>
          </w:p>
        </w:tc>
        <w:tc>
          <w:tcPr>
            <w:tcW w:w="1660" w:type="dxa"/>
            <w:tcBorders>
              <w:top w:val="nil"/>
              <w:left w:val="nil"/>
              <w:bottom w:val="single" w:sz="8" w:space="0" w:color="auto"/>
              <w:right w:val="single" w:sz="8" w:space="0" w:color="auto"/>
            </w:tcBorders>
            <w:shd w:val="clear" w:color="auto" w:fill="auto"/>
            <w:noWrap/>
            <w:vAlign w:val="center"/>
            <w:hideMark/>
          </w:tcPr>
          <w:p w14:paraId="3B0F36E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0.22 (0.16-0.30)</w:t>
            </w:r>
          </w:p>
        </w:tc>
        <w:tc>
          <w:tcPr>
            <w:tcW w:w="222" w:type="dxa"/>
            <w:vAlign w:val="center"/>
            <w:hideMark/>
          </w:tcPr>
          <w:p w14:paraId="51BA53A6"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62BCD7B7" w14:textId="77777777" w:rsidTr="0037571B">
        <w:trPr>
          <w:trHeight w:val="315"/>
        </w:trPr>
        <w:tc>
          <w:tcPr>
            <w:tcW w:w="4180" w:type="dxa"/>
            <w:tcBorders>
              <w:top w:val="nil"/>
              <w:left w:val="single" w:sz="8" w:space="0" w:color="auto"/>
              <w:bottom w:val="single" w:sz="8" w:space="0" w:color="auto"/>
              <w:right w:val="nil"/>
            </w:tcBorders>
            <w:shd w:val="clear" w:color="auto" w:fill="auto"/>
            <w:noWrap/>
            <w:vAlign w:val="center"/>
            <w:hideMark/>
          </w:tcPr>
          <w:p w14:paraId="37EF85E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 xml:space="preserve">Received </w:t>
            </w:r>
            <w:proofErr w:type="spellStart"/>
            <w:r w:rsidRPr="0037571B">
              <w:rPr>
                <w:rFonts w:ascii="Calibri" w:eastAsia="Times New Roman" w:hAnsi="Calibri" w:cs="Calibri"/>
                <w:color w:val="000000"/>
                <w:sz w:val="18"/>
                <w:szCs w:val="18"/>
                <w:lang w:eastAsia="en-GB"/>
              </w:rPr>
              <w:t>paycheck</w:t>
            </w:r>
            <w:proofErr w:type="spellEnd"/>
            <w:r w:rsidRPr="0037571B">
              <w:rPr>
                <w:rFonts w:ascii="Calibri" w:eastAsia="Times New Roman" w:hAnsi="Calibri" w:cs="Calibri"/>
                <w:color w:val="000000"/>
                <w:sz w:val="18"/>
                <w:szCs w:val="18"/>
                <w:lang w:eastAsia="en-GB"/>
              </w:rPr>
              <w:t xml:space="preserve"> in last 12 months</w:t>
            </w:r>
          </w:p>
        </w:tc>
        <w:tc>
          <w:tcPr>
            <w:tcW w:w="1660" w:type="dxa"/>
            <w:tcBorders>
              <w:top w:val="nil"/>
              <w:left w:val="nil"/>
              <w:bottom w:val="single" w:sz="8" w:space="0" w:color="auto"/>
              <w:right w:val="single" w:sz="8" w:space="0" w:color="auto"/>
            </w:tcBorders>
            <w:shd w:val="clear" w:color="auto" w:fill="auto"/>
            <w:noWrap/>
            <w:vAlign w:val="center"/>
            <w:hideMark/>
          </w:tcPr>
          <w:p w14:paraId="7AEFFFF2"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0.71 (0.65-0.76)</w:t>
            </w:r>
          </w:p>
        </w:tc>
        <w:tc>
          <w:tcPr>
            <w:tcW w:w="1660" w:type="dxa"/>
            <w:tcBorders>
              <w:top w:val="nil"/>
              <w:left w:val="nil"/>
              <w:bottom w:val="single" w:sz="8" w:space="0" w:color="auto"/>
              <w:right w:val="single" w:sz="8" w:space="0" w:color="auto"/>
            </w:tcBorders>
            <w:shd w:val="clear" w:color="auto" w:fill="auto"/>
            <w:noWrap/>
            <w:vAlign w:val="center"/>
            <w:hideMark/>
          </w:tcPr>
          <w:p w14:paraId="643AE6B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0.66 (0.47-0.92)</w:t>
            </w:r>
          </w:p>
        </w:tc>
        <w:tc>
          <w:tcPr>
            <w:tcW w:w="222" w:type="dxa"/>
            <w:vAlign w:val="center"/>
            <w:hideMark/>
          </w:tcPr>
          <w:p w14:paraId="42B2DC5E"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1F64FCDC"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01AC71F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Ever married</w:t>
            </w:r>
          </w:p>
        </w:tc>
        <w:tc>
          <w:tcPr>
            <w:tcW w:w="1660" w:type="dxa"/>
            <w:tcBorders>
              <w:top w:val="nil"/>
              <w:left w:val="nil"/>
              <w:bottom w:val="single" w:sz="8" w:space="0" w:color="auto"/>
              <w:right w:val="single" w:sz="8" w:space="0" w:color="auto"/>
            </w:tcBorders>
            <w:shd w:val="clear" w:color="auto" w:fill="auto"/>
            <w:noWrap/>
            <w:vAlign w:val="center"/>
            <w:hideMark/>
          </w:tcPr>
          <w:p w14:paraId="4F9C7BC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1.73 (1.55-1.92)</w:t>
            </w:r>
          </w:p>
        </w:tc>
        <w:tc>
          <w:tcPr>
            <w:tcW w:w="1660" w:type="dxa"/>
            <w:tcBorders>
              <w:top w:val="nil"/>
              <w:left w:val="nil"/>
              <w:bottom w:val="single" w:sz="8" w:space="0" w:color="auto"/>
              <w:right w:val="single" w:sz="8" w:space="0" w:color="auto"/>
            </w:tcBorders>
            <w:shd w:val="clear" w:color="auto" w:fill="auto"/>
            <w:noWrap/>
            <w:vAlign w:val="center"/>
            <w:hideMark/>
          </w:tcPr>
          <w:p w14:paraId="414453F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1.17 (0.80-1.71)</w:t>
            </w:r>
          </w:p>
        </w:tc>
        <w:tc>
          <w:tcPr>
            <w:tcW w:w="222" w:type="dxa"/>
            <w:vAlign w:val="center"/>
            <w:hideMark/>
          </w:tcPr>
          <w:p w14:paraId="7556D637"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BC111B6"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0045479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Food support (vs no support)</w:t>
            </w:r>
          </w:p>
        </w:tc>
        <w:tc>
          <w:tcPr>
            <w:tcW w:w="1660" w:type="dxa"/>
            <w:tcBorders>
              <w:top w:val="nil"/>
              <w:left w:val="nil"/>
              <w:bottom w:val="nil"/>
              <w:right w:val="single" w:sz="8" w:space="0" w:color="auto"/>
            </w:tcBorders>
            <w:shd w:val="clear" w:color="auto" w:fill="auto"/>
            <w:noWrap/>
            <w:vAlign w:val="center"/>
            <w:hideMark/>
          </w:tcPr>
          <w:p w14:paraId="7CD7F9CA"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1.63 (1.06-2.52)</w:t>
            </w:r>
          </w:p>
        </w:tc>
        <w:tc>
          <w:tcPr>
            <w:tcW w:w="1660" w:type="dxa"/>
            <w:tcBorders>
              <w:top w:val="nil"/>
              <w:left w:val="nil"/>
              <w:bottom w:val="nil"/>
              <w:right w:val="single" w:sz="8" w:space="0" w:color="auto"/>
            </w:tcBorders>
            <w:shd w:val="clear" w:color="auto" w:fill="auto"/>
            <w:noWrap/>
            <w:vAlign w:val="center"/>
            <w:hideMark/>
          </w:tcPr>
          <w:p w14:paraId="0496B25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0.52 (0.20-1.32)</w:t>
            </w:r>
          </w:p>
        </w:tc>
        <w:tc>
          <w:tcPr>
            <w:tcW w:w="222" w:type="dxa"/>
            <w:vAlign w:val="center"/>
            <w:hideMark/>
          </w:tcPr>
          <w:p w14:paraId="2444BADA"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1C16A62F" w14:textId="77777777" w:rsidTr="0037571B">
        <w:trPr>
          <w:trHeight w:hRule="exact" w:val="315"/>
        </w:trPr>
        <w:tc>
          <w:tcPr>
            <w:tcW w:w="4180" w:type="dxa"/>
            <w:tcBorders>
              <w:top w:val="nil"/>
              <w:left w:val="single" w:sz="8" w:space="0" w:color="auto"/>
              <w:bottom w:val="single" w:sz="8" w:space="0" w:color="auto"/>
              <w:right w:val="nil"/>
            </w:tcBorders>
            <w:shd w:val="clear" w:color="auto" w:fill="auto"/>
            <w:noWrap/>
            <w:vAlign w:val="center"/>
            <w:hideMark/>
          </w:tcPr>
          <w:p w14:paraId="38D16F2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Other economic support (vs no support)</w:t>
            </w:r>
          </w:p>
        </w:tc>
        <w:tc>
          <w:tcPr>
            <w:tcW w:w="1660" w:type="dxa"/>
            <w:tcBorders>
              <w:top w:val="nil"/>
              <w:left w:val="nil"/>
              <w:bottom w:val="single" w:sz="8" w:space="0" w:color="auto"/>
              <w:right w:val="single" w:sz="8" w:space="0" w:color="auto"/>
            </w:tcBorders>
            <w:shd w:val="clear" w:color="auto" w:fill="auto"/>
            <w:noWrap/>
            <w:vAlign w:val="center"/>
            <w:hideMark/>
          </w:tcPr>
          <w:p w14:paraId="55A0E9C7"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1.77 (1.43-2.18)</w:t>
            </w:r>
          </w:p>
        </w:tc>
        <w:tc>
          <w:tcPr>
            <w:tcW w:w="1660" w:type="dxa"/>
            <w:tcBorders>
              <w:top w:val="nil"/>
              <w:left w:val="nil"/>
              <w:bottom w:val="single" w:sz="8" w:space="0" w:color="auto"/>
              <w:right w:val="single" w:sz="8" w:space="0" w:color="auto"/>
            </w:tcBorders>
            <w:shd w:val="clear" w:color="auto" w:fill="auto"/>
            <w:noWrap/>
            <w:vAlign w:val="center"/>
            <w:hideMark/>
          </w:tcPr>
          <w:p w14:paraId="19355841"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2.64 (1.76-3.95)</w:t>
            </w:r>
          </w:p>
        </w:tc>
        <w:tc>
          <w:tcPr>
            <w:tcW w:w="222" w:type="dxa"/>
            <w:vAlign w:val="center"/>
            <w:hideMark/>
          </w:tcPr>
          <w:p w14:paraId="2E876ABD"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3D2A7EE4"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2BF22487"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Eswatini</w:t>
            </w:r>
          </w:p>
        </w:tc>
        <w:tc>
          <w:tcPr>
            <w:tcW w:w="1660" w:type="dxa"/>
            <w:tcBorders>
              <w:top w:val="nil"/>
              <w:left w:val="nil"/>
              <w:bottom w:val="nil"/>
              <w:right w:val="single" w:sz="8" w:space="0" w:color="auto"/>
            </w:tcBorders>
            <w:shd w:val="clear" w:color="auto" w:fill="auto"/>
            <w:noWrap/>
            <w:vAlign w:val="center"/>
            <w:hideMark/>
          </w:tcPr>
          <w:p w14:paraId="03702584"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1660" w:type="dxa"/>
            <w:tcBorders>
              <w:top w:val="nil"/>
              <w:left w:val="nil"/>
              <w:bottom w:val="nil"/>
              <w:right w:val="single" w:sz="8" w:space="0" w:color="auto"/>
            </w:tcBorders>
            <w:shd w:val="clear" w:color="auto" w:fill="auto"/>
            <w:noWrap/>
            <w:vAlign w:val="center"/>
            <w:hideMark/>
          </w:tcPr>
          <w:p w14:paraId="005BDD99" w14:textId="77777777" w:rsidR="0037571B" w:rsidRPr="0037571B" w:rsidRDefault="0037571B" w:rsidP="0037571B">
            <w:pPr>
              <w:spacing w:after="0" w:line="240" w:lineRule="auto"/>
              <w:jc w:val="right"/>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w:t>
            </w:r>
          </w:p>
        </w:tc>
        <w:tc>
          <w:tcPr>
            <w:tcW w:w="222" w:type="dxa"/>
            <w:vAlign w:val="center"/>
            <w:hideMark/>
          </w:tcPr>
          <w:p w14:paraId="5F50E33D"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EF24C80"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2252CFFD"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Lesotho</w:t>
            </w:r>
          </w:p>
        </w:tc>
        <w:tc>
          <w:tcPr>
            <w:tcW w:w="1660" w:type="dxa"/>
            <w:tcBorders>
              <w:top w:val="nil"/>
              <w:left w:val="nil"/>
              <w:bottom w:val="nil"/>
              <w:right w:val="single" w:sz="8" w:space="0" w:color="auto"/>
            </w:tcBorders>
            <w:shd w:val="clear" w:color="auto" w:fill="auto"/>
            <w:noWrap/>
            <w:vAlign w:val="center"/>
            <w:hideMark/>
          </w:tcPr>
          <w:p w14:paraId="5E01EA9C"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1.13 (0.91-1.39)</w:t>
            </w:r>
          </w:p>
        </w:tc>
        <w:tc>
          <w:tcPr>
            <w:tcW w:w="1660" w:type="dxa"/>
            <w:tcBorders>
              <w:top w:val="nil"/>
              <w:left w:val="nil"/>
              <w:bottom w:val="nil"/>
              <w:right w:val="single" w:sz="8" w:space="0" w:color="auto"/>
            </w:tcBorders>
            <w:shd w:val="clear" w:color="auto" w:fill="auto"/>
            <w:noWrap/>
            <w:vAlign w:val="center"/>
            <w:hideMark/>
          </w:tcPr>
          <w:p w14:paraId="0A924A60"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0.13 (0.07-0.23)</w:t>
            </w:r>
          </w:p>
        </w:tc>
        <w:tc>
          <w:tcPr>
            <w:tcW w:w="222" w:type="dxa"/>
            <w:vAlign w:val="center"/>
            <w:hideMark/>
          </w:tcPr>
          <w:p w14:paraId="293C0757"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56BBD821"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306DB7AC"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Tanzania</w:t>
            </w:r>
          </w:p>
        </w:tc>
        <w:tc>
          <w:tcPr>
            <w:tcW w:w="1660" w:type="dxa"/>
            <w:tcBorders>
              <w:top w:val="nil"/>
              <w:left w:val="nil"/>
              <w:bottom w:val="nil"/>
              <w:right w:val="single" w:sz="8" w:space="0" w:color="auto"/>
            </w:tcBorders>
            <w:shd w:val="clear" w:color="auto" w:fill="auto"/>
            <w:noWrap/>
            <w:vAlign w:val="center"/>
            <w:hideMark/>
          </w:tcPr>
          <w:p w14:paraId="7C2C0DFC"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1.29 (1.00-1.66)</w:t>
            </w:r>
          </w:p>
        </w:tc>
        <w:tc>
          <w:tcPr>
            <w:tcW w:w="1660" w:type="dxa"/>
            <w:tcBorders>
              <w:top w:val="nil"/>
              <w:left w:val="nil"/>
              <w:bottom w:val="nil"/>
              <w:right w:val="single" w:sz="8" w:space="0" w:color="auto"/>
            </w:tcBorders>
            <w:shd w:val="clear" w:color="auto" w:fill="auto"/>
            <w:noWrap/>
            <w:vAlign w:val="center"/>
            <w:hideMark/>
          </w:tcPr>
          <w:p w14:paraId="412167D8"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0.11 (0.06-0.22)</w:t>
            </w:r>
          </w:p>
        </w:tc>
        <w:tc>
          <w:tcPr>
            <w:tcW w:w="222" w:type="dxa"/>
            <w:vAlign w:val="center"/>
            <w:hideMark/>
          </w:tcPr>
          <w:p w14:paraId="3999A781"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5919339C" w14:textId="77777777" w:rsidTr="0037571B">
        <w:trPr>
          <w:trHeight w:hRule="exact" w:val="300"/>
        </w:trPr>
        <w:tc>
          <w:tcPr>
            <w:tcW w:w="4180" w:type="dxa"/>
            <w:tcBorders>
              <w:top w:val="nil"/>
              <w:left w:val="single" w:sz="8" w:space="0" w:color="auto"/>
              <w:bottom w:val="nil"/>
              <w:right w:val="nil"/>
            </w:tcBorders>
            <w:shd w:val="clear" w:color="auto" w:fill="auto"/>
            <w:noWrap/>
            <w:vAlign w:val="center"/>
            <w:hideMark/>
          </w:tcPr>
          <w:p w14:paraId="7F5F42C6"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Uganda</w:t>
            </w:r>
          </w:p>
        </w:tc>
        <w:tc>
          <w:tcPr>
            <w:tcW w:w="1660" w:type="dxa"/>
            <w:tcBorders>
              <w:top w:val="nil"/>
              <w:left w:val="nil"/>
              <w:bottom w:val="nil"/>
              <w:right w:val="single" w:sz="8" w:space="0" w:color="auto"/>
            </w:tcBorders>
            <w:shd w:val="clear" w:color="auto" w:fill="auto"/>
            <w:noWrap/>
            <w:vAlign w:val="center"/>
            <w:hideMark/>
          </w:tcPr>
          <w:p w14:paraId="0491AF81"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1.12 (0.87-1.44)</w:t>
            </w:r>
          </w:p>
        </w:tc>
        <w:tc>
          <w:tcPr>
            <w:tcW w:w="1660" w:type="dxa"/>
            <w:tcBorders>
              <w:top w:val="nil"/>
              <w:left w:val="nil"/>
              <w:bottom w:val="nil"/>
              <w:right w:val="single" w:sz="8" w:space="0" w:color="auto"/>
            </w:tcBorders>
            <w:shd w:val="clear" w:color="auto" w:fill="auto"/>
            <w:noWrap/>
            <w:vAlign w:val="center"/>
            <w:hideMark/>
          </w:tcPr>
          <w:p w14:paraId="640687DB"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0.47 (0.26-0.85)</w:t>
            </w:r>
          </w:p>
        </w:tc>
        <w:tc>
          <w:tcPr>
            <w:tcW w:w="222" w:type="dxa"/>
            <w:vAlign w:val="center"/>
            <w:hideMark/>
          </w:tcPr>
          <w:p w14:paraId="6996CBE6"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r w:rsidR="0037571B" w:rsidRPr="0037571B" w14:paraId="7704E459" w14:textId="77777777" w:rsidTr="0037571B">
        <w:trPr>
          <w:trHeight w:val="315"/>
        </w:trPr>
        <w:tc>
          <w:tcPr>
            <w:tcW w:w="4180" w:type="dxa"/>
            <w:tcBorders>
              <w:top w:val="nil"/>
              <w:left w:val="single" w:sz="8" w:space="0" w:color="auto"/>
              <w:bottom w:val="single" w:sz="8" w:space="0" w:color="auto"/>
              <w:right w:val="nil"/>
            </w:tcBorders>
            <w:shd w:val="clear" w:color="auto" w:fill="auto"/>
            <w:noWrap/>
            <w:vAlign w:val="center"/>
            <w:hideMark/>
          </w:tcPr>
          <w:p w14:paraId="36DDC795"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Zambia</w:t>
            </w:r>
          </w:p>
        </w:tc>
        <w:tc>
          <w:tcPr>
            <w:tcW w:w="1660" w:type="dxa"/>
            <w:tcBorders>
              <w:top w:val="nil"/>
              <w:left w:val="nil"/>
              <w:bottom w:val="single" w:sz="8" w:space="0" w:color="auto"/>
              <w:right w:val="single" w:sz="8" w:space="0" w:color="auto"/>
            </w:tcBorders>
            <w:shd w:val="clear" w:color="auto" w:fill="auto"/>
            <w:noWrap/>
            <w:vAlign w:val="center"/>
            <w:hideMark/>
          </w:tcPr>
          <w:p w14:paraId="753E65C9"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1.35 (1.11-1.65)</w:t>
            </w:r>
          </w:p>
        </w:tc>
        <w:tc>
          <w:tcPr>
            <w:tcW w:w="1660" w:type="dxa"/>
            <w:tcBorders>
              <w:top w:val="nil"/>
              <w:left w:val="nil"/>
              <w:bottom w:val="single" w:sz="8" w:space="0" w:color="auto"/>
              <w:right w:val="single" w:sz="8" w:space="0" w:color="auto"/>
            </w:tcBorders>
            <w:shd w:val="clear" w:color="auto" w:fill="auto"/>
            <w:noWrap/>
            <w:vAlign w:val="center"/>
            <w:hideMark/>
          </w:tcPr>
          <w:p w14:paraId="75D3B4DF" w14:textId="77777777" w:rsidR="0037571B" w:rsidRPr="0037571B" w:rsidRDefault="0037571B" w:rsidP="0037571B">
            <w:pPr>
              <w:spacing w:after="0" w:line="240" w:lineRule="auto"/>
              <w:rPr>
                <w:rFonts w:ascii="Calibri" w:eastAsia="Times New Roman" w:hAnsi="Calibri" w:cs="Calibri"/>
                <w:color w:val="000000"/>
                <w:sz w:val="18"/>
                <w:szCs w:val="18"/>
                <w:lang w:eastAsia="en-GB"/>
              </w:rPr>
            </w:pPr>
            <w:r w:rsidRPr="0037571B">
              <w:rPr>
                <w:rFonts w:ascii="Calibri" w:eastAsia="Times New Roman" w:hAnsi="Calibri" w:cs="Calibri"/>
                <w:color w:val="000000"/>
                <w:sz w:val="18"/>
                <w:szCs w:val="18"/>
                <w:lang w:eastAsia="en-GB"/>
              </w:rPr>
              <w:t>0.05 (0.03-0.08)</w:t>
            </w:r>
          </w:p>
        </w:tc>
        <w:tc>
          <w:tcPr>
            <w:tcW w:w="222" w:type="dxa"/>
            <w:vAlign w:val="center"/>
            <w:hideMark/>
          </w:tcPr>
          <w:p w14:paraId="55CEBBBB" w14:textId="77777777" w:rsidR="0037571B" w:rsidRPr="0037571B" w:rsidRDefault="0037571B" w:rsidP="0037571B">
            <w:pPr>
              <w:spacing w:after="0" w:line="240" w:lineRule="auto"/>
              <w:rPr>
                <w:rFonts w:ascii="Times New Roman" w:eastAsia="Times New Roman" w:hAnsi="Times New Roman" w:cs="Times New Roman"/>
                <w:sz w:val="20"/>
                <w:szCs w:val="20"/>
                <w:lang w:eastAsia="en-GB"/>
              </w:rPr>
            </w:pPr>
          </w:p>
        </w:tc>
      </w:tr>
    </w:tbl>
    <w:p w14:paraId="56F0D668" w14:textId="2CE322D5" w:rsidR="005D5EF2" w:rsidRPr="003A4812" w:rsidRDefault="00A47832">
      <w:r>
        <w:t>*Poverty defined as being in the lowest two wealth quintiles</w:t>
      </w:r>
      <w:r w:rsidR="005D5EF2">
        <w:rPr>
          <w:b/>
          <w:bCs/>
        </w:rPr>
        <w:br w:type="page"/>
      </w:r>
    </w:p>
    <w:p w14:paraId="1158265B" w14:textId="77777777" w:rsidR="0027333E" w:rsidRDefault="0027333E">
      <w:pPr>
        <w:rPr>
          <w:b/>
          <w:bCs/>
        </w:rPr>
        <w:sectPr w:rsidR="0027333E" w:rsidSect="009B3B0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cols w:space="708"/>
          <w:docGrid w:linePitch="360"/>
        </w:sectPr>
      </w:pPr>
    </w:p>
    <w:p w14:paraId="3EEC3D2C" w14:textId="11B1BDCC" w:rsidR="0027333E" w:rsidRDefault="0027333E">
      <w:pPr>
        <w:rPr>
          <w:b/>
          <w:bCs/>
        </w:rPr>
      </w:pPr>
      <w:r>
        <w:rPr>
          <w:b/>
          <w:bCs/>
        </w:rPr>
        <w:lastRenderedPageBreak/>
        <w:t xml:space="preserve">Supplementary table 8: </w:t>
      </w:r>
      <w:r w:rsidR="00A81A96">
        <w:t>Full adjusted weighted odds ratios of sexual behaviours for each wealth quintile</w:t>
      </w:r>
    </w:p>
    <w:tbl>
      <w:tblPr>
        <w:tblW w:w="12997" w:type="dxa"/>
        <w:tblLook w:val="04A0" w:firstRow="1" w:lastRow="0" w:firstColumn="1" w:lastColumn="0" w:noHBand="0" w:noVBand="1"/>
      </w:tblPr>
      <w:tblGrid>
        <w:gridCol w:w="2257"/>
        <w:gridCol w:w="1473"/>
        <w:gridCol w:w="1985"/>
        <w:gridCol w:w="1788"/>
        <w:gridCol w:w="1788"/>
        <w:gridCol w:w="1853"/>
        <w:gridCol w:w="1853"/>
      </w:tblGrid>
      <w:tr w:rsidR="0027333E" w:rsidRPr="0027333E" w14:paraId="2F95C17F" w14:textId="77777777" w:rsidTr="0027333E">
        <w:trPr>
          <w:trHeight w:val="300"/>
        </w:trPr>
        <w:tc>
          <w:tcPr>
            <w:tcW w:w="2257" w:type="dxa"/>
            <w:tcBorders>
              <w:top w:val="single" w:sz="4" w:space="0" w:color="auto"/>
              <w:left w:val="nil"/>
              <w:bottom w:val="nil"/>
              <w:right w:val="nil"/>
            </w:tcBorders>
            <w:shd w:val="clear" w:color="auto" w:fill="auto"/>
            <w:noWrap/>
            <w:vAlign w:val="bottom"/>
            <w:hideMark/>
          </w:tcPr>
          <w:p w14:paraId="68F310AC" w14:textId="77777777" w:rsidR="0027333E" w:rsidRPr="0027333E" w:rsidRDefault="0027333E" w:rsidP="0027333E">
            <w:pPr>
              <w:spacing w:after="0" w:line="240" w:lineRule="auto"/>
              <w:rPr>
                <w:rFonts w:ascii="Times New Roman" w:eastAsia="Times New Roman" w:hAnsi="Times New Roman" w:cs="Times New Roman"/>
                <w:sz w:val="24"/>
                <w:szCs w:val="24"/>
                <w:lang w:eastAsia="en-GB"/>
              </w:rPr>
            </w:pPr>
          </w:p>
        </w:tc>
        <w:tc>
          <w:tcPr>
            <w:tcW w:w="1473" w:type="dxa"/>
            <w:tcBorders>
              <w:top w:val="single" w:sz="4" w:space="0" w:color="auto"/>
              <w:left w:val="nil"/>
              <w:bottom w:val="nil"/>
              <w:right w:val="nil"/>
            </w:tcBorders>
            <w:shd w:val="clear" w:color="auto" w:fill="auto"/>
            <w:noWrap/>
            <w:vAlign w:val="bottom"/>
            <w:hideMark/>
          </w:tcPr>
          <w:p w14:paraId="4FD396E9" w14:textId="77777777" w:rsidR="0027333E" w:rsidRPr="0027333E" w:rsidRDefault="0027333E" w:rsidP="0027333E">
            <w:pPr>
              <w:spacing w:after="0" w:line="240" w:lineRule="auto"/>
              <w:rPr>
                <w:rFonts w:ascii="Times New Roman" w:eastAsia="Times New Roman" w:hAnsi="Times New Roman" w:cs="Times New Roman"/>
                <w:sz w:val="20"/>
                <w:szCs w:val="20"/>
                <w:lang w:eastAsia="en-GB"/>
              </w:rPr>
            </w:pPr>
          </w:p>
        </w:tc>
        <w:tc>
          <w:tcPr>
            <w:tcW w:w="5561" w:type="dxa"/>
            <w:gridSpan w:val="3"/>
            <w:tcBorders>
              <w:top w:val="single" w:sz="4" w:space="0" w:color="auto"/>
              <w:left w:val="nil"/>
              <w:bottom w:val="nil"/>
              <w:right w:val="nil"/>
            </w:tcBorders>
            <w:shd w:val="clear" w:color="auto" w:fill="auto"/>
            <w:noWrap/>
            <w:vAlign w:val="bottom"/>
            <w:hideMark/>
          </w:tcPr>
          <w:p w14:paraId="03514F3A"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Full adjusted* odds ratios (95% confidence intervals)</w:t>
            </w:r>
          </w:p>
        </w:tc>
        <w:tc>
          <w:tcPr>
            <w:tcW w:w="1853" w:type="dxa"/>
            <w:tcBorders>
              <w:top w:val="single" w:sz="4" w:space="0" w:color="auto"/>
              <w:left w:val="nil"/>
              <w:bottom w:val="nil"/>
              <w:right w:val="nil"/>
            </w:tcBorders>
            <w:shd w:val="clear" w:color="auto" w:fill="auto"/>
            <w:noWrap/>
            <w:vAlign w:val="bottom"/>
            <w:hideMark/>
          </w:tcPr>
          <w:p w14:paraId="61590ABB"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p>
        </w:tc>
        <w:tc>
          <w:tcPr>
            <w:tcW w:w="1853" w:type="dxa"/>
            <w:tcBorders>
              <w:top w:val="single" w:sz="4" w:space="0" w:color="auto"/>
              <w:left w:val="nil"/>
              <w:bottom w:val="nil"/>
              <w:right w:val="nil"/>
            </w:tcBorders>
            <w:shd w:val="clear" w:color="auto" w:fill="auto"/>
            <w:noWrap/>
            <w:vAlign w:val="bottom"/>
            <w:hideMark/>
          </w:tcPr>
          <w:p w14:paraId="2FFD9DA6" w14:textId="77777777" w:rsidR="0027333E" w:rsidRPr="0027333E" w:rsidRDefault="0027333E" w:rsidP="0027333E">
            <w:pPr>
              <w:spacing w:after="0" w:line="240" w:lineRule="auto"/>
              <w:rPr>
                <w:rFonts w:ascii="Times New Roman" w:eastAsia="Times New Roman" w:hAnsi="Times New Roman" w:cs="Times New Roman"/>
                <w:sz w:val="20"/>
                <w:szCs w:val="20"/>
                <w:lang w:eastAsia="en-GB"/>
              </w:rPr>
            </w:pPr>
          </w:p>
        </w:tc>
      </w:tr>
      <w:tr w:rsidR="0027333E" w:rsidRPr="0027333E" w14:paraId="72C2F724" w14:textId="77777777" w:rsidTr="0027333E">
        <w:trPr>
          <w:trHeight w:val="315"/>
        </w:trPr>
        <w:tc>
          <w:tcPr>
            <w:tcW w:w="2257" w:type="dxa"/>
            <w:tcBorders>
              <w:top w:val="nil"/>
              <w:left w:val="nil"/>
              <w:bottom w:val="single" w:sz="8" w:space="0" w:color="auto"/>
              <w:right w:val="nil"/>
            </w:tcBorders>
            <w:shd w:val="clear" w:color="auto" w:fill="auto"/>
            <w:noWrap/>
            <w:vAlign w:val="center"/>
            <w:hideMark/>
          </w:tcPr>
          <w:p w14:paraId="1F2CF6F6"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Outcome</w:t>
            </w:r>
          </w:p>
        </w:tc>
        <w:tc>
          <w:tcPr>
            <w:tcW w:w="1473" w:type="dxa"/>
            <w:tcBorders>
              <w:top w:val="nil"/>
              <w:left w:val="nil"/>
              <w:bottom w:val="single" w:sz="8" w:space="0" w:color="auto"/>
              <w:right w:val="nil"/>
            </w:tcBorders>
            <w:shd w:val="clear" w:color="auto" w:fill="auto"/>
            <w:noWrap/>
            <w:vAlign w:val="center"/>
            <w:hideMark/>
          </w:tcPr>
          <w:p w14:paraId="1B0AFC55"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Population</w:t>
            </w:r>
          </w:p>
        </w:tc>
        <w:tc>
          <w:tcPr>
            <w:tcW w:w="1985" w:type="dxa"/>
            <w:tcBorders>
              <w:top w:val="nil"/>
              <w:left w:val="nil"/>
              <w:bottom w:val="single" w:sz="8" w:space="0" w:color="auto"/>
              <w:right w:val="nil"/>
            </w:tcBorders>
            <w:shd w:val="clear" w:color="auto" w:fill="auto"/>
            <w:noWrap/>
            <w:vAlign w:val="center"/>
            <w:hideMark/>
          </w:tcPr>
          <w:p w14:paraId="0F7F0EDD"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Wealth quintile 1</w:t>
            </w:r>
          </w:p>
        </w:tc>
        <w:tc>
          <w:tcPr>
            <w:tcW w:w="1788" w:type="dxa"/>
            <w:tcBorders>
              <w:top w:val="nil"/>
              <w:left w:val="nil"/>
              <w:bottom w:val="single" w:sz="8" w:space="0" w:color="auto"/>
              <w:right w:val="nil"/>
            </w:tcBorders>
            <w:shd w:val="clear" w:color="auto" w:fill="auto"/>
            <w:noWrap/>
            <w:vAlign w:val="center"/>
            <w:hideMark/>
          </w:tcPr>
          <w:p w14:paraId="186A00CA"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Quintile 2</w:t>
            </w:r>
          </w:p>
        </w:tc>
        <w:tc>
          <w:tcPr>
            <w:tcW w:w="1788" w:type="dxa"/>
            <w:tcBorders>
              <w:top w:val="nil"/>
              <w:left w:val="nil"/>
              <w:bottom w:val="single" w:sz="8" w:space="0" w:color="auto"/>
              <w:right w:val="nil"/>
            </w:tcBorders>
            <w:shd w:val="clear" w:color="auto" w:fill="auto"/>
            <w:noWrap/>
            <w:vAlign w:val="center"/>
            <w:hideMark/>
          </w:tcPr>
          <w:p w14:paraId="35AD0A51"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Quintile 3</w:t>
            </w:r>
          </w:p>
        </w:tc>
        <w:tc>
          <w:tcPr>
            <w:tcW w:w="1853" w:type="dxa"/>
            <w:tcBorders>
              <w:top w:val="nil"/>
              <w:left w:val="nil"/>
              <w:bottom w:val="single" w:sz="8" w:space="0" w:color="auto"/>
              <w:right w:val="nil"/>
            </w:tcBorders>
            <w:shd w:val="clear" w:color="auto" w:fill="auto"/>
            <w:noWrap/>
            <w:vAlign w:val="center"/>
            <w:hideMark/>
          </w:tcPr>
          <w:p w14:paraId="4A71A376"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Quintile 4</w:t>
            </w:r>
          </w:p>
        </w:tc>
        <w:tc>
          <w:tcPr>
            <w:tcW w:w="1853" w:type="dxa"/>
            <w:tcBorders>
              <w:top w:val="nil"/>
              <w:left w:val="nil"/>
              <w:bottom w:val="single" w:sz="8" w:space="0" w:color="auto"/>
              <w:right w:val="nil"/>
            </w:tcBorders>
            <w:shd w:val="clear" w:color="auto" w:fill="auto"/>
            <w:noWrap/>
            <w:vAlign w:val="center"/>
            <w:hideMark/>
          </w:tcPr>
          <w:p w14:paraId="0498BE23" w14:textId="77777777" w:rsidR="0027333E" w:rsidRPr="0027333E" w:rsidRDefault="0027333E" w:rsidP="0027333E">
            <w:pPr>
              <w:spacing w:after="0" w:line="240" w:lineRule="auto"/>
              <w:jc w:val="center"/>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Quintile 5</w:t>
            </w:r>
          </w:p>
        </w:tc>
      </w:tr>
      <w:tr w:rsidR="0027333E" w:rsidRPr="0027333E" w14:paraId="0C4B30AF" w14:textId="77777777" w:rsidTr="0027333E">
        <w:trPr>
          <w:trHeight w:val="300"/>
        </w:trPr>
        <w:tc>
          <w:tcPr>
            <w:tcW w:w="2257" w:type="dxa"/>
            <w:tcBorders>
              <w:top w:val="nil"/>
              <w:left w:val="nil"/>
              <w:bottom w:val="nil"/>
              <w:right w:val="nil"/>
            </w:tcBorders>
            <w:shd w:val="clear" w:color="auto" w:fill="auto"/>
            <w:noWrap/>
            <w:vAlign w:val="center"/>
            <w:hideMark/>
          </w:tcPr>
          <w:p w14:paraId="3C900349"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Transactional sex</w:t>
            </w:r>
          </w:p>
        </w:tc>
        <w:tc>
          <w:tcPr>
            <w:tcW w:w="1473" w:type="dxa"/>
            <w:tcBorders>
              <w:top w:val="nil"/>
              <w:left w:val="nil"/>
              <w:bottom w:val="nil"/>
              <w:right w:val="nil"/>
            </w:tcBorders>
            <w:shd w:val="clear" w:color="auto" w:fill="auto"/>
            <w:noWrap/>
            <w:vAlign w:val="center"/>
            <w:hideMark/>
          </w:tcPr>
          <w:p w14:paraId="7BDACDE0"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Rural women</w:t>
            </w:r>
          </w:p>
        </w:tc>
        <w:tc>
          <w:tcPr>
            <w:tcW w:w="1985" w:type="dxa"/>
            <w:tcBorders>
              <w:top w:val="nil"/>
              <w:left w:val="nil"/>
              <w:bottom w:val="nil"/>
              <w:right w:val="nil"/>
            </w:tcBorders>
            <w:shd w:val="clear" w:color="auto" w:fill="auto"/>
            <w:noWrap/>
            <w:vAlign w:val="center"/>
            <w:hideMark/>
          </w:tcPr>
          <w:p w14:paraId="1418F9B9"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1D30DEB0"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0.85 (0.75-0.96)</w:t>
            </w:r>
          </w:p>
        </w:tc>
        <w:tc>
          <w:tcPr>
            <w:tcW w:w="1788" w:type="dxa"/>
            <w:tcBorders>
              <w:top w:val="nil"/>
              <w:left w:val="nil"/>
              <w:bottom w:val="nil"/>
              <w:right w:val="nil"/>
            </w:tcBorders>
            <w:shd w:val="clear" w:color="auto" w:fill="auto"/>
            <w:noWrap/>
            <w:vAlign w:val="center"/>
            <w:hideMark/>
          </w:tcPr>
          <w:p w14:paraId="76DBCD6B"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0.91 (0.79-1.04)</w:t>
            </w:r>
          </w:p>
        </w:tc>
        <w:tc>
          <w:tcPr>
            <w:tcW w:w="1853" w:type="dxa"/>
            <w:tcBorders>
              <w:top w:val="nil"/>
              <w:left w:val="nil"/>
              <w:bottom w:val="nil"/>
              <w:right w:val="nil"/>
            </w:tcBorders>
            <w:shd w:val="clear" w:color="auto" w:fill="auto"/>
            <w:noWrap/>
            <w:vAlign w:val="center"/>
            <w:hideMark/>
          </w:tcPr>
          <w:p w14:paraId="696466A6"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0.80 (0.68-0.94)</w:t>
            </w:r>
          </w:p>
        </w:tc>
        <w:tc>
          <w:tcPr>
            <w:tcW w:w="1853" w:type="dxa"/>
            <w:tcBorders>
              <w:top w:val="nil"/>
              <w:left w:val="nil"/>
              <w:bottom w:val="nil"/>
              <w:right w:val="nil"/>
            </w:tcBorders>
            <w:shd w:val="clear" w:color="auto" w:fill="auto"/>
            <w:noWrap/>
            <w:vAlign w:val="center"/>
            <w:hideMark/>
          </w:tcPr>
          <w:p w14:paraId="4BC2D3FB"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0.57 (0.41-0.81)</w:t>
            </w:r>
          </w:p>
        </w:tc>
      </w:tr>
      <w:tr w:rsidR="0027333E" w:rsidRPr="0027333E" w14:paraId="670F39EE" w14:textId="77777777" w:rsidTr="0027333E">
        <w:trPr>
          <w:trHeight w:val="300"/>
        </w:trPr>
        <w:tc>
          <w:tcPr>
            <w:tcW w:w="2257" w:type="dxa"/>
            <w:tcBorders>
              <w:top w:val="nil"/>
              <w:left w:val="nil"/>
              <w:bottom w:val="nil"/>
              <w:right w:val="nil"/>
            </w:tcBorders>
            <w:shd w:val="clear" w:color="auto" w:fill="auto"/>
            <w:noWrap/>
            <w:vAlign w:val="bottom"/>
            <w:hideMark/>
          </w:tcPr>
          <w:p w14:paraId="3B975DA6"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p>
        </w:tc>
        <w:tc>
          <w:tcPr>
            <w:tcW w:w="1473" w:type="dxa"/>
            <w:tcBorders>
              <w:top w:val="nil"/>
              <w:left w:val="nil"/>
              <w:bottom w:val="nil"/>
              <w:right w:val="nil"/>
            </w:tcBorders>
            <w:shd w:val="clear" w:color="auto" w:fill="auto"/>
            <w:noWrap/>
            <w:vAlign w:val="center"/>
            <w:hideMark/>
          </w:tcPr>
          <w:p w14:paraId="38F08C5C"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Urban women</w:t>
            </w:r>
          </w:p>
        </w:tc>
        <w:tc>
          <w:tcPr>
            <w:tcW w:w="1985" w:type="dxa"/>
            <w:tcBorders>
              <w:top w:val="nil"/>
              <w:left w:val="nil"/>
              <w:bottom w:val="nil"/>
              <w:right w:val="nil"/>
            </w:tcBorders>
            <w:shd w:val="clear" w:color="auto" w:fill="auto"/>
            <w:noWrap/>
            <w:vAlign w:val="center"/>
            <w:hideMark/>
          </w:tcPr>
          <w:p w14:paraId="7F458434"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28EDB67A"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1.16 (0.70-1.93)</w:t>
            </w:r>
          </w:p>
        </w:tc>
        <w:tc>
          <w:tcPr>
            <w:tcW w:w="1788" w:type="dxa"/>
            <w:tcBorders>
              <w:top w:val="nil"/>
              <w:left w:val="nil"/>
              <w:bottom w:val="nil"/>
              <w:right w:val="nil"/>
            </w:tcBorders>
            <w:shd w:val="clear" w:color="auto" w:fill="auto"/>
            <w:noWrap/>
            <w:vAlign w:val="center"/>
            <w:hideMark/>
          </w:tcPr>
          <w:p w14:paraId="427E3C43"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0.93 (0.57-1.52)</w:t>
            </w:r>
          </w:p>
        </w:tc>
        <w:tc>
          <w:tcPr>
            <w:tcW w:w="1853" w:type="dxa"/>
            <w:tcBorders>
              <w:top w:val="nil"/>
              <w:left w:val="nil"/>
              <w:bottom w:val="nil"/>
              <w:right w:val="nil"/>
            </w:tcBorders>
            <w:shd w:val="clear" w:color="auto" w:fill="auto"/>
            <w:noWrap/>
            <w:vAlign w:val="center"/>
            <w:hideMark/>
          </w:tcPr>
          <w:p w14:paraId="7FDABD4A"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0.89 (0.56-1.42)</w:t>
            </w:r>
          </w:p>
        </w:tc>
        <w:tc>
          <w:tcPr>
            <w:tcW w:w="1853" w:type="dxa"/>
            <w:tcBorders>
              <w:top w:val="nil"/>
              <w:left w:val="nil"/>
              <w:bottom w:val="nil"/>
              <w:right w:val="nil"/>
            </w:tcBorders>
            <w:shd w:val="clear" w:color="auto" w:fill="auto"/>
            <w:noWrap/>
            <w:vAlign w:val="center"/>
            <w:hideMark/>
          </w:tcPr>
          <w:p w14:paraId="059CAFC1"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0.70 (0.44-1.10)</w:t>
            </w:r>
          </w:p>
        </w:tc>
      </w:tr>
      <w:tr w:rsidR="0027333E" w:rsidRPr="0027333E" w14:paraId="4457F594" w14:textId="77777777" w:rsidTr="0027333E">
        <w:trPr>
          <w:trHeight w:val="300"/>
        </w:trPr>
        <w:tc>
          <w:tcPr>
            <w:tcW w:w="2257" w:type="dxa"/>
            <w:tcBorders>
              <w:top w:val="nil"/>
              <w:left w:val="nil"/>
              <w:bottom w:val="nil"/>
              <w:right w:val="nil"/>
            </w:tcBorders>
            <w:shd w:val="clear" w:color="auto" w:fill="auto"/>
            <w:noWrap/>
            <w:vAlign w:val="bottom"/>
            <w:hideMark/>
          </w:tcPr>
          <w:p w14:paraId="4E2E4FDA"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p>
        </w:tc>
        <w:tc>
          <w:tcPr>
            <w:tcW w:w="1473" w:type="dxa"/>
            <w:tcBorders>
              <w:top w:val="nil"/>
              <w:left w:val="nil"/>
              <w:bottom w:val="nil"/>
              <w:right w:val="nil"/>
            </w:tcBorders>
            <w:shd w:val="clear" w:color="auto" w:fill="auto"/>
            <w:noWrap/>
            <w:vAlign w:val="center"/>
            <w:hideMark/>
          </w:tcPr>
          <w:p w14:paraId="61BA49B7"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Rural men</w:t>
            </w:r>
          </w:p>
        </w:tc>
        <w:tc>
          <w:tcPr>
            <w:tcW w:w="1985" w:type="dxa"/>
            <w:tcBorders>
              <w:top w:val="nil"/>
              <w:left w:val="nil"/>
              <w:bottom w:val="nil"/>
              <w:right w:val="nil"/>
            </w:tcBorders>
            <w:shd w:val="clear" w:color="auto" w:fill="auto"/>
            <w:noWrap/>
            <w:vAlign w:val="center"/>
            <w:hideMark/>
          </w:tcPr>
          <w:p w14:paraId="42AAE46C"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3109CF23"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1.02 (0.82-1.28)</w:t>
            </w:r>
          </w:p>
        </w:tc>
        <w:tc>
          <w:tcPr>
            <w:tcW w:w="1788" w:type="dxa"/>
            <w:tcBorders>
              <w:top w:val="nil"/>
              <w:left w:val="nil"/>
              <w:bottom w:val="nil"/>
              <w:right w:val="nil"/>
            </w:tcBorders>
            <w:shd w:val="clear" w:color="auto" w:fill="auto"/>
            <w:noWrap/>
            <w:vAlign w:val="center"/>
            <w:hideMark/>
          </w:tcPr>
          <w:p w14:paraId="605C4BA1"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0.99 (0.79-1.23)</w:t>
            </w:r>
          </w:p>
        </w:tc>
        <w:tc>
          <w:tcPr>
            <w:tcW w:w="1853" w:type="dxa"/>
            <w:tcBorders>
              <w:top w:val="nil"/>
              <w:left w:val="nil"/>
              <w:bottom w:val="nil"/>
              <w:right w:val="nil"/>
            </w:tcBorders>
            <w:shd w:val="clear" w:color="auto" w:fill="auto"/>
            <w:noWrap/>
            <w:vAlign w:val="center"/>
            <w:hideMark/>
          </w:tcPr>
          <w:p w14:paraId="4FCE3821"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0.75 (0.55-1.04)</w:t>
            </w:r>
          </w:p>
        </w:tc>
        <w:tc>
          <w:tcPr>
            <w:tcW w:w="1853" w:type="dxa"/>
            <w:tcBorders>
              <w:top w:val="nil"/>
              <w:left w:val="nil"/>
              <w:bottom w:val="nil"/>
              <w:right w:val="nil"/>
            </w:tcBorders>
            <w:shd w:val="clear" w:color="auto" w:fill="auto"/>
            <w:noWrap/>
            <w:vAlign w:val="center"/>
            <w:hideMark/>
          </w:tcPr>
          <w:p w14:paraId="354C1F42"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0.66 (0.42-1.04)</w:t>
            </w:r>
          </w:p>
        </w:tc>
      </w:tr>
      <w:tr w:rsidR="0027333E" w:rsidRPr="0027333E" w14:paraId="4A4CDD81" w14:textId="77777777" w:rsidTr="0027333E">
        <w:trPr>
          <w:trHeight w:val="315"/>
        </w:trPr>
        <w:tc>
          <w:tcPr>
            <w:tcW w:w="2257" w:type="dxa"/>
            <w:tcBorders>
              <w:top w:val="nil"/>
              <w:left w:val="nil"/>
              <w:bottom w:val="single" w:sz="8" w:space="0" w:color="auto"/>
              <w:right w:val="nil"/>
            </w:tcBorders>
            <w:shd w:val="clear" w:color="auto" w:fill="auto"/>
            <w:noWrap/>
            <w:vAlign w:val="center"/>
            <w:hideMark/>
          </w:tcPr>
          <w:p w14:paraId="7D74F6FE"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 </w:t>
            </w:r>
          </w:p>
        </w:tc>
        <w:tc>
          <w:tcPr>
            <w:tcW w:w="1473" w:type="dxa"/>
            <w:tcBorders>
              <w:top w:val="nil"/>
              <w:left w:val="nil"/>
              <w:bottom w:val="single" w:sz="8" w:space="0" w:color="auto"/>
              <w:right w:val="nil"/>
            </w:tcBorders>
            <w:shd w:val="clear" w:color="auto" w:fill="auto"/>
            <w:noWrap/>
            <w:vAlign w:val="center"/>
            <w:hideMark/>
          </w:tcPr>
          <w:p w14:paraId="0B347260" w14:textId="1ACFB903" w:rsidR="0027333E" w:rsidRPr="0027333E" w:rsidRDefault="00816CBC" w:rsidP="0027333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Urban men</w:t>
            </w:r>
          </w:p>
        </w:tc>
        <w:tc>
          <w:tcPr>
            <w:tcW w:w="1985" w:type="dxa"/>
            <w:tcBorders>
              <w:top w:val="nil"/>
              <w:left w:val="nil"/>
              <w:bottom w:val="single" w:sz="8" w:space="0" w:color="auto"/>
              <w:right w:val="nil"/>
            </w:tcBorders>
            <w:shd w:val="clear" w:color="auto" w:fill="auto"/>
            <w:noWrap/>
            <w:vAlign w:val="center"/>
            <w:hideMark/>
          </w:tcPr>
          <w:p w14:paraId="76148957"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single" w:sz="8" w:space="0" w:color="auto"/>
              <w:right w:val="nil"/>
            </w:tcBorders>
            <w:shd w:val="clear" w:color="auto" w:fill="auto"/>
            <w:noWrap/>
            <w:vAlign w:val="center"/>
            <w:hideMark/>
          </w:tcPr>
          <w:p w14:paraId="0CE5BEDA"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1.01 (0.50-2.07)</w:t>
            </w:r>
          </w:p>
        </w:tc>
        <w:tc>
          <w:tcPr>
            <w:tcW w:w="1788" w:type="dxa"/>
            <w:tcBorders>
              <w:top w:val="nil"/>
              <w:left w:val="nil"/>
              <w:bottom w:val="single" w:sz="8" w:space="0" w:color="auto"/>
              <w:right w:val="nil"/>
            </w:tcBorders>
            <w:shd w:val="clear" w:color="auto" w:fill="auto"/>
            <w:noWrap/>
            <w:vAlign w:val="center"/>
            <w:hideMark/>
          </w:tcPr>
          <w:p w14:paraId="64D76891"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0.71 (0.33-1.55)</w:t>
            </w:r>
          </w:p>
        </w:tc>
        <w:tc>
          <w:tcPr>
            <w:tcW w:w="1853" w:type="dxa"/>
            <w:tcBorders>
              <w:top w:val="nil"/>
              <w:left w:val="nil"/>
              <w:bottom w:val="single" w:sz="8" w:space="0" w:color="auto"/>
              <w:right w:val="nil"/>
            </w:tcBorders>
            <w:shd w:val="clear" w:color="auto" w:fill="auto"/>
            <w:noWrap/>
            <w:vAlign w:val="center"/>
            <w:hideMark/>
          </w:tcPr>
          <w:p w14:paraId="36D3656F"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0.69 (0.38-1.24)</w:t>
            </w:r>
          </w:p>
        </w:tc>
        <w:tc>
          <w:tcPr>
            <w:tcW w:w="1853" w:type="dxa"/>
            <w:tcBorders>
              <w:top w:val="nil"/>
              <w:left w:val="nil"/>
              <w:bottom w:val="single" w:sz="8" w:space="0" w:color="auto"/>
              <w:right w:val="nil"/>
            </w:tcBorders>
            <w:shd w:val="clear" w:color="auto" w:fill="auto"/>
            <w:noWrap/>
            <w:vAlign w:val="center"/>
            <w:hideMark/>
          </w:tcPr>
          <w:p w14:paraId="66E7163C"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0.53 (0.30-0.92)</w:t>
            </w:r>
          </w:p>
        </w:tc>
      </w:tr>
      <w:tr w:rsidR="0027333E" w:rsidRPr="0027333E" w14:paraId="70462EFD" w14:textId="77777777" w:rsidTr="0027333E">
        <w:trPr>
          <w:trHeight w:val="300"/>
        </w:trPr>
        <w:tc>
          <w:tcPr>
            <w:tcW w:w="2257" w:type="dxa"/>
            <w:tcBorders>
              <w:top w:val="nil"/>
              <w:left w:val="nil"/>
              <w:bottom w:val="nil"/>
              <w:right w:val="nil"/>
            </w:tcBorders>
            <w:shd w:val="clear" w:color="auto" w:fill="auto"/>
            <w:noWrap/>
            <w:vAlign w:val="center"/>
            <w:hideMark/>
          </w:tcPr>
          <w:p w14:paraId="01DA7250"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High-risk sex</w:t>
            </w:r>
          </w:p>
        </w:tc>
        <w:tc>
          <w:tcPr>
            <w:tcW w:w="1473" w:type="dxa"/>
            <w:tcBorders>
              <w:top w:val="nil"/>
              <w:left w:val="nil"/>
              <w:bottom w:val="nil"/>
              <w:right w:val="nil"/>
            </w:tcBorders>
            <w:shd w:val="clear" w:color="auto" w:fill="auto"/>
            <w:noWrap/>
            <w:vAlign w:val="center"/>
            <w:hideMark/>
          </w:tcPr>
          <w:p w14:paraId="34600F60"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Rural women</w:t>
            </w:r>
          </w:p>
        </w:tc>
        <w:tc>
          <w:tcPr>
            <w:tcW w:w="1985" w:type="dxa"/>
            <w:tcBorders>
              <w:top w:val="nil"/>
              <w:left w:val="nil"/>
              <w:bottom w:val="nil"/>
              <w:right w:val="nil"/>
            </w:tcBorders>
            <w:shd w:val="clear" w:color="auto" w:fill="auto"/>
            <w:noWrap/>
            <w:vAlign w:val="center"/>
            <w:hideMark/>
          </w:tcPr>
          <w:p w14:paraId="643AA513"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38DBBA85"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1.22 (1.05-1.41)</w:t>
            </w:r>
          </w:p>
        </w:tc>
        <w:tc>
          <w:tcPr>
            <w:tcW w:w="1788" w:type="dxa"/>
            <w:tcBorders>
              <w:top w:val="nil"/>
              <w:left w:val="nil"/>
              <w:bottom w:val="nil"/>
              <w:right w:val="nil"/>
            </w:tcBorders>
            <w:shd w:val="clear" w:color="auto" w:fill="auto"/>
            <w:noWrap/>
            <w:vAlign w:val="center"/>
            <w:hideMark/>
          </w:tcPr>
          <w:p w14:paraId="608F5A61"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1.16 (0.99-1.36)</w:t>
            </w:r>
          </w:p>
        </w:tc>
        <w:tc>
          <w:tcPr>
            <w:tcW w:w="1853" w:type="dxa"/>
            <w:tcBorders>
              <w:top w:val="nil"/>
              <w:left w:val="nil"/>
              <w:bottom w:val="nil"/>
              <w:right w:val="nil"/>
            </w:tcBorders>
            <w:shd w:val="clear" w:color="auto" w:fill="auto"/>
            <w:noWrap/>
            <w:vAlign w:val="center"/>
            <w:hideMark/>
          </w:tcPr>
          <w:p w14:paraId="768B21D0"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1.18 (0.96-1.46)</w:t>
            </w:r>
          </w:p>
        </w:tc>
        <w:tc>
          <w:tcPr>
            <w:tcW w:w="1853" w:type="dxa"/>
            <w:tcBorders>
              <w:top w:val="nil"/>
              <w:left w:val="nil"/>
              <w:bottom w:val="nil"/>
              <w:right w:val="nil"/>
            </w:tcBorders>
            <w:shd w:val="clear" w:color="auto" w:fill="auto"/>
            <w:noWrap/>
            <w:vAlign w:val="center"/>
            <w:hideMark/>
          </w:tcPr>
          <w:p w14:paraId="529D1BF4"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1.14 (0.79-1.65)</w:t>
            </w:r>
          </w:p>
        </w:tc>
      </w:tr>
      <w:tr w:rsidR="0027333E" w:rsidRPr="0027333E" w14:paraId="4ED38764" w14:textId="77777777" w:rsidTr="0027333E">
        <w:trPr>
          <w:trHeight w:val="300"/>
        </w:trPr>
        <w:tc>
          <w:tcPr>
            <w:tcW w:w="2257" w:type="dxa"/>
            <w:tcBorders>
              <w:top w:val="nil"/>
              <w:left w:val="nil"/>
              <w:bottom w:val="nil"/>
              <w:right w:val="nil"/>
            </w:tcBorders>
            <w:shd w:val="clear" w:color="auto" w:fill="auto"/>
            <w:noWrap/>
            <w:vAlign w:val="bottom"/>
            <w:hideMark/>
          </w:tcPr>
          <w:p w14:paraId="4F858776"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p>
        </w:tc>
        <w:tc>
          <w:tcPr>
            <w:tcW w:w="1473" w:type="dxa"/>
            <w:tcBorders>
              <w:top w:val="nil"/>
              <w:left w:val="nil"/>
              <w:bottom w:val="nil"/>
              <w:right w:val="nil"/>
            </w:tcBorders>
            <w:shd w:val="clear" w:color="auto" w:fill="auto"/>
            <w:noWrap/>
            <w:vAlign w:val="center"/>
            <w:hideMark/>
          </w:tcPr>
          <w:p w14:paraId="50AA94E8"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Urban women</w:t>
            </w:r>
          </w:p>
        </w:tc>
        <w:tc>
          <w:tcPr>
            <w:tcW w:w="1985" w:type="dxa"/>
            <w:tcBorders>
              <w:top w:val="nil"/>
              <w:left w:val="nil"/>
              <w:bottom w:val="nil"/>
              <w:right w:val="nil"/>
            </w:tcBorders>
            <w:shd w:val="clear" w:color="auto" w:fill="auto"/>
            <w:noWrap/>
            <w:vAlign w:val="center"/>
            <w:hideMark/>
          </w:tcPr>
          <w:p w14:paraId="3B1F565B"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3C40C53D"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1.41 (0.79-2.54)</w:t>
            </w:r>
          </w:p>
        </w:tc>
        <w:tc>
          <w:tcPr>
            <w:tcW w:w="1788" w:type="dxa"/>
            <w:tcBorders>
              <w:top w:val="nil"/>
              <w:left w:val="nil"/>
              <w:bottom w:val="nil"/>
              <w:right w:val="nil"/>
            </w:tcBorders>
            <w:shd w:val="clear" w:color="auto" w:fill="auto"/>
            <w:noWrap/>
            <w:vAlign w:val="center"/>
            <w:hideMark/>
          </w:tcPr>
          <w:p w14:paraId="1BDB8962"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2.22 (1.30-3.79)</w:t>
            </w:r>
          </w:p>
        </w:tc>
        <w:tc>
          <w:tcPr>
            <w:tcW w:w="1853" w:type="dxa"/>
            <w:tcBorders>
              <w:top w:val="nil"/>
              <w:left w:val="nil"/>
              <w:bottom w:val="nil"/>
              <w:right w:val="nil"/>
            </w:tcBorders>
            <w:shd w:val="clear" w:color="auto" w:fill="auto"/>
            <w:noWrap/>
            <w:vAlign w:val="center"/>
            <w:hideMark/>
          </w:tcPr>
          <w:p w14:paraId="50322E5F"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1.55 (0.94-2.56)</w:t>
            </w:r>
          </w:p>
        </w:tc>
        <w:tc>
          <w:tcPr>
            <w:tcW w:w="1853" w:type="dxa"/>
            <w:tcBorders>
              <w:top w:val="nil"/>
              <w:left w:val="nil"/>
              <w:bottom w:val="nil"/>
              <w:right w:val="nil"/>
            </w:tcBorders>
            <w:shd w:val="clear" w:color="auto" w:fill="auto"/>
            <w:noWrap/>
            <w:vAlign w:val="center"/>
            <w:hideMark/>
          </w:tcPr>
          <w:p w14:paraId="3029CE13"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1.45 (0.89-2.37)</w:t>
            </w:r>
          </w:p>
        </w:tc>
      </w:tr>
      <w:tr w:rsidR="0027333E" w:rsidRPr="0027333E" w14:paraId="51F9EB8E" w14:textId="77777777" w:rsidTr="0027333E">
        <w:trPr>
          <w:trHeight w:val="300"/>
        </w:trPr>
        <w:tc>
          <w:tcPr>
            <w:tcW w:w="2257" w:type="dxa"/>
            <w:tcBorders>
              <w:top w:val="nil"/>
              <w:left w:val="nil"/>
              <w:bottom w:val="nil"/>
              <w:right w:val="nil"/>
            </w:tcBorders>
            <w:shd w:val="clear" w:color="auto" w:fill="auto"/>
            <w:noWrap/>
            <w:vAlign w:val="bottom"/>
            <w:hideMark/>
          </w:tcPr>
          <w:p w14:paraId="23FDF506"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p>
        </w:tc>
        <w:tc>
          <w:tcPr>
            <w:tcW w:w="1473" w:type="dxa"/>
            <w:tcBorders>
              <w:top w:val="nil"/>
              <w:left w:val="nil"/>
              <w:bottom w:val="nil"/>
              <w:right w:val="nil"/>
            </w:tcBorders>
            <w:shd w:val="clear" w:color="auto" w:fill="auto"/>
            <w:noWrap/>
            <w:vAlign w:val="center"/>
            <w:hideMark/>
          </w:tcPr>
          <w:p w14:paraId="60ADBE05"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Rural men</w:t>
            </w:r>
          </w:p>
        </w:tc>
        <w:tc>
          <w:tcPr>
            <w:tcW w:w="1985" w:type="dxa"/>
            <w:tcBorders>
              <w:top w:val="nil"/>
              <w:left w:val="nil"/>
              <w:bottom w:val="nil"/>
              <w:right w:val="nil"/>
            </w:tcBorders>
            <w:shd w:val="clear" w:color="auto" w:fill="auto"/>
            <w:noWrap/>
            <w:vAlign w:val="center"/>
            <w:hideMark/>
          </w:tcPr>
          <w:p w14:paraId="045FB3AA"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667C3F2C"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1.24 (1.08-1.43)</w:t>
            </w:r>
          </w:p>
        </w:tc>
        <w:tc>
          <w:tcPr>
            <w:tcW w:w="1788" w:type="dxa"/>
            <w:tcBorders>
              <w:top w:val="nil"/>
              <w:left w:val="nil"/>
              <w:bottom w:val="nil"/>
              <w:right w:val="nil"/>
            </w:tcBorders>
            <w:shd w:val="clear" w:color="auto" w:fill="auto"/>
            <w:noWrap/>
            <w:vAlign w:val="center"/>
            <w:hideMark/>
          </w:tcPr>
          <w:p w14:paraId="47906096"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1.32 (1.12-1.56)</w:t>
            </w:r>
          </w:p>
        </w:tc>
        <w:tc>
          <w:tcPr>
            <w:tcW w:w="1853" w:type="dxa"/>
            <w:tcBorders>
              <w:top w:val="nil"/>
              <w:left w:val="nil"/>
              <w:bottom w:val="nil"/>
              <w:right w:val="nil"/>
            </w:tcBorders>
            <w:shd w:val="clear" w:color="auto" w:fill="auto"/>
            <w:noWrap/>
            <w:vAlign w:val="center"/>
            <w:hideMark/>
          </w:tcPr>
          <w:p w14:paraId="08D64006"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1.34 (1.12-1.61)</w:t>
            </w:r>
          </w:p>
        </w:tc>
        <w:tc>
          <w:tcPr>
            <w:tcW w:w="1853" w:type="dxa"/>
            <w:tcBorders>
              <w:top w:val="nil"/>
              <w:left w:val="nil"/>
              <w:bottom w:val="nil"/>
              <w:right w:val="nil"/>
            </w:tcBorders>
            <w:shd w:val="clear" w:color="auto" w:fill="auto"/>
            <w:noWrap/>
            <w:vAlign w:val="center"/>
            <w:hideMark/>
          </w:tcPr>
          <w:p w14:paraId="1E62DE61"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1.22 (0.93-1.59)</w:t>
            </w:r>
          </w:p>
        </w:tc>
      </w:tr>
      <w:tr w:rsidR="0027333E" w:rsidRPr="0027333E" w14:paraId="535F1907" w14:textId="77777777" w:rsidTr="0027333E">
        <w:trPr>
          <w:trHeight w:val="315"/>
        </w:trPr>
        <w:tc>
          <w:tcPr>
            <w:tcW w:w="2257" w:type="dxa"/>
            <w:tcBorders>
              <w:top w:val="nil"/>
              <w:left w:val="nil"/>
              <w:bottom w:val="single" w:sz="8" w:space="0" w:color="auto"/>
              <w:right w:val="nil"/>
            </w:tcBorders>
            <w:shd w:val="clear" w:color="auto" w:fill="auto"/>
            <w:noWrap/>
            <w:vAlign w:val="center"/>
            <w:hideMark/>
          </w:tcPr>
          <w:p w14:paraId="7BCE88E3"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 </w:t>
            </w:r>
          </w:p>
        </w:tc>
        <w:tc>
          <w:tcPr>
            <w:tcW w:w="1473" w:type="dxa"/>
            <w:tcBorders>
              <w:top w:val="nil"/>
              <w:left w:val="nil"/>
              <w:bottom w:val="single" w:sz="8" w:space="0" w:color="auto"/>
              <w:right w:val="nil"/>
            </w:tcBorders>
            <w:shd w:val="clear" w:color="auto" w:fill="auto"/>
            <w:noWrap/>
            <w:vAlign w:val="center"/>
            <w:hideMark/>
          </w:tcPr>
          <w:p w14:paraId="3D6678A8" w14:textId="5165E4EB" w:rsidR="0027333E" w:rsidRPr="0027333E" w:rsidRDefault="00816CBC" w:rsidP="0027333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Urban men</w:t>
            </w:r>
          </w:p>
        </w:tc>
        <w:tc>
          <w:tcPr>
            <w:tcW w:w="1985" w:type="dxa"/>
            <w:tcBorders>
              <w:top w:val="nil"/>
              <w:left w:val="nil"/>
              <w:bottom w:val="single" w:sz="8" w:space="0" w:color="auto"/>
              <w:right w:val="nil"/>
            </w:tcBorders>
            <w:shd w:val="clear" w:color="auto" w:fill="auto"/>
            <w:noWrap/>
            <w:vAlign w:val="center"/>
            <w:hideMark/>
          </w:tcPr>
          <w:p w14:paraId="1F2F992E"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single" w:sz="8" w:space="0" w:color="auto"/>
              <w:right w:val="nil"/>
            </w:tcBorders>
            <w:shd w:val="clear" w:color="auto" w:fill="auto"/>
            <w:noWrap/>
            <w:vAlign w:val="center"/>
            <w:hideMark/>
          </w:tcPr>
          <w:p w14:paraId="00142C84"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1.73 (1.11-2.71)</w:t>
            </w:r>
          </w:p>
        </w:tc>
        <w:tc>
          <w:tcPr>
            <w:tcW w:w="1788" w:type="dxa"/>
            <w:tcBorders>
              <w:top w:val="nil"/>
              <w:left w:val="nil"/>
              <w:bottom w:val="single" w:sz="8" w:space="0" w:color="auto"/>
              <w:right w:val="nil"/>
            </w:tcBorders>
            <w:shd w:val="clear" w:color="auto" w:fill="auto"/>
            <w:noWrap/>
            <w:vAlign w:val="center"/>
            <w:hideMark/>
          </w:tcPr>
          <w:p w14:paraId="20FC7D47"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1.59 (1.01-2.48)</w:t>
            </w:r>
          </w:p>
        </w:tc>
        <w:tc>
          <w:tcPr>
            <w:tcW w:w="1853" w:type="dxa"/>
            <w:tcBorders>
              <w:top w:val="nil"/>
              <w:left w:val="nil"/>
              <w:bottom w:val="single" w:sz="8" w:space="0" w:color="auto"/>
              <w:right w:val="nil"/>
            </w:tcBorders>
            <w:shd w:val="clear" w:color="auto" w:fill="auto"/>
            <w:noWrap/>
            <w:vAlign w:val="center"/>
            <w:hideMark/>
          </w:tcPr>
          <w:p w14:paraId="115EBE8D"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1.63 (1.04-2.54)</w:t>
            </w:r>
          </w:p>
        </w:tc>
        <w:tc>
          <w:tcPr>
            <w:tcW w:w="1853" w:type="dxa"/>
            <w:tcBorders>
              <w:top w:val="nil"/>
              <w:left w:val="nil"/>
              <w:bottom w:val="single" w:sz="8" w:space="0" w:color="auto"/>
              <w:right w:val="nil"/>
            </w:tcBorders>
            <w:shd w:val="clear" w:color="auto" w:fill="auto"/>
            <w:noWrap/>
            <w:vAlign w:val="center"/>
            <w:hideMark/>
          </w:tcPr>
          <w:p w14:paraId="7AC0D959"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1.06 (0.68-1.66)</w:t>
            </w:r>
          </w:p>
        </w:tc>
      </w:tr>
      <w:tr w:rsidR="0027333E" w:rsidRPr="0027333E" w14:paraId="57D45BD2" w14:textId="77777777" w:rsidTr="0027333E">
        <w:trPr>
          <w:trHeight w:val="300"/>
        </w:trPr>
        <w:tc>
          <w:tcPr>
            <w:tcW w:w="2257" w:type="dxa"/>
            <w:tcBorders>
              <w:top w:val="nil"/>
              <w:left w:val="nil"/>
              <w:bottom w:val="nil"/>
              <w:right w:val="nil"/>
            </w:tcBorders>
            <w:shd w:val="clear" w:color="auto" w:fill="auto"/>
            <w:noWrap/>
            <w:vAlign w:val="center"/>
            <w:hideMark/>
          </w:tcPr>
          <w:p w14:paraId="024FF864" w14:textId="77777777" w:rsidR="0027333E" w:rsidRPr="0027333E" w:rsidRDefault="0027333E" w:rsidP="0027333E">
            <w:pPr>
              <w:spacing w:after="0" w:line="240" w:lineRule="auto"/>
              <w:rPr>
                <w:rFonts w:ascii="Calibri" w:eastAsia="Times New Roman" w:hAnsi="Calibri" w:cs="Calibri"/>
                <w:b/>
                <w:bCs/>
                <w:color w:val="000000"/>
                <w:sz w:val="20"/>
                <w:szCs w:val="20"/>
                <w:lang w:eastAsia="en-GB"/>
              </w:rPr>
            </w:pPr>
            <w:r w:rsidRPr="0027333E">
              <w:rPr>
                <w:rFonts w:ascii="Calibri" w:eastAsia="Times New Roman" w:hAnsi="Calibri" w:cs="Calibri"/>
                <w:b/>
                <w:bCs/>
                <w:color w:val="000000"/>
                <w:sz w:val="20"/>
                <w:szCs w:val="20"/>
                <w:lang w:eastAsia="en-GB"/>
              </w:rPr>
              <w:t>Intergenerational sex</w:t>
            </w:r>
          </w:p>
        </w:tc>
        <w:tc>
          <w:tcPr>
            <w:tcW w:w="1473" w:type="dxa"/>
            <w:tcBorders>
              <w:top w:val="nil"/>
              <w:left w:val="nil"/>
              <w:bottom w:val="nil"/>
              <w:right w:val="nil"/>
            </w:tcBorders>
            <w:shd w:val="clear" w:color="auto" w:fill="auto"/>
            <w:noWrap/>
            <w:vAlign w:val="center"/>
            <w:hideMark/>
          </w:tcPr>
          <w:p w14:paraId="50F8B572"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Rural women</w:t>
            </w:r>
          </w:p>
        </w:tc>
        <w:tc>
          <w:tcPr>
            <w:tcW w:w="1985" w:type="dxa"/>
            <w:tcBorders>
              <w:top w:val="nil"/>
              <w:left w:val="nil"/>
              <w:bottom w:val="nil"/>
              <w:right w:val="nil"/>
            </w:tcBorders>
            <w:shd w:val="clear" w:color="auto" w:fill="auto"/>
            <w:noWrap/>
            <w:vAlign w:val="center"/>
            <w:hideMark/>
          </w:tcPr>
          <w:p w14:paraId="7055BB31"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23FB4369"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1.02 (0.92-1.13)</w:t>
            </w:r>
          </w:p>
        </w:tc>
        <w:tc>
          <w:tcPr>
            <w:tcW w:w="1788" w:type="dxa"/>
            <w:tcBorders>
              <w:top w:val="nil"/>
              <w:left w:val="nil"/>
              <w:bottom w:val="nil"/>
              <w:right w:val="nil"/>
            </w:tcBorders>
            <w:shd w:val="clear" w:color="auto" w:fill="auto"/>
            <w:noWrap/>
            <w:vAlign w:val="center"/>
            <w:hideMark/>
          </w:tcPr>
          <w:p w14:paraId="7955C951"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1.12 (1.00-1.25)</w:t>
            </w:r>
          </w:p>
        </w:tc>
        <w:tc>
          <w:tcPr>
            <w:tcW w:w="1853" w:type="dxa"/>
            <w:tcBorders>
              <w:top w:val="nil"/>
              <w:left w:val="nil"/>
              <w:bottom w:val="nil"/>
              <w:right w:val="nil"/>
            </w:tcBorders>
            <w:shd w:val="clear" w:color="auto" w:fill="auto"/>
            <w:noWrap/>
            <w:vAlign w:val="center"/>
            <w:hideMark/>
          </w:tcPr>
          <w:p w14:paraId="6B190EC7"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1.05 (0.91-1.21)</w:t>
            </w:r>
          </w:p>
        </w:tc>
        <w:tc>
          <w:tcPr>
            <w:tcW w:w="1853" w:type="dxa"/>
            <w:tcBorders>
              <w:top w:val="nil"/>
              <w:left w:val="nil"/>
              <w:bottom w:val="nil"/>
              <w:right w:val="nil"/>
            </w:tcBorders>
            <w:shd w:val="clear" w:color="auto" w:fill="auto"/>
            <w:noWrap/>
            <w:vAlign w:val="center"/>
            <w:hideMark/>
          </w:tcPr>
          <w:p w14:paraId="3B58C6EE"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1.34 (1.08-1.65)</w:t>
            </w:r>
          </w:p>
        </w:tc>
      </w:tr>
      <w:tr w:rsidR="0027333E" w:rsidRPr="0027333E" w14:paraId="714BA3B4" w14:textId="77777777" w:rsidTr="0027333E">
        <w:trPr>
          <w:trHeight w:val="300"/>
        </w:trPr>
        <w:tc>
          <w:tcPr>
            <w:tcW w:w="2257" w:type="dxa"/>
            <w:tcBorders>
              <w:top w:val="nil"/>
              <w:left w:val="nil"/>
              <w:bottom w:val="nil"/>
              <w:right w:val="nil"/>
            </w:tcBorders>
            <w:shd w:val="clear" w:color="auto" w:fill="auto"/>
            <w:noWrap/>
            <w:vAlign w:val="bottom"/>
            <w:hideMark/>
          </w:tcPr>
          <w:p w14:paraId="08D36C72"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p>
        </w:tc>
        <w:tc>
          <w:tcPr>
            <w:tcW w:w="1473" w:type="dxa"/>
            <w:tcBorders>
              <w:top w:val="nil"/>
              <w:left w:val="nil"/>
              <w:bottom w:val="nil"/>
              <w:right w:val="nil"/>
            </w:tcBorders>
            <w:shd w:val="clear" w:color="auto" w:fill="auto"/>
            <w:noWrap/>
            <w:vAlign w:val="center"/>
            <w:hideMark/>
          </w:tcPr>
          <w:p w14:paraId="31F40D22"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Urban women</w:t>
            </w:r>
          </w:p>
        </w:tc>
        <w:tc>
          <w:tcPr>
            <w:tcW w:w="1985" w:type="dxa"/>
            <w:tcBorders>
              <w:top w:val="nil"/>
              <w:left w:val="nil"/>
              <w:bottom w:val="nil"/>
              <w:right w:val="nil"/>
            </w:tcBorders>
            <w:shd w:val="clear" w:color="auto" w:fill="auto"/>
            <w:noWrap/>
            <w:vAlign w:val="center"/>
            <w:hideMark/>
          </w:tcPr>
          <w:p w14:paraId="7AA8A245"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326637DD"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0.86 (0.53-1.38)</w:t>
            </w:r>
          </w:p>
        </w:tc>
        <w:tc>
          <w:tcPr>
            <w:tcW w:w="1788" w:type="dxa"/>
            <w:tcBorders>
              <w:top w:val="nil"/>
              <w:left w:val="nil"/>
              <w:bottom w:val="nil"/>
              <w:right w:val="nil"/>
            </w:tcBorders>
            <w:shd w:val="clear" w:color="auto" w:fill="auto"/>
            <w:noWrap/>
            <w:vAlign w:val="center"/>
            <w:hideMark/>
          </w:tcPr>
          <w:p w14:paraId="1679EA6F"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1.20 (0.80-1.80)</w:t>
            </w:r>
          </w:p>
        </w:tc>
        <w:tc>
          <w:tcPr>
            <w:tcW w:w="1853" w:type="dxa"/>
            <w:tcBorders>
              <w:top w:val="nil"/>
              <w:left w:val="nil"/>
              <w:bottom w:val="nil"/>
              <w:right w:val="nil"/>
            </w:tcBorders>
            <w:shd w:val="clear" w:color="auto" w:fill="auto"/>
            <w:noWrap/>
            <w:vAlign w:val="center"/>
            <w:hideMark/>
          </w:tcPr>
          <w:p w14:paraId="5E23734C"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1.06 (0.70-1.60)</w:t>
            </w:r>
          </w:p>
        </w:tc>
        <w:tc>
          <w:tcPr>
            <w:tcW w:w="1853" w:type="dxa"/>
            <w:tcBorders>
              <w:top w:val="nil"/>
              <w:left w:val="nil"/>
              <w:bottom w:val="nil"/>
              <w:right w:val="nil"/>
            </w:tcBorders>
            <w:shd w:val="clear" w:color="auto" w:fill="auto"/>
            <w:noWrap/>
            <w:vAlign w:val="center"/>
            <w:hideMark/>
          </w:tcPr>
          <w:p w14:paraId="110B15AF"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1.07 (0.71-1.62)</w:t>
            </w:r>
          </w:p>
        </w:tc>
      </w:tr>
      <w:tr w:rsidR="0027333E" w:rsidRPr="0027333E" w14:paraId="1D288B88" w14:textId="77777777" w:rsidTr="0027333E">
        <w:trPr>
          <w:trHeight w:val="300"/>
        </w:trPr>
        <w:tc>
          <w:tcPr>
            <w:tcW w:w="2257" w:type="dxa"/>
            <w:tcBorders>
              <w:top w:val="nil"/>
              <w:left w:val="nil"/>
              <w:bottom w:val="nil"/>
              <w:right w:val="nil"/>
            </w:tcBorders>
            <w:shd w:val="clear" w:color="auto" w:fill="auto"/>
            <w:noWrap/>
            <w:vAlign w:val="bottom"/>
            <w:hideMark/>
          </w:tcPr>
          <w:p w14:paraId="7DD41504"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p>
        </w:tc>
        <w:tc>
          <w:tcPr>
            <w:tcW w:w="1473" w:type="dxa"/>
            <w:tcBorders>
              <w:top w:val="nil"/>
              <w:left w:val="nil"/>
              <w:bottom w:val="nil"/>
              <w:right w:val="nil"/>
            </w:tcBorders>
            <w:shd w:val="clear" w:color="auto" w:fill="auto"/>
            <w:noWrap/>
            <w:vAlign w:val="center"/>
            <w:hideMark/>
          </w:tcPr>
          <w:p w14:paraId="4C37388F"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Rural men</w:t>
            </w:r>
          </w:p>
        </w:tc>
        <w:tc>
          <w:tcPr>
            <w:tcW w:w="1985" w:type="dxa"/>
            <w:tcBorders>
              <w:top w:val="nil"/>
              <w:left w:val="nil"/>
              <w:bottom w:val="nil"/>
              <w:right w:val="nil"/>
            </w:tcBorders>
            <w:shd w:val="clear" w:color="auto" w:fill="auto"/>
            <w:noWrap/>
            <w:vAlign w:val="center"/>
            <w:hideMark/>
          </w:tcPr>
          <w:p w14:paraId="7D819465"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nil"/>
              <w:right w:val="nil"/>
            </w:tcBorders>
            <w:shd w:val="clear" w:color="auto" w:fill="auto"/>
            <w:noWrap/>
            <w:vAlign w:val="center"/>
            <w:hideMark/>
          </w:tcPr>
          <w:p w14:paraId="6F26EDB6"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0.91 (0.79-1.06)</w:t>
            </w:r>
          </w:p>
        </w:tc>
        <w:tc>
          <w:tcPr>
            <w:tcW w:w="1788" w:type="dxa"/>
            <w:tcBorders>
              <w:top w:val="nil"/>
              <w:left w:val="nil"/>
              <w:bottom w:val="nil"/>
              <w:right w:val="nil"/>
            </w:tcBorders>
            <w:shd w:val="clear" w:color="auto" w:fill="auto"/>
            <w:noWrap/>
            <w:vAlign w:val="center"/>
            <w:hideMark/>
          </w:tcPr>
          <w:p w14:paraId="437A453F"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1.03 (0.89-1.19)</w:t>
            </w:r>
          </w:p>
        </w:tc>
        <w:tc>
          <w:tcPr>
            <w:tcW w:w="1853" w:type="dxa"/>
            <w:tcBorders>
              <w:top w:val="nil"/>
              <w:left w:val="nil"/>
              <w:bottom w:val="nil"/>
              <w:right w:val="nil"/>
            </w:tcBorders>
            <w:shd w:val="clear" w:color="auto" w:fill="auto"/>
            <w:noWrap/>
            <w:vAlign w:val="center"/>
            <w:hideMark/>
          </w:tcPr>
          <w:p w14:paraId="44BF4B8B"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0.91 (0.75-1.10)</w:t>
            </w:r>
          </w:p>
        </w:tc>
        <w:tc>
          <w:tcPr>
            <w:tcW w:w="1853" w:type="dxa"/>
            <w:tcBorders>
              <w:top w:val="nil"/>
              <w:left w:val="nil"/>
              <w:bottom w:val="nil"/>
              <w:right w:val="nil"/>
            </w:tcBorders>
            <w:shd w:val="clear" w:color="auto" w:fill="auto"/>
            <w:noWrap/>
            <w:vAlign w:val="center"/>
            <w:hideMark/>
          </w:tcPr>
          <w:p w14:paraId="79C1DC2C"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0.94 (0.72-1.23)</w:t>
            </w:r>
          </w:p>
        </w:tc>
      </w:tr>
      <w:tr w:rsidR="0027333E" w:rsidRPr="0027333E" w14:paraId="614B334B" w14:textId="77777777" w:rsidTr="0027333E">
        <w:trPr>
          <w:trHeight w:val="315"/>
        </w:trPr>
        <w:tc>
          <w:tcPr>
            <w:tcW w:w="2257" w:type="dxa"/>
            <w:tcBorders>
              <w:top w:val="nil"/>
              <w:left w:val="nil"/>
              <w:bottom w:val="single" w:sz="8" w:space="0" w:color="auto"/>
              <w:right w:val="nil"/>
            </w:tcBorders>
            <w:shd w:val="clear" w:color="auto" w:fill="auto"/>
            <w:noWrap/>
            <w:vAlign w:val="center"/>
            <w:hideMark/>
          </w:tcPr>
          <w:p w14:paraId="377DAA83"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 </w:t>
            </w:r>
          </w:p>
        </w:tc>
        <w:tc>
          <w:tcPr>
            <w:tcW w:w="1473" w:type="dxa"/>
            <w:tcBorders>
              <w:top w:val="nil"/>
              <w:left w:val="nil"/>
              <w:bottom w:val="single" w:sz="8" w:space="0" w:color="auto"/>
              <w:right w:val="nil"/>
            </w:tcBorders>
            <w:shd w:val="clear" w:color="auto" w:fill="auto"/>
            <w:noWrap/>
            <w:vAlign w:val="center"/>
            <w:hideMark/>
          </w:tcPr>
          <w:p w14:paraId="6B032FB7" w14:textId="4D0BE2D0" w:rsidR="0027333E" w:rsidRPr="0027333E" w:rsidRDefault="00816CBC" w:rsidP="0027333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Urban men</w:t>
            </w:r>
          </w:p>
        </w:tc>
        <w:tc>
          <w:tcPr>
            <w:tcW w:w="1985" w:type="dxa"/>
            <w:tcBorders>
              <w:top w:val="nil"/>
              <w:left w:val="nil"/>
              <w:bottom w:val="single" w:sz="8" w:space="0" w:color="auto"/>
              <w:right w:val="nil"/>
            </w:tcBorders>
            <w:shd w:val="clear" w:color="auto" w:fill="auto"/>
            <w:noWrap/>
            <w:vAlign w:val="center"/>
            <w:hideMark/>
          </w:tcPr>
          <w:p w14:paraId="744A6E4C" w14:textId="77777777" w:rsidR="0027333E" w:rsidRPr="0027333E" w:rsidRDefault="0027333E" w:rsidP="0027333E">
            <w:pPr>
              <w:spacing w:after="0" w:line="240" w:lineRule="auto"/>
              <w:jc w:val="right"/>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w:t>
            </w:r>
          </w:p>
        </w:tc>
        <w:tc>
          <w:tcPr>
            <w:tcW w:w="1788" w:type="dxa"/>
            <w:tcBorders>
              <w:top w:val="nil"/>
              <w:left w:val="nil"/>
              <w:bottom w:val="single" w:sz="8" w:space="0" w:color="auto"/>
              <w:right w:val="nil"/>
            </w:tcBorders>
            <w:shd w:val="clear" w:color="auto" w:fill="auto"/>
            <w:noWrap/>
            <w:vAlign w:val="center"/>
            <w:hideMark/>
          </w:tcPr>
          <w:p w14:paraId="66764C53"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1.23 (0.76-1.99)</w:t>
            </w:r>
          </w:p>
        </w:tc>
        <w:tc>
          <w:tcPr>
            <w:tcW w:w="1788" w:type="dxa"/>
            <w:tcBorders>
              <w:top w:val="nil"/>
              <w:left w:val="nil"/>
              <w:bottom w:val="single" w:sz="8" w:space="0" w:color="auto"/>
              <w:right w:val="nil"/>
            </w:tcBorders>
            <w:shd w:val="clear" w:color="auto" w:fill="auto"/>
            <w:noWrap/>
            <w:vAlign w:val="center"/>
            <w:hideMark/>
          </w:tcPr>
          <w:p w14:paraId="635AE996"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1.70 (1.09-2.63)</w:t>
            </w:r>
          </w:p>
        </w:tc>
        <w:tc>
          <w:tcPr>
            <w:tcW w:w="1853" w:type="dxa"/>
            <w:tcBorders>
              <w:top w:val="nil"/>
              <w:left w:val="nil"/>
              <w:bottom w:val="single" w:sz="8" w:space="0" w:color="auto"/>
              <w:right w:val="nil"/>
            </w:tcBorders>
            <w:shd w:val="clear" w:color="auto" w:fill="auto"/>
            <w:noWrap/>
            <w:vAlign w:val="center"/>
            <w:hideMark/>
          </w:tcPr>
          <w:p w14:paraId="31C00CBD" w14:textId="77777777" w:rsidR="0027333E" w:rsidRPr="0027333E" w:rsidRDefault="0027333E" w:rsidP="0027333E">
            <w:pPr>
              <w:spacing w:after="0" w:line="240" w:lineRule="auto"/>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1.53 (1.03-2.27)</w:t>
            </w:r>
          </w:p>
        </w:tc>
        <w:tc>
          <w:tcPr>
            <w:tcW w:w="1853" w:type="dxa"/>
            <w:tcBorders>
              <w:top w:val="nil"/>
              <w:left w:val="nil"/>
              <w:bottom w:val="single" w:sz="8" w:space="0" w:color="auto"/>
              <w:right w:val="nil"/>
            </w:tcBorders>
            <w:shd w:val="clear" w:color="auto" w:fill="auto"/>
            <w:noWrap/>
            <w:vAlign w:val="center"/>
            <w:hideMark/>
          </w:tcPr>
          <w:p w14:paraId="2FB5820F" w14:textId="77777777" w:rsidR="0027333E" w:rsidRPr="0027333E" w:rsidRDefault="0027333E" w:rsidP="0027333E">
            <w:pPr>
              <w:spacing w:after="0" w:line="240" w:lineRule="auto"/>
              <w:jc w:val="center"/>
              <w:rPr>
                <w:rFonts w:ascii="Calibri" w:eastAsia="Times New Roman" w:hAnsi="Calibri" w:cs="Calibri"/>
                <w:color w:val="000000"/>
                <w:sz w:val="20"/>
                <w:szCs w:val="20"/>
                <w:lang w:eastAsia="en-GB"/>
              </w:rPr>
            </w:pPr>
            <w:r w:rsidRPr="0027333E">
              <w:rPr>
                <w:rFonts w:ascii="Calibri" w:eastAsia="Times New Roman" w:hAnsi="Calibri" w:cs="Calibri"/>
                <w:color w:val="000000"/>
                <w:sz w:val="20"/>
                <w:szCs w:val="20"/>
                <w:lang w:eastAsia="en-GB"/>
              </w:rPr>
              <w:t>1.48 (0.99-2.21)</w:t>
            </w:r>
          </w:p>
        </w:tc>
      </w:tr>
    </w:tbl>
    <w:p w14:paraId="7DC41CBD" w14:textId="4614E746" w:rsidR="0027333E" w:rsidRDefault="00132A09">
      <w:pPr>
        <w:rPr>
          <w:b/>
          <w:bCs/>
        </w:rPr>
        <w:sectPr w:rsidR="0027333E" w:rsidSect="009B3B07">
          <w:pgSz w:w="16838" w:h="11906" w:orient="landscape"/>
          <w:pgMar w:top="1440" w:right="1440" w:bottom="1440" w:left="1440" w:header="709" w:footer="709" w:gutter="0"/>
          <w:cols w:space="708"/>
          <w:docGrid w:linePitch="360"/>
        </w:sectPr>
      </w:pPr>
      <w:r>
        <w:rPr>
          <w:b/>
          <w:bCs/>
        </w:rPr>
        <w:t>*</w:t>
      </w:r>
      <w:r w:rsidRPr="00C958E7">
        <w:t xml:space="preserve"> </w:t>
      </w:r>
      <w:r w:rsidRPr="00C44E13">
        <w:t xml:space="preserve">Analyses were adjusted for receipt of food or other economic support, secondary education or higher, having received a </w:t>
      </w:r>
      <w:proofErr w:type="spellStart"/>
      <w:r w:rsidRPr="00C44E13">
        <w:t>paycheck</w:t>
      </w:r>
      <w:proofErr w:type="spellEnd"/>
      <w:r w:rsidRPr="00C44E13">
        <w:t xml:space="preserve"> in the previous 12 months, ever having been married, age, and survey country.</w:t>
      </w:r>
    </w:p>
    <w:p w14:paraId="3C4656FB" w14:textId="5C091E6D" w:rsidR="008C1163" w:rsidRDefault="008C1163" w:rsidP="008C1163">
      <w:r w:rsidRPr="00D43AA5">
        <w:rPr>
          <w:b/>
          <w:bCs/>
        </w:rPr>
        <w:lastRenderedPageBreak/>
        <w:t xml:space="preserve">Supplementary table </w:t>
      </w:r>
      <w:r w:rsidR="0027333E">
        <w:rPr>
          <w:b/>
          <w:bCs/>
        </w:rPr>
        <w:t>9</w:t>
      </w:r>
      <w:r w:rsidRPr="00D43AA5">
        <w:rPr>
          <w:b/>
          <w:bCs/>
        </w:rPr>
        <w:t>:</w:t>
      </w:r>
      <w:r w:rsidRPr="00681E66">
        <w:t xml:space="preserve"> Full </w:t>
      </w:r>
      <w:r w:rsidR="00A85448" w:rsidRPr="00D43AA5">
        <w:t xml:space="preserve">adjusted </w:t>
      </w:r>
      <w:r w:rsidRPr="00681E66">
        <w:t>model results for sexual behaviours and recent HIV</w:t>
      </w:r>
    </w:p>
    <w:tbl>
      <w:tblPr>
        <w:tblW w:w="6920" w:type="dxa"/>
        <w:tblLook w:val="04A0" w:firstRow="1" w:lastRow="0" w:firstColumn="1" w:lastColumn="0" w:noHBand="0" w:noVBand="1"/>
      </w:tblPr>
      <w:tblGrid>
        <w:gridCol w:w="3260"/>
        <w:gridCol w:w="1840"/>
        <w:gridCol w:w="1820"/>
      </w:tblGrid>
      <w:tr w:rsidR="00A85448" w:rsidRPr="00A85448" w14:paraId="23CD4587" w14:textId="77777777" w:rsidTr="00D43AA5">
        <w:trPr>
          <w:trHeight w:val="300"/>
        </w:trPr>
        <w:tc>
          <w:tcPr>
            <w:tcW w:w="3260" w:type="dxa"/>
            <w:tcBorders>
              <w:top w:val="single" w:sz="4" w:space="0" w:color="auto"/>
              <w:left w:val="nil"/>
              <w:bottom w:val="nil"/>
              <w:right w:val="nil"/>
            </w:tcBorders>
            <w:shd w:val="clear" w:color="auto" w:fill="auto"/>
            <w:noWrap/>
            <w:vAlign w:val="bottom"/>
            <w:hideMark/>
          </w:tcPr>
          <w:p w14:paraId="603090D6" w14:textId="77777777" w:rsidR="00A85448" w:rsidRPr="00A85448" w:rsidRDefault="00A85448" w:rsidP="00A85448">
            <w:pPr>
              <w:spacing w:after="0" w:line="240" w:lineRule="auto"/>
              <w:rPr>
                <w:rFonts w:ascii="Times New Roman" w:eastAsia="Times New Roman" w:hAnsi="Times New Roman" w:cs="Times New Roman"/>
                <w:sz w:val="24"/>
                <w:szCs w:val="24"/>
                <w:lang w:eastAsia="en-GB"/>
              </w:rPr>
            </w:pPr>
          </w:p>
        </w:tc>
        <w:tc>
          <w:tcPr>
            <w:tcW w:w="1840" w:type="dxa"/>
            <w:tcBorders>
              <w:top w:val="single" w:sz="4" w:space="0" w:color="auto"/>
              <w:left w:val="nil"/>
              <w:bottom w:val="nil"/>
              <w:right w:val="nil"/>
            </w:tcBorders>
            <w:shd w:val="clear" w:color="auto" w:fill="auto"/>
            <w:noWrap/>
            <w:vAlign w:val="bottom"/>
            <w:hideMark/>
          </w:tcPr>
          <w:p w14:paraId="42314985" w14:textId="77777777" w:rsidR="00A85448" w:rsidRPr="00A85448" w:rsidRDefault="00A85448" w:rsidP="00A85448">
            <w:pPr>
              <w:spacing w:after="0" w:line="240" w:lineRule="auto"/>
              <w:rPr>
                <w:rFonts w:ascii="Calibri" w:eastAsia="Times New Roman" w:hAnsi="Calibri" w:cs="Calibri"/>
                <w:b/>
                <w:bCs/>
                <w:color w:val="000000"/>
                <w:lang w:eastAsia="en-GB"/>
              </w:rPr>
            </w:pPr>
            <w:r w:rsidRPr="00A85448">
              <w:rPr>
                <w:rFonts w:ascii="Calibri" w:eastAsia="Times New Roman" w:hAnsi="Calibri" w:cs="Calibri"/>
                <w:b/>
                <w:bCs/>
                <w:color w:val="000000"/>
                <w:lang w:eastAsia="en-GB"/>
              </w:rPr>
              <w:t>Women</w:t>
            </w:r>
          </w:p>
        </w:tc>
        <w:tc>
          <w:tcPr>
            <w:tcW w:w="1820" w:type="dxa"/>
            <w:tcBorders>
              <w:top w:val="single" w:sz="4" w:space="0" w:color="auto"/>
              <w:left w:val="nil"/>
              <w:bottom w:val="nil"/>
              <w:right w:val="nil"/>
            </w:tcBorders>
            <w:shd w:val="clear" w:color="auto" w:fill="auto"/>
            <w:noWrap/>
            <w:vAlign w:val="bottom"/>
            <w:hideMark/>
          </w:tcPr>
          <w:p w14:paraId="77DE3CBE" w14:textId="77777777" w:rsidR="00A85448" w:rsidRPr="00A85448" w:rsidRDefault="00A85448" w:rsidP="00A85448">
            <w:pPr>
              <w:spacing w:after="0" w:line="240" w:lineRule="auto"/>
              <w:rPr>
                <w:rFonts w:ascii="Calibri" w:eastAsia="Times New Roman" w:hAnsi="Calibri" w:cs="Calibri"/>
                <w:b/>
                <w:bCs/>
                <w:color w:val="000000"/>
                <w:lang w:eastAsia="en-GB"/>
              </w:rPr>
            </w:pPr>
          </w:p>
        </w:tc>
      </w:tr>
      <w:tr w:rsidR="00A85448" w:rsidRPr="00A85448" w14:paraId="43D3D6CE" w14:textId="77777777" w:rsidTr="00D43AA5">
        <w:trPr>
          <w:trHeight w:val="300"/>
        </w:trPr>
        <w:tc>
          <w:tcPr>
            <w:tcW w:w="3260" w:type="dxa"/>
            <w:tcBorders>
              <w:top w:val="nil"/>
              <w:left w:val="nil"/>
              <w:right w:val="nil"/>
            </w:tcBorders>
            <w:shd w:val="clear" w:color="auto" w:fill="auto"/>
            <w:noWrap/>
            <w:vAlign w:val="bottom"/>
            <w:hideMark/>
          </w:tcPr>
          <w:p w14:paraId="14F1134D" w14:textId="77777777" w:rsidR="00A85448" w:rsidRPr="00A85448" w:rsidRDefault="00A85448" w:rsidP="00A85448">
            <w:pPr>
              <w:spacing w:after="0" w:line="240" w:lineRule="auto"/>
              <w:rPr>
                <w:rFonts w:ascii="Times New Roman" w:eastAsia="Times New Roman" w:hAnsi="Times New Roman" w:cs="Times New Roman"/>
                <w:sz w:val="20"/>
                <w:szCs w:val="20"/>
                <w:lang w:eastAsia="en-GB"/>
              </w:rPr>
            </w:pPr>
          </w:p>
        </w:tc>
        <w:tc>
          <w:tcPr>
            <w:tcW w:w="1840" w:type="dxa"/>
            <w:tcBorders>
              <w:top w:val="nil"/>
              <w:left w:val="nil"/>
              <w:right w:val="nil"/>
            </w:tcBorders>
            <w:shd w:val="clear" w:color="auto" w:fill="auto"/>
            <w:noWrap/>
            <w:vAlign w:val="bottom"/>
            <w:hideMark/>
          </w:tcPr>
          <w:p w14:paraId="7F7E40D8" w14:textId="77777777" w:rsidR="00A85448" w:rsidRPr="00A85448" w:rsidRDefault="00A85448" w:rsidP="00A85448">
            <w:pPr>
              <w:spacing w:after="0" w:line="240" w:lineRule="auto"/>
              <w:rPr>
                <w:rFonts w:ascii="Calibri" w:eastAsia="Times New Roman" w:hAnsi="Calibri" w:cs="Calibri"/>
                <w:b/>
                <w:bCs/>
                <w:color w:val="000000"/>
                <w:lang w:eastAsia="en-GB"/>
              </w:rPr>
            </w:pPr>
            <w:r w:rsidRPr="00A85448">
              <w:rPr>
                <w:rFonts w:ascii="Calibri" w:eastAsia="Times New Roman" w:hAnsi="Calibri" w:cs="Calibri"/>
                <w:b/>
                <w:bCs/>
                <w:color w:val="000000"/>
                <w:lang w:eastAsia="en-GB"/>
              </w:rPr>
              <w:t>Rural</w:t>
            </w:r>
          </w:p>
        </w:tc>
        <w:tc>
          <w:tcPr>
            <w:tcW w:w="1820" w:type="dxa"/>
            <w:tcBorders>
              <w:top w:val="nil"/>
              <w:left w:val="nil"/>
              <w:right w:val="nil"/>
            </w:tcBorders>
            <w:shd w:val="clear" w:color="auto" w:fill="auto"/>
            <w:noWrap/>
            <w:vAlign w:val="bottom"/>
            <w:hideMark/>
          </w:tcPr>
          <w:p w14:paraId="298A9070" w14:textId="77777777" w:rsidR="00A85448" w:rsidRPr="00A85448" w:rsidRDefault="00A85448" w:rsidP="00A85448">
            <w:pPr>
              <w:spacing w:after="0" w:line="240" w:lineRule="auto"/>
              <w:rPr>
                <w:rFonts w:ascii="Calibri" w:eastAsia="Times New Roman" w:hAnsi="Calibri" w:cs="Calibri"/>
                <w:b/>
                <w:bCs/>
                <w:color w:val="000000"/>
                <w:lang w:eastAsia="en-GB"/>
              </w:rPr>
            </w:pPr>
            <w:r w:rsidRPr="00A85448">
              <w:rPr>
                <w:rFonts w:ascii="Calibri" w:eastAsia="Times New Roman" w:hAnsi="Calibri" w:cs="Calibri"/>
                <w:b/>
                <w:bCs/>
                <w:color w:val="000000"/>
                <w:lang w:eastAsia="en-GB"/>
              </w:rPr>
              <w:t>Urban</w:t>
            </w:r>
          </w:p>
        </w:tc>
      </w:tr>
      <w:tr w:rsidR="00A85448" w:rsidRPr="00A85448" w14:paraId="6EDA5962" w14:textId="77777777" w:rsidTr="00D43AA5">
        <w:trPr>
          <w:trHeight w:val="300"/>
        </w:trPr>
        <w:tc>
          <w:tcPr>
            <w:tcW w:w="3260" w:type="dxa"/>
            <w:tcBorders>
              <w:top w:val="nil"/>
              <w:left w:val="nil"/>
              <w:bottom w:val="single" w:sz="4" w:space="0" w:color="auto"/>
              <w:right w:val="nil"/>
            </w:tcBorders>
            <w:shd w:val="clear" w:color="auto" w:fill="auto"/>
            <w:noWrap/>
            <w:vAlign w:val="bottom"/>
            <w:hideMark/>
          </w:tcPr>
          <w:p w14:paraId="30E46691" w14:textId="77777777" w:rsidR="00A85448" w:rsidRPr="00A85448" w:rsidRDefault="00A85448" w:rsidP="00A85448">
            <w:pPr>
              <w:spacing w:after="0" w:line="240" w:lineRule="auto"/>
              <w:rPr>
                <w:rFonts w:ascii="Calibri" w:eastAsia="Times New Roman" w:hAnsi="Calibri" w:cs="Calibri"/>
                <w:b/>
                <w:bCs/>
                <w:color w:val="000000"/>
                <w:lang w:eastAsia="en-GB"/>
              </w:rPr>
            </w:pPr>
          </w:p>
        </w:tc>
        <w:tc>
          <w:tcPr>
            <w:tcW w:w="1840" w:type="dxa"/>
            <w:tcBorders>
              <w:top w:val="nil"/>
              <w:left w:val="nil"/>
              <w:bottom w:val="single" w:sz="4" w:space="0" w:color="auto"/>
              <w:right w:val="nil"/>
            </w:tcBorders>
            <w:shd w:val="clear" w:color="auto" w:fill="auto"/>
            <w:noWrap/>
            <w:vAlign w:val="bottom"/>
            <w:hideMark/>
          </w:tcPr>
          <w:p w14:paraId="453F9853" w14:textId="77777777" w:rsidR="00A85448" w:rsidRPr="00A85448" w:rsidRDefault="00A85448" w:rsidP="00A85448">
            <w:pPr>
              <w:spacing w:after="0" w:line="240" w:lineRule="auto"/>
              <w:rPr>
                <w:rFonts w:ascii="Calibri" w:eastAsia="Times New Roman" w:hAnsi="Calibri" w:cs="Calibri"/>
                <w:b/>
                <w:bCs/>
                <w:color w:val="000000"/>
                <w:lang w:eastAsia="en-GB"/>
              </w:rPr>
            </w:pPr>
            <w:proofErr w:type="spellStart"/>
            <w:r w:rsidRPr="00A85448">
              <w:rPr>
                <w:rFonts w:ascii="Calibri" w:eastAsia="Times New Roman" w:hAnsi="Calibri" w:cs="Calibri"/>
                <w:b/>
                <w:bCs/>
                <w:color w:val="000000"/>
                <w:lang w:eastAsia="en-GB"/>
              </w:rPr>
              <w:t>aOR</w:t>
            </w:r>
            <w:proofErr w:type="spellEnd"/>
            <w:r w:rsidRPr="00A85448">
              <w:rPr>
                <w:rFonts w:ascii="Calibri" w:eastAsia="Times New Roman" w:hAnsi="Calibri" w:cs="Calibri"/>
                <w:b/>
                <w:bCs/>
                <w:color w:val="000000"/>
                <w:lang w:eastAsia="en-GB"/>
              </w:rPr>
              <w:t xml:space="preserve"> (95% CI)</w:t>
            </w:r>
          </w:p>
        </w:tc>
        <w:tc>
          <w:tcPr>
            <w:tcW w:w="1820" w:type="dxa"/>
            <w:tcBorders>
              <w:top w:val="nil"/>
              <w:left w:val="nil"/>
              <w:bottom w:val="single" w:sz="4" w:space="0" w:color="auto"/>
              <w:right w:val="nil"/>
            </w:tcBorders>
            <w:shd w:val="clear" w:color="auto" w:fill="auto"/>
            <w:noWrap/>
            <w:vAlign w:val="bottom"/>
            <w:hideMark/>
          </w:tcPr>
          <w:p w14:paraId="33C38537" w14:textId="77777777" w:rsidR="00A85448" w:rsidRPr="00A85448" w:rsidRDefault="00A85448" w:rsidP="00A85448">
            <w:pPr>
              <w:spacing w:after="0" w:line="240" w:lineRule="auto"/>
              <w:rPr>
                <w:rFonts w:ascii="Calibri" w:eastAsia="Times New Roman" w:hAnsi="Calibri" w:cs="Calibri"/>
                <w:b/>
                <w:bCs/>
                <w:color w:val="000000"/>
                <w:lang w:eastAsia="en-GB"/>
              </w:rPr>
            </w:pPr>
            <w:proofErr w:type="spellStart"/>
            <w:r w:rsidRPr="00A85448">
              <w:rPr>
                <w:rFonts w:ascii="Calibri" w:eastAsia="Times New Roman" w:hAnsi="Calibri" w:cs="Calibri"/>
                <w:b/>
                <w:bCs/>
                <w:color w:val="000000"/>
                <w:lang w:eastAsia="en-GB"/>
              </w:rPr>
              <w:t>aOR</w:t>
            </w:r>
            <w:proofErr w:type="spellEnd"/>
            <w:r w:rsidRPr="00A85448">
              <w:rPr>
                <w:rFonts w:ascii="Calibri" w:eastAsia="Times New Roman" w:hAnsi="Calibri" w:cs="Calibri"/>
                <w:b/>
                <w:bCs/>
                <w:color w:val="000000"/>
                <w:lang w:eastAsia="en-GB"/>
              </w:rPr>
              <w:t xml:space="preserve"> (95% CI)</w:t>
            </w:r>
          </w:p>
        </w:tc>
      </w:tr>
      <w:tr w:rsidR="00A85448" w:rsidRPr="00A85448" w14:paraId="5EA31221" w14:textId="77777777" w:rsidTr="00D43AA5">
        <w:trPr>
          <w:trHeight w:val="300"/>
        </w:trPr>
        <w:tc>
          <w:tcPr>
            <w:tcW w:w="3260" w:type="dxa"/>
            <w:tcBorders>
              <w:top w:val="single" w:sz="4" w:space="0" w:color="auto"/>
              <w:left w:val="nil"/>
              <w:bottom w:val="nil"/>
              <w:right w:val="nil"/>
            </w:tcBorders>
            <w:shd w:val="clear" w:color="auto" w:fill="auto"/>
            <w:noWrap/>
            <w:vAlign w:val="bottom"/>
            <w:hideMark/>
          </w:tcPr>
          <w:p w14:paraId="49A3EC9A"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Transactional sex</w:t>
            </w:r>
          </w:p>
        </w:tc>
        <w:tc>
          <w:tcPr>
            <w:tcW w:w="1840" w:type="dxa"/>
            <w:tcBorders>
              <w:top w:val="single" w:sz="4" w:space="0" w:color="auto"/>
              <w:left w:val="nil"/>
              <w:bottom w:val="nil"/>
              <w:right w:val="nil"/>
            </w:tcBorders>
            <w:shd w:val="clear" w:color="auto" w:fill="auto"/>
            <w:noWrap/>
            <w:vAlign w:val="bottom"/>
            <w:hideMark/>
          </w:tcPr>
          <w:p w14:paraId="30B8AE48"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1.73 (0.71-4.18)</w:t>
            </w:r>
          </w:p>
        </w:tc>
        <w:tc>
          <w:tcPr>
            <w:tcW w:w="1820" w:type="dxa"/>
            <w:tcBorders>
              <w:top w:val="single" w:sz="4" w:space="0" w:color="auto"/>
              <w:left w:val="nil"/>
              <w:bottom w:val="nil"/>
              <w:right w:val="nil"/>
            </w:tcBorders>
            <w:shd w:val="clear" w:color="auto" w:fill="auto"/>
            <w:noWrap/>
            <w:vAlign w:val="bottom"/>
            <w:hideMark/>
          </w:tcPr>
          <w:p w14:paraId="3802CDEF" w14:textId="09A2EDFA"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1.61 (0.63-4.1</w:t>
            </w:r>
            <w:r w:rsidR="00681E66">
              <w:rPr>
                <w:rFonts w:ascii="Calibri" w:eastAsia="Times New Roman" w:hAnsi="Calibri" w:cs="Calibri"/>
                <w:color w:val="000000"/>
                <w:lang w:eastAsia="en-GB"/>
              </w:rPr>
              <w:t>0</w:t>
            </w:r>
            <w:r w:rsidRPr="00A85448">
              <w:rPr>
                <w:rFonts w:ascii="Calibri" w:eastAsia="Times New Roman" w:hAnsi="Calibri" w:cs="Calibri"/>
                <w:color w:val="000000"/>
                <w:lang w:eastAsia="en-GB"/>
              </w:rPr>
              <w:t>)</w:t>
            </w:r>
          </w:p>
        </w:tc>
      </w:tr>
      <w:tr w:rsidR="00A85448" w:rsidRPr="00A85448" w14:paraId="3218F625" w14:textId="77777777" w:rsidTr="00A85448">
        <w:trPr>
          <w:trHeight w:val="300"/>
        </w:trPr>
        <w:tc>
          <w:tcPr>
            <w:tcW w:w="3260" w:type="dxa"/>
            <w:tcBorders>
              <w:top w:val="nil"/>
              <w:left w:val="nil"/>
              <w:bottom w:val="nil"/>
              <w:right w:val="nil"/>
            </w:tcBorders>
            <w:shd w:val="clear" w:color="auto" w:fill="auto"/>
            <w:noWrap/>
            <w:vAlign w:val="bottom"/>
            <w:hideMark/>
          </w:tcPr>
          <w:p w14:paraId="30FB60B1"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High-risk sex</w:t>
            </w:r>
          </w:p>
        </w:tc>
        <w:tc>
          <w:tcPr>
            <w:tcW w:w="1840" w:type="dxa"/>
            <w:tcBorders>
              <w:top w:val="nil"/>
              <w:left w:val="nil"/>
              <w:bottom w:val="nil"/>
              <w:right w:val="nil"/>
            </w:tcBorders>
            <w:shd w:val="clear" w:color="auto" w:fill="auto"/>
            <w:noWrap/>
            <w:vAlign w:val="bottom"/>
            <w:hideMark/>
          </w:tcPr>
          <w:p w14:paraId="36B944F0" w14:textId="4A250FB3"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3.4</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 xml:space="preserve"> (1.34-8.59)</w:t>
            </w:r>
          </w:p>
        </w:tc>
        <w:tc>
          <w:tcPr>
            <w:tcW w:w="1820" w:type="dxa"/>
            <w:tcBorders>
              <w:top w:val="nil"/>
              <w:left w:val="nil"/>
              <w:bottom w:val="nil"/>
              <w:right w:val="nil"/>
            </w:tcBorders>
            <w:shd w:val="clear" w:color="auto" w:fill="auto"/>
            <w:noWrap/>
            <w:vAlign w:val="bottom"/>
            <w:hideMark/>
          </w:tcPr>
          <w:p w14:paraId="7C966E78" w14:textId="197C25FB"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2.86 (1.3</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-6.32)</w:t>
            </w:r>
          </w:p>
        </w:tc>
      </w:tr>
      <w:tr w:rsidR="00A85448" w:rsidRPr="00A85448" w14:paraId="5337FCDA" w14:textId="77777777" w:rsidTr="00A85448">
        <w:trPr>
          <w:trHeight w:val="300"/>
        </w:trPr>
        <w:tc>
          <w:tcPr>
            <w:tcW w:w="3260" w:type="dxa"/>
            <w:tcBorders>
              <w:top w:val="nil"/>
              <w:left w:val="nil"/>
              <w:bottom w:val="nil"/>
              <w:right w:val="nil"/>
            </w:tcBorders>
            <w:shd w:val="clear" w:color="auto" w:fill="auto"/>
            <w:noWrap/>
            <w:vAlign w:val="bottom"/>
            <w:hideMark/>
          </w:tcPr>
          <w:p w14:paraId="02A7A95C"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Intergenerational sex</w:t>
            </w:r>
          </w:p>
        </w:tc>
        <w:tc>
          <w:tcPr>
            <w:tcW w:w="1840" w:type="dxa"/>
            <w:tcBorders>
              <w:top w:val="nil"/>
              <w:left w:val="nil"/>
              <w:bottom w:val="nil"/>
              <w:right w:val="nil"/>
            </w:tcBorders>
            <w:shd w:val="clear" w:color="auto" w:fill="auto"/>
            <w:noWrap/>
            <w:vAlign w:val="bottom"/>
            <w:hideMark/>
          </w:tcPr>
          <w:p w14:paraId="7518DF92"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1.66 (0.81-3.42)</w:t>
            </w:r>
          </w:p>
        </w:tc>
        <w:tc>
          <w:tcPr>
            <w:tcW w:w="1820" w:type="dxa"/>
            <w:tcBorders>
              <w:top w:val="nil"/>
              <w:left w:val="nil"/>
              <w:bottom w:val="nil"/>
              <w:right w:val="nil"/>
            </w:tcBorders>
            <w:shd w:val="clear" w:color="auto" w:fill="auto"/>
            <w:noWrap/>
            <w:vAlign w:val="bottom"/>
            <w:hideMark/>
          </w:tcPr>
          <w:p w14:paraId="5645EA3D" w14:textId="49B9BC70"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2.6</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 xml:space="preserve"> (1.22-5.58)</w:t>
            </w:r>
          </w:p>
        </w:tc>
      </w:tr>
      <w:tr w:rsidR="00A85448" w:rsidRPr="00A85448" w14:paraId="02A8F95B" w14:textId="77777777" w:rsidTr="00A85448">
        <w:trPr>
          <w:trHeight w:val="300"/>
        </w:trPr>
        <w:tc>
          <w:tcPr>
            <w:tcW w:w="3260" w:type="dxa"/>
            <w:tcBorders>
              <w:top w:val="nil"/>
              <w:left w:val="nil"/>
              <w:bottom w:val="nil"/>
              <w:right w:val="nil"/>
            </w:tcBorders>
            <w:shd w:val="clear" w:color="auto" w:fill="auto"/>
            <w:noWrap/>
            <w:vAlign w:val="bottom"/>
            <w:hideMark/>
          </w:tcPr>
          <w:p w14:paraId="25EC171B"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Eswatini &amp; viraemia interaction</w:t>
            </w:r>
          </w:p>
        </w:tc>
        <w:tc>
          <w:tcPr>
            <w:tcW w:w="1840" w:type="dxa"/>
            <w:tcBorders>
              <w:top w:val="nil"/>
              <w:left w:val="nil"/>
              <w:bottom w:val="nil"/>
              <w:right w:val="nil"/>
            </w:tcBorders>
            <w:shd w:val="clear" w:color="auto" w:fill="auto"/>
            <w:noWrap/>
            <w:vAlign w:val="bottom"/>
            <w:hideMark/>
          </w:tcPr>
          <w:p w14:paraId="6D3F2D77"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1.16 (1.11-1.21)</w:t>
            </w:r>
          </w:p>
        </w:tc>
        <w:tc>
          <w:tcPr>
            <w:tcW w:w="1820" w:type="dxa"/>
            <w:tcBorders>
              <w:top w:val="nil"/>
              <w:left w:val="nil"/>
              <w:bottom w:val="nil"/>
              <w:right w:val="nil"/>
            </w:tcBorders>
            <w:shd w:val="clear" w:color="auto" w:fill="auto"/>
            <w:noWrap/>
            <w:vAlign w:val="bottom"/>
            <w:hideMark/>
          </w:tcPr>
          <w:p w14:paraId="2BC01316"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1.06 (0.97-1.16)</w:t>
            </w:r>
          </w:p>
        </w:tc>
      </w:tr>
      <w:tr w:rsidR="00A85448" w:rsidRPr="00A85448" w14:paraId="15B93807" w14:textId="77777777" w:rsidTr="00A85448">
        <w:trPr>
          <w:trHeight w:val="300"/>
        </w:trPr>
        <w:tc>
          <w:tcPr>
            <w:tcW w:w="3260" w:type="dxa"/>
            <w:tcBorders>
              <w:top w:val="nil"/>
              <w:left w:val="nil"/>
              <w:bottom w:val="nil"/>
              <w:right w:val="nil"/>
            </w:tcBorders>
            <w:shd w:val="clear" w:color="auto" w:fill="auto"/>
            <w:noWrap/>
            <w:vAlign w:val="bottom"/>
            <w:hideMark/>
          </w:tcPr>
          <w:p w14:paraId="2772BAAD"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Lesotho &amp; viraemia interaction</w:t>
            </w:r>
          </w:p>
        </w:tc>
        <w:tc>
          <w:tcPr>
            <w:tcW w:w="1840" w:type="dxa"/>
            <w:tcBorders>
              <w:top w:val="nil"/>
              <w:left w:val="nil"/>
              <w:bottom w:val="nil"/>
              <w:right w:val="nil"/>
            </w:tcBorders>
            <w:shd w:val="clear" w:color="auto" w:fill="auto"/>
            <w:noWrap/>
            <w:vAlign w:val="bottom"/>
            <w:hideMark/>
          </w:tcPr>
          <w:p w14:paraId="7770558A"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1.14 (1.09-1.19)</w:t>
            </w:r>
          </w:p>
        </w:tc>
        <w:tc>
          <w:tcPr>
            <w:tcW w:w="1820" w:type="dxa"/>
            <w:tcBorders>
              <w:top w:val="nil"/>
              <w:left w:val="nil"/>
              <w:bottom w:val="nil"/>
              <w:right w:val="nil"/>
            </w:tcBorders>
            <w:shd w:val="clear" w:color="auto" w:fill="auto"/>
            <w:noWrap/>
            <w:vAlign w:val="bottom"/>
            <w:hideMark/>
          </w:tcPr>
          <w:p w14:paraId="2B8E860C"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1.09 (1.04-1.14)</w:t>
            </w:r>
          </w:p>
        </w:tc>
      </w:tr>
      <w:tr w:rsidR="00A85448" w:rsidRPr="00A85448" w14:paraId="19291E77" w14:textId="77777777" w:rsidTr="00A85448">
        <w:trPr>
          <w:trHeight w:val="300"/>
        </w:trPr>
        <w:tc>
          <w:tcPr>
            <w:tcW w:w="3260" w:type="dxa"/>
            <w:tcBorders>
              <w:top w:val="nil"/>
              <w:left w:val="nil"/>
              <w:bottom w:val="nil"/>
              <w:right w:val="nil"/>
            </w:tcBorders>
            <w:shd w:val="clear" w:color="auto" w:fill="auto"/>
            <w:noWrap/>
            <w:vAlign w:val="bottom"/>
            <w:hideMark/>
          </w:tcPr>
          <w:p w14:paraId="7DA72AD3"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Tanzania &amp; viraemia interaction</w:t>
            </w:r>
          </w:p>
        </w:tc>
        <w:tc>
          <w:tcPr>
            <w:tcW w:w="1840" w:type="dxa"/>
            <w:tcBorders>
              <w:top w:val="nil"/>
              <w:left w:val="nil"/>
              <w:bottom w:val="nil"/>
              <w:right w:val="nil"/>
            </w:tcBorders>
            <w:shd w:val="clear" w:color="auto" w:fill="auto"/>
            <w:noWrap/>
            <w:vAlign w:val="bottom"/>
            <w:hideMark/>
          </w:tcPr>
          <w:p w14:paraId="1122C908"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1.16 (1.07-1.26)</w:t>
            </w:r>
          </w:p>
        </w:tc>
        <w:tc>
          <w:tcPr>
            <w:tcW w:w="1820" w:type="dxa"/>
            <w:tcBorders>
              <w:top w:val="nil"/>
              <w:left w:val="nil"/>
              <w:bottom w:val="nil"/>
              <w:right w:val="nil"/>
            </w:tcBorders>
            <w:shd w:val="clear" w:color="auto" w:fill="auto"/>
            <w:noWrap/>
            <w:vAlign w:val="bottom"/>
            <w:hideMark/>
          </w:tcPr>
          <w:p w14:paraId="7E86EC6D"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0.75 (0.57-0.97)</w:t>
            </w:r>
          </w:p>
        </w:tc>
      </w:tr>
      <w:tr w:rsidR="00A85448" w:rsidRPr="00A85448" w14:paraId="69537F7E" w14:textId="77777777" w:rsidTr="00A85448">
        <w:trPr>
          <w:trHeight w:val="300"/>
        </w:trPr>
        <w:tc>
          <w:tcPr>
            <w:tcW w:w="3260" w:type="dxa"/>
            <w:tcBorders>
              <w:top w:val="nil"/>
              <w:left w:val="nil"/>
              <w:bottom w:val="nil"/>
              <w:right w:val="nil"/>
            </w:tcBorders>
            <w:shd w:val="clear" w:color="auto" w:fill="auto"/>
            <w:noWrap/>
            <w:vAlign w:val="bottom"/>
            <w:hideMark/>
          </w:tcPr>
          <w:p w14:paraId="5982814A"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Uganda &amp; viraemia interaction</w:t>
            </w:r>
          </w:p>
        </w:tc>
        <w:tc>
          <w:tcPr>
            <w:tcW w:w="1840" w:type="dxa"/>
            <w:tcBorders>
              <w:top w:val="nil"/>
              <w:left w:val="nil"/>
              <w:bottom w:val="nil"/>
              <w:right w:val="nil"/>
            </w:tcBorders>
            <w:shd w:val="clear" w:color="auto" w:fill="auto"/>
            <w:noWrap/>
            <w:vAlign w:val="bottom"/>
            <w:hideMark/>
          </w:tcPr>
          <w:p w14:paraId="7EA6C759"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1.19 (1.06-1.34)</w:t>
            </w:r>
          </w:p>
        </w:tc>
        <w:tc>
          <w:tcPr>
            <w:tcW w:w="1820" w:type="dxa"/>
            <w:tcBorders>
              <w:top w:val="nil"/>
              <w:left w:val="nil"/>
              <w:bottom w:val="nil"/>
              <w:right w:val="nil"/>
            </w:tcBorders>
            <w:shd w:val="clear" w:color="auto" w:fill="auto"/>
            <w:noWrap/>
            <w:vAlign w:val="bottom"/>
            <w:hideMark/>
          </w:tcPr>
          <w:p w14:paraId="5F3AAEDF"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1.02 (0.86-1.22)</w:t>
            </w:r>
          </w:p>
        </w:tc>
      </w:tr>
      <w:tr w:rsidR="00A85448" w:rsidRPr="00A85448" w14:paraId="071D798E" w14:textId="77777777" w:rsidTr="00D43AA5">
        <w:trPr>
          <w:trHeight w:val="300"/>
        </w:trPr>
        <w:tc>
          <w:tcPr>
            <w:tcW w:w="3260" w:type="dxa"/>
            <w:tcBorders>
              <w:top w:val="nil"/>
              <w:left w:val="nil"/>
              <w:right w:val="nil"/>
            </w:tcBorders>
            <w:shd w:val="clear" w:color="auto" w:fill="auto"/>
            <w:noWrap/>
            <w:vAlign w:val="bottom"/>
            <w:hideMark/>
          </w:tcPr>
          <w:p w14:paraId="434F06D9"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Zambia &amp; viraemia interaction</w:t>
            </w:r>
          </w:p>
        </w:tc>
        <w:tc>
          <w:tcPr>
            <w:tcW w:w="1840" w:type="dxa"/>
            <w:tcBorders>
              <w:top w:val="nil"/>
              <w:left w:val="nil"/>
              <w:right w:val="nil"/>
            </w:tcBorders>
            <w:shd w:val="clear" w:color="auto" w:fill="auto"/>
            <w:noWrap/>
            <w:vAlign w:val="bottom"/>
            <w:hideMark/>
          </w:tcPr>
          <w:p w14:paraId="49C69942"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1.12 (1.06-1.19)</w:t>
            </w:r>
          </w:p>
        </w:tc>
        <w:tc>
          <w:tcPr>
            <w:tcW w:w="1820" w:type="dxa"/>
            <w:tcBorders>
              <w:top w:val="nil"/>
              <w:left w:val="nil"/>
              <w:right w:val="nil"/>
            </w:tcBorders>
            <w:shd w:val="clear" w:color="auto" w:fill="auto"/>
            <w:noWrap/>
            <w:vAlign w:val="bottom"/>
            <w:hideMark/>
          </w:tcPr>
          <w:p w14:paraId="62F25E6D"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1.11 (1.04-1.18)</w:t>
            </w:r>
          </w:p>
        </w:tc>
      </w:tr>
      <w:tr w:rsidR="00A85448" w:rsidRPr="00A85448" w14:paraId="1D7C9EFE" w14:textId="77777777" w:rsidTr="00D43AA5">
        <w:trPr>
          <w:trHeight w:val="300"/>
        </w:trPr>
        <w:tc>
          <w:tcPr>
            <w:tcW w:w="3260" w:type="dxa"/>
            <w:tcBorders>
              <w:top w:val="nil"/>
              <w:left w:val="nil"/>
              <w:bottom w:val="single" w:sz="4" w:space="0" w:color="auto"/>
              <w:right w:val="nil"/>
            </w:tcBorders>
            <w:shd w:val="clear" w:color="auto" w:fill="auto"/>
            <w:noWrap/>
            <w:vAlign w:val="bottom"/>
            <w:hideMark/>
          </w:tcPr>
          <w:p w14:paraId="10CCFD07"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Age (per 10-year increase)</w:t>
            </w:r>
          </w:p>
        </w:tc>
        <w:tc>
          <w:tcPr>
            <w:tcW w:w="1840" w:type="dxa"/>
            <w:tcBorders>
              <w:top w:val="nil"/>
              <w:left w:val="nil"/>
              <w:bottom w:val="single" w:sz="4" w:space="0" w:color="auto"/>
              <w:right w:val="nil"/>
            </w:tcBorders>
            <w:shd w:val="clear" w:color="auto" w:fill="auto"/>
            <w:noWrap/>
            <w:vAlign w:val="bottom"/>
            <w:hideMark/>
          </w:tcPr>
          <w:p w14:paraId="2313B11D" w14:textId="49602A4A"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1.15 (0.9</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-1.47)</w:t>
            </w:r>
          </w:p>
        </w:tc>
        <w:tc>
          <w:tcPr>
            <w:tcW w:w="1820" w:type="dxa"/>
            <w:tcBorders>
              <w:top w:val="nil"/>
              <w:left w:val="nil"/>
              <w:bottom w:val="single" w:sz="4" w:space="0" w:color="auto"/>
              <w:right w:val="nil"/>
            </w:tcBorders>
            <w:shd w:val="clear" w:color="auto" w:fill="auto"/>
            <w:noWrap/>
            <w:vAlign w:val="bottom"/>
            <w:hideMark/>
          </w:tcPr>
          <w:p w14:paraId="457E6885" w14:textId="7EA59595"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1.09 (0.86-1.4</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w:t>
            </w:r>
          </w:p>
        </w:tc>
      </w:tr>
      <w:tr w:rsidR="00A85448" w:rsidRPr="00A85448" w14:paraId="4A6CAA6A" w14:textId="77777777" w:rsidTr="00D43AA5">
        <w:trPr>
          <w:trHeight w:val="300"/>
        </w:trPr>
        <w:tc>
          <w:tcPr>
            <w:tcW w:w="3260" w:type="dxa"/>
            <w:tcBorders>
              <w:top w:val="single" w:sz="4" w:space="0" w:color="auto"/>
              <w:left w:val="nil"/>
              <w:bottom w:val="nil"/>
              <w:right w:val="nil"/>
            </w:tcBorders>
            <w:shd w:val="clear" w:color="auto" w:fill="auto"/>
            <w:noWrap/>
            <w:vAlign w:val="bottom"/>
            <w:hideMark/>
          </w:tcPr>
          <w:p w14:paraId="50EC4699" w14:textId="77777777" w:rsidR="00A85448" w:rsidRPr="00A85448" w:rsidRDefault="00A85448" w:rsidP="00A85448">
            <w:pPr>
              <w:spacing w:after="0" w:line="240" w:lineRule="auto"/>
              <w:rPr>
                <w:rFonts w:ascii="Calibri" w:eastAsia="Times New Roman" w:hAnsi="Calibri" w:cs="Calibri"/>
                <w:color w:val="000000"/>
                <w:lang w:eastAsia="en-GB"/>
              </w:rPr>
            </w:pPr>
          </w:p>
        </w:tc>
        <w:tc>
          <w:tcPr>
            <w:tcW w:w="1840" w:type="dxa"/>
            <w:tcBorders>
              <w:top w:val="single" w:sz="4" w:space="0" w:color="auto"/>
              <w:left w:val="nil"/>
              <w:bottom w:val="nil"/>
              <w:right w:val="nil"/>
            </w:tcBorders>
            <w:shd w:val="clear" w:color="auto" w:fill="auto"/>
            <w:noWrap/>
            <w:vAlign w:val="bottom"/>
            <w:hideMark/>
          </w:tcPr>
          <w:p w14:paraId="135D2AA2" w14:textId="77777777" w:rsidR="00A85448" w:rsidRPr="00A85448" w:rsidRDefault="00A85448" w:rsidP="00A85448">
            <w:pPr>
              <w:spacing w:after="0" w:line="240" w:lineRule="auto"/>
              <w:rPr>
                <w:rFonts w:ascii="Calibri" w:eastAsia="Times New Roman" w:hAnsi="Calibri" w:cs="Calibri"/>
                <w:b/>
                <w:bCs/>
                <w:color w:val="000000"/>
                <w:lang w:eastAsia="en-GB"/>
              </w:rPr>
            </w:pPr>
            <w:r w:rsidRPr="00A85448">
              <w:rPr>
                <w:rFonts w:ascii="Calibri" w:eastAsia="Times New Roman" w:hAnsi="Calibri" w:cs="Calibri"/>
                <w:b/>
                <w:bCs/>
                <w:color w:val="000000"/>
                <w:lang w:eastAsia="en-GB"/>
              </w:rPr>
              <w:t>Men</w:t>
            </w:r>
          </w:p>
        </w:tc>
        <w:tc>
          <w:tcPr>
            <w:tcW w:w="1820" w:type="dxa"/>
            <w:tcBorders>
              <w:top w:val="single" w:sz="4" w:space="0" w:color="auto"/>
              <w:left w:val="nil"/>
              <w:bottom w:val="nil"/>
              <w:right w:val="nil"/>
            </w:tcBorders>
            <w:shd w:val="clear" w:color="auto" w:fill="auto"/>
            <w:noWrap/>
            <w:vAlign w:val="bottom"/>
            <w:hideMark/>
          </w:tcPr>
          <w:p w14:paraId="78395487" w14:textId="77777777" w:rsidR="00A85448" w:rsidRPr="00A85448" w:rsidRDefault="00A85448" w:rsidP="00A85448">
            <w:pPr>
              <w:spacing w:after="0" w:line="240" w:lineRule="auto"/>
              <w:rPr>
                <w:rFonts w:ascii="Calibri" w:eastAsia="Times New Roman" w:hAnsi="Calibri" w:cs="Calibri"/>
                <w:b/>
                <w:bCs/>
                <w:color w:val="000000"/>
                <w:lang w:eastAsia="en-GB"/>
              </w:rPr>
            </w:pPr>
          </w:p>
        </w:tc>
      </w:tr>
      <w:tr w:rsidR="00A85448" w:rsidRPr="00A85448" w14:paraId="641139C0" w14:textId="77777777" w:rsidTr="00D43AA5">
        <w:trPr>
          <w:trHeight w:val="300"/>
        </w:trPr>
        <w:tc>
          <w:tcPr>
            <w:tcW w:w="3260" w:type="dxa"/>
            <w:tcBorders>
              <w:top w:val="nil"/>
              <w:left w:val="nil"/>
              <w:right w:val="nil"/>
            </w:tcBorders>
            <w:shd w:val="clear" w:color="auto" w:fill="auto"/>
            <w:noWrap/>
            <w:vAlign w:val="bottom"/>
            <w:hideMark/>
          </w:tcPr>
          <w:p w14:paraId="45D28996" w14:textId="77777777" w:rsidR="00A85448" w:rsidRPr="00A85448" w:rsidRDefault="00A85448" w:rsidP="00A85448">
            <w:pPr>
              <w:spacing w:after="0" w:line="240" w:lineRule="auto"/>
              <w:rPr>
                <w:rFonts w:ascii="Times New Roman" w:eastAsia="Times New Roman" w:hAnsi="Times New Roman" w:cs="Times New Roman"/>
                <w:sz w:val="20"/>
                <w:szCs w:val="20"/>
                <w:lang w:eastAsia="en-GB"/>
              </w:rPr>
            </w:pPr>
          </w:p>
        </w:tc>
        <w:tc>
          <w:tcPr>
            <w:tcW w:w="1840" w:type="dxa"/>
            <w:tcBorders>
              <w:top w:val="nil"/>
              <w:left w:val="nil"/>
              <w:right w:val="nil"/>
            </w:tcBorders>
            <w:shd w:val="clear" w:color="auto" w:fill="auto"/>
            <w:noWrap/>
            <w:vAlign w:val="bottom"/>
            <w:hideMark/>
          </w:tcPr>
          <w:p w14:paraId="38F51A9B" w14:textId="77777777" w:rsidR="00A85448" w:rsidRPr="00A85448" w:rsidRDefault="00A85448" w:rsidP="00A85448">
            <w:pPr>
              <w:spacing w:after="0" w:line="240" w:lineRule="auto"/>
              <w:rPr>
                <w:rFonts w:ascii="Calibri" w:eastAsia="Times New Roman" w:hAnsi="Calibri" w:cs="Calibri"/>
                <w:b/>
                <w:bCs/>
                <w:color w:val="000000"/>
                <w:lang w:eastAsia="en-GB"/>
              </w:rPr>
            </w:pPr>
            <w:r w:rsidRPr="00A85448">
              <w:rPr>
                <w:rFonts w:ascii="Calibri" w:eastAsia="Times New Roman" w:hAnsi="Calibri" w:cs="Calibri"/>
                <w:b/>
                <w:bCs/>
                <w:color w:val="000000"/>
                <w:lang w:eastAsia="en-GB"/>
              </w:rPr>
              <w:t>Rural</w:t>
            </w:r>
          </w:p>
        </w:tc>
        <w:tc>
          <w:tcPr>
            <w:tcW w:w="1820" w:type="dxa"/>
            <w:tcBorders>
              <w:top w:val="nil"/>
              <w:left w:val="nil"/>
              <w:right w:val="nil"/>
            </w:tcBorders>
            <w:shd w:val="clear" w:color="auto" w:fill="auto"/>
            <w:noWrap/>
            <w:vAlign w:val="bottom"/>
            <w:hideMark/>
          </w:tcPr>
          <w:p w14:paraId="2E0A815B" w14:textId="77777777" w:rsidR="00A85448" w:rsidRPr="00A85448" w:rsidRDefault="00A85448" w:rsidP="00A85448">
            <w:pPr>
              <w:spacing w:after="0" w:line="240" w:lineRule="auto"/>
              <w:rPr>
                <w:rFonts w:ascii="Calibri" w:eastAsia="Times New Roman" w:hAnsi="Calibri" w:cs="Calibri"/>
                <w:b/>
                <w:bCs/>
                <w:color w:val="000000"/>
                <w:lang w:eastAsia="en-GB"/>
              </w:rPr>
            </w:pPr>
            <w:r w:rsidRPr="00A85448">
              <w:rPr>
                <w:rFonts w:ascii="Calibri" w:eastAsia="Times New Roman" w:hAnsi="Calibri" w:cs="Calibri"/>
                <w:b/>
                <w:bCs/>
                <w:color w:val="000000"/>
                <w:lang w:eastAsia="en-GB"/>
              </w:rPr>
              <w:t>Urban</w:t>
            </w:r>
          </w:p>
        </w:tc>
      </w:tr>
      <w:tr w:rsidR="00A85448" w:rsidRPr="00A85448" w14:paraId="71E1543F" w14:textId="77777777" w:rsidTr="00D43AA5">
        <w:trPr>
          <w:trHeight w:val="300"/>
        </w:trPr>
        <w:tc>
          <w:tcPr>
            <w:tcW w:w="3260" w:type="dxa"/>
            <w:tcBorders>
              <w:top w:val="nil"/>
              <w:left w:val="nil"/>
              <w:bottom w:val="single" w:sz="4" w:space="0" w:color="auto"/>
              <w:right w:val="nil"/>
            </w:tcBorders>
            <w:shd w:val="clear" w:color="auto" w:fill="auto"/>
            <w:noWrap/>
            <w:vAlign w:val="bottom"/>
            <w:hideMark/>
          </w:tcPr>
          <w:p w14:paraId="03E175B6" w14:textId="77777777" w:rsidR="00A85448" w:rsidRPr="00A85448" w:rsidRDefault="00A85448" w:rsidP="00A85448">
            <w:pPr>
              <w:spacing w:after="0" w:line="240" w:lineRule="auto"/>
              <w:rPr>
                <w:rFonts w:ascii="Calibri" w:eastAsia="Times New Roman" w:hAnsi="Calibri" w:cs="Calibri"/>
                <w:b/>
                <w:bCs/>
                <w:color w:val="000000"/>
                <w:lang w:eastAsia="en-GB"/>
              </w:rPr>
            </w:pPr>
          </w:p>
        </w:tc>
        <w:tc>
          <w:tcPr>
            <w:tcW w:w="1840" w:type="dxa"/>
            <w:tcBorders>
              <w:top w:val="nil"/>
              <w:left w:val="nil"/>
              <w:bottom w:val="single" w:sz="4" w:space="0" w:color="auto"/>
              <w:right w:val="nil"/>
            </w:tcBorders>
            <w:shd w:val="clear" w:color="auto" w:fill="auto"/>
            <w:noWrap/>
            <w:vAlign w:val="bottom"/>
            <w:hideMark/>
          </w:tcPr>
          <w:p w14:paraId="7B6D7D5D" w14:textId="77777777" w:rsidR="00A85448" w:rsidRPr="00A85448" w:rsidRDefault="00A85448" w:rsidP="00A85448">
            <w:pPr>
              <w:spacing w:after="0" w:line="240" w:lineRule="auto"/>
              <w:rPr>
                <w:rFonts w:ascii="Calibri" w:eastAsia="Times New Roman" w:hAnsi="Calibri" w:cs="Calibri"/>
                <w:b/>
                <w:bCs/>
                <w:color w:val="000000"/>
                <w:lang w:eastAsia="en-GB"/>
              </w:rPr>
            </w:pPr>
            <w:proofErr w:type="spellStart"/>
            <w:r w:rsidRPr="00A85448">
              <w:rPr>
                <w:rFonts w:ascii="Calibri" w:eastAsia="Times New Roman" w:hAnsi="Calibri" w:cs="Calibri"/>
                <w:b/>
                <w:bCs/>
                <w:color w:val="000000"/>
                <w:lang w:eastAsia="en-GB"/>
              </w:rPr>
              <w:t>aOR</w:t>
            </w:r>
            <w:proofErr w:type="spellEnd"/>
            <w:r w:rsidRPr="00A85448">
              <w:rPr>
                <w:rFonts w:ascii="Calibri" w:eastAsia="Times New Roman" w:hAnsi="Calibri" w:cs="Calibri"/>
                <w:b/>
                <w:bCs/>
                <w:color w:val="000000"/>
                <w:lang w:eastAsia="en-GB"/>
              </w:rPr>
              <w:t xml:space="preserve"> (95% CI)</w:t>
            </w:r>
          </w:p>
        </w:tc>
        <w:tc>
          <w:tcPr>
            <w:tcW w:w="1820" w:type="dxa"/>
            <w:tcBorders>
              <w:top w:val="nil"/>
              <w:left w:val="nil"/>
              <w:bottom w:val="single" w:sz="4" w:space="0" w:color="auto"/>
              <w:right w:val="nil"/>
            </w:tcBorders>
            <w:shd w:val="clear" w:color="auto" w:fill="auto"/>
            <w:noWrap/>
            <w:vAlign w:val="bottom"/>
            <w:hideMark/>
          </w:tcPr>
          <w:p w14:paraId="326F461B" w14:textId="77777777" w:rsidR="00A85448" w:rsidRPr="00A85448" w:rsidRDefault="00A85448" w:rsidP="00A85448">
            <w:pPr>
              <w:spacing w:after="0" w:line="240" w:lineRule="auto"/>
              <w:rPr>
                <w:rFonts w:ascii="Calibri" w:eastAsia="Times New Roman" w:hAnsi="Calibri" w:cs="Calibri"/>
                <w:b/>
                <w:bCs/>
                <w:color w:val="000000"/>
                <w:lang w:eastAsia="en-GB"/>
              </w:rPr>
            </w:pPr>
            <w:proofErr w:type="spellStart"/>
            <w:r w:rsidRPr="00A85448">
              <w:rPr>
                <w:rFonts w:ascii="Calibri" w:eastAsia="Times New Roman" w:hAnsi="Calibri" w:cs="Calibri"/>
                <w:b/>
                <w:bCs/>
                <w:color w:val="000000"/>
                <w:lang w:eastAsia="en-GB"/>
              </w:rPr>
              <w:t>aOR</w:t>
            </w:r>
            <w:proofErr w:type="spellEnd"/>
            <w:r w:rsidRPr="00A85448">
              <w:rPr>
                <w:rFonts w:ascii="Calibri" w:eastAsia="Times New Roman" w:hAnsi="Calibri" w:cs="Calibri"/>
                <w:b/>
                <w:bCs/>
                <w:color w:val="000000"/>
                <w:lang w:eastAsia="en-GB"/>
              </w:rPr>
              <w:t xml:space="preserve"> (95% CI)</w:t>
            </w:r>
          </w:p>
        </w:tc>
      </w:tr>
      <w:tr w:rsidR="00A85448" w:rsidRPr="00A85448" w14:paraId="2B47D1D4" w14:textId="77777777" w:rsidTr="00D43AA5">
        <w:trPr>
          <w:trHeight w:val="300"/>
        </w:trPr>
        <w:tc>
          <w:tcPr>
            <w:tcW w:w="3260" w:type="dxa"/>
            <w:tcBorders>
              <w:top w:val="single" w:sz="4" w:space="0" w:color="auto"/>
              <w:left w:val="nil"/>
              <w:bottom w:val="nil"/>
              <w:right w:val="nil"/>
            </w:tcBorders>
            <w:shd w:val="clear" w:color="auto" w:fill="auto"/>
            <w:noWrap/>
            <w:vAlign w:val="bottom"/>
            <w:hideMark/>
          </w:tcPr>
          <w:p w14:paraId="6C69D7F1"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Transactional sex</w:t>
            </w:r>
          </w:p>
        </w:tc>
        <w:tc>
          <w:tcPr>
            <w:tcW w:w="1840" w:type="dxa"/>
            <w:tcBorders>
              <w:top w:val="single" w:sz="4" w:space="0" w:color="auto"/>
              <w:left w:val="nil"/>
              <w:bottom w:val="nil"/>
              <w:right w:val="nil"/>
            </w:tcBorders>
            <w:shd w:val="clear" w:color="auto" w:fill="auto"/>
            <w:noWrap/>
            <w:vAlign w:val="bottom"/>
            <w:hideMark/>
          </w:tcPr>
          <w:p w14:paraId="338E177C" w14:textId="334B84D3"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0.97 (0.2</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-4.66)</w:t>
            </w:r>
          </w:p>
        </w:tc>
        <w:tc>
          <w:tcPr>
            <w:tcW w:w="1820" w:type="dxa"/>
            <w:tcBorders>
              <w:top w:val="single" w:sz="4" w:space="0" w:color="auto"/>
              <w:left w:val="nil"/>
              <w:bottom w:val="nil"/>
              <w:right w:val="nil"/>
            </w:tcBorders>
            <w:shd w:val="clear" w:color="auto" w:fill="auto"/>
            <w:noWrap/>
            <w:vAlign w:val="bottom"/>
            <w:hideMark/>
          </w:tcPr>
          <w:p w14:paraId="6D27CF47"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0.35 (0.04-3.09)</w:t>
            </w:r>
          </w:p>
        </w:tc>
      </w:tr>
      <w:tr w:rsidR="00A85448" w:rsidRPr="00A85448" w14:paraId="621FC191" w14:textId="77777777" w:rsidTr="00A85448">
        <w:trPr>
          <w:trHeight w:val="300"/>
        </w:trPr>
        <w:tc>
          <w:tcPr>
            <w:tcW w:w="3260" w:type="dxa"/>
            <w:tcBorders>
              <w:top w:val="nil"/>
              <w:left w:val="nil"/>
              <w:bottom w:val="nil"/>
              <w:right w:val="nil"/>
            </w:tcBorders>
            <w:shd w:val="clear" w:color="auto" w:fill="auto"/>
            <w:noWrap/>
            <w:vAlign w:val="bottom"/>
            <w:hideMark/>
          </w:tcPr>
          <w:p w14:paraId="7D496F61"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High-risk sex</w:t>
            </w:r>
          </w:p>
        </w:tc>
        <w:tc>
          <w:tcPr>
            <w:tcW w:w="1840" w:type="dxa"/>
            <w:tcBorders>
              <w:top w:val="nil"/>
              <w:left w:val="nil"/>
              <w:bottom w:val="nil"/>
              <w:right w:val="nil"/>
            </w:tcBorders>
            <w:shd w:val="clear" w:color="auto" w:fill="auto"/>
            <w:noWrap/>
            <w:vAlign w:val="bottom"/>
            <w:hideMark/>
          </w:tcPr>
          <w:p w14:paraId="0542D361"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1.39 (0.39-4.98)</w:t>
            </w:r>
          </w:p>
        </w:tc>
        <w:tc>
          <w:tcPr>
            <w:tcW w:w="1820" w:type="dxa"/>
            <w:tcBorders>
              <w:top w:val="nil"/>
              <w:left w:val="nil"/>
              <w:bottom w:val="nil"/>
              <w:right w:val="nil"/>
            </w:tcBorders>
            <w:shd w:val="clear" w:color="auto" w:fill="auto"/>
            <w:noWrap/>
            <w:vAlign w:val="bottom"/>
            <w:hideMark/>
          </w:tcPr>
          <w:p w14:paraId="6FB3DC85"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3.81 (0.85-17.12)</w:t>
            </w:r>
          </w:p>
        </w:tc>
      </w:tr>
      <w:tr w:rsidR="00A85448" w:rsidRPr="00A85448" w14:paraId="7FC7728C" w14:textId="77777777" w:rsidTr="00A85448">
        <w:trPr>
          <w:trHeight w:val="300"/>
        </w:trPr>
        <w:tc>
          <w:tcPr>
            <w:tcW w:w="3260" w:type="dxa"/>
            <w:tcBorders>
              <w:top w:val="nil"/>
              <w:left w:val="nil"/>
              <w:bottom w:val="nil"/>
              <w:right w:val="nil"/>
            </w:tcBorders>
            <w:shd w:val="clear" w:color="auto" w:fill="auto"/>
            <w:noWrap/>
            <w:vAlign w:val="bottom"/>
            <w:hideMark/>
          </w:tcPr>
          <w:p w14:paraId="7751BD33"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Intergenerational sex</w:t>
            </w:r>
          </w:p>
        </w:tc>
        <w:tc>
          <w:tcPr>
            <w:tcW w:w="1840" w:type="dxa"/>
            <w:tcBorders>
              <w:top w:val="nil"/>
              <w:left w:val="nil"/>
              <w:bottom w:val="nil"/>
              <w:right w:val="nil"/>
            </w:tcBorders>
            <w:shd w:val="clear" w:color="auto" w:fill="auto"/>
            <w:noWrap/>
            <w:vAlign w:val="bottom"/>
            <w:hideMark/>
          </w:tcPr>
          <w:p w14:paraId="15D45274"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1.84 (0.68-4.99)</w:t>
            </w:r>
          </w:p>
        </w:tc>
        <w:tc>
          <w:tcPr>
            <w:tcW w:w="1820" w:type="dxa"/>
            <w:tcBorders>
              <w:top w:val="nil"/>
              <w:left w:val="nil"/>
              <w:bottom w:val="nil"/>
              <w:right w:val="nil"/>
            </w:tcBorders>
            <w:shd w:val="clear" w:color="auto" w:fill="auto"/>
            <w:noWrap/>
            <w:vAlign w:val="bottom"/>
            <w:hideMark/>
          </w:tcPr>
          <w:p w14:paraId="0D6BE89C"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1.92 (0.47-7.83)</w:t>
            </w:r>
          </w:p>
        </w:tc>
      </w:tr>
      <w:tr w:rsidR="00A85448" w:rsidRPr="00A85448" w14:paraId="7C0BC8F0" w14:textId="77777777" w:rsidTr="00A85448">
        <w:trPr>
          <w:trHeight w:val="300"/>
        </w:trPr>
        <w:tc>
          <w:tcPr>
            <w:tcW w:w="3260" w:type="dxa"/>
            <w:tcBorders>
              <w:top w:val="nil"/>
              <w:left w:val="nil"/>
              <w:bottom w:val="nil"/>
              <w:right w:val="nil"/>
            </w:tcBorders>
            <w:shd w:val="clear" w:color="auto" w:fill="auto"/>
            <w:noWrap/>
            <w:vAlign w:val="bottom"/>
            <w:hideMark/>
          </w:tcPr>
          <w:p w14:paraId="218268CF"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Eswatini &amp; viraemia interaction</w:t>
            </w:r>
          </w:p>
        </w:tc>
        <w:tc>
          <w:tcPr>
            <w:tcW w:w="1840" w:type="dxa"/>
            <w:tcBorders>
              <w:top w:val="nil"/>
              <w:left w:val="nil"/>
              <w:bottom w:val="nil"/>
              <w:right w:val="nil"/>
            </w:tcBorders>
            <w:shd w:val="clear" w:color="auto" w:fill="auto"/>
            <w:noWrap/>
            <w:vAlign w:val="bottom"/>
            <w:hideMark/>
          </w:tcPr>
          <w:p w14:paraId="22FBA218"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1.09 (0.99-1.21)</w:t>
            </w:r>
          </w:p>
        </w:tc>
        <w:tc>
          <w:tcPr>
            <w:tcW w:w="1820" w:type="dxa"/>
            <w:tcBorders>
              <w:top w:val="nil"/>
              <w:left w:val="nil"/>
              <w:bottom w:val="nil"/>
              <w:right w:val="nil"/>
            </w:tcBorders>
            <w:shd w:val="clear" w:color="auto" w:fill="auto"/>
            <w:noWrap/>
            <w:vAlign w:val="bottom"/>
            <w:hideMark/>
          </w:tcPr>
          <w:p w14:paraId="2A8644D7"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1.16 (1.06-1.26)</w:t>
            </w:r>
          </w:p>
        </w:tc>
      </w:tr>
      <w:tr w:rsidR="00A85448" w:rsidRPr="00A85448" w14:paraId="6F86A1AD" w14:textId="77777777" w:rsidTr="00A85448">
        <w:trPr>
          <w:trHeight w:val="300"/>
        </w:trPr>
        <w:tc>
          <w:tcPr>
            <w:tcW w:w="3260" w:type="dxa"/>
            <w:tcBorders>
              <w:top w:val="nil"/>
              <w:left w:val="nil"/>
              <w:bottom w:val="nil"/>
              <w:right w:val="nil"/>
            </w:tcBorders>
            <w:shd w:val="clear" w:color="auto" w:fill="auto"/>
            <w:noWrap/>
            <w:vAlign w:val="bottom"/>
            <w:hideMark/>
          </w:tcPr>
          <w:p w14:paraId="6B28A169"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Lesotho &amp; viraemia interaction</w:t>
            </w:r>
          </w:p>
        </w:tc>
        <w:tc>
          <w:tcPr>
            <w:tcW w:w="1840" w:type="dxa"/>
            <w:tcBorders>
              <w:top w:val="nil"/>
              <w:left w:val="nil"/>
              <w:bottom w:val="nil"/>
              <w:right w:val="nil"/>
            </w:tcBorders>
            <w:shd w:val="clear" w:color="auto" w:fill="auto"/>
            <w:noWrap/>
            <w:vAlign w:val="bottom"/>
            <w:hideMark/>
          </w:tcPr>
          <w:p w14:paraId="10C52DA9" w14:textId="46CC2766"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1.14 (1.08-1.2</w:t>
            </w:r>
            <w:r>
              <w:rPr>
                <w:rFonts w:ascii="Calibri" w:eastAsia="Times New Roman" w:hAnsi="Calibri" w:cs="Calibri"/>
                <w:color w:val="000000"/>
                <w:lang w:eastAsia="en-GB"/>
              </w:rPr>
              <w:t>0</w:t>
            </w:r>
            <w:r w:rsidRPr="00A85448">
              <w:rPr>
                <w:rFonts w:ascii="Calibri" w:eastAsia="Times New Roman" w:hAnsi="Calibri" w:cs="Calibri"/>
                <w:color w:val="000000"/>
                <w:lang w:eastAsia="en-GB"/>
              </w:rPr>
              <w:t>)</w:t>
            </w:r>
          </w:p>
        </w:tc>
        <w:tc>
          <w:tcPr>
            <w:tcW w:w="1820" w:type="dxa"/>
            <w:tcBorders>
              <w:top w:val="nil"/>
              <w:left w:val="nil"/>
              <w:bottom w:val="nil"/>
              <w:right w:val="nil"/>
            </w:tcBorders>
            <w:shd w:val="clear" w:color="auto" w:fill="auto"/>
            <w:noWrap/>
            <w:vAlign w:val="bottom"/>
            <w:hideMark/>
          </w:tcPr>
          <w:p w14:paraId="77757140"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1.08 (1.01-1.16)</w:t>
            </w:r>
          </w:p>
        </w:tc>
      </w:tr>
      <w:tr w:rsidR="00A85448" w:rsidRPr="00A85448" w14:paraId="018B270C" w14:textId="77777777" w:rsidTr="00A85448">
        <w:trPr>
          <w:trHeight w:val="300"/>
        </w:trPr>
        <w:tc>
          <w:tcPr>
            <w:tcW w:w="3260" w:type="dxa"/>
            <w:tcBorders>
              <w:top w:val="nil"/>
              <w:left w:val="nil"/>
              <w:bottom w:val="nil"/>
              <w:right w:val="nil"/>
            </w:tcBorders>
            <w:shd w:val="clear" w:color="auto" w:fill="auto"/>
            <w:noWrap/>
            <w:vAlign w:val="bottom"/>
            <w:hideMark/>
          </w:tcPr>
          <w:p w14:paraId="1AF56CC0"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Tanzania &amp; viraemia interaction</w:t>
            </w:r>
          </w:p>
        </w:tc>
        <w:tc>
          <w:tcPr>
            <w:tcW w:w="1840" w:type="dxa"/>
            <w:tcBorders>
              <w:top w:val="nil"/>
              <w:left w:val="nil"/>
              <w:bottom w:val="nil"/>
              <w:right w:val="nil"/>
            </w:tcBorders>
            <w:shd w:val="clear" w:color="auto" w:fill="auto"/>
            <w:noWrap/>
            <w:vAlign w:val="bottom"/>
            <w:hideMark/>
          </w:tcPr>
          <w:p w14:paraId="5459C1D0"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1.14 (0.97-1.34)</w:t>
            </w:r>
          </w:p>
        </w:tc>
        <w:tc>
          <w:tcPr>
            <w:tcW w:w="1820" w:type="dxa"/>
            <w:tcBorders>
              <w:top w:val="nil"/>
              <w:left w:val="nil"/>
              <w:bottom w:val="nil"/>
              <w:right w:val="nil"/>
            </w:tcBorders>
            <w:shd w:val="clear" w:color="auto" w:fill="auto"/>
            <w:noWrap/>
            <w:vAlign w:val="bottom"/>
            <w:hideMark/>
          </w:tcPr>
          <w:p w14:paraId="126D2E05"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0.65 (0.29-1.44)</w:t>
            </w:r>
          </w:p>
        </w:tc>
      </w:tr>
      <w:tr w:rsidR="00A85448" w:rsidRPr="00A85448" w14:paraId="724CC112" w14:textId="77777777" w:rsidTr="00A85448">
        <w:trPr>
          <w:trHeight w:val="300"/>
        </w:trPr>
        <w:tc>
          <w:tcPr>
            <w:tcW w:w="3260" w:type="dxa"/>
            <w:tcBorders>
              <w:top w:val="nil"/>
              <w:left w:val="nil"/>
              <w:bottom w:val="nil"/>
              <w:right w:val="nil"/>
            </w:tcBorders>
            <w:shd w:val="clear" w:color="auto" w:fill="auto"/>
            <w:noWrap/>
            <w:vAlign w:val="bottom"/>
            <w:hideMark/>
          </w:tcPr>
          <w:p w14:paraId="5265B7CC"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Uganda &amp; viraemia interaction</w:t>
            </w:r>
          </w:p>
        </w:tc>
        <w:tc>
          <w:tcPr>
            <w:tcW w:w="1840" w:type="dxa"/>
            <w:tcBorders>
              <w:top w:val="nil"/>
              <w:left w:val="nil"/>
              <w:bottom w:val="nil"/>
              <w:right w:val="nil"/>
            </w:tcBorders>
            <w:shd w:val="clear" w:color="auto" w:fill="auto"/>
            <w:noWrap/>
            <w:vAlign w:val="bottom"/>
            <w:hideMark/>
          </w:tcPr>
          <w:p w14:paraId="2348EF0B"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1.23 (1.08-1.42)</w:t>
            </w:r>
          </w:p>
        </w:tc>
        <w:tc>
          <w:tcPr>
            <w:tcW w:w="1820" w:type="dxa"/>
            <w:tcBorders>
              <w:top w:val="nil"/>
              <w:left w:val="nil"/>
              <w:bottom w:val="nil"/>
              <w:right w:val="nil"/>
            </w:tcBorders>
            <w:shd w:val="clear" w:color="auto" w:fill="auto"/>
            <w:noWrap/>
            <w:vAlign w:val="bottom"/>
            <w:hideMark/>
          </w:tcPr>
          <w:p w14:paraId="40074772"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1.19 (0.96-1.47)</w:t>
            </w:r>
          </w:p>
        </w:tc>
      </w:tr>
      <w:tr w:rsidR="00A85448" w:rsidRPr="00A85448" w14:paraId="19FB7D3C" w14:textId="77777777" w:rsidTr="00D43AA5">
        <w:trPr>
          <w:trHeight w:val="300"/>
        </w:trPr>
        <w:tc>
          <w:tcPr>
            <w:tcW w:w="3260" w:type="dxa"/>
            <w:tcBorders>
              <w:top w:val="nil"/>
              <w:left w:val="nil"/>
              <w:right w:val="nil"/>
            </w:tcBorders>
            <w:shd w:val="clear" w:color="auto" w:fill="auto"/>
            <w:noWrap/>
            <w:vAlign w:val="bottom"/>
            <w:hideMark/>
          </w:tcPr>
          <w:p w14:paraId="0597B585"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Zambia &amp; viraemia interaction</w:t>
            </w:r>
          </w:p>
        </w:tc>
        <w:tc>
          <w:tcPr>
            <w:tcW w:w="1840" w:type="dxa"/>
            <w:tcBorders>
              <w:top w:val="nil"/>
              <w:left w:val="nil"/>
              <w:right w:val="nil"/>
            </w:tcBorders>
            <w:shd w:val="clear" w:color="auto" w:fill="auto"/>
            <w:noWrap/>
            <w:vAlign w:val="bottom"/>
            <w:hideMark/>
          </w:tcPr>
          <w:p w14:paraId="281B6B09" w14:textId="0FA41191"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1.05 (0.92-1.2</w:t>
            </w:r>
            <w:r w:rsidR="00681E66">
              <w:rPr>
                <w:rFonts w:ascii="Calibri" w:eastAsia="Times New Roman" w:hAnsi="Calibri" w:cs="Calibri"/>
                <w:color w:val="000000"/>
                <w:lang w:eastAsia="en-GB"/>
              </w:rPr>
              <w:t>0</w:t>
            </w:r>
            <w:r w:rsidRPr="00A85448">
              <w:rPr>
                <w:rFonts w:ascii="Calibri" w:eastAsia="Times New Roman" w:hAnsi="Calibri" w:cs="Calibri"/>
                <w:color w:val="000000"/>
                <w:lang w:eastAsia="en-GB"/>
              </w:rPr>
              <w:t>)</w:t>
            </w:r>
          </w:p>
        </w:tc>
        <w:tc>
          <w:tcPr>
            <w:tcW w:w="1820" w:type="dxa"/>
            <w:tcBorders>
              <w:top w:val="nil"/>
              <w:left w:val="nil"/>
              <w:right w:val="nil"/>
            </w:tcBorders>
            <w:shd w:val="clear" w:color="auto" w:fill="auto"/>
            <w:noWrap/>
            <w:vAlign w:val="bottom"/>
            <w:hideMark/>
          </w:tcPr>
          <w:p w14:paraId="3EE60931"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1.01 (0.88-1.15)</w:t>
            </w:r>
          </w:p>
        </w:tc>
      </w:tr>
      <w:tr w:rsidR="00A85448" w:rsidRPr="00A85448" w14:paraId="51262F0F" w14:textId="77777777" w:rsidTr="00D43AA5">
        <w:trPr>
          <w:trHeight w:val="300"/>
        </w:trPr>
        <w:tc>
          <w:tcPr>
            <w:tcW w:w="3260" w:type="dxa"/>
            <w:tcBorders>
              <w:top w:val="nil"/>
              <w:left w:val="nil"/>
              <w:bottom w:val="single" w:sz="4" w:space="0" w:color="auto"/>
              <w:right w:val="nil"/>
            </w:tcBorders>
            <w:shd w:val="clear" w:color="auto" w:fill="auto"/>
            <w:noWrap/>
            <w:vAlign w:val="bottom"/>
            <w:hideMark/>
          </w:tcPr>
          <w:p w14:paraId="600037DE" w14:textId="77777777"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Age (per 10-year increase)</w:t>
            </w:r>
          </w:p>
        </w:tc>
        <w:tc>
          <w:tcPr>
            <w:tcW w:w="1840" w:type="dxa"/>
            <w:tcBorders>
              <w:top w:val="nil"/>
              <w:left w:val="nil"/>
              <w:bottom w:val="single" w:sz="4" w:space="0" w:color="auto"/>
              <w:right w:val="nil"/>
            </w:tcBorders>
            <w:shd w:val="clear" w:color="auto" w:fill="auto"/>
            <w:noWrap/>
            <w:vAlign w:val="bottom"/>
            <w:hideMark/>
          </w:tcPr>
          <w:p w14:paraId="036C2E06" w14:textId="270C7F22"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1.52 (1.15-2</w:t>
            </w:r>
            <w:r w:rsidR="00681E66">
              <w:rPr>
                <w:rFonts w:ascii="Calibri" w:eastAsia="Times New Roman" w:hAnsi="Calibri" w:cs="Calibri"/>
                <w:color w:val="000000"/>
                <w:lang w:eastAsia="en-GB"/>
              </w:rPr>
              <w:t>.00</w:t>
            </w:r>
            <w:r w:rsidRPr="00A85448">
              <w:rPr>
                <w:rFonts w:ascii="Calibri" w:eastAsia="Times New Roman" w:hAnsi="Calibri" w:cs="Calibri"/>
                <w:color w:val="000000"/>
                <w:lang w:eastAsia="en-GB"/>
              </w:rPr>
              <w:t>)</w:t>
            </w:r>
          </w:p>
        </w:tc>
        <w:tc>
          <w:tcPr>
            <w:tcW w:w="1820" w:type="dxa"/>
            <w:tcBorders>
              <w:top w:val="nil"/>
              <w:left w:val="nil"/>
              <w:bottom w:val="single" w:sz="4" w:space="0" w:color="auto"/>
              <w:right w:val="nil"/>
            </w:tcBorders>
            <w:shd w:val="clear" w:color="auto" w:fill="auto"/>
            <w:noWrap/>
            <w:vAlign w:val="bottom"/>
            <w:hideMark/>
          </w:tcPr>
          <w:p w14:paraId="682E3EA5" w14:textId="4CD046D6" w:rsidR="00A85448" w:rsidRPr="00A85448" w:rsidRDefault="00A85448" w:rsidP="00A85448">
            <w:pPr>
              <w:spacing w:after="0" w:line="240" w:lineRule="auto"/>
              <w:rPr>
                <w:rFonts w:ascii="Calibri" w:eastAsia="Times New Roman" w:hAnsi="Calibri" w:cs="Calibri"/>
                <w:color w:val="000000"/>
                <w:lang w:eastAsia="en-GB"/>
              </w:rPr>
            </w:pPr>
            <w:r w:rsidRPr="00A85448">
              <w:rPr>
                <w:rFonts w:ascii="Calibri" w:eastAsia="Times New Roman" w:hAnsi="Calibri" w:cs="Calibri"/>
                <w:color w:val="000000"/>
                <w:lang w:eastAsia="en-GB"/>
              </w:rPr>
              <w:t>1.38 (0.86-2.2</w:t>
            </w:r>
            <w:r w:rsidR="00681E66">
              <w:rPr>
                <w:rFonts w:ascii="Calibri" w:eastAsia="Times New Roman" w:hAnsi="Calibri" w:cs="Calibri"/>
                <w:color w:val="000000"/>
                <w:lang w:eastAsia="en-GB"/>
              </w:rPr>
              <w:t>0</w:t>
            </w:r>
            <w:r w:rsidRPr="00A85448">
              <w:rPr>
                <w:rFonts w:ascii="Calibri" w:eastAsia="Times New Roman" w:hAnsi="Calibri" w:cs="Calibri"/>
                <w:color w:val="000000"/>
                <w:lang w:eastAsia="en-GB"/>
              </w:rPr>
              <w:t>)</w:t>
            </w:r>
          </w:p>
        </w:tc>
      </w:tr>
    </w:tbl>
    <w:p w14:paraId="6E0DBD4F" w14:textId="77777777" w:rsidR="00A85448" w:rsidRDefault="00A85448" w:rsidP="008C1163"/>
    <w:p w14:paraId="5B4606B8" w14:textId="77777777" w:rsidR="003E1BC1" w:rsidRDefault="003E1BC1" w:rsidP="008C1163"/>
    <w:p w14:paraId="2D4D02BC" w14:textId="77777777" w:rsidR="003E1BC1" w:rsidRDefault="003E1BC1">
      <w:r>
        <w:br w:type="page"/>
      </w:r>
    </w:p>
    <w:p w14:paraId="29CB20F4" w14:textId="51AD6B14" w:rsidR="003001B6" w:rsidRPr="00E31B0F" w:rsidRDefault="003001B6" w:rsidP="003001B6">
      <w:r w:rsidRPr="00D43AA5">
        <w:rPr>
          <w:b/>
          <w:bCs/>
        </w:rPr>
        <w:lastRenderedPageBreak/>
        <w:t xml:space="preserve">Supplementary table </w:t>
      </w:r>
      <w:r w:rsidR="00085EED">
        <w:rPr>
          <w:b/>
          <w:bCs/>
        </w:rPr>
        <w:t>10</w:t>
      </w:r>
      <w:r w:rsidRPr="00D43AA5">
        <w:rPr>
          <w:b/>
          <w:bCs/>
        </w:rPr>
        <w:t>:</w:t>
      </w:r>
      <w:r>
        <w:t xml:space="preserve"> Sensitivity analyses </w:t>
      </w:r>
      <w:r w:rsidR="005F51F8">
        <w:t xml:space="preserve">for the association between </w:t>
      </w:r>
      <w:r>
        <w:t>drought and recent HIV</w:t>
      </w:r>
    </w:p>
    <w:tbl>
      <w:tblPr>
        <w:tblW w:w="9620" w:type="dxa"/>
        <w:tblLook w:val="04A0" w:firstRow="1" w:lastRow="0" w:firstColumn="1" w:lastColumn="0" w:noHBand="0" w:noVBand="1"/>
      </w:tblPr>
      <w:tblGrid>
        <w:gridCol w:w="2260"/>
        <w:gridCol w:w="1777"/>
        <w:gridCol w:w="3257"/>
        <w:gridCol w:w="2326"/>
      </w:tblGrid>
      <w:tr w:rsidR="00D07F6C" w:rsidRPr="00D07F6C" w14:paraId="2412B8E8" w14:textId="77777777" w:rsidTr="00D07F6C">
        <w:trPr>
          <w:trHeight w:val="300"/>
        </w:trPr>
        <w:tc>
          <w:tcPr>
            <w:tcW w:w="2260" w:type="dxa"/>
            <w:tcBorders>
              <w:top w:val="single" w:sz="4" w:space="0" w:color="auto"/>
              <w:left w:val="nil"/>
              <w:bottom w:val="nil"/>
              <w:right w:val="nil"/>
            </w:tcBorders>
            <w:shd w:val="clear" w:color="auto" w:fill="auto"/>
            <w:noWrap/>
            <w:vAlign w:val="bottom"/>
            <w:hideMark/>
          </w:tcPr>
          <w:p w14:paraId="372EB39A"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 </w:t>
            </w:r>
          </w:p>
        </w:tc>
        <w:tc>
          <w:tcPr>
            <w:tcW w:w="7360" w:type="dxa"/>
            <w:gridSpan w:val="3"/>
            <w:tcBorders>
              <w:top w:val="single" w:sz="4" w:space="0" w:color="auto"/>
              <w:left w:val="nil"/>
              <w:bottom w:val="nil"/>
              <w:right w:val="nil"/>
            </w:tcBorders>
            <w:shd w:val="clear" w:color="auto" w:fill="auto"/>
            <w:noWrap/>
            <w:vAlign w:val="bottom"/>
            <w:hideMark/>
          </w:tcPr>
          <w:p w14:paraId="15ACDFCF" w14:textId="31E0597D" w:rsidR="00D07F6C" w:rsidRPr="00D07F6C" w:rsidRDefault="00D07F6C" w:rsidP="00D07F6C">
            <w:pPr>
              <w:spacing w:after="0" w:line="240" w:lineRule="auto"/>
              <w:rPr>
                <w:rFonts w:ascii="Calibri" w:eastAsia="Times New Roman" w:hAnsi="Calibri" w:cs="Calibri"/>
                <w:b/>
                <w:bCs/>
                <w:color w:val="000000"/>
                <w:lang w:eastAsia="en-GB"/>
              </w:rPr>
            </w:pPr>
            <w:r w:rsidRPr="00D07F6C">
              <w:rPr>
                <w:rFonts w:ascii="Calibri" w:eastAsia="Times New Roman" w:hAnsi="Calibri" w:cs="Calibri"/>
                <w:b/>
                <w:bCs/>
                <w:color w:val="000000"/>
                <w:lang w:eastAsia="en-GB"/>
              </w:rPr>
              <w:t>Fully adjusted</w:t>
            </w:r>
            <w:r>
              <w:rPr>
                <w:rFonts w:ascii="Calibri" w:eastAsia="Times New Roman" w:hAnsi="Calibri" w:cs="Calibri"/>
                <w:b/>
                <w:bCs/>
                <w:color w:val="000000"/>
                <w:lang w:eastAsia="en-GB"/>
              </w:rPr>
              <w:t>*</w:t>
            </w:r>
            <w:r w:rsidRPr="00D07F6C">
              <w:rPr>
                <w:rFonts w:ascii="Calibri" w:eastAsia="Times New Roman" w:hAnsi="Calibri" w:cs="Calibri"/>
                <w:b/>
                <w:bCs/>
                <w:color w:val="000000"/>
                <w:lang w:eastAsia="en-GB"/>
              </w:rPr>
              <w:t xml:space="preserve"> odds ratios (95% confidence intervals)</w:t>
            </w:r>
          </w:p>
        </w:tc>
      </w:tr>
      <w:tr w:rsidR="00D07F6C" w:rsidRPr="00D07F6C" w14:paraId="0A57F493" w14:textId="77777777" w:rsidTr="00D07F6C">
        <w:trPr>
          <w:trHeight w:val="300"/>
        </w:trPr>
        <w:tc>
          <w:tcPr>
            <w:tcW w:w="2260" w:type="dxa"/>
            <w:tcBorders>
              <w:top w:val="nil"/>
              <w:left w:val="nil"/>
              <w:bottom w:val="single" w:sz="4" w:space="0" w:color="auto"/>
              <w:right w:val="nil"/>
            </w:tcBorders>
            <w:shd w:val="clear" w:color="auto" w:fill="auto"/>
            <w:noWrap/>
            <w:vAlign w:val="bottom"/>
            <w:hideMark/>
          </w:tcPr>
          <w:p w14:paraId="7D4C524D" w14:textId="77777777" w:rsidR="00D07F6C" w:rsidRPr="00D07F6C" w:rsidRDefault="00D07F6C" w:rsidP="00D07F6C">
            <w:pPr>
              <w:spacing w:after="0" w:line="240" w:lineRule="auto"/>
              <w:rPr>
                <w:rFonts w:ascii="Calibri" w:eastAsia="Times New Roman" w:hAnsi="Calibri" w:cs="Calibri"/>
                <w:b/>
                <w:bCs/>
                <w:color w:val="000000"/>
                <w:lang w:eastAsia="en-GB"/>
              </w:rPr>
            </w:pPr>
            <w:r w:rsidRPr="00D07F6C">
              <w:rPr>
                <w:rFonts w:ascii="Calibri" w:eastAsia="Times New Roman" w:hAnsi="Calibri" w:cs="Calibri"/>
                <w:b/>
                <w:bCs/>
                <w:color w:val="000000"/>
                <w:lang w:eastAsia="en-GB"/>
              </w:rPr>
              <w:t>Subgroup</w:t>
            </w:r>
          </w:p>
        </w:tc>
        <w:tc>
          <w:tcPr>
            <w:tcW w:w="1777" w:type="dxa"/>
            <w:tcBorders>
              <w:top w:val="nil"/>
              <w:left w:val="nil"/>
              <w:bottom w:val="single" w:sz="4" w:space="0" w:color="auto"/>
              <w:right w:val="nil"/>
            </w:tcBorders>
            <w:shd w:val="clear" w:color="auto" w:fill="auto"/>
            <w:noWrap/>
            <w:vAlign w:val="bottom"/>
            <w:hideMark/>
          </w:tcPr>
          <w:p w14:paraId="73FE52C0" w14:textId="77777777" w:rsidR="00D07F6C" w:rsidRPr="00D07F6C" w:rsidRDefault="00D07F6C" w:rsidP="00D07F6C">
            <w:pPr>
              <w:spacing w:after="0" w:line="240" w:lineRule="auto"/>
              <w:rPr>
                <w:rFonts w:ascii="Calibri" w:eastAsia="Times New Roman" w:hAnsi="Calibri" w:cs="Calibri"/>
                <w:b/>
                <w:bCs/>
                <w:color w:val="000000"/>
                <w:lang w:eastAsia="en-GB"/>
              </w:rPr>
            </w:pPr>
            <w:r w:rsidRPr="00D07F6C">
              <w:rPr>
                <w:rFonts w:ascii="Calibri" w:eastAsia="Times New Roman" w:hAnsi="Calibri" w:cs="Calibri"/>
                <w:b/>
                <w:bCs/>
                <w:color w:val="000000"/>
                <w:lang w:eastAsia="en-GB"/>
              </w:rPr>
              <w:t>Main analysis</w:t>
            </w:r>
          </w:p>
        </w:tc>
        <w:tc>
          <w:tcPr>
            <w:tcW w:w="3257" w:type="dxa"/>
            <w:tcBorders>
              <w:top w:val="nil"/>
              <w:left w:val="nil"/>
              <w:bottom w:val="single" w:sz="4" w:space="0" w:color="auto"/>
              <w:right w:val="nil"/>
            </w:tcBorders>
            <w:shd w:val="clear" w:color="auto" w:fill="auto"/>
            <w:noWrap/>
            <w:vAlign w:val="bottom"/>
            <w:hideMark/>
          </w:tcPr>
          <w:p w14:paraId="7EB97679" w14:textId="62F57556" w:rsidR="00D07F6C" w:rsidRPr="00D07F6C" w:rsidRDefault="00D07F6C" w:rsidP="00D07F6C">
            <w:pPr>
              <w:spacing w:after="0" w:line="240" w:lineRule="auto"/>
              <w:rPr>
                <w:rFonts w:ascii="Calibri" w:eastAsia="Times New Roman" w:hAnsi="Calibri" w:cs="Calibri"/>
                <w:b/>
                <w:bCs/>
                <w:color w:val="000000"/>
                <w:lang w:eastAsia="en-GB"/>
              </w:rPr>
            </w:pPr>
            <w:r w:rsidRPr="00D07F6C">
              <w:rPr>
                <w:rFonts w:ascii="Calibri" w:eastAsia="Times New Roman" w:hAnsi="Calibri" w:cs="Calibri"/>
                <w:b/>
                <w:bCs/>
                <w:color w:val="000000"/>
                <w:lang w:eastAsia="en-GB"/>
              </w:rPr>
              <w:t>Stricter definition of drought</w:t>
            </w:r>
            <w:r w:rsidR="009C29C6">
              <w:rPr>
                <w:rFonts w:ascii="Calibri" w:eastAsia="Times New Roman" w:hAnsi="Calibri" w:cs="Calibri"/>
                <w:b/>
                <w:bCs/>
                <w:color w:val="000000"/>
                <w:lang w:eastAsia="en-GB"/>
              </w:rPr>
              <w:t>ⱡ</w:t>
            </w:r>
          </w:p>
        </w:tc>
        <w:tc>
          <w:tcPr>
            <w:tcW w:w="2326" w:type="dxa"/>
            <w:tcBorders>
              <w:top w:val="nil"/>
              <w:left w:val="nil"/>
              <w:bottom w:val="single" w:sz="4" w:space="0" w:color="auto"/>
              <w:right w:val="nil"/>
            </w:tcBorders>
            <w:shd w:val="clear" w:color="auto" w:fill="auto"/>
            <w:noWrap/>
            <w:vAlign w:val="bottom"/>
            <w:hideMark/>
          </w:tcPr>
          <w:p w14:paraId="2C03015C" w14:textId="77777777" w:rsidR="00D07F6C" w:rsidRPr="00D07F6C" w:rsidRDefault="00D07F6C" w:rsidP="00D07F6C">
            <w:pPr>
              <w:spacing w:after="0" w:line="240" w:lineRule="auto"/>
              <w:rPr>
                <w:rFonts w:ascii="Calibri" w:eastAsia="Times New Roman" w:hAnsi="Calibri" w:cs="Calibri"/>
                <w:b/>
                <w:bCs/>
                <w:color w:val="000000"/>
                <w:lang w:eastAsia="en-GB"/>
              </w:rPr>
            </w:pPr>
            <w:r w:rsidRPr="00D07F6C">
              <w:rPr>
                <w:rFonts w:ascii="Calibri" w:eastAsia="Times New Roman" w:hAnsi="Calibri" w:cs="Calibri"/>
                <w:b/>
                <w:bCs/>
                <w:color w:val="000000"/>
                <w:lang w:eastAsia="en-GB"/>
              </w:rPr>
              <w:t>No survey weighting</w:t>
            </w:r>
          </w:p>
        </w:tc>
      </w:tr>
      <w:tr w:rsidR="00D07F6C" w:rsidRPr="00D07F6C" w14:paraId="11850B85" w14:textId="77777777" w:rsidTr="00D07F6C">
        <w:trPr>
          <w:trHeight w:val="300"/>
        </w:trPr>
        <w:tc>
          <w:tcPr>
            <w:tcW w:w="2260" w:type="dxa"/>
            <w:tcBorders>
              <w:top w:val="nil"/>
              <w:left w:val="nil"/>
              <w:bottom w:val="nil"/>
              <w:right w:val="nil"/>
            </w:tcBorders>
            <w:shd w:val="clear" w:color="auto" w:fill="auto"/>
            <w:noWrap/>
            <w:vAlign w:val="bottom"/>
            <w:hideMark/>
          </w:tcPr>
          <w:p w14:paraId="6B4E702F"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Rural women</w:t>
            </w:r>
          </w:p>
        </w:tc>
        <w:tc>
          <w:tcPr>
            <w:tcW w:w="1777" w:type="dxa"/>
            <w:tcBorders>
              <w:top w:val="nil"/>
              <w:left w:val="nil"/>
              <w:bottom w:val="nil"/>
              <w:right w:val="nil"/>
            </w:tcBorders>
            <w:shd w:val="clear" w:color="auto" w:fill="auto"/>
            <w:noWrap/>
            <w:vAlign w:val="center"/>
            <w:hideMark/>
          </w:tcPr>
          <w:p w14:paraId="3B32B189"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2.10 (1.17-3.77)</w:t>
            </w:r>
          </w:p>
        </w:tc>
        <w:tc>
          <w:tcPr>
            <w:tcW w:w="3257" w:type="dxa"/>
            <w:tcBorders>
              <w:top w:val="nil"/>
              <w:left w:val="nil"/>
              <w:bottom w:val="nil"/>
              <w:right w:val="nil"/>
            </w:tcBorders>
            <w:shd w:val="clear" w:color="auto" w:fill="auto"/>
            <w:noWrap/>
            <w:vAlign w:val="bottom"/>
            <w:hideMark/>
          </w:tcPr>
          <w:p w14:paraId="22D1B55B"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2.46 (1.38-4.42)</w:t>
            </w:r>
          </w:p>
        </w:tc>
        <w:tc>
          <w:tcPr>
            <w:tcW w:w="2326" w:type="dxa"/>
            <w:tcBorders>
              <w:top w:val="nil"/>
              <w:left w:val="nil"/>
              <w:bottom w:val="nil"/>
              <w:right w:val="nil"/>
            </w:tcBorders>
            <w:shd w:val="clear" w:color="auto" w:fill="auto"/>
            <w:noWrap/>
            <w:vAlign w:val="bottom"/>
            <w:hideMark/>
          </w:tcPr>
          <w:p w14:paraId="62271CB4"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2.20 (1.29-3.74)</w:t>
            </w:r>
          </w:p>
        </w:tc>
      </w:tr>
      <w:tr w:rsidR="00D07F6C" w:rsidRPr="00D07F6C" w14:paraId="17887AC0" w14:textId="77777777" w:rsidTr="00D07F6C">
        <w:trPr>
          <w:trHeight w:val="300"/>
        </w:trPr>
        <w:tc>
          <w:tcPr>
            <w:tcW w:w="2260" w:type="dxa"/>
            <w:tcBorders>
              <w:top w:val="nil"/>
              <w:left w:val="nil"/>
              <w:bottom w:val="nil"/>
              <w:right w:val="nil"/>
            </w:tcBorders>
            <w:shd w:val="clear" w:color="auto" w:fill="auto"/>
            <w:noWrap/>
            <w:vAlign w:val="bottom"/>
            <w:hideMark/>
          </w:tcPr>
          <w:p w14:paraId="3817B6E6"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Urban women</w:t>
            </w:r>
          </w:p>
        </w:tc>
        <w:tc>
          <w:tcPr>
            <w:tcW w:w="1777" w:type="dxa"/>
            <w:tcBorders>
              <w:top w:val="nil"/>
              <w:left w:val="nil"/>
              <w:bottom w:val="nil"/>
              <w:right w:val="nil"/>
            </w:tcBorders>
            <w:shd w:val="clear" w:color="auto" w:fill="auto"/>
            <w:noWrap/>
            <w:vAlign w:val="center"/>
            <w:hideMark/>
          </w:tcPr>
          <w:p w14:paraId="00D05745"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0.74 (0.29-1.88)</w:t>
            </w:r>
          </w:p>
        </w:tc>
        <w:tc>
          <w:tcPr>
            <w:tcW w:w="3257" w:type="dxa"/>
            <w:tcBorders>
              <w:top w:val="nil"/>
              <w:left w:val="nil"/>
              <w:bottom w:val="nil"/>
              <w:right w:val="nil"/>
            </w:tcBorders>
            <w:shd w:val="clear" w:color="auto" w:fill="auto"/>
            <w:noWrap/>
            <w:vAlign w:val="bottom"/>
            <w:hideMark/>
          </w:tcPr>
          <w:p w14:paraId="53B0B101"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0.57 (0.26-1.27)</w:t>
            </w:r>
          </w:p>
        </w:tc>
        <w:tc>
          <w:tcPr>
            <w:tcW w:w="2326" w:type="dxa"/>
            <w:tcBorders>
              <w:top w:val="nil"/>
              <w:left w:val="nil"/>
              <w:bottom w:val="nil"/>
              <w:right w:val="nil"/>
            </w:tcBorders>
            <w:shd w:val="clear" w:color="auto" w:fill="auto"/>
            <w:noWrap/>
            <w:vAlign w:val="bottom"/>
            <w:hideMark/>
          </w:tcPr>
          <w:p w14:paraId="3C836362"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0.72 (0.38-1.36)</w:t>
            </w:r>
          </w:p>
        </w:tc>
      </w:tr>
      <w:tr w:rsidR="00D07F6C" w:rsidRPr="00D07F6C" w14:paraId="647FFCBA" w14:textId="77777777" w:rsidTr="00D07F6C">
        <w:trPr>
          <w:trHeight w:val="300"/>
        </w:trPr>
        <w:tc>
          <w:tcPr>
            <w:tcW w:w="2260" w:type="dxa"/>
            <w:tcBorders>
              <w:top w:val="nil"/>
              <w:left w:val="nil"/>
              <w:bottom w:val="nil"/>
              <w:right w:val="nil"/>
            </w:tcBorders>
            <w:shd w:val="clear" w:color="auto" w:fill="auto"/>
            <w:noWrap/>
            <w:vAlign w:val="bottom"/>
            <w:hideMark/>
          </w:tcPr>
          <w:p w14:paraId="69D9CA8D"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Rural men</w:t>
            </w:r>
          </w:p>
        </w:tc>
        <w:tc>
          <w:tcPr>
            <w:tcW w:w="1777" w:type="dxa"/>
            <w:tcBorders>
              <w:top w:val="nil"/>
              <w:left w:val="nil"/>
              <w:bottom w:val="nil"/>
              <w:right w:val="nil"/>
            </w:tcBorders>
            <w:shd w:val="clear" w:color="auto" w:fill="auto"/>
            <w:noWrap/>
            <w:vAlign w:val="center"/>
            <w:hideMark/>
          </w:tcPr>
          <w:p w14:paraId="633C62E7"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0.52 (0.19-1.45)</w:t>
            </w:r>
          </w:p>
        </w:tc>
        <w:tc>
          <w:tcPr>
            <w:tcW w:w="3257" w:type="dxa"/>
            <w:tcBorders>
              <w:top w:val="nil"/>
              <w:left w:val="nil"/>
              <w:bottom w:val="nil"/>
              <w:right w:val="nil"/>
            </w:tcBorders>
            <w:shd w:val="clear" w:color="auto" w:fill="auto"/>
            <w:noWrap/>
            <w:vAlign w:val="bottom"/>
            <w:hideMark/>
          </w:tcPr>
          <w:p w14:paraId="1EAB3666"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1.07 (0.39-2.91)</w:t>
            </w:r>
          </w:p>
        </w:tc>
        <w:tc>
          <w:tcPr>
            <w:tcW w:w="2326" w:type="dxa"/>
            <w:tcBorders>
              <w:top w:val="nil"/>
              <w:left w:val="nil"/>
              <w:bottom w:val="nil"/>
              <w:right w:val="nil"/>
            </w:tcBorders>
            <w:shd w:val="clear" w:color="auto" w:fill="auto"/>
            <w:noWrap/>
            <w:vAlign w:val="bottom"/>
            <w:hideMark/>
          </w:tcPr>
          <w:p w14:paraId="2952B1E9"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1.13 (0.50-2.58)</w:t>
            </w:r>
          </w:p>
        </w:tc>
      </w:tr>
      <w:tr w:rsidR="00D07F6C" w:rsidRPr="00D07F6C" w14:paraId="7C67AF96" w14:textId="77777777" w:rsidTr="00D07F6C">
        <w:trPr>
          <w:trHeight w:val="300"/>
        </w:trPr>
        <w:tc>
          <w:tcPr>
            <w:tcW w:w="2260" w:type="dxa"/>
            <w:tcBorders>
              <w:top w:val="nil"/>
              <w:left w:val="nil"/>
              <w:bottom w:val="single" w:sz="4" w:space="0" w:color="auto"/>
              <w:right w:val="nil"/>
            </w:tcBorders>
            <w:shd w:val="clear" w:color="auto" w:fill="auto"/>
            <w:noWrap/>
            <w:vAlign w:val="bottom"/>
            <w:hideMark/>
          </w:tcPr>
          <w:p w14:paraId="1D0F578B"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Urban men</w:t>
            </w:r>
          </w:p>
        </w:tc>
        <w:tc>
          <w:tcPr>
            <w:tcW w:w="1777" w:type="dxa"/>
            <w:tcBorders>
              <w:top w:val="nil"/>
              <w:left w:val="nil"/>
              <w:bottom w:val="single" w:sz="4" w:space="0" w:color="auto"/>
              <w:right w:val="nil"/>
            </w:tcBorders>
            <w:shd w:val="clear" w:color="auto" w:fill="auto"/>
            <w:noWrap/>
            <w:vAlign w:val="center"/>
            <w:hideMark/>
          </w:tcPr>
          <w:p w14:paraId="709E3F84"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1.47 (0.40-5.45)</w:t>
            </w:r>
          </w:p>
        </w:tc>
        <w:tc>
          <w:tcPr>
            <w:tcW w:w="3257" w:type="dxa"/>
            <w:tcBorders>
              <w:top w:val="nil"/>
              <w:left w:val="nil"/>
              <w:bottom w:val="single" w:sz="4" w:space="0" w:color="auto"/>
              <w:right w:val="nil"/>
            </w:tcBorders>
            <w:shd w:val="clear" w:color="auto" w:fill="auto"/>
            <w:noWrap/>
            <w:vAlign w:val="bottom"/>
            <w:hideMark/>
          </w:tcPr>
          <w:p w14:paraId="01F7AADC"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0.57 (0.26-1.27)</w:t>
            </w:r>
          </w:p>
        </w:tc>
        <w:tc>
          <w:tcPr>
            <w:tcW w:w="2326" w:type="dxa"/>
            <w:tcBorders>
              <w:top w:val="nil"/>
              <w:left w:val="nil"/>
              <w:bottom w:val="single" w:sz="4" w:space="0" w:color="auto"/>
              <w:right w:val="nil"/>
            </w:tcBorders>
            <w:shd w:val="clear" w:color="auto" w:fill="auto"/>
            <w:noWrap/>
            <w:vAlign w:val="bottom"/>
            <w:hideMark/>
          </w:tcPr>
          <w:p w14:paraId="15626FCC" w14:textId="77777777" w:rsidR="00D07F6C" w:rsidRPr="00D07F6C" w:rsidRDefault="00D07F6C" w:rsidP="00D07F6C">
            <w:pPr>
              <w:spacing w:after="0" w:line="240" w:lineRule="auto"/>
              <w:rPr>
                <w:rFonts w:ascii="Calibri" w:eastAsia="Times New Roman" w:hAnsi="Calibri" w:cs="Calibri"/>
                <w:color w:val="000000"/>
                <w:lang w:eastAsia="en-GB"/>
              </w:rPr>
            </w:pPr>
            <w:r w:rsidRPr="00D07F6C">
              <w:rPr>
                <w:rFonts w:ascii="Calibri" w:eastAsia="Times New Roman" w:hAnsi="Calibri" w:cs="Calibri"/>
                <w:color w:val="000000"/>
                <w:lang w:eastAsia="en-GB"/>
              </w:rPr>
              <w:t>0.97 (0.55-1.70)</w:t>
            </w:r>
          </w:p>
        </w:tc>
      </w:tr>
    </w:tbl>
    <w:p w14:paraId="28A57620" w14:textId="5C19EE61" w:rsidR="009C29C6" w:rsidRPr="00D43AA5" w:rsidRDefault="009C29C6">
      <w:r w:rsidRPr="00D43AA5">
        <w:t xml:space="preserve">* </w:t>
      </w:r>
      <w:r w:rsidR="005F51F8" w:rsidRPr="00D43AA5">
        <w:t xml:space="preserve">Adjusted for age, an interaction between survey country and regional viraemia, secondary education or higher, having received a </w:t>
      </w:r>
      <w:proofErr w:type="gramStart"/>
      <w:r w:rsidR="005F51F8" w:rsidRPr="00D43AA5">
        <w:t>pay check</w:t>
      </w:r>
      <w:proofErr w:type="gramEnd"/>
      <w:r w:rsidR="005F51F8" w:rsidRPr="00D43AA5">
        <w:t xml:space="preserve"> in the last 12 months, having ever been married, receipt of food or other economic support, severe food insecurity, wealth quintile, transactional sex, high-risk sex, and intergenerational sex.</w:t>
      </w:r>
    </w:p>
    <w:p w14:paraId="04C4002A" w14:textId="204D601D" w:rsidR="003001B6" w:rsidRDefault="009C29C6">
      <w:pPr>
        <w:rPr>
          <w:b/>
          <w:bCs/>
        </w:rPr>
      </w:pPr>
      <w:r w:rsidRPr="00D43AA5">
        <w:rPr>
          <w:rFonts w:cstheme="minorHAnsi"/>
        </w:rPr>
        <w:t>ⱡ Using the 10</w:t>
      </w:r>
      <w:r w:rsidRPr="00D43AA5">
        <w:rPr>
          <w:rFonts w:cstheme="minorHAnsi"/>
          <w:vertAlign w:val="superscript"/>
        </w:rPr>
        <w:t>th</w:t>
      </w:r>
      <w:r w:rsidRPr="00D43AA5">
        <w:rPr>
          <w:rFonts w:cstheme="minorHAnsi"/>
        </w:rPr>
        <w:t xml:space="preserve"> percentile as a cut-off rather than the 15</w:t>
      </w:r>
      <w:r w:rsidRPr="00D43AA5">
        <w:rPr>
          <w:rFonts w:cstheme="minorHAnsi"/>
          <w:vertAlign w:val="superscript"/>
        </w:rPr>
        <w:t>th</w:t>
      </w:r>
      <w:r w:rsidRPr="00D43AA5">
        <w:rPr>
          <w:rFonts w:cstheme="minorHAnsi"/>
        </w:rPr>
        <w:t xml:space="preserve"> percentile.</w:t>
      </w:r>
      <w:r w:rsidR="003001B6">
        <w:rPr>
          <w:b/>
          <w:bCs/>
        </w:rPr>
        <w:br w:type="page"/>
      </w:r>
    </w:p>
    <w:p w14:paraId="7FE1FD1F" w14:textId="56030335" w:rsidR="00C77594" w:rsidRDefault="00C77594" w:rsidP="008C1163">
      <w:pPr>
        <w:rPr>
          <w:b/>
          <w:bCs/>
        </w:rPr>
      </w:pPr>
      <w:r>
        <w:rPr>
          <w:b/>
          <w:bCs/>
        </w:rPr>
        <w:lastRenderedPageBreak/>
        <w:t xml:space="preserve">Supplementary table 11: </w:t>
      </w:r>
      <w:r w:rsidR="00C110FD">
        <w:t>Full adjusted weighted odds ratios of having recently acquired HIV</w:t>
      </w:r>
      <w:r w:rsidR="00C73772">
        <w:t>*</w:t>
      </w:r>
      <w:r w:rsidR="00C110FD">
        <w:t xml:space="preserve">, with age and wealth quintile </w:t>
      </w:r>
      <w:proofErr w:type="gramStart"/>
      <w:r w:rsidR="00C110FD">
        <w:t>categorised</w:t>
      </w:r>
      <w:proofErr w:type="gramEnd"/>
    </w:p>
    <w:tbl>
      <w:tblPr>
        <w:tblW w:w="9500" w:type="dxa"/>
        <w:tblLook w:val="04A0" w:firstRow="1" w:lastRow="0" w:firstColumn="1" w:lastColumn="0" w:noHBand="0" w:noVBand="1"/>
      </w:tblPr>
      <w:tblGrid>
        <w:gridCol w:w="3828"/>
        <w:gridCol w:w="1559"/>
        <w:gridCol w:w="1559"/>
        <w:gridCol w:w="1843"/>
        <w:gridCol w:w="711"/>
      </w:tblGrid>
      <w:tr w:rsidR="00C110FD" w:rsidRPr="00C110FD" w14:paraId="19BCC68E" w14:textId="77777777" w:rsidTr="003A4812">
        <w:trPr>
          <w:trHeight w:val="300"/>
        </w:trPr>
        <w:tc>
          <w:tcPr>
            <w:tcW w:w="3828" w:type="dxa"/>
            <w:tcBorders>
              <w:top w:val="nil"/>
              <w:left w:val="nil"/>
              <w:bottom w:val="nil"/>
              <w:right w:val="nil"/>
            </w:tcBorders>
            <w:shd w:val="clear" w:color="auto" w:fill="auto"/>
            <w:noWrap/>
            <w:vAlign w:val="bottom"/>
            <w:hideMark/>
          </w:tcPr>
          <w:p w14:paraId="473DF9A0" w14:textId="77777777" w:rsidR="00C110FD" w:rsidRPr="00C110FD" w:rsidRDefault="00C110FD" w:rsidP="00C110FD">
            <w:pPr>
              <w:spacing w:after="0" w:line="240" w:lineRule="auto"/>
              <w:rPr>
                <w:rFonts w:ascii="Times New Roman" w:eastAsia="Times New Roman" w:hAnsi="Times New Roman" w:cs="Times New Roman"/>
                <w:sz w:val="24"/>
                <w:szCs w:val="24"/>
                <w:lang w:eastAsia="en-GB"/>
              </w:rPr>
            </w:pPr>
          </w:p>
        </w:tc>
        <w:tc>
          <w:tcPr>
            <w:tcW w:w="1559" w:type="dxa"/>
            <w:tcBorders>
              <w:top w:val="single" w:sz="8" w:space="0" w:color="auto"/>
              <w:left w:val="single" w:sz="8" w:space="0" w:color="auto"/>
              <w:right w:val="nil"/>
            </w:tcBorders>
            <w:shd w:val="clear" w:color="auto" w:fill="auto"/>
            <w:noWrap/>
            <w:vAlign w:val="bottom"/>
            <w:hideMark/>
          </w:tcPr>
          <w:p w14:paraId="2F9E47C4"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Women</w:t>
            </w:r>
          </w:p>
        </w:tc>
        <w:tc>
          <w:tcPr>
            <w:tcW w:w="1559" w:type="dxa"/>
            <w:tcBorders>
              <w:top w:val="single" w:sz="8" w:space="0" w:color="auto"/>
              <w:left w:val="nil"/>
              <w:right w:val="single" w:sz="8" w:space="0" w:color="auto"/>
            </w:tcBorders>
            <w:shd w:val="clear" w:color="auto" w:fill="auto"/>
            <w:noWrap/>
            <w:vAlign w:val="bottom"/>
            <w:hideMark/>
          </w:tcPr>
          <w:p w14:paraId="6633FF78"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 </w:t>
            </w:r>
          </w:p>
        </w:tc>
        <w:tc>
          <w:tcPr>
            <w:tcW w:w="1843" w:type="dxa"/>
            <w:tcBorders>
              <w:top w:val="single" w:sz="8" w:space="0" w:color="auto"/>
              <w:left w:val="nil"/>
              <w:right w:val="nil"/>
            </w:tcBorders>
            <w:shd w:val="clear" w:color="auto" w:fill="auto"/>
            <w:noWrap/>
            <w:vAlign w:val="bottom"/>
            <w:hideMark/>
          </w:tcPr>
          <w:p w14:paraId="73DC938E"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Men</w:t>
            </w:r>
          </w:p>
        </w:tc>
        <w:tc>
          <w:tcPr>
            <w:tcW w:w="711" w:type="dxa"/>
            <w:tcBorders>
              <w:top w:val="single" w:sz="8" w:space="0" w:color="auto"/>
              <w:left w:val="nil"/>
              <w:right w:val="single" w:sz="8" w:space="0" w:color="auto"/>
            </w:tcBorders>
            <w:shd w:val="clear" w:color="auto" w:fill="auto"/>
            <w:noWrap/>
            <w:vAlign w:val="bottom"/>
            <w:hideMark/>
          </w:tcPr>
          <w:p w14:paraId="70159D2D" w14:textId="77777777" w:rsidR="00C110FD" w:rsidRPr="00C110FD" w:rsidRDefault="00C110FD" w:rsidP="00C110FD">
            <w:pPr>
              <w:spacing w:after="0" w:line="240" w:lineRule="auto"/>
              <w:rPr>
                <w:rFonts w:ascii="Calibri" w:eastAsia="Times New Roman" w:hAnsi="Calibri" w:cs="Calibri"/>
                <w:color w:val="000000"/>
                <w:lang w:eastAsia="en-GB"/>
              </w:rPr>
            </w:pPr>
            <w:r w:rsidRPr="00C110FD">
              <w:rPr>
                <w:rFonts w:ascii="Calibri" w:eastAsia="Times New Roman" w:hAnsi="Calibri" w:cs="Calibri"/>
                <w:color w:val="000000"/>
                <w:lang w:eastAsia="en-GB"/>
              </w:rPr>
              <w:t> </w:t>
            </w:r>
          </w:p>
        </w:tc>
      </w:tr>
      <w:tr w:rsidR="00C110FD" w:rsidRPr="00C110FD" w14:paraId="51896A40" w14:textId="77777777" w:rsidTr="00C110FD">
        <w:trPr>
          <w:trHeight w:val="300"/>
        </w:trPr>
        <w:tc>
          <w:tcPr>
            <w:tcW w:w="3828" w:type="dxa"/>
            <w:tcBorders>
              <w:top w:val="nil"/>
              <w:left w:val="nil"/>
              <w:bottom w:val="nil"/>
              <w:right w:val="nil"/>
            </w:tcBorders>
            <w:shd w:val="clear" w:color="auto" w:fill="auto"/>
            <w:noWrap/>
            <w:vAlign w:val="center"/>
            <w:hideMark/>
          </w:tcPr>
          <w:p w14:paraId="78F8B73E" w14:textId="77777777" w:rsidR="00C110FD" w:rsidRPr="00C110FD" w:rsidRDefault="00C110FD" w:rsidP="00C110FD">
            <w:pPr>
              <w:spacing w:after="0" w:line="240" w:lineRule="auto"/>
              <w:rPr>
                <w:rFonts w:ascii="Calibri" w:eastAsia="Times New Roman" w:hAnsi="Calibri" w:cs="Calibri"/>
                <w:color w:val="000000"/>
                <w:lang w:eastAsia="en-GB"/>
              </w:rPr>
            </w:pPr>
          </w:p>
        </w:tc>
        <w:tc>
          <w:tcPr>
            <w:tcW w:w="1559" w:type="dxa"/>
            <w:tcBorders>
              <w:top w:val="nil"/>
              <w:left w:val="single" w:sz="8" w:space="0" w:color="auto"/>
              <w:bottom w:val="single" w:sz="4" w:space="0" w:color="auto"/>
              <w:right w:val="nil"/>
            </w:tcBorders>
            <w:shd w:val="clear" w:color="auto" w:fill="auto"/>
            <w:noWrap/>
            <w:vAlign w:val="center"/>
            <w:hideMark/>
          </w:tcPr>
          <w:p w14:paraId="789AB5C3"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Rural</w:t>
            </w:r>
          </w:p>
        </w:tc>
        <w:tc>
          <w:tcPr>
            <w:tcW w:w="1559" w:type="dxa"/>
            <w:tcBorders>
              <w:top w:val="nil"/>
              <w:left w:val="nil"/>
              <w:bottom w:val="single" w:sz="4" w:space="0" w:color="auto"/>
              <w:right w:val="single" w:sz="8" w:space="0" w:color="auto"/>
            </w:tcBorders>
            <w:shd w:val="clear" w:color="auto" w:fill="auto"/>
            <w:noWrap/>
            <w:vAlign w:val="center"/>
            <w:hideMark/>
          </w:tcPr>
          <w:p w14:paraId="623BFDF0"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Urban</w:t>
            </w:r>
          </w:p>
        </w:tc>
        <w:tc>
          <w:tcPr>
            <w:tcW w:w="1843" w:type="dxa"/>
            <w:tcBorders>
              <w:top w:val="nil"/>
              <w:left w:val="nil"/>
              <w:bottom w:val="single" w:sz="4" w:space="0" w:color="auto"/>
              <w:right w:val="nil"/>
            </w:tcBorders>
            <w:shd w:val="clear" w:color="auto" w:fill="auto"/>
            <w:noWrap/>
            <w:vAlign w:val="center"/>
            <w:hideMark/>
          </w:tcPr>
          <w:p w14:paraId="3289C305"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Rural</w:t>
            </w:r>
          </w:p>
        </w:tc>
        <w:tc>
          <w:tcPr>
            <w:tcW w:w="711" w:type="dxa"/>
            <w:tcBorders>
              <w:top w:val="nil"/>
              <w:left w:val="nil"/>
              <w:bottom w:val="single" w:sz="4" w:space="0" w:color="auto"/>
              <w:right w:val="single" w:sz="8" w:space="0" w:color="auto"/>
            </w:tcBorders>
            <w:shd w:val="clear" w:color="auto" w:fill="auto"/>
            <w:noWrap/>
            <w:vAlign w:val="center"/>
            <w:hideMark/>
          </w:tcPr>
          <w:p w14:paraId="6A0B60B2" w14:textId="77777777" w:rsidR="00C110FD" w:rsidRPr="00C110FD" w:rsidRDefault="00C110FD" w:rsidP="00C110FD">
            <w:pPr>
              <w:spacing w:after="0" w:line="240" w:lineRule="auto"/>
              <w:rPr>
                <w:rFonts w:ascii="Calibri" w:eastAsia="Times New Roman" w:hAnsi="Calibri" w:cs="Calibri"/>
                <w:b/>
                <w:bCs/>
                <w:color w:val="000000"/>
                <w:sz w:val="18"/>
                <w:szCs w:val="18"/>
                <w:lang w:eastAsia="en-GB"/>
              </w:rPr>
            </w:pPr>
            <w:r w:rsidRPr="00C110FD">
              <w:rPr>
                <w:rFonts w:ascii="Calibri" w:eastAsia="Times New Roman" w:hAnsi="Calibri" w:cs="Calibri"/>
                <w:b/>
                <w:bCs/>
                <w:color w:val="000000"/>
                <w:sz w:val="18"/>
                <w:szCs w:val="18"/>
                <w:lang w:eastAsia="en-GB"/>
              </w:rPr>
              <w:t>Urban</w:t>
            </w:r>
          </w:p>
        </w:tc>
      </w:tr>
      <w:tr w:rsidR="00C110FD" w:rsidRPr="00C110FD" w14:paraId="7B39EFB2" w14:textId="77777777" w:rsidTr="00C110FD">
        <w:trPr>
          <w:trHeight w:val="300"/>
        </w:trPr>
        <w:tc>
          <w:tcPr>
            <w:tcW w:w="3828" w:type="dxa"/>
            <w:tcBorders>
              <w:top w:val="single" w:sz="8" w:space="0" w:color="auto"/>
              <w:left w:val="nil"/>
              <w:bottom w:val="nil"/>
              <w:right w:val="nil"/>
            </w:tcBorders>
            <w:shd w:val="clear" w:color="auto" w:fill="auto"/>
            <w:noWrap/>
            <w:vAlign w:val="center"/>
            <w:hideMark/>
          </w:tcPr>
          <w:p w14:paraId="71B074E7"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Drought</w:t>
            </w:r>
          </w:p>
        </w:tc>
        <w:tc>
          <w:tcPr>
            <w:tcW w:w="1559" w:type="dxa"/>
            <w:tcBorders>
              <w:top w:val="single" w:sz="4" w:space="0" w:color="auto"/>
              <w:left w:val="single" w:sz="8" w:space="0" w:color="auto"/>
              <w:bottom w:val="nil"/>
              <w:right w:val="single" w:sz="8" w:space="0" w:color="auto"/>
            </w:tcBorders>
            <w:shd w:val="clear" w:color="auto" w:fill="auto"/>
            <w:noWrap/>
            <w:vAlign w:val="center"/>
            <w:hideMark/>
          </w:tcPr>
          <w:p w14:paraId="1981AF8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2.13 (1.20-3.80)</w:t>
            </w:r>
          </w:p>
        </w:tc>
        <w:tc>
          <w:tcPr>
            <w:tcW w:w="1559" w:type="dxa"/>
            <w:tcBorders>
              <w:top w:val="single" w:sz="4" w:space="0" w:color="auto"/>
              <w:left w:val="nil"/>
              <w:bottom w:val="nil"/>
              <w:right w:val="nil"/>
            </w:tcBorders>
            <w:shd w:val="clear" w:color="auto" w:fill="auto"/>
            <w:noWrap/>
            <w:vAlign w:val="center"/>
            <w:hideMark/>
          </w:tcPr>
          <w:p w14:paraId="1F38111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0.72 (0.28-1.85)</w:t>
            </w:r>
          </w:p>
        </w:tc>
        <w:tc>
          <w:tcPr>
            <w:tcW w:w="1843" w:type="dxa"/>
            <w:tcBorders>
              <w:top w:val="single" w:sz="4" w:space="0" w:color="auto"/>
              <w:left w:val="single" w:sz="8" w:space="0" w:color="auto"/>
              <w:bottom w:val="nil"/>
              <w:right w:val="single" w:sz="8" w:space="0" w:color="auto"/>
            </w:tcBorders>
            <w:shd w:val="clear" w:color="auto" w:fill="auto"/>
            <w:noWrap/>
            <w:vAlign w:val="center"/>
            <w:hideMark/>
          </w:tcPr>
          <w:p w14:paraId="44F4253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0.53 (0.19-1.45)</w:t>
            </w:r>
          </w:p>
        </w:tc>
        <w:tc>
          <w:tcPr>
            <w:tcW w:w="711" w:type="dxa"/>
            <w:tcBorders>
              <w:top w:val="single" w:sz="4" w:space="0" w:color="auto"/>
              <w:left w:val="nil"/>
              <w:bottom w:val="nil"/>
              <w:right w:val="single" w:sz="8" w:space="0" w:color="auto"/>
            </w:tcBorders>
            <w:shd w:val="clear" w:color="auto" w:fill="auto"/>
            <w:noWrap/>
            <w:vAlign w:val="center"/>
            <w:hideMark/>
          </w:tcPr>
          <w:p w14:paraId="6543F5C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3E1E6A19" w14:textId="77777777" w:rsidTr="00C110FD">
        <w:trPr>
          <w:trHeight w:val="300"/>
        </w:trPr>
        <w:tc>
          <w:tcPr>
            <w:tcW w:w="3828" w:type="dxa"/>
            <w:tcBorders>
              <w:top w:val="nil"/>
              <w:left w:val="nil"/>
              <w:bottom w:val="nil"/>
              <w:right w:val="nil"/>
            </w:tcBorders>
            <w:shd w:val="clear" w:color="auto" w:fill="auto"/>
            <w:noWrap/>
            <w:vAlign w:val="center"/>
            <w:hideMark/>
          </w:tcPr>
          <w:p w14:paraId="78AD764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15-19</w:t>
            </w:r>
          </w:p>
        </w:tc>
        <w:tc>
          <w:tcPr>
            <w:tcW w:w="1559" w:type="dxa"/>
            <w:tcBorders>
              <w:top w:val="nil"/>
              <w:left w:val="single" w:sz="8" w:space="0" w:color="auto"/>
              <w:bottom w:val="nil"/>
              <w:right w:val="single" w:sz="8" w:space="0" w:color="auto"/>
            </w:tcBorders>
            <w:shd w:val="clear" w:color="auto" w:fill="auto"/>
            <w:noWrap/>
            <w:vAlign w:val="center"/>
            <w:hideMark/>
          </w:tcPr>
          <w:p w14:paraId="319F49F3"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1559" w:type="dxa"/>
            <w:tcBorders>
              <w:top w:val="nil"/>
              <w:left w:val="nil"/>
              <w:bottom w:val="nil"/>
              <w:right w:val="nil"/>
            </w:tcBorders>
            <w:shd w:val="clear" w:color="auto" w:fill="auto"/>
            <w:noWrap/>
            <w:vAlign w:val="center"/>
            <w:hideMark/>
          </w:tcPr>
          <w:p w14:paraId="46E4C61E"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1843" w:type="dxa"/>
            <w:tcBorders>
              <w:top w:val="nil"/>
              <w:left w:val="single" w:sz="8" w:space="0" w:color="auto"/>
              <w:bottom w:val="nil"/>
              <w:right w:val="single" w:sz="8" w:space="0" w:color="auto"/>
            </w:tcBorders>
            <w:shd w:val="clear" w:color="auto" w:fill="auto"/>
            <w:noWrap/>
            <w:vAlign w:val="center"/>
            <w:hideMark/>
          </w:tcPr>
          <w:p w14:paraId="51915ABE"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711" w:type="dxa"/>
            <w:tcBorders>
              <w:top w:val="nil"/>
              <w:left w:val="nil"/>
              <w:bottom w:val="nil"/>
              <w:right w:val="single" w:sz="8" w:space="0" w:color="auto"/>
            </w:tcBorders>
            <w:shd w:val="clear" w:color="auto" w:fill="auto"/>
            <w:noWrap/>
            <w:vAlign w:val="center"/>
            <w:hideMark/>
          </w:tcPr>
          <w:p w14:paraId="50530FC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66101DEF" w14:textId="77777777" w:rsidTr="00C110FD">
        <w:trPr>
          <w:trHeight w:val="300"/>
        </w:trPr>
        <w:tc>
          <w:tcPr>
            <w:tcW w:w="3828" w:type="dxa"/>
            <w:tcBorders>
              <w:top w:val="nil"/>
              <w:left w:val="nil"/>
              <w:bottom w:val="nil"/>
              <w:right w:val="nil"/>
            </w:tcBorders>
            <w:shd w:val="clear" w:color="auto" w:fill="auto"/>
            <w:noWrap/>
            <w:vAlign w:val="center"/>
            <w:hideMark/>
          </w:tcPr>
          <w:p w14:paraId="07A5EB6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20-24 (vs 15-19)</w:t>
            </w:r>
          </w:p>
        </w:tc>
        <w:tc>
          <w:tcPr>
            <w:tcW w:w="1559" w:type="dxa"/>
            <w:tcBorders>
              <w:top w:val="nil"/>
              <w:left w:val="single" w:sz="8" w:space="0" w:color="auto"/>
              <w:bottom w:val="nil"/>
              <w:right w:val="single" w:sz="8" w:space="0" w:color="auto"/>
            </w:tcBorders>
            <w:shd w:val="clear" w:color="auto" w:fill="auto"/>
            <w:noWrap/>
            <w:vAlign w:val="center"/>
            <w:hideMark/>
          </w:tcPr>
          <w:p w14:paraId="0345B98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0.97 (0.22-4.30)</w:t>
            </w:r>
          </w:p>
        </w:tc>
        <w:tc>
          <w:tcPr>
            <w:tcW w:w="1559" w:type="dxa"/>
            <w:tcBorders>
              <w:top w:val="nil"/>
              <w:left w:val="nil"/>
              <w:bottom w:val="nil"/>
              <w:right w:val="nil"/>
            </w:tcBorders>
            <w:shd w:val="clear" w:color="auto" w:fill="auto"/>
            <w:noWrap/>
            <w:vAlign w:val="center"/>
            <w:hideMark/>
          </w:tcPr>
          <w:p w14:paraId="24EB0600"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1.75 (0.65-4.76)</w:t>
            </w:r>
          </w:p>
        </w:tc>
        <w:tc>
          <w:tcPr>
            <w:tcW w:w="1843" w:type="dxa"/>
            <w:tcBorders>
              <w:top w:val="nil"/>
              <w:left w:val="single" w:sz="8" w:space="0" w:color="auto"/>
              <w:bottom w:val="nil"/>
              <w:right w:val="single" w:sz="8" w:space="0" w:color="auto"/>
            </w:tcBorders>
            <w:shd w:val="clear" w:color="auto" w:fill="auto"/>
            <w:noWrap/>
            <w:vAlign w:val="center"/>
            <w:hideMark/>
          </w:tcPr>
          <w:p w14:paraId="6751E9F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12.69 (2.12-76.10)</w:t>
            </w:r>
          </w:p>
        </w:tc>
        <w:tc>
          <w:tcPr>
            <w:tcW w:w="711" w:type="dxa"/>
            <w:tcBorders>
              <w:top w:val="nil"/>
              <w:left w:val="nil"/>
              <w:bottom w:val="nil"/>
              <w:right w:val="single" w:sz="8" w:space="0" w:color="auto"/>
            </w:tcBorders>
            <w:shd w:val="clear" w:color="auto" w:fill="auto"/>
            <w:noWrap/>
            <w:vAlign w:val="center"/>
            <w:hideMark/>
          </w:tcPr>
          <w:p w14:paraId="4C88BF6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57EE83A4" w14:textId="77777777" w:rsidTr="00C110FD">
        <w:trPr>
          <w:trHeight w:val="300"/>
        </w:trPr>
        <w:tc>
          <w:tcPr>
            <w:tcW w:w="3828" w:type="dxa"/>
            <w:tcBorders>
              <w:top w:val="nil"/>
              <w:left w:val="nil"/>
              <w:bottom w:val="nil"/>
              <w:right w:val="nil"/>
            </w:tcBorders>
            <w:shd w:val="clear" w:color="auto" w:fill="auto"/>
            <w:noWrap/>
            <w:vAlign w:val="center"/>
            <w:hideMark/>
          </w:tcPr>
          <w:p w14:paraId="159C565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25-29 (vs 15-19)</w:t>
            </w:r>
          </w:p>
        </w:tc>
        <w:tc>
          <w:tcPr>
            <w:tcW w:w="1559" w:type="dxa"/>
            <w:tcBorders>
              <w:top w:val="nil"/>
              <w:left w:val="single" w:sz="8" w:space="0" w:color="auto"/>
              <w:bottom w:val="nil"/>
              <w:right w:val="single" w:sz="8" w:space="0" w:color="auto"/>
            </w:tcBorders>
            <w:shd w:val="clear" w:color="auto" w:fill="auto"/>
            <w:noWrap/>
            <w:vAlign w:val="center"/>
            <w:hideMark/>
          </w:tcPr>
          <w:p w14:paraId="29A8B83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0.96 (0.18-5.01)</w:t>
            </w:r>
          </w:p>
        </w:tc>
        <w:tc>
          <w:tcPr>
            <w:tcW w:w="1559" w:type="dxa"/>
            <w:tcBorders>
              <w:top w:val="nil"/>
              <w:left w:val="nil"/>
              <w:bottom w:val="nil"/>
              <w:right w:val="nil"/>
            </w:tcBorders>
            <w:shd w:val="clear" w:color="auto" w:fill="auto"/>
            <w:noWrap/>
            <w:vAlign w:val="center"/>
            <w:hideMark/>
          </w:tcPr>
          <w:p w14:paraId="48B119A9"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1.11 (0.34-3.60)</w:t>
            </w:r>
          </w:p>
        </w:tc>
        <w:tc>
          <w:tcPr>
            <w:tcW w:w="1843" w:type="dxa"/>
            <w:tcBorders>
              <w:top w:val="nil"/>
              <w:left w:val="single" w:sz="8" w:space="0" w:color="auto"/>
              <w:bottom w:val="nil"/>
              <w:right w:val="single" w:sz="8" w:space="0" w:color="auto"/>
            </w:tcBorders>
            <w:shd w:val="clear" w:color="auto" w:fill="auto"/>
            <w:noWrap/>
            <w:vAlign w:val="center"/>
            <w:hideMark/>
          </w:tcPr>
          <w:p w14:paraId="4D323AE4"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6.20 (0.61-62.99)</w:t>
            </w:r>
          </w:p>
        </w:tc>
        <w:tc>
          <w:tcPr>
            <w:tcW w:w="711" w:type="dxa"/>
            <w:tcBorders>
              <w:top w:val="nil"/>
              <w:left w:val="nil"/>
              <w:bottom w:val="nil"/>
              <w:right w:val="single" w:sz="8" w:space="0" w:color="auto"/>
            </w:tcBorders>
            <w:shd w:val="clear" w:color="auto" w:fill="auto"/>
            <w:noWrap/>
            <w:vAlign w:val="center"/>
            <w:hideMark/>
          </w:tcPr>
          <w:p w14:paraId="1B0A162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7A79EBFA" w14:textId="77777777" w:rsidTr="00C110FD">
        <w:trPr>
          <w:trHeight w:val="300"/>
        </w:trPr>
        <w:tc>
          <w:tcPr>
            <w:tcW w:w="3828" w:type="dxa"/>
            <w:tcBorders>
              <w:top w:val="nil"/>
              <w:left w:val="nil"/>
              <w:bottom w:val="nil"/>
              <w:right w:val="nil"/>
            </w:tcBorders>
            <w:shd w:val="clear" w:color="auto" w:fill="auto"/>
            <w:noWrap/>
            <w:vAlign w:val="center"/>
            <w:hideMark/>
          </w:tcPr>
          <w:p w14:paraId="4024B2E7"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30-34 (vs 15-19)</w:t>
            </w:r>
          </w:p>
        </w:tc>
        <w:tc>
          <w:tcPr>
            <w:tcW w:w="1559" w:type="dxa"/>
            <w:tcBorders>
              <w:top w:val="nil"/>
              <w:left w:val="single" w:sz="8" w:space="0" w:color="auto"/>
              <w:bottom w:val="nil"/>
              <w:right w:val="single" w:sz="8" w:space="0" w:color="auto"/>
            </w:tcBorders>
            <w:shd w:val="clear" w:color="auto" w:fill="auto"/>
            <w:noWrap/>
            <w:vAlign w:val="center"/>
            <w:hideMark/>
          </w:tcPr>
          <w:p w14:paraId="5AF013A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1.90 (0.32-11.43)</w:t>
            </w:r>
          </w:p>
        </w:tc>
        <w:tc>
          <w:tcPr>
            <w:tcW w:w="1559" w:type="dxa"/>
            <w:tcBorders>
              <w:top w:val="nil"/>
              <w:left w:val="nil"/>
              <w:bottom w:val="nil"/>
              <w:right w:val="nil"/>
            </w:tcBorders>
            <w:shd w:val="clear" w:color="auto" w:fill="auto"/>
            <w:noWrap/>
            <w:vAlign w:val="center"/>
            <w:hideMark/>
          </w:tcPr>
          <w:p w14:paraId="472F797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1.75 (0.53-5.78)</w:t>
            </w:r>
          </w:p>
        </w:tc>
        <w:tc>
          <w:tcPr>
            <w:tcW w:w="1843" w:type="dxa"/>
            <w:tcBorders>
              <w:top w:val="nil"/>
              <w:left w:val="single" w:sz="8" w:space="0" w:color="auto"/>
              <w:bottom w:val="nil"/>
              <w:right w:val="single" w:sz="8" w:space="0" w:color="auto"/>
            </w:tcBorders>
            <w:shd w:val="clear" w:color="auto" w:fill="auto"/>
            <w:noWrap/>
            <w:vAlign w:val="center"/>
            <w:hideMark/>
          </w:tcPr>
          <w:p w14:paraId="035384C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9.43 (1.01-88.43)</w:t>
            </w:r>
          </w:p>
        </w:tc>
        <w:tc>
          <w:tcPr>
            <w:tcW w:w="711" w:type="dxa"/>
            <w:tcBorders>
              <w:top w:val="nil"/>
              <w:left w:val="nil"/>
              <w:bottom w:val="nil"/>
              <w:right w:val="single" w:sz="8" w:space="0" w:color="auto"/>
            </w:tcBorders>
            <w:shd w:val="clear" w:color="auto" w:fill="auto"/>
            <w:noWrap/>
            <w:vAlign w:val="center"/>
            <w:hideMark/>
          </w:tcPr>
          <w:p w14:paraId="36188E4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27321735" w14:textId="77777777" w:rsidTr="00C110FD">
        <w:trPr>
          <w:trHeight w:val="300"/>
        </w:trPr>
        <w:tc>
          <w:tcPr>
            <w:tcW w:w="3828" w:type="dxa"/>
            <w:tcBorders>
              <w:top w:val="nil"/>
              <w:left w:val="nil"/>
              <w:bottom w:val="nil"/>
              <w:right w:val="nil"/>
            </w:tcBorders>
            <w:shd w:val="clear" w:color="auto" w:fill="auto"/>
            <w:noWrap/>
            <w:vAlign w:val="center"/>
            <w:hideMark/>
          </w:tcPr>
          <w:p w14:paraId="6F38A23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35-39 (vs 15-19)</w:t>
            </w:r>
          </w:p>
        </w:tc>
        <w:tc>
          <w:tcPr>
            <w:tcW w:w="1559" w:type="dxa"/>
            <w:tcBorders>
              <w:top w:val="nil"/>
              <w:left w:val="single" w:sz="8" w:space="0" w:color="auto"/>
              <w:bottom w:val="nil"/>
              <w:right w:val="single" w:sz="8" w:space="0" w:color="auto"/>
            </w:tcBorders>
            <w:shd w:val="clear" w:color="auto" w:fill="auto"/>
            <w:noWrap/>
            <w:vAlign w:val="center"/>
            <w:hideMark/>
          </w:tcPr>
          <w:p w14:paraId="6AB34F7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0.77 (0.12-4.87)</w:t>
            </w:r>
          </w:p>
        </w:tc>
        <w:tc>
          <w:tcPr>
            <w:tcW w:w="1559" w:type="dxa"/>
            <w:tcBorders>
              <w:top w:val="nil"/>
              <w:left w:val="nil"/>
              <w:bottom w:val="nil"/>
              <w:right w:val="nil"/>
            </w:tcBorders>
            <w:shd w:val="clear" w:color="auto" w:fill="auto"/>
            <w:noWrap/>
            <w:vAlign w:val="center"/>
            <w:hideMark/>
          </w:tcPr>
          <w:p w14:paraId="7BFBCF3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1.37 (0.34-5.61)</w:t>
            </w:r>
          </w:p>
        </w:tc>
        <w:tc>
          <w:tcPr>
            <w:tcW w:w="1843" w:type="dxa"/>
            <w:tcBorders>
              <w:top w:val="nil"/>
              <w:left w:val="single" w:sz="8" w:space="0" w:color="auto"/>
              <w:bottom w:val="nil"/>
              <w:right w:val="single" w:sz="8" w:space="0" w:color="auto"/>
            </w:tcBorders>
            <w:shd w:val="clear" w:color="auto" w:fill="auto"/>
            <w:noWrap/>
            <w:vAlign w:val="center"/>
            <w:hideMark/>
          </w:tcPr>
          <w:p w14:paraId="06491BB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11.43 (0.95-138.19)</w:t>
            </w:r>
          </w:p>
        </w:tc>
        <w:tc>
          <w:tcPr>
            <w:tcW w:w="711" w:type="dxa"/>
            <w:tcBorders>
              <w:top w:val="nil"/>
              <w:left w:val="nil"/>
              <w:bottom w:val="nil"/>
              <w:right w:val="single" w:sz="8" w:space="0" w:color="auto"/>
            </w:tcBorders>
            <w:shd w:val="clear" w:color="auto" w:fill="auto"/>
            <w:noWrap/>
            <w:vAlign w:val="center"/>
            <w:hideMark/>
          </w:tcPr>
          <w:p w14:paraId="3DB81D7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1C9754E8" w14:textId="77777777" w:rsidTr="00C110FD">
        <w:trPr>
          <w:trHeight w:val="300"/>
        </w:trPr>
        <w:tc>
          <w:tcPr>
            <w:tcW w:w="3828" w:type="dxa"/>
            <w:tcBorders>
              <w:top w:val="nil"/>
              <w:left w:val="nil"/>
              <w:bottom w:val="nil"/>
              <w:right w:val="nil"/>
            </w:tcBorders>
            <w:shd w:val="clear" w:color="auto" w:fill="auto"/>
            <w:noWrap/>
            <w:vAlign w:val="center"/>
            <w:hideMark/>
          </w:tcPr>
          <w:p w14:paraId="7D3185F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40-44 (vs 15-19)</w:t>
            </w:r>
          </w:p>
        </w:tc>
        <w:tc>
          <w:tcPr>
            <w:tcW w:w="1559" w:type="dxa"/>
            <w:tcBorders>
              <w:top w:val="nil"/>
              <w:left w:val="single" w:sz="8" w:space="0" w:color="auto"/>
              <w:bottom w:val="nil"/>
              <w:right w:val="single" w:sz="8" w:space="0" w:color="auto"/>
            </w:tcBorders>
            <w:shd w:val="clear" w:color="auto" w:fill="auto"/>
            <w:noWrap/>
            <w:vAlign w:val="center"/>
            <w:hideMark/>
          </w:tcPr>
          <w:p w14:paraId="6FEC577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1.31 (0.19-9.03)</w:t>
            </w:r>
          </w:p>
        </w:tc>
        <w:tc>
          <w:tcPr>
            <w:tcW w:w="1559" w:type="dxa"/>
            <w:tcBorders>
              <w:top w:val="nil"/>
              <w:left w:val="nil"/>
              <w:bottom w:val="nil"/>
              <w:right w:val="nil"/>
            </w:tcBorders>
            <w:shd w:val="clear" w:color="auto" w:fill="auto"/>
            <w:noWrap/>
            <w:vAlign w:val="center"/>
            <w:hideMark/>
          </w:tcPr>
          <w:p w14:paraId="58E3BC0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1.03 (0.28-3.84)</w:t>
            </w:r>
          </w:p>
        </w:tc>
        <w:tc>
          <w:tcPr>
            <w:tcW w:w="1843" w:type="dxa"/>
            <w:tcBorders>
              <w:top w:val="nil"/>
              <w:left w:val="single" w:sz="8" w:space="0" w:color="auto"/>
              <w:bottom w:val="nil"/>
              <w:right w:val="single" w:sz="8" w:space="0" w:color="auto"/>
            </w:tcBorders>
            <w:shd w:val="clear" w:color="auto" w:fill="auto"/>
            <w:noWrap/>
            <w:vAlign w:val="center"/>
            <w:hideMark/>
          </w:tcPr>
          <w:p w14:paraId="33B05B7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14.45 (1.45-144.09)</w:t>
            </w:r>
          </w:p>
        </w:tc>
        <w:tc>
          <w:tcPr>
            <w:tcW w:w="711" w:type="dxa"/>
            <w:tcBorders>
              <w:top w:val="nil"/>
              <w:left w:val="nil"/>
              <w:bottom w:val="nil"/>
              <w:right w:val="single" w:sz="8" w:space="0" w:color="auto"/>
            </w:tcBorders>
            <w:shd w:val="clear" w:color="auto" w:fill="auto"/>
            <w:noWrap/>
            <w:vAlign w:val="center"/>
            <w:hideMark/>
          </w:tcPr>
          <w:p w14:paraId="0FB29E2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62D90C95" w14:textId="77777777" w:rsidTr="00C110FD">
        <w:trPr>
          <w:trHeight w:val="300"/>
        </w:trPr>
        <w:tc>
          <w:tcPr>
            <w:tcW w:w="3828" w:type="dxa"/>
            <w:tcBorders>
              <w:top w:val="nil"/>
              <w:left w:val="nil"/>
              <w:bottom w:val="nil"/>
              <w:right w:val="nil"/>
            </w:tcBorders>
            <w:shd w:val="clear" w:color="auto" w:fill="auto"/>
            <w:noWrap/>
            <w:vAlign w:val="center"/>
            <w:hideMark/>
          </w:tcPr>
          <w:p w14:paraId="73D341F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45-49 (vs 15-19)</w:t>
            </w:r>
          </w:p>
        </w:tc>
        <w:tc>
          <w:tcPr>
            <w:tcW w:w="1559" w:type="dxa"/>
            <w:tcBorders>
              <w:top w:val="nil"/>
              <w:left w:val="single" w:sz="8" w:space="0" w:color="auto"/>
              <w:bottom w:val="nil"/>
              <w:right w:val="single" w:sz="8" w:space="0" w:color="auto"/>
            </w:tcBorders>
            <w:shd w:val="clear" w:color="auto" w:fill="auto"/>
            <w:noWrap/>
            <w:vAlign w:val="center"/>
            <w:hideMark/>
          </w:tcPr>
          <w:p w14:paraId="0A97106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1.61 (0.25-10.34)</w:t>
            </w:r>
          </w:p>
        </w:tc>
        <w:tc>
          <w:tcPr>
            <w:tcW w:w="1559" w:type="dxa"/>
            <w:tcBorders>
              <w:top w:val="nil"/>
              <w:left w:val="nil"/>
              <w:bottom w:val="nil"/>
              <w:right w:val="nil"/>
            </w:tcBorders>
            <w:shd w:val="clear" w:color="auto" w:fill="auto"/>
            <w:noWrap/>
            <w:vAlign w:val="center"/>
            <w:hideMark/>
          </w:tcPr>
          <w:p w14:paraId="605E022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0.05 (0.01-0.49)</w:t>
            </w:r>
          </w:p>
        </w:tc>
        <w:tc>
          <w:tcPr>
            <w:tcW w:w="1843" w:type="dxa"/>
            <w:tcBorders>
              <w:top w:val="nil"/>
              <w:left w:val="single" w:sz="8" w:space="0" w:color="auto"/>
              <w:bottom w:val="nil"/>
              <w:right w:val="single" w:sz="8" w:space="0" w:color="auto"/>
            </w:tcBorders>
            <w:shd w:val="clear" w:color="auto" w:fill="auto"/>
            <w:noWrap/>
            <w:vAlign w:val="center"/>
            <w:hideMark/>
          </w:tcPr>
          <w:p w14:paraId="1184B8B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7.73 (0.52-114.76)</w:t>
            </w:r>
          </w:p>
        </w:tc>
        <w:tc>
          <w:tcPr>
            <w:tcW w:w="711" w:type="dxa"/>
            <w:tcBorders>
              <w:top w:val="nil"/>
              <w:left w:val="nil"/>
              <w:bottom w:val="nil"/>
              <w:right w:val="single" w:sz="8" w:space="0" w:color="auto"/>
            </w:tcBorders>
            <w:shd w:val="clear" w:color="auto" w:fill="auto"/>
            <w:noWrap/>
            <w:vAlign w:val="center"/>
            <w:hideMark/>
          </w:tcPr>
          <w:p w14:paraId="2BAEAFE0"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723106AB" w14:textId="77777777" w:rsidTr="00C110FD">
        <w:trPr>
          <w:trHeight w:val="300"/>
        </w:trPr>
        <w:tc>
          <w:tcPr>
            <w:tcW w:w="3828" w:type="dxa"/>
            <w:tcBorders>
              <w:top w:val="nil"/>
              <w:left w:val="nil"/>
              <w:bottom w:val="nil"/>
              <w:right w:val="nil"/>
            </w:tcBorders>
            <w:shd w:val="clear" w:color="auto" w:fill="auto"/>
            <w:noWrap/>
            <w:vAlign w:val="center"/>
            <w:hideMark/>
          </w:tcPr>
          <w:p w14:paraId="3376326C"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50-54 (vs 15-19)</w:t>
            </w:r>
          </w:p>
        </w:tc>
        <w:tc>
          <w:tcPr>
            <w:tcW w:w="1559" w:type="dxa"/>
            <w:tcBorders>
              <w:top w:val="nil"/>
              <w:left w:val="single" w:sz="8" w:space="0" w:color="auto"/>
              <w:bottom w:val="nil"/>
              <w:right w:val="single" w:sz="8" w:space="0" w:color="auto"/>
            </w:tcBorders>
            <w:shd w:val="clear" w:color="auto" w:fill="auto"/>
            <w:noWrap/>
            <w:vAlign w:val="center"/>
            <w:hideMark/>
          </w:tcPr>
          <w:p w14:paraId="5879185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2.21 (0.31-15.77)</w:t>
            </w:r>
          </w:p>
        </w:tc>
        <w:tc>
          <w:tcPr>
            <w:tcW w:w="1559" w:type="dxa"/>
            <w:tcBorders>
              <w:top w:val="nil"/>
              <w:left w:val="nil"/>
              <w:bottom w:val="nil"/>
              <w:right w:val="nil"/>
            </w:tcBorders>
            <w:shd w:val="clear" w:color="auto" w:fill="auto"/>
            <w:noWrap/>
            <w:vAlign w:val="center"/>
            <w:hideMark/>
          </w:tcPr>
          <w:p w14:paraId="38A6FFB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0.36 (0.05-2.50)</w:t>
            </w:r>
          </w:p>
        </w:tc>
        <w:tc>
          <w:tcPr>
            <w:tcW w:w="1843" w:type="dxa"/>
            <w:tcBorders>
              <w:top w:val="nil"/>
              <w:left w:val="single" w:sz="8" w:space="0" w:color="auto"/>
              <w:bottom w:val="nil"/>
              <w:right w:val="single" w:sz="8" w:space="0" w:color="auto"/>
            </w:tcBorders>
            <w:shd w:val="clear" w:color="auto" w:fill="auto"/>
            <w:noWrap/>
            <w:vAlign w:val="center"/>
            <w:hideMark/>
          </w:tcPr>
          <w:p w14:paraId="79AE02D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26.98 (2.47-294.44)</w:t>
            </w:r>
          </w:p>
        </w:tc>
        <w:tc>
          <w:tcPr>
            <w:tcW w:w="711" w:type="dxa"/>
            <w:tcBorders>
              <w:top w:val="nil"/>
              <w:left w:val="nil"/>
              <w:bottom w:val="nil"/>
              <w:right w:val="single" w:sz="8" w:space="0" w:color="auto"/>
            </w:tcBorders>
            <w:shd w:val="clear" w:color="auto" w:fill="auto"/>
            <w:noWrap/>
            <w:vAlign w:val="center"/>
            <w:hideMark/>
          </w:tcPr>
          <w:p w14:paraId="23AF3A9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19A06671" w14:textId="77777777" w:rsidTr="00C110FD">
        <w:trPr>
          <w:trHeight w:val="300"/>
        </w:trPr>
        <w:tc>
          <w:tcPr>
            <w:tcW w:w="3828" w:type="dxa"/>
            <w:tcBorders>
              <w:top w:val="nil"/>
              <w:left w:val="nil"/>
              <w:bottom w:val="nil"/>
              <w:right w:val="nil"/>
            </w:tcBorders>
            <w:shd w:val="clear" w:color="auto" w:fill="auto"/>
            <w:noWrap/>
            <w:vAlign w:val="center"/>
            <w:hideMark/>
          </w:tcPr>
          <w:p w14:paraId="5A63C3D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Age 55-59 (vs 15-19)</w:t>
            </w:r>
          </w:p>
        </w:tc>
        <w:tc>
          <w:tcPr>
            <w:tcW w:w="1559" w:type="dxa"/>
            <w:tcBorders>
              <w:top w:val="nil"/>
              <w:left w:val="single" w:sz="8" w:space="0" w:color="auto"/>
              <w:bottom w:val="nil"/>
              <w:right w:val="single" w:sz="8" w:space="0" w:color="auto"/>
            </w:tcBorders>
            <w:shd w:val="clear" w:color="auto" w:fill="auto"/>
            <w:noWrap/>
            <w:vAlign w:val="center"/>
            <w:hideMark/>
          </w:tcPr>
          <w:p w14:paraId="405DE7D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0.39 (0.03-4.75)</w:t>
            </w:r>
          </w:p>
        </w:tc>
        <w:tc>
          <w:tcPr>
            <w:tcW w:w="1559" w:type="dxa"/>
            <w:tcBorders>
              <w:top w:val="nil"/>
              <w:left w:val="nil"/>
              <w:bottom w:val="nil"/>
              <w:right w:val="nil"/>
            </w:tcBorders>
            <w:shd w:val="clear" w:color="auto" w:fill="auto"/>
            <w:noWrap/>
            <w:vAlign w:val="center"/>
            <w:hideMark/>
          </w:tcPr>
          <w:p w14:paraId="6D94659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1.40 (0.17-11.88)</w:t>
            </w:r>
          </w:p>
        </w:tc>
        <w:tc>
          <w:tcPr>
            <w:tcW w:w="1843" w:type="dxa"/>
            <w:tcBorders>
              <w:top w:val="nil"/>
              <w:left w:val="single" w:sz="8" w:space="0" w:color="auto"/>
              <w:bottom w:val="nil"/>
              <w:right w:val="single" w:sz="8" w:space="0" w:color="auto"/>
            </w:tcBorders>
            <w:shd w:val="clear" w:color="auto" w:fill="auto"/>
            <w:noWrap/>
            <w:vAlign w:val="center"/>
            <w:hideMark/>
          </w:tcPr>
          <w:p w14:paraId="710B4CE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0.00 (0.00-2.36E08&lt;)</w:t>
            </w:r>
          </w:p>
        </w:tc>
        <w:tc>
          <w:tcPr>
            <w:tcW w:w="711" w:type="dxa"/>
            <w:tcBorders>
              <w:top w:val="nil"/>
              <w:left w:val="nil"/>
              <w:bottom w:val="nil"/>
              <w:right w:val="single" w:sz="8" w:space="0" w:color="auto"/>
            </w:tcBorders>
            <w:shd w:val="clear" w:color="auto" w:fill="auto"/>
            <w:noWrap/>
            <w:vAlign w:val="center"/>
            <w:hideMark/>
          </w:tcPr>
          <w:p w14:paraId="5992AA3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446DD948" w14:textId="77777777" w:rsidTr="00C110FD">
        <w:trPr>
          <w:trHeight w:val="300"/>
        </w:trPr>
        <w:tc>
          <w:tcPr>
            <w:tcW w:w="3828" w:type="dxa"/>
            <w:tcBorders>
              <w:top w:val="nil"/>
              <w:left w:val="nil"/>
              <w:bottom w:val="nil"/>
              <w:right w:val="single" w:sz="8" w:space="0" w:color="auto"/>
            </w:tcBorders>
            <w:shd w:val="clear" w:color="auto" w:fill="auto"/>
            <w:noWrap/>
            <w:vAlign w:val="center"/>
            <w:hideMark/>
          </w:tcPr>
          <w:p w14:paraId="022BBE8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Eswatini and regional viraemia interaction</w:t>
            </w:r>
          </w:p>
        </w:tc>
        <w:tc>
          <w:tcPr>
            <w:tcW w:w="1559" w:type="dxa"/>
            <w:tcBorders>
              <w:top w:val="nil"/>
              <w:left w:val="nil"/>
              <w:bottom w:val="nil"/>
              <w:right w:val="single" w:sz="8" w:space="0" w:color="auto"/>
            </w:tcBorders>
            <w:shd w:val="clear" w:color="auto" w:fill="auto"/>
            <w:noWrap/>
            <w:vAlign w:val="center"/>
            <w:hideMark/>
          </w:tcPr>
          <w:p w14:paraId="6338AF6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1.15 (1.09-1.22)</w:t>
            </w:r>
          </w:p>
        </w:tc>
        <w:tc>
          <w:tcPr>
            <w:tcW w:w="1559" w:type="dxa"/>
            <w:tcBorders>
              <w:top w:val="nil"/>
              <w:left w:val="nil"/>
              <w:bottom w:val="nil"/>
              <w:right w:val="nil"/>
            </w:tcBorders>
            <w:shd w:val="clear" w:color="auto" w:fill="auto"/>
            <w:noWrap/>
            <w:vAlign w:val="center"/>
            <w:hideMark/>
          </w:tcPr>
          <w:p w14:paraId="10AF1B3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1.05 (0.95-1.17)</w:t>
            </w:r>
          </w:p>
        </w:tc>
        <w:tc>
          <w:tcPr>
            <w:tcW w:w="1843" w:type="dxa"/>
            <w:tcBorders>
              <w:top w:val="nil"/>
              <w:left w:val="single" w:sz="8" w:space="0" w:color="auto"/>
              <w:bottom w:val="nil"/>
              <w:right w:val="single" w:sz="8" w:space="0" w:color="auto"/>
            </w:tcBorders>
            <w:shd w:val="clear" w:color="auto" w:fill="auto"/>
            <w:noWrap/>
            <w:vAlign w:val="center"/>
            <w:hideMark/>
          </w:tcPr>
          <w:p w14:paraId="28B4721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1.11 (1.00-1.24)</w:t>
            </w:r>
          </w:p>
        </w:tc>
        <w:tc>
          <w:tcPr>
            <w:tcW w:w="711" w:type="dxa"/>
            <w:tcBorders>
              <w:top w:val="nil"/>
              <w:left w:val="nil"/>
              <w:bottom w:val="nil"/>
              <w:right w:val="single" w:sz="8" w:space="0" w:color="auto"/>
            </w:tcBorders>
            <w:shd w:val="clear" w:color="auto" w:fill="auto"/>
            <w:noWrap/>
            <w:vAlign w:val="center"/>
            <w:hideMark/>
          </w:tcPr>
          <w:p w14:paraId="2D8A878C"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1CADAEB9" w14:textId="77777777" w:rsidTr="00C110FD">
        <w:trPr>
          <w:trHeight w:val="300"/>
        </w:trPr>
        <w:tc>
          <w:tcPr>
            <w:tcW w:w="3828" w:type="dxa"/>
            <w:tcBorders>
              <w:top w:val="nil"/>
              <w:left w:val="nil"/>
              <w:bottom w:val="nil"/>
              <w:right w:val="nil"/>
            </w:tcBorders>
            <w:shd w:val="clear" w:color="auto" w:fill="auto"/>
            <w:noWrap/>
            <w:vAlign w:val="center"/>
            <w:hideMark/>
          </w:tcPr>
          <w:p w14:paraId="384536A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Lesotho and regional viraemia interaction</w:t>
            </w:r>
          </w:p>
        </w:tc>
        <w:tc>
          <w:tcPr>
            <w:tcW w:w="1559" w:type="dxa"/>
            <w:tcBorders>
              <w:top w:val="nil"/>
              <w:left w:val="single" w:sz="8" w:space="0" w:color="auto"/>
              <w:bottom w:val="nil"/>
              <w:right w:val="single" w:sz="8" w:space="0" w:color="auto"/>
            </w:tcBorders>
            <w:shd w:val="clear" w:color="auto" w:fill="auto"/>
            <w:noWrap/>
            <w:vAlign w:val="center"/>
            <w:hideMark/>
          </w:tcPr>
          <w:p w14:paraId="524E311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1.08 (1.03-1.14)</w:t>
            </w:r>
          </w:p>
        </w:tc>
        <w:tc>
          <w:tcPr>
            <w:tcW w:w="1559" w:type="dxa"/>
            <w:tcBorders>
              <w:top w:val="nil"/>
              <w:left w:val="nil"/>
              <w:bottom w:val="nil"/>
              <w:right w:val="nil"/>
            </w:tcBorders>
            <w:shd w:val="clear" w:color="auto" w:fill="auto"/>
            <w:noWrap/>
            <w:vAlign w:val="center"/>
            <w:hideMark/>
          </w:tcPr>
          <w:p w14:paraId="1CBEB87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1.10 (1.03-1.18)</w:t>
            </w:r>
          </w:p>
        </w:tc>
        <w:tc>
          <w:tcPr>
            <w:tcW w:w="1843" w:type="dxa"/>
            <w:tcBorders>
              <w:top w:val="nil"/>
              <w:left w:val="single" w:sz="8" w:space="0" w:color="auto"/>
              <w:bottom w:val="nil"/>
              <w:right w:val="single" w:sz="8" w:space="0" w:color="auto"/>
            </w:tcBorders>
            <w:shd w:val="clear" w:color="auto" w:fill="auto"/>
            <w:noWrap/>
            <w:vAlign w:val="center"/>
            <w:hideMark/>
          </w:tcPr>
          <w:p w14:paraId="5BB891E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1.17 (1.11-1.25)</w:t>
            </w:r>
          </w:p>
        </w:tc>
        <w:tc>
          <w:tcPr>
            <w:tcW w:w="711" w:type="dxa"/>
            <w:tcBorders>
              <w:top w:val="nil"/>
              <w:left w:val="nil"/>
              <w:bottom w:val="nil"/>
              <w:right w:val="single" w:sz="8" w:space="0" w:color="auto"/>
            </w:tcBorders>
            <w:shd w:val="clear" w:color="auto" w:fill="auto"/>
            <w:noWrap/>
            <w:vAlign w:val="center"/>
            <w:hideMark/>
          </w:tcPr>
          <w:p w14:paraId="52C1A2A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1A7AFFAF" w14:textId="77777777" w:rsidTr="00C110FD">
        <w:trPr>
          <w:trHeight w:val="300"/>
        </w:trPr>
        <w:tc>
          <w:tcPr>
            <w:tcW w:w="3828" w:type="dxa"/>
            <w:tcBorders>
              <w:top w:val="nil"/>
              <w:left w:val="nil"/>
              <w:bottom w:val="nil"/>
              <w:right w:val="nil"/>
            </w:tcBorders>
            <w:shd w:val="clear" w:color="auto" w:fill="auto"/>
            <w:noWrap/>
            <w:vAlign w:val="center"/>
            <w:hideMark/>
          </w:tcPr>
          <w:p w14:paraId="0EA6910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Tanzania and regional viraemia interaction</w:t>
            </w:r>
          </w:p>
        </w:tc>
        <w:tc>
          <w:tcPr>
            <w:tcW w:w="1559" w:type="dxa"/>
            <w:tcBorders>
              <w:top w:val="nil"/>
              <w:left w:val="single" w:sz="8" w:space="0" w:color="auto"/>
              <w:bottom w:val="nil"/>
              <w:right w:val="single" w:sz="8" w:space="0" w:color="auto"/>
            </w:tcBorders>
            <w:shd w:val="clear" w:color="auto" w:fill="auto"/>
            <w:noWrap/>
            <w:vAlign w:val="center"/>
            <w:hideMark/>
          </w:tcPr>
          <w:p w14:paraId="2715A36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1.18 (1.09-1.29)</w:t>
            </w:r>
          </w:p>
        </w:tc>
        <w:tc>
          <w:tcPr>
            <w:tcW w:w="1559" w:type="dxa"/>
            <w:tcBorders>
              <w:top w:val="nil"/>
              <w:left w:val="nil"/>
              <w:bottom w:val="nil"/>
              <w:right w:val="nil"/>
            </w:tcBorders>
            <w:shd w:val="clear" w:color="auto" w:fill="auto"/>
            <w:noWrap/>
            <w:vAlign w:val="center"/>
            <w:hideMark/>
          </w:tcPr>
          <w:p w14:paraId="0429E68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0.70 (0.53-0.93)</w:t>
            </w:r>
          </w:p>
        </w:tc>
        <w:tc>
          <w:tcPr>
            <w:tcW w:w="1843" w:type="dxa"/>
            <w:tcBorders>
              <w:top w:val="nil"/>
              <w:left w:val="single" w:sz="8" w:space="0" w:color="auto"/>
              <w:bottom w:val="nil"/>
              <w:right w:val="single" w:sz="8" w:space="0" w:color="auto"/>
            </w:tcBorders>
            <w:shd w:val="clear" w:color="auto" w:fill="auto"/>
            <w:noWrap/>
            <w:vAlign w:val="center"/>
            <w:hideMark/>
          </w:tcPr>
          <w:p w14:paraId="567CBF0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1.14 (0.97-1.34)</w:t>
            </w:r>
          </w:p>
        </w:tc>
        <w:tc>
          <w:tcPr>
            <w:tcW w:w="711" w:type="dxa"/>
            <w:tcBorders>
              <w:top w:val="nil"/>
              <w:left w:val="nil"/>
              <w:bottom w:val="nil"/>
              <w:right w:val="single" w:sz="8" w:space="0" w:color="auto"/>
            </w:tcBorders>
            <w:shd w:val="clear" w:color="auto" w:fill="auto"/>
            <w:noWrap/>
            <w:vAlign w:val="center"/>
            <w:hideMark/>
          </w:tcPr>
          <w:p w14:paraId="0AB9330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4FAE3552" w14:textId="77777777" w:rsidTr="00C110FD">
        <w:trPr>
          <w:trHeight w:val="300"/>
        </w:trPr>
        <w:tc>
          <w:tcPr>
            <w:tcW w:w="3828" w:type="dxa"/>
            <w:tcBorders>
              <w:top w:val="nil"/>
              <w:left w:val="nil"/>
              <w:bottom w:val="nil"/>
              <w:right w:val="nil"/>
            </w:tcBorders>
            <w:shd w:val="clear" w:color="auto" w:fill="auto"/>
            <w:noWrap/>
            <w:vAlign w:val="center"/>
            <w:hideMark/>
          </w:tcPr>
          <w:p w14:paraId="58A3416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Uganda and regional viraemia interaction</w:t>
            </w:r>
          </w:p>
        </w:tc>
        <w:tc>
          <w:tcPr>
            <w:tcW w:w="1559" w:type="dxa"/>
            <w:tcBorders>
              <w:top w:val="nil"/>
              <w:left w:val="single" w:sz="8" w:space="0" w:color="auto"/>
              <w:bottom w:val="nil"/>
              <w:right w:val="single" w:sz="8" w:space="0" w:color="auto"/>
            </w:tcBorders>
            <w:shd w:val="clear" w:color="auto" w:fill="auto"/>
            <w:noWrap/>
            <w:vAlign w:val="center"/>
            <w:hideMark/>
          </w:tcPr>
          <w:p w14:paraId="0A10DE2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1.19 (1.07-1.33)</w:t>
            </w:r>
          </w:p>
        </w:tc>
        <w:tc>
          <w:tcPr>
            <w:tcW w:w="1559" w:type="dxa"/>
            <w:tcBorders>
              <w:top w:val="nil"/>
              <w:left w:val="nil"/>
              <w:bottom w:val="nil"/>
              <w:right w:val="nil"/>
            </w:tcBorders>
            <w:shd w:val="clear" w:color="auto" w:fill="auto"/>
            <w:noWrap/>
            <w:vAlign w:val="center"/>
            <w:hideMark/>
          </w:tcPr>
          <w:p w14:paraId="4427D19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0.98 (0.81-1.18)</w:t>
            </w:r>
          </w:p>
        </w:tc>
        <w:tc>
          <w:tcPr>
            <w:tcW w:w="1843" w:type="dxa"/>
            <w:tcBorders>
              <w:top w:val="nil"/>
              <w:left w:val="single" w:sz="8" w:space="0" w:color="auto"/>
              <w:bottom w:val="nil"/>
              <w:right w:val="single" w:sz="8" w:space="0" w:color="auto"/>
            </w:tcBorders>
            <w:shd w:val="clear" w:color="auto" w:fill="auto"/>
            <w:noWrap/>
            <w:vAlign w:val="center"/>
            <w:hideMark/>
          </w:tcPr>
          <w:p w14:paraId="46A1648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1.21 (1.05-1.40)</w:t>
            </w:r>
          </w:p>
        </w:tc>
        <w:tc>
          <w:tcPr>
            <w:tcW w:w="711" w:type="dxa"/>
            <w:tcBorders>
              <w:top w:val="nil"/>
              <w:left w:val="nil"/>
              <w:bottom w:val="nil"/>
              <w:right w:val="single" w:sz="8" w:space="0" w:color="auto"/>
            </w:tcBorders>
            <w:shd w:val="clear" w:color="auto" w:fill="auto"/>
            <w:noWrap/>
            <w:vAlign w:val="center"/>
            <w:hideMark/>
          </w:tcPr>
          <w:p w14:paraId="389974F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497CAB6F" w14:textId="77777777" w:rsidTr="00C110FD">
        <w:trPr>
          <w:trHeight w:val="300"/>
        </w:trPr>
        <w:tc>
          <w:tcPr>
            <w:tcW w:w="3828" w:type="dxa"/>
            <w:tcBorders>
              <w:top w:val="nil"/>
              <w:left w:val="nil"/>
              <w:bottom w:val="nil"/>
              <w:right w:val="nil"/>
            </w:tcBorders>
            <w:shd w:val="clear" w:color="auto" w:fill="auto"/>
            <w:noWrap/>
            <w:vAlign w:val="center"/>
            <w:hideMark/>
          </w:tcPr>
          <w:p w14:paraId="4FD15E3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Zambia and regional viraemia interaction</w:t>
            </w:r>
          </w:p>
        </w:tc>
        <w:tc>
          <w:tcPr>
            <w:tcW w:w="1559" w:type="dxa"/>
            <w:tcBorders>
              <w:top w:val="nil"/>
              <w:left w:val="single" w:sz="8" w:space="0" w:color="auto"/>
              <w:bottom w:val="nil"/>
              <w:right w:val="single" w:sz="8" w:space="0" w:color="auto"/>
            </w:tcBorders>
            <w:shd w:val="clear" w:color="auto" w:fill="auto"/>
            <w:noWrap/>
            <w:vAlign w:val="center"/>
            <w:hideMark/>
          </w:tcPr>
          <w:p w14:paraId="2E181429"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1.09 (1.01-1.17)</w:t>
            </w:r>
          </w:p>
        </w:tc>
        <w:tc>
          <w:tcPr>
            <w:tcW w:w="1559" w:type="dxa"/>
            <w:tcBorders>
              <w:top w:val="nil"/>
              <w:left w:val="nil"/>
              <w:bottom w:val="nil"/>
              <w:right w:val="nil"/>
            </w:tcBorders>
            <w:shd w:val="clear" w:color="auto" w:fill="auto"/>
            <w:noWrap/>
            <w:vAlign w:val="center"/>
            <w:hideMark/>
          </w:tcPr>
          <w:p w14:paraId="6CCA3AD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1.13 (1.05-1.21)</w:t>
            </w:r>
          </w:p>
        </w:tc>
        <w:tc>
          <w:tcPr>
            <w:tcW w:w="1843" w:type="dxa"/>
            <w:tcBorders>
              <w:top w:val="nil"/>
              <w:left w:val="single" w:sz="8" w:space="0" w:color="auto"/>
              <w:bottom w:val="nil"/>
              <w:right w:val="single" w:sz="8" w:space="0" w:color="auto"/>
            </w:tcBorders>
            <w:shd w:val="clear" w:color="auto" w:fill="auto"/>
            <w:noWrap/>
            <w:vAlign w:val="center"/>
            <w:hideMark/>
          </w:tcPr>
          <w:p w14:paraId="2541258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1.08 (0.95-1.22)</w:t>
            </w:r>
          </w:p>
        </w:tc>
        <w:tc>
          <w:tcPr>
            <w:tcW w:w="711" w:type="dxa"/>
            <w:tcBorders>
              <w:top w:val="nil"/>
              <w:left w:val="nil"/>
              <w:bottom w:val="nil"/>
              <w:right w:val="single" w:sz="8" w:space="0" w:color="auto"/>
            </w:tcBorders>
            <w:shd w:val="clear" w:color="auto" w:fill="auto"/>
            <w:noWrap/>
            <w:vAlign w:val="center"/>
            <w:hideMark/>
          </w:tcPr>
          <w:p w14:paraId="4F4A500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3D252681" w14:textId="77777777" w:rsidTr="00C110FD">
        <w:trPr>
          <w:trHeight w:val="300"/>
        </w:trPr>
        <w:tc>
          <w:tcPr>
            <w:tcW w:w="3828" w:type="dxa"/>
            <w:tcBorders>
              <w:top w:val="nil"/>
              <w:left w:val="nil"/>
              <w:bottom w:val="nil"/>
              <w:right w:val="nil"/>
            </w:tcBorders>
            <w:shd w:val="clear" w:color="auto" w:fill="auto"/>
            <w:noWrap/>
            <w:vAlign w:val="center"/>
            <w:hideMark/>
          </w:tcPr>
          <w:p w14:paraId="5E1C8254"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Secondary education or higher</w:t>
            </w:r>
          </w:p>
        </w:tc>
        <w:tc>
          <w:tcPr>
            <w:tcW w:w="1559" w:type="dxa"/>
            <w:tcBorders>
              <w:top w:val="nil"/>
              <w:left w:val="single" w:sz="8" w:space="0" w:color="auto"/>
              <w:bottom w:val="nil"/>
              <w:right w:val="single" w:sz="8" w:space="0" w:color="auto"/>
            </w:tcBorders>
            <w:shd w:val="clear" w:color="auto" w:fill="auto"/>
            <w:noWrap/>
            <w:vAlign w:val="center"/>
            <w:hideMark/>
          </w:tcPr>
          <w:p w14:paraId="06C0AC28"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1.64 (0.71-3.77)</w:t>
            </w:r>
          </w:p>
        </w:tc>
        <w:tc>
          <w:tcPr>
            <w:tcW w:w="1559" w:type="dxa"/>
            <w:tcBorders>
              <w:top w:val="nil"/>
              <w:left w:val="nil"/>
              <w:bottom w:val="nil"/>
              <w:right w:val="nil"/>
            </w:tcBorders>
            <w:shd w:val="clear" w:color="auto" w:fill="auto"/>
            <w:noWrap/>
            <w:vAlign w:val="center"/>
            <w:hideMark/>
          </w:tcPr>
          <w:p w14:paraId="289933A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0.71 (0.30-1.65)</w:t>
            </w:r>
          </w:p>
        </w:tc>
        <w:tc>
          <w:tcPr>
            <w:tcW w:w="1843" w:type="dxa"/>
            <w:tcBorders>
              <w:top w:val="nil"/>
              <w:left w:val="single" w:sz="8" w:space="0" w:color="auto"/>
              <w:bottom w:val="nil"/>
              <w:right w:val="single" w:sz="8" w:space="0" w:color="auto"/>
            </w:tcBorders>
            <w:shd w:val="clear" w:color="auto" w:fill="auto"/>
            <w:noWrap/>
            <w:vAlign w:val="center"/>
            <w:hideMark/>
          </w:tcPr>
          <w:p w14:paraId="185E6AB4"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1.44 (0.62-3.37)</w:t>
            </w:r>
          </w:p>
        </w:tc>
        <w:tc>
          <w:tcPr>
            <w:tcW w:w="711" w:type="dxa"/>
            <w:tcBorders>
              <w:top w:val="nil"/>
              <w:left w:val="nil"/>
              <w:bottom w:val="nil"/>
              <w:right w:val="single" w:sz="8" w:space="0" w:color="auto"/>
            </w:tcBorders>
            <w:shd w:val="clear" w:color="auto" w:fill="auto"/>
            <w:noWrap/>
            <w:vAlign w:val="center"/>
            <w:hideMark/>
          </w:tcPr>
          <w:p w14:paraId="79302C3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2AB5D1E4" w14:textId="77777777" w:rsidTr="00C110FD">
        <w:trPr>
          <w:trHeight w:val="300"/>
        </w:trPr>
        <w:tc>
          <w:tcPr>
            <w:tcW w:w="3828" w:type="dxa"/>
            <w:tcBorders>
              <w:top w:val="nil"/>
              <w:left w:val="nil"/>
              <w:bottom w:val="nil"/>
              <w:right w:val="nil"/>
            </w:tcBorders>
            <w:shd w:val="clear" w:color="auto" w:fill="auto"/>
            <w:noWrap/>
            <w:vAlign w:val="center"/>
            <w:hideMark/>
          </w:tcPr>
          <w:p w14:paraId="4944C514"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 xml:space="preserve">Received </w:t>
            </w:r>
            <w:proofErr w:type="spellStart"/>
            <w:r w:rsidRPr="00C110FD">
              <w:rPr>
                <w:rFonts w:ascii="Calibri" w:eastAsia="Times New Roman" w:hAnsi="Calibri" w:cs="Calibri"/>
                <w:color w:val="000000"/>
                <w:sz w:val="18"/>
                <w:szCs w:val="18"/>
                <w:lang w:eastAsia="en-GB"/>
              </w:rPr>
              <w:t>paycheck</w:t>
            </w:r>
            <w:proofErr w:type="spellEnd"/>
            <w:r w:rsidRPr="00C110FD">
              <w:rPr>
                <w:rFonts w:ascii="Calibri" w:eastAsia="Times New Roman" w:hAnsi="Calibri" w:cs="Calibri"/>
                <w:color w:val="000000"/>
                <w:sz w:val="18"/>
                <w:szCs w:val="18"/>
                <w:lang w:eastAsia="en-GB"/>
              </w:rPr>
              <w:t xml:space="preserve"> in last 12 months</w:t>
            </w:r>
          </w:p>
        </w:tc>
        <w:tc>
          <w:tcPr>
            <w:tcW w:w="1559" w:type="dxa"/>
            <w:tcBorders>
              <w:top w:val="nil"/>
              <w:left w:val="single" w:sz="8" w:space="0" w:color="auto"/>
              <w:bottom w:val="nil"/>
              <w:right w:val="single" w:sz="8" w:space="0" w:color="auto"/>
            </w:tcBorders>
            <w:shd w:val="clear" w:color="auto" w:fill="auto"/>
            <w:noWrap/>
            <w:vAlign w:val="center"/>
            <w:hideMark/>
          </w:tcPr>
          <w:p w14:paraId="6E497EB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1.22 (0.57-2.60)</w:t>
            </w:r>
          </w:p>
        </w:tc>
        <w:tc>
          <w:tcPr>
            <w:tcW w:w="1559" w:type="dxa"/>
            <w:tcBorders>
              <w:top w:val="nil"/>
              <w:left w:val="nil"/>
              <w:bottom w:val="nil"/>
              <w:right w:val="nil"/>
            </w:tcBorders>
            <w:shd w:val="clear" w:color="auto" w:fill="auto"/>
            <w:noWrap/>
            <w:vAlign w:val="center"/>
            <w:hideMark/>
          </w:tcPr>
          <w:p w14:paraId="148EDBE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2.35 (1.35-4.11)</w:t>
            </w:r>
          </w:p>
        </w:tc>
        <w:tc>
          <w:tcPr>
            <w:tcW w:w="1843" w:type="dxa"/>
            <w:tcBorders>
              <w:top w:val="nil"/>
              <w:left w:val="single" w:sz="8" w:space="0" w:color="auto"/>
              <w:bottom w:val="nil"/>
              <w:right w:val="single" w:sz="8" w:space="0" w:color="auto"/>
            </w:tcBorders>
            <w:shd w:val="clear" w:color="auto" w:fill="auto"/>
            <w:noWrap/>
            <w:vAlign w:val="center"/>
            <w:hideMark/>
          </w:tcPr>
          <w:p w14:paraId="47978B1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1.55 (0.72-3.35)</w:t>
            </w:r>
          </w:p>
        </w:tc>
        <w:tc>
          <w:tcPr>
            <w:tcW w:w="711" w:type="dxa"/>
            <w:tcBorders>
              <w:top w:val="nil"/>
              <w:left w:val="nil"/>
              <w:bottom w:val="nil"/>
              <w:right w:val="single" w:sz="8" w:space="0" w:color="auto"/>
            </w:tcBorders>
            <w:shd w:val="clear" w:color="auto" w:fill="auto"/>
            <w:noWrap/>
            <w:vAlign w:val="center"/>
            <w:hideMark/>
          </w:tcPr>
          <w:p w14:paraId="1BBF6DC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5387957E" w14:textId="77777777" w:rsidTr="00C110FD">
        <w:trPr>
          <w:trHeight w:val="300"/>
        </w:trPr>
        <w:tc>
          <w:tcPr>
            <w:tcW w:w="3828" w:type="dxa"/>
            <w:tcBorders>
              <w:top w:val="nil"/>
              <w:left w:val="nil"/>
              <w:bottom w:val="nil"/>
              <w:right w:val="nil"/>
            </w:tcBorders>
            <w:shd w:val="clear" w:color="auto" w:fill="auto"/>
            <w:noWrap/>
            <w:vAlign w:val="center"/>
            <w:hideMark/>
          </w:tcPr>
          <w:p w14:paraId="23BF337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Ever married</w:t>
            </w:r>
          </w:p>
        </w:tc>
        <w:tc>
          <w:tcPr>
            <w:tcW w:w="1559" w:type="dxa"/>
            <w:tcBorders>
              <w:top w:val="nil"/>
              <w:left w:val="single" w:sz="8" w:space="0" w:color="auto"/>
              <w:bottom w:val="nil"/>
              <w:right w:val="single" w:sz="8" w:space="0" w:color="auto"/>
            </w:tcBorders>
            <w:shd w:val="clear" w:color="auto" w:fill="auto"/>
            <w:noWrap/>
            <w:vAlign w:val="center"/>
            <w:hideMark/>
          </w:tcPr>
          <w:p w14:paraId="792696B9"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1.79 (0.42-7.68)</w:t>
            </w:r>
          </w:p>
        </w:tc>
        <w:tc>
          <w:tcPr>
            <w:tcW w:w="1559" w:type="dxa"/>
            <w:tcBorders>
              <w:top w:val="nil"/>
              <w:left w:val="nil"/>
              <w:bottom w:val="nil"/>
              <w:right w:val="nil"/>
            </w:tcBorders>
            <w:shd w:val="clear" w:color="auto" w:fill="auto"/>
            <w:noWrap/>
            <w:vAlign w:val="center"/>
            <w:hideMark/>
          </w:tcPr>
          <w:p w14:paraId="58713B6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2.07 (0.99-4.34)</w:t>
            </w:r>
          </w:p>
        </w:tc>
        <w:tc>
          <w:tcPr>
            <w:tcW w:w="1843" w:type="dxa"/>
            <w:tcBorders>
              <w:top w:val="nil"/>
              <w:left w:val="single" w:sz="8" w:space="0" w:color="auto"/>
              <w:bottom w:val="nil"/>
              <w:right w:val="single" w:sz="8" w:space="0" w:color="auto"/>
            </w:tcBorders>
            <w:shd w:val="clear" w:color="auto" w:fill="auto"/>
            <w:noWrap/>
            <w:vAlign w:val="center"/>
            <w:hideMark/>
          </w:tcPr>
          <w:p w14:paraId="0AFFE1F7"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7.32 (1.09-49.14)</w:t>
            </w:r>
          </w:p>
        </w:tc>
        <w:tc>
          <w:tcPr>
            <w:tcW w:w="711" w:type="dxa"/>
            <w:tcBorders>
              <w:top w:val="nil"/>
              <w:left w:val="nil"/>
              <w:bottom w:val="nil"/>
              <w:right w:val="single" w:sz="8" w:space="0" w:color="auto"/>
            </w:tcBorders>
            <w:shd w:val="clear" w:color="auto" w:fill="auto"/>
            <w:noWrap/>
            <w:vAlign w:val="center"/>
            <w:hideMark/>
          </w:tcPr>
          <w:p w14:paraId="158C7F8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59DB09A1" w14:textId="77777777" w:rsidTr="00C110FD">
        <w:trPr>
          <w:trHeight w:val="300"/>
        </w:trPr>
        <w:tc>
          <w:tcPr>
            <w:tcW w:w="3828" w:type="dxa"/>
            <w:tcBorders>
              <w:top w:val="nil"/>
              <w:left w:val="nil"/>
              <w:bottom w:val="nil"/>
              <w:right w:val="nil"/>
            </w:tcBorders>
            <w:shd w:val="clear" w:color="auto" w:fill="auto"/>
            <w:noWrap/>
            <w:vAlign w:val="center"/>
            <w:hideMark/>
          </w:tcPr>
          <w:p w14:paraId="3AFA60F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No support</w:t>
            </w:r>
          </w:p>
        </w:tc>
        <w:tc>
          <w:tcPr>
            <w:tcW w:w="1559" w:type="dxa"/>
            <w:tcBorders>
              <w:top w:val="nil"/>
              <w:left w:val="single" w:sz="8" w:space="0" w:color="auto"/>
              <w:bottom w:val="nil"/>
              <w:right w:val="single" w:sz="8" w:space="0" w:color="auto"/>
            </w:tcBorders>
            <w:shd w:val="clear" w:color="auto" w:fill="auto"/>
            <w:noWrap/>
            <w:vAlign w:val="center"/>
            <w:hideMark/>
          </w:tcPr>
          <w:p w14:paraId="32673741"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1559" w:type="dxa"/>
            <w:tcBorders>
              <w:top w:val="nil"/>
              <w:left w:val="nil"/>
              <w:bottom w:val="nil"/>
              <w:right w:val="nil"/>
            </w:tcBorders>
            <w:shd w:val="clear" w:color="auto" w:fill="auto"/>
            <w:noWrap/>
            <w:vAlign w:val="center"/>
            <w:hideMark/>
          </w:tcPr>
          <w:p w14:paraId="3CBF89B0"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1843" w:type="dxa"/>
            <w:tcBorders>
              <w:top w:val="nil"/>
              <w:left w:val="single" w:sz="8" w:space="0" w:color="auto"/>
              <w:bottom w:val="nil"/>
              <w:right w:val="single" w:sz="8" w:space="0" w:color="auto"/>
            </w:tcBorders>
            <w:shd w:val="clear" w:color="auto" w:fill="auto"/>
            <w:noWrap/>
            <w:vAlign w:val="center"/>
            <w:hideMark/>
          </w:tcPr>
          <w:p w14:paraId="1B11ECF2"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711" w:type="dxa"/>
            <w:tcBorders>
              <w:top w:val="nil"/>
              <w:left w:val="nil"/>
              <w:bottom w:val="nil"/>
              <w:right w:val="single" w:sz="8" w:space="0" w:color="auto"/>
            </w:tcBorders>
            <w:shd w:val="clear" w:color="auto" w:fill="auto"/>
            <w:noWrap/>
            <w:vAlign w:val="center"/>
            <w:hideMark/>
          </w:tcPr>
          <w:p w14:paraId="19BBC8B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048C2A3C" w14:textId="77777777" w:rsidTr="00C110FD">
        <w:trPr>
          <w:trHeight w:val="300"/>
        </w:trPr>
        <w:tc>
          <w:tcPr>
            <w:tcW w:w="3828" w:type="dxa"/>
            <w:tcBorders>
              <w:top w:val="nil"/>
              <w:left w:val="nil"/>
              <w:bottom w:val="nil"/>
              <w:right w:val="nil"/>
            </w:tcBorders>
            <w:shd w:val="clear" w:color="auto" w:fill="auto"/>
            <w:noWrap/>
            <w:vAlign w:val="center"/>
            <w:hideMark/>
          </w:tcPr>
          <w:p w14:paraId="2DA51D3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Food support (vs no support)</w:t>
            </w:r>
          </w:p>
        </w:tc>
        <w:tc>
          <w:tcPr>
            <w:tcW w:w="1559" w:type="dxa"/>
            <w:tcBorders>
              <w:top w:val="nil"/>
              <w:left w:val="single" w:sz="8" w:space="0" w:color="auto"/>
              <w:bottom w:val="nil"/>
              <w:right w:val="single" w:sz="8" w:space="0" w:color="auto"/>
            </w:tcBorders>
            <w:shd w:val="clear" w:color="auto" w:fill="auto"/>
            <w:noWrap/>
            <w:vAlign w:val="center"/>
            <w:hideMark/>
          </w:tcPr>
          <w:p w14:paraId="325F2658"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0.33 (0.12-0.90)</w:t>
            </w:r>
          </w:p>
        </w:tc>
        <w:tc>
          <w:tcPr>
            <w:tcW w:w="1559" w:type="dxa"/>
            <w:tcBorders>
              <w:top w:val="nil"/>
              <w:left w:val="nil"/>
              <w:bottom w:val="nil"/>
              <w:right w:val="nil"/>
            </w:tcBorders>
            <w:shd w:val="clear" w:color="auto" w:fill="auto"/>
            <w:noWrap/>
            <w:vAlign w:val="center"/>
            <w:hideMark/>
          </w:tcPr>
          <w:p w14:paraId="074EC38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0.00 (0.00-0.33)</w:t>
            </w:r>
          </w:p>
        </w:tc>
        <w:tc>
          <w:tcPr>
            <w:tcW w:w="1843" w:type="dxa"/>
            <w:tcBorders>
              <w:top w:val="nil"/>
              <w:left w:val="single" w:sz="8" w:space="0" w:color="auto"/>
              <w:bottom w:val="nil"/>
              <w:right w:val="single" w:sz="8" w:space="0" w:color="auto"/>
            </w:tcBorders>
            <w:shd w:val="clear" w:color="auto" w:fill="auto"/>
            <w:noWrap/>
            <w:vAlign w:val="center"/>
            <w:hideMark/>
          </w:tcPr>
          <w:p w14:paraId="73AEF4E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3.85 (0.50-29.66)</w:t>
            </w:r>
          </w:p>
        </w:tc>
        <w:tc>
          <w:tcPr>
            <w:tcW w:w="711" w:type="dxa"/>
            <w:tcBorders>
              <w:top w:val="nil"/>
              <w:left w:val="nil"/>
              <w:bottom w:val="nil"/>
              <w:right w:val="single" w:sz="8" w:space="0" w:color="auto"/>
            </w:tcBorders>
            <w:shd w:val="clear" w:color="auto" w:fill="auto"/>
            <w:noWrap/>
            <w:vAlign w:val="center"/>
            <w:hideMark/>
          </w:tcPr>
          <w:p w14:paraId="19F6B909"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110FD" w:rsidRPr="00C110FD" w14:paraId="412C460B" w14:textId="77777777" w:rsidTr="00C110FD">
        <w:trPr>
          <w:trHeight w:val="300"/>
        </w:trPr>
        <w:tc>
          <w:tcPr>
            <w:tcW w:w="3828" w:type="dxa"/>
            <w:tcBorders>
              <w:top w:val="nil"/>
              <w:left w:val="nil"/>
              <w:bottom w:val="nil"/>
              <w:right w:val="nil"/>
            </w:tcBorders>
            <w:shd w:val="clear" w:color="auto" w:fill="auto"/>
            <w:noWrap/>
            <w:vAlign w:val="center"/>
            <w:hideMark/>
          </w:tcPr>
          <w:p w14:paraId="15A88A7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Other economic support (vs no support)</w:t>
            </w:r>
          </w:p>
        </w:tc>
        <w:tc>
          <w:tcPr>
            <w:tcW w:w="1559" w:type="dxa"/>
            <w:tcBorders>
              <w:top w:val="nil"/>
              <w:left w:val="single" w:sz="8" w:space="0" w:color="auto"/>
              <w:bottom w:val="nil"/>
              <w:right w:val="single" w:sz="8" w:space="0" w:color="auto"/>
            </w:tcBorders>
            <w:shd w:val="clear" w:color="auto" w:fill="auto"/>
            <w:noWrap/>
            <w:vAlign w:val="center"/>
            <w:hideMark/>
          </w:tcPr>
          <w:p w14:paraId="7DD3C3C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0.55 (0.23-1.27)</w:t>
            </w:r>
          </w:p>
        </w:tc>
        <w:tc>
          <w:tcPr>
            <w:tcW w:w="1559" w:type="dxa"/>
            <w:tcBorders>
              <w:top w:val="nil"/>
              <w:left w:val="nil"/>
              <w:bottom w:val="nil"/>
              <w:right w:val="nil"/>
            </w:tcBorders>
            <w:shd w:val="clear" w:color="auto" w:fill="auto"/>
            <w:noWrap/>
            <w:vAlign w:val="center"/>
            <w:hideMark/>
          </w:tcPr>
          <w:p w14:paraId="400A820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2.94 (1.07-8.11)</w:t>
            </w:r>
          </w:p>
        </w:tc>
        <w:tc>
          <w:tcPr>
            <w:tcW w:w="1843" w:type="dxa"/>
            <w:tcBorders>
              <w:top w:val="nil"/>
              <w:left w:val="single" w:sz="8" w:space="0" w:color="auto"/>
              <w:bottom w:val="nil"/>
              <w:right w:val="single" w:sz="8" w:space="0" w:color="auto"/>
            </w:tcBorders>
            <w:shd w:val="clear" w:color="auto" w:fill="auto"/>
            <w:noWrap/>
            <w:vAlign w:val="center"/>
            <w:hideMark/>
          </w:tcPr>
          <w:p w14:paraId="6E2A62F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1.08 (0.23-4.95)</w:t>
            </w:r>
          </w:p>
        </w:tc>
        <w:tc>
          <w:tcPr>
            <w:tcW w:w="711" w:type="dxa"/>
            <w:tcBorders>
              <w:top w:val="nil"/>
              <w:left w:val="nil"/>
              <w:bottom w:val="nil"/>
              <w:right w:val="single" w:sz="8" w:space="0" w:color="auto"/>
            </w:tcBorders>
            <w:shd w:val="clear" w:color="auto" w:fill="auto"/>
            <w:noWrap/>
            <w:vAlign w:val="center"/>
            <w:hideMark/>
          </w:tcPr>
          <w:p w14:paraId="6B23683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21062896" w14:textId="77777777" w:rsidTr="00C110FD">
        <w:trPr>
          <w:trHeight w:val="300"/>
        </w:trPr>
        <w:tc>
          <w:tcPr>
            <w:tcW w:w="3828" w:type="dxa"/>
            <w:tcBorders>
              <w:top w:val="nil"/>
              <w:left w:val="nil"/>
              <w:bottom w:val="nil"/>
              <w:right w:val="nil"/>
            </w:tcBorders>
            <w:shd w:val="clear" w:color="auto" w:fill="auto"/>
            <w:noWrap/>
            <w:vAlign w:val="center"/>
            <w:hideMark/>
          </w:tcPr>
          <w:p w14:paraId="65852CBC"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Severe food insecurity</w:t>
            </w:r>
          </w:p>
        </w:tc>
        <w:tc>
          <w:tcPr>
            <w:tcW w:w="1559" w:type="dxa"/>
            <w:tcBorders>
              <w:top w:val="nil"/>
              <w:left w:val="single" w:sz="8" w:space="0" w:color="auto"/>
              <w:bottom w:val="nil"/>
              <w:right w:val="single" w:sz="8" w:space="0" w:color="auto"/>
            </w:tcBorders>
            <w:shd w:val="clear" w:color="auto" w:fill="auto"/>
            <w:noWrap/>
            <w:vAlign w:val="center"/>
            <w:hideMark/>
          </w:tcPr>
          <w:p w14:paraId="41121B89"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2.15 (0.91-5.03)</w:t>
            </w:r>
          </w:p>
        </w:tc>
        <w:tc>
          <w:tcPr>
            <w:tcW w:w="1559" w:type="dxa"/>
            <w:tcBorders>
              <w:top w:val="nil"/>
              <w:left w:val="nil"/>
              <w:bottom w:val="nil"/>
              <w:right w:val="nil"/>
            </w:tcBorders>
            <w:shd w:val="clear" w:color="auto" w:fill="auto"/>
            <w:noWrap/>
            <w:vAlign w:val="center"/>
            <w:hideMark/>
          </w:tcPr>
          <w:p w14:paraId="6EB73E8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1.40 (0.56-3.48)</w:t>
            </w:r>
          </w:p>
        </w:tc>
        <w:tc>
          <w:tcPr>
            <w:tcW w:w="1843" w:type="dxa"/>
            <w:tcBorders>
              <w:top w:val="nil"/>
              <w:left w:val="single" w:sz="8" w:space="0" w:color="auto"/>
              <w:bottom w:val="nil"/>
              <w:right w:val="single" w:sz="8" w:space="0" w:color="auto"/>
            </w:tcBorders>
            <w:shd w:val="clear" w:color="auto" w:fill="auto"/>
            <w:noWrap/>
            <w:vAlign w:val="center"/>
            <w:hideMark/>
          </w:tcPr>
          <w:p w14:paraId="06E74A4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1.50 (0.53-4.23)</w:t>
            </w:r>
          </w:p>
        </w:tc>
        <w:tc>
          <w:tcPr>
            <w:tcW w:w="711" w:type="dxa"/>
            <w:tcBorders>
              <w:top w:val="nil"/>
              <w:left w:val="nil"/>
              <w:bottom w:val="nil"/>
              <w:right w:val="single" w:sz="8" w:space="0" w:color="auto"/>
            </w:tcBorders>
            <w:shd w:val="clear" w:color="auto" w:fill="auto"/>
            <w:noWrap/>
            <w:vAlign w:val="center"/>
            <w:hideMark/>
          </w:tcPr>
          <w:p w14:paraId="7219D30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51EF4D74" w14:textId="77777777" w:rsidTr="00C110FD">
        <w:trPr>
          <w:trHeight w:val="300"/>
        </w:trPr>
        <w:tc>
          <w:tcPr>
            <w:tcW w:w="3828" w:type="dxa"/>
            <w:tcBorders>
              <w:top w:val="nil"/>
              <w:left w:val="nil"/>
              <w:bottom w:val="nil"/>
              <w:right w:val="nil"/>
            </w:tcBorders>
            <w:shd w:val="clear" w:color="auto" w:fill="auto"/>
            <w:noWrap/>
            <w:vAlign w:val="center"/>
            <w:hideMark/>
          </w:tcPr>
          <w:p w14:paraId="0ACE3CD8"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Wealth quintile 1</w:t>
            </w:r>
          </w:p>
        </w:tc>
        <w:tc>
          <w:tcPr>
            <w:tcW w:w="1559" w:type="dxa"/>
            <w:tcBorders>
              <w:top w:val="nil"/>
              <w:left w:val="single" w:sz="8" w:space="0" w:color="auto"/>
              <w:bottom w:val="nil"/>
              <w:right w:val="single" w:sz="8" w:space="0" w:color="auto"/>
            </w:tcBorders>
            <w:shd w:val="clear" w:color="auto" w:fill="auto"/>
            <w:noWrap/>
            <w:vAlign w:val="center"/>
            <w:hideMark/>
          </w:tcPr>
          <w:p w14:paraId="2500E1C5"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1559" w:type="dxa"/>
            <w:tcBorders>
              <w:top w:val="nil"/>
              <w:left w:val="nil"/>
              <w:bottom w:val="nil"/>
              <w:right w:val="nil"/>
            </w:tcBorders>
            <w:shd w:val="clear" w:color="auto" w:fill="auto"/>
            <w:noWrap/>
            <w:vAlign w:val="center"/>
            <w:hideMark/>
          </w:tcPr>
          <w:p w14:paraId="2DE1F7FE"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1843" w:type="dxa"/>
            <w:tcBorders>
              <w:top w:val="nil"/>
              <w:left w:val="single" w:sz="8" w:space="0" w:color="auto"/>
              <w:bottom w:val="nil"/>
              <w:right w:val="single" w:sz="8" w:space="0" w:color="auto"/>
            </w:tcBorders>
            <w:shd w:val="clear" w:color="auto" w:fill="auto"/>
            <w:noWrap/>
            <w:vAlign w:val="center"/>
            <w:hideMark/>
          </w:tcPr>
          <w:p w14:paraId="50F3924E" w14:textId="77777777" w:rsidR="00C110FD" w:rsidRPr="00C110FD" w:rsidRDefault="00C110FD" w:rsidP="00C110FD">
            <w:pPr>
              <w:spacing w:after="0" w:line="240" w:lineRule="auto"/>
              <w:jc w:val="right"/>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w:t>
            </w:r>
          </w:p>
        </w:tc>
        <w:tc>
          <w:tcPr>
            <w:tcW w:w="711" w:type="dxa"/>
            <w:tcBorders>
              <w:top w:val="nil"/>
              <w:left w:val="nil"/>
              <w:bottom w:val="nil"/>
              <w:right w:val="single" w:sz="8" w:space="0" w:color="auto"/>
            </w:tcBorders>
            <w:shd w:val="clear" w:color="auto" w:fill="auto"/>
            <w:noWrap/>
            <w:vAlign w:val="center"/>
            <w:hideMark/>
          </w:tcPr>
          <w:p w14:paraId="2B409BA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3092A60F" w14:textId="77777777" w:rsidTr="00C110FD">
        <w:trPr>
          <w:trHeight w:val="300"/>
        </w:trPr>
        <w:tc>
          <w:tcPr>
            <w:tcW w:w="3828" w:type="dxa"/>
            <w:tcBorders>
              <w:top w:val="nil"/>
              <w:left w:val="nil"/>
              <w:bottom w:val="nil"/>
              <w:right w:val="nil"/>
            </w:tcBorders>
            <w:shd w:val="clear" w:color="auto" w:fill="auto"/>
            <w:noWrap/>
            <w:vAlign w:val="center"/>
            <w:hideMark/>
          </w:tcPr>
          <w:p w14:paraId="7B027A4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Wealth quintile 2 (vs 1)</w:t>
            </w:r>
          </w:p>
        </w:tc>
        <w:tc>
          <w:tcPr>
            <w:tcW w:w="1559" w:type="dxa"/>
            <w:tcBorders>
              <w:top w:val="nil"/>
              <w:left w:val="single" w:sz="8" w:space="0" w:color="auto"/>
              <w:bottom w:val="nil"/>
              <w:right w:val="single" w:sz="8" w:space="0" w:color="auto"/>
            </w:tcBorders>
            <w:shd w:val="clear" w:color="auto" w:fill="auto"/>
            <w:noWrap/>
            <w:vAlign w:val="center"/>
            <w:hideMark/>
          </w:tcPr>
          <w:p w14:paraId="29199CC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0.47 (0.18-1.23)</w:t>
            </w:r>
          </w:p>
        </w:tc>
        <w:tc>
          <w:tcPr>
            <w:tcW w:w="1559" w:type="dxa"/>
            <w:tcBorders>
              <w:top w:val="nil"/>
              <w:left w:val="nil"/>
              <w:bottom w:val="nil"/>
              <w:right w:val="nil"/>
            </w:tcBorders>
            <w:shd w:val="clear" w:color="auto" w:fill="auto"/>
            <w:noWrap/>
            <w:vAlign w:val="center"/>
            <w:hideMark/>
          </w:tcPr>
          <w:p w14:paraId="569F835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4.31 (0.50-36.96)</w:t>
            </w:r>
          </w:p>
        </w:tc>
        <w:tc>
          <w:tcPr>
            <w:tcW w:w="1843" w:type="dxa"/>
            <w:tcBorders>
              <w:top w:val="nil"/>
              <w:left w:val="single" w:sz="8" w:space="0" w:color="auto"/>
              <w:bottom w:val="nil"/>
              <w:right w:val="single" w:sz="8" w:space="0" w:color="auto"/>
            </w:tcBorders>
            <w:shd w:val="clear" w:color="auto" w:fill="auto"/>
            <w:noWrap/>
            <w:vAlign w:val="center"/>
            <w:hideMark/>
          </w:tcPr>
          <w:p w14:paraId="407E514F"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1.27 (0.45-3.58)</w:t>
            </w:r>
          </w:p>
        </w:tc>
        <w:tc>
          <w:tcPr>
            <w:tcW w:w="711" w:type="dxa"/>
            <w:tcBorders>
              <w:top w:val="nil"/>
              <w:left w:val="nil"/>
              <w:bottom w:val="nil"/>
              <w:right w:val="single" w:sz="8" w:space="0" w:color="auto"/>
            </w:tcBorders>
            <w:shd w:val="clear" w:color="auto" w:fill="auto"/>
            <w:noWrap/>
            <w:vAlign w:val="center"/>
            <w:hideMark/>
          </w:tcPr>
          <w:p w14:paraId="4902201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3B3B1CF9" w14:textId="77777777" w:rsidTr="00C110FD">
        <w:trPr>
          <w:trHeight w:val="300"/>
        </w:trPr>
        <w:tc>
          <w:tcPr>
            <w:tcW w:w="3828" w:type="dxa"/>
            <w:tcBorders>
              <w:top w:val="nil"/>
              <w:left w:val="nil"/>
              <w:bottom w:val="nil"/>
              <w:right w:val="nil"/>
            </w:tcBorders>
            <w:shd w:val="clear" w:color="auto" w:fill="auto"/>
            <w:noWrap/>
            <w:vAlign w:val="center"/>
            <w:hideMark/>
          </w:tcPr>
          <w:p w14:paraId="199CB08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Wealth quintile 3 (vs 1)</w:t>
            </w:r>
          </w:p>
        </w:tc>
        <w:tc>
          <w:tcPr>
            <w:tcW w:w="1559" w:type="dxa"/>
            <w:tcBorders>
              <w:top w:val="nil"/>
              <w:left w:val="single" w:sz="8" w:space="0" w:color="auto"/>
              <w:bottom w:val="nil"/>
              <w:right w:val="single" w:sz="8" w:space="0" w:color="auto"/>
            </w:tcBorders>
            <w:shd w:val="clear" w:color="auto" w:fill="auto"/>
            <w:noWrap/>
            <w:vAlign w:val="center"/>
            <w:hideMark/>
          </w:tcPr>
          <w:p w14:paraId="2B2C4644"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1.14 (0.55-2.40)</w:t>
            </w:r>
          </w:p>
        </w:tc>
        <w:tc>
          <w:tcPr>
            <w:tcW w:w="1559" w:type="dxa"/>
            <w:tcBorders>
              <w:top w:val="nil"/>
              <w:left w:val="nil"/>
              <w:bottom w:val="nil"/>
              <w:right w:val="nil"/>
            </w:tcBorders>
            <w:shd w:val="clear" w:color="auto" w:fill="auto"/>
            <w:noWrap/>
            <w:vAlign w:val="center"/>
            <w:hideMark/>
          </w:tcPr>
          <w:p w14:paraId="5C906CC7"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2.85 (0.34-23.88)</w:t>
            </w:r>
          </w:p>
        </w:tc>
        <w:tc>
          <w:tcPr>
            <w:tcW w:w="1843" w:type="dxa"/>
            <w:tcBorders>
              <w:top w:val="nil"/>
              <w:left w:val="single" w:sz="8" w:space="0" w:color="auto"/>
              <w:bottom w:val="nil"/>
              <w:right w:val="single" w:sz="8" w:space="0" w:color="auto"/>
            </w:tcBorders>
            <w:shd w:val="clear" w:color="auto" w:fill="auto"/>
            <w:noWrap/>
            <w:vAlign w:val="center"/>
            <w:hideMark/>
          </w:tcPr>
          <w:p w14:paraId="2BA9F279"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0.96 (0.37-2.49)</w:t>
            </w:r>
          </w:p>
        </w:tc>
        <w:tc>
          <w:tcPr>
            <w:tcW w:w="711" w:type="dxa"/>
            <w:tcBorders>
              <w:top w:val="nil"/>
              <w:left w:val="nil"/>
              <w:bottom w:val="nil"/>
              <w:right w:val="single" w:sz="8" w:space="0" w:color="auto"/>
            </w:tcBorders>
            <w:shd w:val="clear" w:color="auto" w:fill="auto"/>
            <w:noWrap/>
            <w:vAlign w:val="center"/>
            <w:hideMark/>
          </w:tcPr>
          <w:p w14:paraId="31C7E02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03C04EBE" w14:textId="77777777" w:rsidTr="00C110FD">
        <w:trPr>
          <w:trHeight w:val="300"/>
        </w:trPr>
        <w:tc>
          <w:tcPr>
            <w:tcW w:w="3828" w:type="dxa"/>
            <w:tcBorders>
              <w:top w:val="nil"/>
              <w:left w:val="nil"/>
              <w:bottom w:val="nil"/>
              <w:right w:val="nil"/>
            </w:tcBorders>
            <w:shd w:val="clear" w:color="auto" w:fill="auto"/>
            <w:noWrap/>
            <w:vAlign w:val="center"/>
            <w:hideMark/>
          </w:tcPr>
          <w:p w14:paraId="21029040"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Wealth quintile 4 (vs 1)</w:t>
            </w:r>
          </w:p>
        </w:tc>
        <w:tc>
          <w:tcPr>
            <w:tcW w:w="1559" w:type="dxa"/>
            <w:tcBorders>
              <w:top w:val="nil"/>
              <w:left w:val="single" w:sz="8" w:space="0" w:color="auto"/>
              <w:bottom w:val="nil"/>
              <w:right w:val="single" w:sz="8" w:space="0" w:color="auto"/>
            </w:tcBorders>
            <w:shd w:val="clear" w:color="auto" w:fill="auto"/>
            <w:noWrap/>
            <w:vAlign w:val="center"/>
            <w:hideMark/>
          </w:tcPr>
          <w:p w14:paraId="7A649960"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0.57 (0.21-1.53)</w:t>
            </w:r>
          </w:p>
        </w:tc>
        <w:tc>
          <w:tcPr>
            <w:tcW w:w="1559" w:type="dxa"/>
            <w:tcBorders>
              <w:top w:val="nil"/>
              <w:left w:val="nil"/>
              <w:bottom w:val="nil"/>
              <w:right w:val="nil"/>
            </w:tcBorders>
            <w:shd w:val="clear" w:color="auto" w:fill="auto"/>
            <w:noWrap/>
            <w:vAlign w:val="center"/>
            <w:hideMark/>
          </w:tcPr>
          <w:p w14:paraId="005CE59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3.32 (0.41-26.71)</w:t>
            </w:r>
          </w:p>
        </w:tc>
        <w:tc>
          <w:tcPr>
            <w:tcW w:w="1843" w:type="dxa"/>
            <w:tcBorders>
              <w:top w:val="nil"/>
              <w:left w:val="single" w:sz="8" w:space="0" w:color="auto"/>
              <w:bottom w:val="nil"/>
              <w:right w:val="single" w:sz="8" w:space="0" w:color="auto"/>
            </w:tcBorders>
            <w:shd w:val="clear" w:color="auto" w:fill="auto"/>
            <w:noWrap/>
            <w:vAlign w:val="center"/>
            <w:hideMark/>
          </w:tcPr>
          <w:p w14:paraId="06DFE8E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0.65 (0.17-2.46)</w:t>
            </w:r>
          </w:p>
        </w:tc>
        <w:tc>
          <w:tcPr>
            <w:tcW w:w="711" w:type="dxa"/>
            <w:tcBorders>
              <w:top w:val="nil"/>
              <w:left w:val="nil"/>
              <w:bottom w:val="nil"/>
              <w:right w:val="single" w:sz="8" w:space="0" w:color="auto"/>
            </w:tcBorders>
            <w:shd w:val="clear" w:color="auto" w:fill="auto"/>
            <w:noWrap/>
            <w:vAlign w:val="center"/>
            <w:hideMark/>
          </w:tcPr>
          <w:p w14:paraId="56F5ED9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0E6AFC52" w14:textId="77777777" w:rsidTr="00C110FD">
        <w:trPr>
          <w:trHeight w:val="300"/>
        </w:trPr>
        <w:tc>
          <w:tcPr>
            <w:tcW w:w="3828" w:type="dxa"/>
            <w:tcBorders>
              <w:top w:val="nil"/>
              <w:left w:val="nil"/>
              <w:bottom w:val="nil"/>
              <w:right w:val="nil"/>
            </w:tcBorders>
            <w:shd w:val="clear" w:color="auto" w:fill="auto"/>
            <w:noWrap/>
            <w:vAlign w:val="center"/>
            <w:hideMark/>
          </w:tcPr>
          <w:p w14:paraId="5D82A20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Wealth quintile 5 (vs 1)</w:t>
            </w:r>
          </w:p>
        </w:tc>
        <w:tc>
          <w:tcPr>
            <w:tcW w:w="1559" w:type="dxa"/>
            <w:tcBorders>
              <w:top w:val="nil"/>
              <w:left w:val="single" w:sz="8" w:space="0" w:color="auto"/>
              <w:bottom w:val="nil"/>
              <w:right w:val="single" w:sz="8" w:space="0" w:color="auto"/>
            </w:tcBorders>
            <w:shd w:val="clear" w:color="auto" w:fill="auto"/>
            <w:noWrap/>
            <w:vAlign w:val="center"/>
            <w:hideMark/>
          </w:tcPr>
          <w:p w14:paraId="778F4B72"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0.04 (0.00-0.29)</w:t>
            </w:r>
          </w:p>
        </w:tc>
        <w:tc>
          <w:tcPr>
            <w:tcW w:w="1559" w:type="dxa"/>
            <w:tcBorders>
              <w:top w:val="nil"/>
              <w:left w:val="nil"/>
              <w:bottom w:val="nil"/>
              <w:right w:val="nil"/>
            </w:tcBorders>
            <w:shd w:val="clear" w:color="auto" w:fill="auto"/>
            <w:noWrap/>
            <w:vAlign w:val="center"/>
            <w:hideMark/>
          </w:tcPr>
          <w:p w14:paraId="4F4E513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2.25 (0.27-19.08)</w:t>
            </w:r>
          </w:p>
        </w:tc>
        <w:tc>
          <w:tcPr>
            <w:tcW w:w="1843" w:type="dxa"/>
            <w:tcBorders>
              <w:top w:val="nil"/>
              <w:left w:val="single" w:sz="8" w:space="0" w:color="auto"/>
              <w:bottom w:val="nil"/>
              <w:right w:val="single" w:sz="8" w:space="0" w:color="auto"/>
            </w:tcBorders>
            <w:shd w:val="clear" w:color="auto" w:fill="auto"/>
            <w:noWrap/>
            <w:vAlign w:val="center"/>
            <w:hideMark/>
          </w:tcPr>
          <w:p w14:paraId="0A8FA90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1.12 (0.26-4.88)</w:t>
            </w:r>
          </w:p>
        </w:tc>
        <w:tc>
          <w:tcPr>
            <w:tcW w:w="711" w:type="dxa"/>
            <w:tcBorders>
              <w:top w:val="nil"/>
              <w:left w:val="nil"/>
              <w:bottom w:val="nil"/>
              <w:right w:val="single" w:sz="8" w:space="0" w:color="auto"/>
            </w:tcBorders>
            <w:shd w:val="clear" w:color="auto" w:fill="auto"/>
            <w:noWrap/>
            <w:vAlign w:val="center"/>
            <w:hideMark/>
          </w:tcPr>
          <w:p w14:paraId="4454C597"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4FED63BD" w14:textId="77777777" w:rsidTr="00C110FD">
        <w:trPr>
          <w:trHeight w:val="300"/>
        </w:trPr>
        <w:tc>
          <w:tcPr>
            <w:tcW w:w="3828" w:type="dxa"/>
            <w:tcBorders>
              <w:top w:val="nil"/>
              <w:left w:val="nil"/>
              <w:bottom w:val="nil"/>
              <w:right w:val="nil"/>
            </w:tcBorders>
            <w:shd w:val="clear" w:color="auto" w:fill="auto"/>
            <w:noWrap/>
            <w:vAlign w:val="center"/>
            <w:hideMark/>
          </w:tcPr>
          <w:p w14:paraId="7265BA7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Transactional sex</w:t>
            </w:r>
          </w:p>
        </w:tc>
        <w:tc>
          <w:tcPr>
            <w:tcW w:w="1559" w:type="dxa"/>
            <w:tcBorders>
              <w:top w:val="nil"/>
              <w:left w:val="single" w:sz="8" w:space="0" w:color="auto"/>
              <w:bottom w:val="nil"/>
              <w:right w:val="single" w:sz="8" w:space="0" w:color="auto"/>
            </w:tcBorders>
            <w:shd w:val="clear" w:color="auto" w:fill="auto"/>
            <w:noWrap/>
            <w:vAlign w:val="center"/>
            <w:hideMark/>
          </w:tcPr>
          <w:p w14:paraId="43B03F3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1.58 (0.62-3.98)</w:t>
            </w:r>
          </w:p>
        </w:tc>
        <w:tc>
          <w:tcPr>
            <w:tcW w:w="1559" w:type="dxa"/>
            <w:tcBorders>
              <w:top w:val="nil"/>
              <w:left w:val="nil"/>
              <w:bottom w:val="nil"/>
              <w:right w:val="nil"/>
            </w:tcBorders>
            <w:shd w:val="clear" w:color="auto" w:fill="auto"/>
            <w:noWrap/>
            <w:vAlign w:val="center"/>
            <w:hideMark/>
          </w:tcPr>
          <w:p w14:paraId="5B76818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1.32 (0.50-3.46)</w:t>
            </w:r>
          </w:p>
        </w:tc>
        <w:tc>
          <w:tcPr>
            <w:tcW w:w="1843" w:type="dxa"/>
            <w:tcBorders>
              <w:top w:val="nil"/>
              <w:left w:val="single" w:sz="8" w:space="0" w:color="auto"/>
              <w:bottom w:val="nil"/>
              <w:right w:val="single" w:sz="8" w:space="0" w:color="auto"/>
            </w:tcBorders>
            <w:shd w:val="clear" w:color="auto" w:fill="auto"/>
            <w:noWrap/>
            <w:vAlign w:val="center"/>
            <w:hideMark/>
          </w:tcPr>
          <w:p w14:paraId="6C54736E"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0.79 (0.17-3.80)</w:t>
            </w:r>
          </w:p>
        </w:tc>
        <w:tc>
          <w:tcPr>
            <w:tcW w:w="711" w:type="dxa"/>
            <w:tcBorders>
              <w:top w:val="nil"/>
              <w:left w:val="nil"/>
              <w:bottom w:val="nil"/>
              <w:right w:val="single" w:sz="8" w:space="0" w:color="auto"/>
            </w:tcBorders>
            <w:shd w:val="clear" w:color="auto" w:fill="auto"/>
            <w:noWrap/>
            <w:vAlign w:val="center"/>
            <w:hideMark/>
          </w:tcPr>
          <w:p w14:paraId="7EDD3D2A"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7726834E" w14:textId="77777777" w:rsidTr="00C110FD">
        <w:trPr>
          <w:trHeight w:val="300"/>
        </w:trPr>
        <w:tc>
          <w:tcPr>
            <w:tcW w:w="3828" w:type="dxa"/>
            <w:tcBorders>
              <w:top w:val="nil"/>
              <w:left w:val="nil"/>
              <w:bottom w:val="nil"/>
              <w:right w:val="nil"/>
            </w:tcBorders>
            <w:shd w:val="clear" w:color="auto" w:fill="auto"/>
            <w:noWrap/>
            <w:vAlign w:val="center"/>
            <w:hideMark/>
          </w:tcPr>
          <w:p w14:paraId="447C138B"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High-risk sex</w:t>
            </w:r>
          </w:p>
        </w:tc>
        <w:tc>
          <w:tcPr>
            <w:tcW w:w="1559" w:type="dxa"/>
            <w:tcBorders>
              <w:top w:val="nil"/>
              <w:left w:val="single" w:sz="8" w:space="0" w:color="auto"/>
              <w:bottom w:val="nil"/>
              <w:right w:val="single" w:sz="8" w:space="0" w:color="auto"/>
            </w:tcBorders>
            <w:shd w:val="clear" w:color="auto" w:fill="auto"/>
            <w:noWrap/>
            <w:vAlign w:val="center"/>
            <w:hideMark/>
          </w:tcPr>
          <w:p w14:paraId="670694F5"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3.45 (1.36-8.71)</w:t>
            </w:r>
          </w:p>
        </w:tc>
        <w:tc>
          <w:tcPr>
            <w:tcW w:w="1559" w:type="dxa"/>
            <w:tcBorders>
              <w:top w:val="nil"/>
              <w:left w:val="nil"/>
              <w:bottom w:val="nil"/>
              <w:right w:val="nil"/>
            </w:tcBorders>
            <w:shd w:val="clear" w:color="auto" w:fill="auto"/>
            <w:noWrap/>
            <w:vAlign w:val="center"/>
            <w:hideMark/>
          </w:tcPr>
          <w:p w14:paraId="028D769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2.81 (1.29-6.14)</w:t>
            </w:r>
          </w:p>
        </w:tc>
        <w:tc>
          <w:tcPr>
            <w:tcW w:w="1843" w:type="dxa"/>
            <w:tcBorders>
              <w:top w:val="nil"/>
              <w:left w:val="single" w:sz="8" w:space="0" w:color="auto"/>
              <w:bottom w:val="nil"/>
              <w:right w:val="single" w:sz="8" w:space="0" w:color="auto"/>
            </w:tcBorders>
            <w:shd w:val="clear" w:color="auto" w:fill="auto"/>
            <w:noWrap/>
            <w:vAlign w:val="center"/>
            <w:hideMark/>
          </w:tcPr>
          <w:p w14:paraId="080A39F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1.38 (0.39-4.87)</w:t>
            </w:r>
          </w:p>
        </w:tc>
        <w:tc>
          <w:tcPr>
            <w:tcW w:w="711" w:type="dxa"/>
            <w:tcBorders>
              <w:top w:val="nil"/>
              <w:left w:val="nil"/>
              <w:bottom w:val="nil"/>
              <w:right w:val="single" w:sz="8" w:space="0" w:color="auto"/>
            </w:tcBorders>
            <w:shd w:val="clear" w:color="auto" w:fill="auto"/>
            <w:noWrap/>
            <w:vAlign w:val="center"/>
            <w:hideMark/>
          </w:tcPr>
          <w:p w14:paraId="0B5DC546"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r w:rsidR="00C73772" w:rsidRPr="00C110FD" w14:paraId="29E4B671" w14:textId="77777777" w:rsidTr="00C110FD">
        <w:trPr>
          <w:trHeight w:val="315"/>
        </w:trPr>
        <w:tc>
          <w:tcPr>
            <w:tcW w:w="3828" w:type="dxa"/>
            <w:tcBorders>
              <w:top w:val="nil"/>
              <w:left w:val="nil"/>
              <w:bottom w:val="single" w:sz="8" w:space="0" w:color="auto"/>
              <w:right w:val="nil"/>
            </w:tcBorders>
            <w:shd w:val="clear" w:color="auto" w:fill="auto"/>
            <w:noWrap/>
            <w:vAlign w:val="center"/>
            <w:hideMark/>
          </w:tcPr>
          <w:p w14:paraId="04062B68"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Intergenerational sex</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7BBBEC13"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1.54 (0.72-3.31)</w:t>
            </w:r>
          </w:p>
        </w:tc>
        <w:tc>
          <w:tcPr>
            <w:tcW w:w="1559" w:type="dxa"/>
            <w:tcBorders>
              <w:top w:val="nil"/>
              <w:left w:val="nil"/>
              <w:bottom w:val="single" w:sz="8" w:space="0" w:color="auto"/>
              <w:right w:val="nil"/>
            </w:tcBorders>
            <w:shd w:val="clear" w:color="auto" w:fill="auto"/>
            <w:noWrap/>
            <w:vAlign w:val="center"/>
            <w:hideMark/>
          </w:tcPr>
          <w:p w14:paraId="735C970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2.17 (0.99-4.76)</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421BBB31"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1.68 (0.66-4.30)</w:t>
            </w:r>
          </w:p>
        </w:tc>
        <w:tc>
          <w:tcPr>
            <w:tcW w:w="711" w:type="dxa"/>
            <w:tcBorders>
              <w:top w:val="nil"/>
              <w:left w:val="nil"/>
              <w:bottom w:val="single" w:sz="8" w:space="0" w:color="auto"/>
              <w:right w:val="single" w:sz="8" w:space="0" w:color="auto"/>
            </w:tcBorders>
            <w:shd w:val="clear" w:color="auto" w:fill="auto"/>
            <w:noWrap/>
            <w:vAlign w:val="center"/>
            <w:hideMark/>
          </w:tcPr>
          <w:p w14:paraId="3CE92F2D" w14:textId="77777777" w:rsidR="00C110FD" w:rsidRPr="00C110FD" w:rsidRDefault="00C110FD" w:rsidP="00C110FD">
            <w:pPr>
              <w:spacing w:after="0" w:line="240" w:lineRule="auto"/>
              <w:rPr>
                <w:rFonts w:ascii="Calibri" w:eastAsia="Times New Roman" w:hAnsi="Calibri" w:cs="Calibri"/>
                <w:color w:val="000000"/>
                <w:sz w:val="18"/>
                <w:szCs w:val="18"/>
                <w:lang w:eastAsia="en-GB"/>
              </w:rPr>
            </w:pPr>
            <w:r w:rsidRPr="00C110FD">
              <w:rPr>
                <w:rFonts w:ascii="Calibri" w:eastAsia="Times New Roman" w:hAnsi="Calibri" w:cs="Calibri"/>
                <w:color w:val="000000"/>
                <w:sz w:val="18"/>
                <w:szCs w:val="18"/>
                <w:lang w:eastAsia="en-GB"/>
              </w:rPr>
              <w:t>CNA</w:t>
            </w:r>
          </w:p>
        </w:tc>
      </w:tr>
    </w:tbl>
    <w:p w14:paraId="7F4E5169" w14:textId="6F3FC4AB" w:rsidR="00946823" w:rsidRDefault="00946823" w:rsidP="00C73772">
      <w:r>
        <w:t>CNA: Convergence not achieved.</w:t>
      </w:r>
    </w:p>
    <w:p w14:paraId="367B86C8" w14:textId="514C831A" w:rsidR="00C73772" w:rsidRDefault="00C73772" w:rsidP="00C73772">
      <w:r>
        <w:t>Regional viraemia is defined as the percentage of individuals in the enumeration area with unsuppressed HIV-1 viral loads (the odds ratio is per percentage increase).</w:t>
      </w:r>
    </w:p>
    <w:p w14:paraId="3BEE70D6" w14:textId="1E56716C" w:rsidR="00C73772" w:rsidRDefault="00C73772" w:rsidP="00C73772">
      <w:r>
        <w:t>*Among women and men testing negative for HIV antibodies</w:t>
      </w:r>
      <w:r w:rsidR="00E040C7">
        <w:t xml:space="preserve"> </w:t>
      </w:r>
      <w:r w:rsidR="00122E86">
        <w:t>or testing positive with evidence of recent HIV infection</w:t>
      </w:r>
    </w:p>
    <w:p w14:paraId="547E9C9A" w14:textId="77777777" w:rsidR="00C110FD" w:rsidRDefault="00C110FD" w:rsidP="008C1163">
      <w:pPr>
        <w:rPr>
          <w:b/>
          <w:bCs/>
        </w:rPr>
      </w:pPr>
    </w:p>
    <w:p w14:paraId="7E0A24B0" w14:textId="77777777" w:rsidR="00C77594" w:rsidRDefault="00C77594">
      <w:pPr>
        <w:rPr>
          <w:b/>
          <w:bCs/>
        </w:rPr>
      </w:pPr>
      <w:r>
        <w:rPr>
          <w:b/>
          <w:bCs/>
        </w:rPr>
        <w:br w:type="page"/>
      </w:r>
    </w:p>
    <w:p w14:paraId="1FB4BCBF" w14:textId="0D72894E" w:rsidR="007234AF" w:rsidRDefault="00A117AC" w:rsidP="008C1163">
      <w:pPr>
        <w:rPr>
          <w:b/>
          <w:bCs/>
        </w:rPr>
      </w:pPr>
      <w:r>
        <w:rPr>
          <w:b/>
          <w:bCs/>
        </w:rPr>
        <w:lastRenderedPageBreak/>
        <w:t>In depth comparison with other literature</w:t>
      </w:r>
    </w:p>
    <w:p w14:paraId="4C59913D" w14:textId="74ACAD3C" w:rsidR="004718DB" w:rsidRDefault="004718DB" w:rsidP="004718DB">
      <w:r>
        <w:t>Few analyses have investigated the associations between drought and HIV incidence or prevalence. Burke et al used Demographic Health Survey (DHS) data to examine the associations between local rainfall shocks and HIV prevalence, finding that infection rates in rural areas where HIV is endemic increase by 11% for every recent drought</w:t>
      </w:r>
      <w:r>
        <w:fldChar w:fldCharType="begin"/>
      </w:r>
      <w:r w:rsidR="00014750">
        <w:instrText xml:space="preserve"> ADDIN EN.CITE &lt;EndNote&gt;&lt;Cite&gt;&lt;Author&gt;Burke&lt;/Author&gt;&lt;Year&gt;2015&lt;/Year&gt;&lt;RecNum&gt;3&lt;/RecNum&gt;&lt;DisplayText&gt;(8)&lt;/DisplayText&gt;&lt;record&gt;&lt;rec-number&gt;3&lt;/rec-number&gt;&lt;foreign-keys&gt;&lt;key app="EN" db-id="5razretsn59atee0dznxe5pfazpsd9sva20f" timestamp="1605553122"&gt;3&lt;/key&gt;&lt;/foreign-keys&gt;&lt;ref-type name="Journal Article"&gt;17&lt;/ref-type&gt;&lt;contributors&gt;&lt;authors&gt;&lt;author&gt;Burke, M.&lt;/author&gt;&lt;author&gt;Gong, E.&lt;/author&gt;&lt;author&gt;Jones, K.&lt;/author&gt;&lt;/authors&gt;&lt;/contributors&gt;&lt;auth-address&gt;Univ Calif Berkeley, Berkeley, CA 94720 USA&amp;#xD;Middlebury Coll, Middlebury, VT USA&amp;#xD;Int Food Policy Res Inst, Washington, DC 20006 USA&lt;/auth-address&gt;&lt;titles&gt;&lt;title&gt;Income Shocks and HIV in Africa&lt;/title&gt;&lt;secondary-title&gt;Economic Journal&lt;/secondary-title&gt;&lt;alt-title&gt;Econ J&lt;/alt-title&gt;&lt;/titles&gt;&lt;periodical&gt;&lt;full-title&gt;Economic Journal&lt;/full-title&gt;&lt;abbr-1&gt;Econ J&lt;/abbr-1&gt;&lt;/periodical&gt;&lt;alt-periodical&gt;&lt;full-title&gt;Economic Journal&lt;/full-title&gt;&lt;abbr-1&gt;Econ J&lt;/abbr-1&gt;&lt;/alt-periodical&gt;&lt;pages&gt;1157-1189&lt;/pages&gt;&lt;volume&gt;125&lt;/volume&gt;&lt;number&gt;585&lt;/number&gt;&lt;keywords&gt;&lt;keyword&gt;sub-saharan africa&lt;/keyword&gt;&lt;keyword&gt;instrumental variables approach&lt;/keyword&gt;&lt;keyword&gt;cash transfer program&lt;/keyword&gt;&lt;keyword&gt;transactional sex&lt;/keyword&gt;&lt;keyword&gt;economic shocks&lt;/keyword&gt;&lt;keyword&gt;developing-countries&lt;/keyword&gt;&lt;keyword&gt;rural ethiopia&lt;/keyword&gt;&lt;keyword&gt;civil conflict&lt;/keyword&gt;&lt;keyword&gt;south-africa&lt;/keyword&gt;&lt;keyword&gt;health&lt;/keyword&gt;&lt;/keywords&gt;&lt;dates&gt;&lt;year&gt;2015&lt;/year&gt;&lt;pub-dates&gt;&lt;date&gt;Jun&lt;/date&gt;&lt;/pub-dates&gt;&lt;/dates&gt;&lt;isbn&gt;0013-0133&lt;/isbn&gt;&lt;accession-num&gt;WOS:000356629100010&lt;/accession-num&gt;&lt;urls&gt;&lt;related-urls&gt;&lt;url&gt;&amp;lt;Go to ISI&amp;gt;://WOS:000356629100010&lt;/url&gt;&lt;/related-urls&gt;&lt;/urls&gt;&lt;electronic-resource-num&gt;10.1111/ecoj.12149&lt;/electronic-resource-num&gt;&lt;language&gt;English&lt;/language&gt;&lt;/record&gt;&lt;/Cite&gt;&lt;/EndNote&gt;</w:instrText>
      </w:r>
      <w:r>
        <w:fldChar w:fldCharType="separate"/>
      </w:r>
      <w:r w:rsidR="00014750">
        <w:rPr>
          <w:noProof/>
        </w:rPr>
        <w:t>(8)</w:t>
      </w:r>
      <w:r>
        <w:fldChar w:fldCharType="end"/>
      </w:r>
      <w:r>
        <w:t>. Using the Lesotho PHIA survey, Low et al also found that drought in rural areas was associated with higher HIV prevalence and riskier sexual behaviour in young women</w:t>
      </w:r>
      <w:r>
        <w:fldChar w:fldCharType="begin">
          <w:fldData xml:space="preserve">PEVuZE5vdGU+PENpdGU+PEF1dGhvcj5Mb3c8L0F1dGhvcj48WWVhcj4yMDE5PC9ZZWFyPjxSZWNO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</w:fldData>
        </w:fldChar>
      </w:r>
      <w:r w:rsidR="00014750">
        <w:instrText xml:space="preserve"> ADDIN EN.CITE </w:instrText>
      </w:r>
      <w:r w:rsidR="00014750">
        <w:fldChar w:fldCharType="begin">
          <w:fldData xml:space="preserve">PEVuZE5vdGU+PENpdGU+PEF1dGhvcj5Mb3c8L0F1dGhvcj48WWVhcj4yMDE5PC9ZZWFyPjxSZWNO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</w:fldData>
        </w:fldChar>
      </w:r>
      <w:r w:rsidR="00014750">
        <w:instrText xml:space="preserve"> ADDIN EN.CITE.DATA </w:instrText>
      </w:r>
      <w:r w:rsidR="00014750">
        <w:fldChar w:fldCharType="end"/>
      </w:r>
      <w:r>
        <w:fldChar w:fldCharType="separate"/>
      </w:r>
      <w:r w:rsidR="00014750">
        <w:rPr>
          <w:noProof/>
        </w:rPr>
        <w:t>(9)</w:t>
      </w:r>
      <w:r>
        <w:fldChar w:fldCharType="end"/>
      </w:r>
      <w:r>
        <w:t xml:space="preserve">. Similarly, </w:t>
      </w:r>
      <w:proofErr w:type="spellStart"/>
      <w:r w:rsidRPr="002A17D3">
        <w:t>Treibich</w:t>
      </w:r>
      <w:proofErr w:type="spellEnd"/>
      <w:r w:rsidRPr="002A17D3">
        <w:t xml:space="preserve"> et </w:t>
      </w:r>
      <w:proofErr w:type="spellStart"/>
      <w:r w:rsidRPr="002A17D3">
        <w:t>al</w:t>
      </w:r>
      <w:r>
        <w:t>’s</w:t>
      </w:r>
      <w:proofErr w:type="spellEnd"/>
      <w:r>
        <w:t xml:space="preserve"> analysis of Malawi’s DHS data found</w:t>
      </w:r>
      <w:r w:rsidRPr="002A17D3">
        <w:t xml:space="preserve"> that </w:t>
      </w:r>
      <w:r>
        <w:t xml:space="preserve">experiencing </w:t>
      </w:r>
      <w:r w:rsidRPr="002A17D3">
        <w:t>drought</w:t>
      </w:r>
      <w:r>
        <w:t xml:space="preserve"> </w:t>
      </w:r>
      <w:r w:rsidRPr="002A17D3">
        <w:t xml:space="preserve">increased the likelihood </w:t>
      </w:r>
      <w:r>
        <w:t>that</w:t>
      </w:r>
      <w:r w:rsidRPr="002A17D3">
        <w:t xml:space="preserve"> women employed in agriculture engag</w:t>
      </w:r>
      <w:r>
        <w:t>ed</w:t>
      </w:r>
      <w:r w:rsidRPr="002A17D3">
        <w:t xml:space="preserve"> in transactional sex, and that a single drought increase</w:t>
      </w:r>
      <w:r>
        <w:t>d</w:t>
      </w:r>
      <w:r w:rsidRPr="002A17D3">
        <w:t xml:space="preserve"> HIV prevalence by around 15% among men and women</w:t>
      </w:r>
      <w:r>
        <w:fldChar w:fldCharType="begin">
          <w:fldData xml:space="preserve">PEVuZE5vdGU+PENpdGU+PEF1dGhvcj5UcmVpYmljaDwvQXV0aG9yPjxZZWFyPjIwMjI8L1llYXI+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</w:fldData>
        </w:fldChar>
      </w:r>
      <w:r w:rsidR="00014750">
        <w:instrText xml:space="preserve"> ADDIN EN.CITE </w:instrText>
      </w:r>
      <w:r w:rsidR="00014750">
        <w:fldChar w:fldCharType="begin">
          <w:fldData xml:space="preserve">PEVuZE5vdGU+PENpdGU+PEF1dGhvcj5UcmVpYmljaDwvQXV0aG9yPjxZZWFyPjIwMjI8L1llYXI+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</w:fldData>
        </w:fldChar>
      </w:r>
      <w:r w:rsidR="00014750">
        <w:instrText xml:space="preserve"> ADDIN EN.CITE.DATA </w:instrText>
      </w:r>
      <w:r w:rsidR="00014750">
        <w:fldChar w:fldCharType="end"/>
      </w:r>
      <w:r>
        <w:fldChar w:fldCharType="separate"/>
      </w:r>
      <w:r w:rsidR="00014750">
        <w:rPr>
          <w:noProof/>
        </w:rPr>
        <w:t>(10)</w:t>
      </w:r>
      <w:r>
        <w:fldChar w:fldCharType="end"/>
      </w:r>
      <w:r>
        <w:t>. Austin et al used structural equation modelling to demonstrate that droughts are indirect predictors, via factors such as food insecurity, of the percentage of a country’s population living with HIV who are women</w:t>
      </w:r>
      <w:r>
        <w:fldChar w:fldCharType="begin">
          <w:fldData xml:space="preserve">PEVuZE5vdGU+PENpdGU+PEF1dGhvcj5BdXN0aW48L0F1dGhvcj48WWVhcj4yMDIxPC9ZZWFyPjxS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</w:fldData>
        </w:fldChar>
      </w:r>
      <w:r w:rsidR="00014750">
        <w:instrText xml:space="preserve"> ADDIN EN.CITE </w:instrText>
      </w:r>
      <w:r w:rsidR="00014750">
        <w:fldChar w:fldCharType="begin">
          <w:fldData xml:space="preserve">PEVuZE5vdGU+PENpdGU+PEF1dGhvcj5BdXN0aW48L0F1dGhvcj48WWVhcj4yMDIxPC9ZZWFyPjxS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</w:fldData>
        </w:fldChar>
      </w:r>
      <w:r w:rsidR="00014750">
        <w:instrText xml:space="preserve"> ADDIN EN.CITE.DATA </w:instrText>
      </w:r>
      <w:r w:rsidR="00014750">
        <w:fldChar w:fldCharType="end"/>
      </w:r>
      <w:r>
        <w:fldChar w:fldCharType="separate"/>
      </w:r>
      <w:r w:rsidR="00014750">
        <w:rPr>
          <w:noProof/>
        </w:rPr>
        <w:t>(11)</w:t>
      </w:r>
      <w:r>
        <w:fldChar w:fldCharType="end"/>
      </w:r>
      <w:r>
        <w:t>. Lastly, Epstein et al used multi-country DHS data to show that experiencing droughts was associated with higher odds of condomless sex and lower odds of HIV testing in the prior year</w:t>
      </w:r>
      <w:r>
        <w:fldChar w:fldCharType="begin">
          <w:fldData xml:space="preserve">PEVuZE5vdGU+PENpdGU+PEF1dGhvcj5FcHN0ZWluPC9BdXRob3I+PFllYXI+MjAyMjwvWWVhcj48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</w:fldData>
        </w:fldChar>
      </w:r>
      <w:r w:rsidR="00014750">
        <w:instrText xml:space="preserve"> ADDIN EN.CITE </w:instrText>
      </w:r>
      <w:r w:rsidR="00014750">
        <w:fldChar w:fldCharType="begin">
          <w:fldData xml:space="preserve">PEVuZE5vdGU+PENpdGU+PEF1dGhvcj5FcHN0ZWluPC9BdXRob3I+PFllYXI+MjAyMjwvWWVhcj48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</w:fldData>
        </w:fldChar>
      </w:r>
      <w:r w:rsidR="00014750">
        <w:instrText xml:space="preserve"> ADDIN EN.CITE.DATA </w:instrText>
      </w:r>
      <w:r w:rsidR="00014750">
        <w:fldChar w:fldCharType="end"/>
      </w:r>
      <w:r>
        <w:fldChar w:fldCharType="separate"/>
      </w:r>
      <w:r w:rsidR="00014750">
        <w:rPr>
          <w:noProof/>
        </w:rPr>
        <w:t>(12)</w:t>
      </w:r>
      <w:r>
        <w:fldChar w:fldCharType="end"/>
      </w:r>
      <w:r>
        <w:t>.</w:t>
      </w:r>
    </w:p>
    <w:p w14:paraId="2325B557" w14:textId="454FB7A1" w:rsidR="004718DB" w:rsidRDefault="004718DB" w:rsidP="004718DB">
      <w:r>
        <w:t>Studies in SSA have looked at the associations between related variables in the theoretical framework linking drought and HIV</w:t>
      </w:r>
      <w:r>
        <w:fldChar w:fldCharType="begin"/>
      </w:r>
      <w:r w:rsidR="00014750">
        <w:instrText xml:space="preserve"> ADDIN EN.CITE &lt;EndNote&gt;&lt;Cite&gt;&lt;Author&gt;UNAIDS&lt;/Author&gt;&lt;Year&gt;2008&lt;/Year&gt;&lt;RecNum&gt;1&lt;/RecNum&gt;&lt;DisplayText&gt;(13)&lt;/DisplayText&gt;&lt;record&gt;&lt;rec-number&gt;1&lt;/rec-number&gt;&lt;foreign-keys&gt;&lt;key app="EN" db-id="5razretsn59atee0dznxe5pfazpsd9sva20f" timestamp="1605552418"&gt;1&lt;/key&gt;&lt;/foreign-keys&gt;&lt;ref-type name="Report"&gt;27&lt;/ref-type&gt;&lt;contributors&gt;&lt;authors&gt;&lt;author&gt;UNAIDS&lt;/author&gt;&lt;/authors&gt;&lt;/contributors&gt;&lt;titles&gt;&lt;title&gt;Climate Change and AIDS: A Joint Working Paper&lt;/title&gt;&lt;/titles&gt;&lt;dates&gt;&lt;year&gt;2008&lt;/year&gt;&lt;/dates&gt;&lt;urls&gt;&lt;related-urls&gt;&lt;url&gt;https://data.unaids.org/pub/basedocument/2008/20081223_unep_unaids_joint_working_paper_on_cca_en.pdf&lt;/url&gt;&lt;/related-urls&gt;&lt;/urls&gt;&lt;access-date&gt;01/11/2022&lt;/access-date&gt;&lt;/record&gt;&lt;/Cite&gt;&lt;/EndNote&gt;</w:instrText>
      </w:r>
      <w:r>
        <w:fldChar w:fldCharType="separate"/>
      </w:r>
      <w:r w:rsidR="00014750">
        <w:rPr>
          <w:noProof/>
        </w:rPr>
        <w:t>(13)</w:t>
      </w:r>
      <w:r>
        <w:fldChar w:fldCharType="end"/>
      </w:r>
      <w:r>
        <w:t xml:space="preserve">. This includes the relationships between drought and measures of </w:t>
      </w:r>
      <w:r w:rsidRPr="00F539C0">
        <w:t>wealth, poverty and sexual behaviours, and the influence of these sexual behaviours on HIV incidence or prevalence. Other literature has found that droughts are associated with extreme poverty in SSA</w:t>
      </w:r>
      <w:r w:rsidRPr="00F539C0">
        <w:fldChar w:fldCharType="begin"/>
      </w:r>
      <w:r w:rsidR="00014750">
        <w:instrText xml:space="preserve"> ADDIN EN.CITE &lt;EndNote&gt;&lt;Cite&gt;&lt;Author&gt;Azzarri&lt;/Author&gt;&lt;Year&gt;2020&lt;/Year&gt;&lt;RecNum&gt;127&lt;/RecNum&gt;&lt;DisplayText&gt;(14)&lt;/DisplayText&gt;&lt;record&gt;&lt;rec-number&gt;127&lt;/rec-number&gt;&lt;foreign-keys&gt;&lt;key app="EN" db-id="5razretsn59atee0dznxe5pfazpsd9sva20f" timestamp="1679044294"&gt;127&lt;/key&gt;&lt;/foreign-keys&gt;&lt;ref-type name="Journal Article"&gt;17&lt;/ref-type&gt;&lt;contributors&gt;&lt;authors&gt;&lt;author&gt;Azzarri, C.&lt;/author&gt;&lt;author&gt;Signorelli, S.&lt;/author&gt;&lt;/authors&gt;&lt;/contributors&gt;&lt;auth-address&gt;Int Food Policy Res Inst, 1201 Eye St NW, Washington, DC 20005 USA&amp;#xD;Paris Sch Econ, 48 Blvd Jourdan, F-75014 Paris, France&lt;/auth-address&gt;&lt;titles&gt;&lt;title&gt;Climate and poverty in Africa South of the Sahara&lt;/title&gt;&lt;secondary-title&gt;World Development&lt;/secondary-title&gt;&lt;alt-title&gt;World Dev&lt;/alt-title&gt;&lt;/titles&gt;&lt;periodical&gt;&lt;full-title&gt;World Development&lt;/full-title&gt;&lt;abbr-1&gt;World Dev&lt;/abbr-1&gt;&lt;/periodical&gt;&lt;alt-periodical&gt;&lt;full-title&gt;World Development&lt;/full-title&gt;&lt;abbr-1&gt;World Dev&lt;/abbr-1&gt;&lt;/alt-periodical&gt;&lt;volume&gt;125&lt;/volume&gt;&lt;keywords&gt;&lt;keyword&gt;mapping&lt;/keyword&gt;&lt;keyword&gt;poverty&lt;/keyword&gt;&lt;keyword&gt;climate change&lt;/keyword&gt;&lt;keyword&gt;weather shocks&lt;/keyword&gt;&lt;keyword&gt;sub-saharan africa&lt;/keyword&gt;&lt;keyword&gt;spatial models&lt;/keyword&gt;&lt;keyword&gt;rural poverty&lt;/keyword&gt;&lt;keyword&gt;malaria&lt;/keyword&gt;&lt;keyword&gt;exposure&lt;/keyword&gt;&lt;keyword&gt;welfare&lt;/keyword&gt;&lt;keyword&gt;benefit&lt;/keyword&gt;&lt;keyword&gt;future&lt;/keyword&gt;&lt;keyword&gt;risks&lt;/keyword&gt;&lt;/keywords&gt;&lt;dates&gt;&lt;year&gt;2020&lt;/year&gt;&lt;pub-dates&gt;&lt;date&gt;Jan&lt;/date&gt;&lt;/pub-dates&gt;&lt;/dates&gt;&lt;isbn&gt;0305-750x&lt;/isbn&gt;&lt;accession-num&gt;WOS:000496605200019&lt;/accession-num&gt;&lt;urls&gt;&lt;related-urls&gt;&lt;url&gt;&amp;lt;Go to ISI&amp;gt;://WOS:000496605200019&lt;/url&gt;&lt;/related-urls&gt;&lt;/urls&gt;&lt;electronic-resource-num&gt;ARTN 104691&amp;#xD;10.1016/j.worlddev.2019.104691&lt;/electronic-resource-num&gt;&lt;language&gt;English&lt;/language&gt;&lt;/record&gt;&lt;/Cite&gt;&lt;/EndNote&gt;</w:instrText>
      </w:r>
      <w:r w:rsidRPr="00F539C0">
        <w:fldChar w:fldCharType="separate"/>
      </w:r>
      <w:r w:rsidR="00014750">
        <w:rPr>
          <w:noProof/>
        </w:rPr>
        <w:t>(14)</w:t>
      </w:r>
      <w:r w:rsidRPr="00F539C0">
        <w:fldChar w:fldCharType="end"/>
      </w:r>
      <w:r w:rsidRPr="00F539C0">
        <w:t xml:space="preserve">, whilst the World Bank has estimated that climate change, including droughts, will lead to </w:t>
      </w:r>
      <w:r w:rsidRPr="00287C24">
        <w:t>millions of people in SSA falling into poverty</w:t>
      </w:r>
      <w:r w:rsidRPr="00F539C0">
        <w:fldChar w:fldCharType="begin"/>
      </w:r>
      <w:r w:rsidR="00014750">
        <w:instrText xml:space="preserve"> ADDIN EN.CITE &lt;EndNote&gt;&lt;Cite&gt;&lt;Author&gt;Hallegate&lt;/Author&gt;&lt;Year&gt;2016&lt;/Year&gt;&lt;RecNum&gt;128&lt;/RecNum&gt;&lt;DisplayText&gt;(15)&lt;/DisplayText&gt;&lt;record&gt;&lt;rec-number&gt;128&lt;/rec-number&gt;&lt;foreign-keys&gt;&lt;key app="EN" db-id="5razretsn59atee0dznxe5pfazpsd9sva20f" timestamp="1679045081"&gt;128&lt;/key&gt;&lt;/foreign-keys&gt;&lt;ref-type name="Report"&gt;27&lt;/ref-type&gt;&lt;contributors&gt;&lt;authors&gt;&lt;author&gt;Hallegate, S.&lt;/author&gt;&lt;author&gt;Bangalore, M.&lt;/author&gt;&lt;author&gt;Bonzanigo, L.&lt;/author&gt;&lt;author&gt;Fay, M.&lt;/author&gt;&lt;author&gt;Kane, T.&lt;/author&gt;&lt;author&gt;Narloch, U.&lt;/author&gt;&lt;author&gt;Rozenberg, J.&lt;/author&gt;&lt;author&gt;Treguer, D.&lt;/author&gt;&lt;author&gt;Vogt-Schlib, A.&lt;/author&gt;&lt;/authors&gt;&lt;/contributors&gt;&lt;titles&gt;&lt;title&gt;Shock Waves: Managing the Impacts of Climate Change on Poverty&lt;/title&gt;&lt;secondary-title&gt;Climate Change and Development&lt;/secondary-title&gt;&lt;/titles&gt;&lt;dates&gt;&lt;year&gt;2016&lt;/year&gt;&lt;/dates&gt;&lt;pub-location&gt;Washington, DC.&lt;/pub-location&gt;&lt;publisher&gt;World Bank,&lt;/publisher&gt;&lt;urls&gt;&lt;related-urls&gt;&lt;url&gt;https://openknowledge.worldbank.org/entities/publication/cc42cb9b-3f8e-5bf3-bba3-2cce3b0793ac&lt;/url&gt;&lt;/related-urls&gt;&lt;/urls&gt;&lt;access-date&gt;17/03/2023&lt;/access-date&gt;&lt;/record&gt;&lt;/Cite&gt;&lt;/EndNote&gt;</w:instrText>
      </w:r>
      <w:r w:rsidRPr="00F539C0">
        <w:fldChar w:fldCharType="separate"/>
      </w:r>
      <w:r w:rsidR="00014750">
        <w:rPr>
          <w:noProof/>
        </w:rPr>
        <w:t>(15)</w:t>
      </w:r>
      <w:r w:rsidRPr="00F539C0">
        <w:fldChar w:fldCharType="end"/>
      </w:r>
      <w:r w:rsidRPr="00F539C0">
        <w:t>, partially through reliance on subsistence agriculture</w:t>
      </w:r>
      <w:r w:rsidRPr="00287C24">
        <w:fldChar w:fldCharType="begin"/>
      </w:r>
      <w:r w:rsidR="00014750">
        <w:instrText xml:space="preserve"> ADDIN EN.CITE &lt;EndNote&gt;&lt;Cite&gt;&lt;Author&gt;Hope&lt;/Author&gt;&lt;Year&gt;2009&lt;/Year&gt;&lt;RecNum&gt;129&lt;/RecNum&gt;&lt;DisplayText&gt;(16)&lt;/DisplayText&gt;&lt;record&gt;&lt;rec-number&gt;129&lt;/rec-number&gt;&lt;foreign-keys&gt;&lt;key app="EN" db-id="5razretsn59atee0dznxe5pfazpsd9sva20f" timestamp="1679045187"&gt;129&lt;/key&gt;&lt;/foreign-keys&gt;&lt;ref-type name="Journal Article"&gt;17&lt;/ref-type&gt;&lt;contributors&gt;&lt;authors&gt;&lt;author&gt;Hope, K. R.&lt;/author&gt;&lt;/authors&gt;&lt;/contributors&gt;&lt;auth-address&gt;USN, New York, NY USA&lt;/auth-address&gt;&lt;titles&gt;&lt;title&gt;Climate change and poverty in Africa&lt;/title&gt;&lt;secondary-title&gt;International Journal of Sustainable Development and World Ecology&lt;/secondary-title&gt;&lt;alt-title&gt;Int J Sust Dev World&lt;/alt-title&gt;&lt;/titles&gt;&lt;periodical&gt;&lt;full-title&gt;International Journal of Sustainable Development and World Ecology&lt;/full-title&gt;&lt;abbr-1&gt;Int J Sust Dev World&lt;/abbr-1&gt;&lt;/periodical&gt;&lt;alt-periodical&gt;&lt;full-title&gt;International Journal of Sustainable Development and World Ecology&lt;/full-title&gt;&lt;abbr-1&gt;Int J Sust Dev World&lt;/abbr-1&gt;&lt;/alt-periodical&gt;&lt;pages&gt;451-461&lt;/pages&gt;&lt;volume&gt;16&lt;/volume&gt;&lt;number&gt;6&lt;/number&gt;&lt;keywords&gt;&lt;keyword&gt;africa&lt;/keyword&gt;&lt;keyword&gt;climate change&lt;/keyword&gt;&lt;keyword&gt;poverty&lt;/keyword&gt;&lt;keyword&gt;adaptation policies&lt;/keyword&gt;&lt;keyword&gt;vulnerability&lt;/keyword&gt;&lt;keyword&gt;migration&lt;/keyword&gt;&lt;keyword&gt;rainfall&lt;/keyword&gt;&lt;keyword&gt;impacts&lt;/keyword&gt;&lt;keyword&gt;burden&lt;/keyword&gt;&lt;/keywords&gt;&lt;dates&gt;&lt;year&gt;2009&lt;/year&gt;&lt;/dates&gt;&lt;isbn&gt;1350-4509&lt;/isbn&gt;&lt;accession-num&gt;WOS:000272481000009&lt;/accession-num&gt;&lt;urls&gt;&lt;related-urls&gt;&lt;url&gt;&amp;lt;Go to ISI&amp;gt;://WOS:000272481000009&lt;/url&gt;&lt;/related-urls&gt;&lt;/urls&gt;&lt;electronic-resource-num&gt;Pii 917313319&amp;#xD;10.1080/13504500903354424&lt;/electronic-resource-num&gt;&lt;language&gt;English&lt;/language&gt;&lt;/record&gt;&lt;/Cite&gt;&lt;/EndNote&gt;</w:instrText>
      </w:r>
      <w:r w:rsidRPr="00287C24">
        <w:fldChar w:fldCharType="separate"/>
      </w:r>
      <w:r w:rsidR="00014750">
        <w:rPr>
          <w:noProof/>
        </w:rPr>
        <w:t>(16)</w:t>
      </w:r>
      <w:r w:rsidRPr="00287C24">
        <w:fldChar w:fldCharType="end"/>
      </w:r>
      <w:r w:rsidRPr="00F539C0">
        <w:t xml:space="preserve">. </w:t>
      </w:r>
    </w:p>
    <w:p w14:paraId="78AA9ED2" w14:textId="156F1BFC" w:rsidR="004718DB" w:rsidRDefault="004718DB" w:rsidP="004718DB">
      <w:r w:rsidRPr="00F539C0">
        <w:t>P</w:t>
      </w:r>
      <w:r w:rsidRPr="00287C24">
        <w:t>overty has been shown to impede cognitive function, with people making poorer decisions in times of scarce resources (pre-harvest), compared with when resources are abundant</w:t>
      </w:r>
      <w:r w:rsidRPr="00F539C0">
        <w:fldChar w:fldCharType="begin"/>
      </w:r>
      <w:r w:rsidR="00014750">
        <w:instrText xml:space="preserve"> ADDIN EN.CITE &lt;EndNote&gt;&lt;Cite&gt;&lt;Author&gt;Mani&lt;/Author&gt;&lt;Year&gt;2013&lt;/Year&gt;&lt;RecNum&gt;131&lt;/RecNum&gt;&lt;DisplayText&gt;(17)&lt;/DisplayText&gt;&lt;record&gt;&lt;rec-number&gt;131&lt;/rec-number&gt;&lt;foreign-keys&gt;&lt;key app="EN" db-id="5razretsn59atee0dznxe5pfazpsd9sva20f" timestamp="1680179266"&gt;131&lt;/key&gt;&lt;/foreign-keys&gt;&lt;ref-type name="Journal Article"&gt;17&lt;/ref-type&gt;&lt;contributors&gt;&lt;authors&gt;&lt;author&gt;Mani, A.&lt;/author&gt;&lt;author&gt;Mullainathan, S.&lt;/author&gt;&lt;author&gt;Shafir, E.&lt;/author&gt;&lt;author&gt;Zhao, J. Y.&lt;/author&gt;&lt;/authors&gt;&lt;/contributors&gt;&lt;auth-address&gt;Univ Warwick, Dept Econ, Coventry CV4 7AL, W Midlands, England&amp;#xD;Harvard Univ, Dept Econ, Cambridge, MA 02138 USA&amp;#xD;Princeton Univ, Dept Psychol, Princeton, NJ 08540 USA&amp;#xD;Princeton Univ, Woodrow Wilson Sch Publ &amp;amp; Int Affairs, Princeton, NJ 08540 USA&amp;#xD;Univ British Columbia, Dept Psychol, Vancouver, BC V6T 1Z4, Canada&amp;#xD;Univ British Columbia, Inst Resources Environm &amp;amp; Sustainabil, Vancouver, BC V6T 1Z4, Canada&lt;/auth-address&gt;&lt;titles&gt;&lt;title&gt;Poverty Impedes Cognitive Function&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976-980&lt;/pages&gt;&lt;volume&gt;341&lt;/volume&gt;&lt;number&gt;6149&lt;/number&gt;&lt;keywords&gt;&lt;keyword&gt;behavioral-economics&lt;/keyword&gt;&lt;keyword&gt;missed appointments&lt;/keyword&gt;&lt;keyword&gt;working-memory&lt;/keyword&gt;&lt;keyword&gt;stress&lt;/keyword&gt;&lt;keyword&gt;capacity&lt;/keyword&gt;&lt;/keywords&gt;&lt;dates&gt;&lt;year&gt;2013&lt;/year&gt;&lt;pub-dates&gt;&lt;date&gt;Aug 30&lt;/date&gt;&lt;/pub-dates&gt;&lt;/dates&gt;&lt;isbn&gt;0036-8075&lt;/isbn&gt;&lt;accession-num&gt;WOS:000323652300035&lt;/accession-num&gt;&lt;urls&gt;&lt;related-urls&gt;&lt;url&gt;&amp;lt;Go to ISI&amp;gt;://WOS:000323652300035&lt;/url&gt;&lt;/related-urls&gt;&lt;/urls&gt;&lt;electronic-resource-num&gt;10.1126/science.1238041&lt;/electronic-resource-num&gt;&lt;language&gt;English&lt;/language&gt;&lt;/record&gt;&lt;/Cite&gt;&lt;/EndNote&gt;</w:instrText>
      </w:r>
      <w:r w:rsidRPr="00F539C0">
        <w:fldChar w:fldCharType="separate"/>
      </w:r>
      <w:r w:rsidR="00014750">
        <w:rPr>
          <w:noProof/>
        </w:rPr>
        <w:t>(17)</w:t>
      </w:r>
      <w:r w:rsidRPr="00F539C0">
        <w:fldChar w:fldCharType="end"/>
      </w:r>
      <w:r>
        <w:t>. T</w:t>
      </w:r>
      <w:r w:rsidRPr="00287C24">
        <w:t>his could also relate</w:t>
      </w:r>
      <w:r w:rsidRPr="00F539C0">
        <w:t xml:space="preserve"> </w:t>
      </w:r>
      <w:r w:rsidRPr="00287C24">
        <w:t>to decision-making around sexual risk behaviours. A</w:t>
      </w:r>
      <w:r w:rsidRPr="00F539C0">
        <w:t xml:space="preserve"> meta-analysis by Ali and Tadele </w:t>
      </w:r>
      <w:r w:rsidRPr="00287C24">
        <w:t xml:space="preserve">of studies in SSA </w:t>
      </w:r>
      <w:r w:rsidRPr="00F539C0">
        <w:t>found that the poorest men and women had higher odds of not using a condom during their previous risky sexual intercourse</w:t>
      </w:r>
      <w:r w:rsidRPr="00F539C0">
        <w:fldChar w:fldCharType="begin"/>
      </w:r>
      <w:r w:rsidR="00014750">
        <w:instrText xml:space="preserve"> ADDIN EN.CITE &lt;EndNote&gt;&lt;Cite&gt;&lt;Author&gt;Ali&lt;/Author&gt;&lt;Year&gt;2021&lt;/Year&gt;&lt;RecNum&gt;130&lt;/RecNum&gt;&lt;DisplayText&gt;(18)&lt;/DisplayText&gt;&lt;record&gt;&lt;rec-number&gt;130&lt;/rec-number&gt;&lt;foreign-keys&gt;&lt;key app="EN" db-id="5razretsn59atee0dznxe5pfazpsd9sva20f" timestamp="1679046385"&gt;130&lt;/key&gt;&lt;/foreign-keys&gt;&lt;ref-type name="Journal Article"&gt;17&lt;/ref-type&gt;&lt;contributors&gt;&lt;authors&gt;&lt;author&gt;Ali, R.&lt;/author&gt;&lt;author&gt;Tadele, A.&lt;/author&gt;&lt;/authors&gt;&lt;/contributors&gt;&lt;auth-address&gt;Jimma Univ, Inst Hlth, Fac Publ Hlth, Dept Populat &amp;amp; Family Hlth, Jimma, Ethiopia&lt;/auth-address&gt;&lt;titles&gt;&lt;title&gt;Risky Sexual Behavior across Extremes of Wealth in sub-Saharan Africa: A Meta-Analysis of Demographic and Health Surveys&lt;/title&gt;&lt;secondary-title&gt;Ethiopian Journal of Health Sciences&lt;/secondary-title&gt;&lt;alt-title&gt;Ethiop J Health Sci&lt;/alt-title&gt;&lt;/titles&gt;&lt;periodical&gt;&lt;full-title&gt;Ethiopian Journal of Health Sciences&lt;/full-title&gt;&lt;abbr-1&gt;Ethiop J Health Sci&lt;/abbr-1&gt;&lt;/periodical&gt;&lt;alt-periodical&gt;&lt;full-title&gt;Ethiopian Journal of Health Sciences&lt;/full-title&gt;&lt;abbr-1&gt;Ethiop J Health Sci&lt;/abbr-1&gt;&lt;/alt-periodical&gt;&lt;pages&gt;159-166&lt;/pages&gt;&lt;volume&gt;31&lt;/volume&gt;&lt;number&gt;1&lt;/number&gt;&lt;keywords&gt;&lt;keyword&gt;risky sexual behavior&lt;/keyword&gt;&lt;keyword&gt;multiple sexual partner&lt;/keyword&gt;&lt;keyword&gt;demographic and health survey&lt;/keyword&gt;&lt;keyword&gt;sub-saharan africa&lt;/keyword&gt;&lt;keyword&gt;condom non-use&lt;/keyword&gt;&lt;keyword&gt;poverty&lt;/keyword&gt;&lt;keyword&gt;hiv&lt;/keyword&gt;&lt;/keywords&gt;&lt;dates&gt;&lt;year&gt;2021&lt;/year&gt;&lt;pub-dates&gt;&lt;date&gt;Jan&lt;/date&gt;&lt;/pub-dates&gt;&lt;/dates&gt;&lt;isbn&gt;1029-1857&lt;/isbn&gt;&lt;accession-num&gt;WOS:000744177800018&lt;/accession-num&gt;&lt;urls&gt;&lt;related-urls&gt;&lt;url&gt;&amp;lt;Go to ISI&amp;gt;://WOS:000744177800018&lt;/url&gt;&lt;/related-urls&gt;&lt;/urls&gt;&lt;electronic-resource-num&gt;10.4314/ejhs.v31i1.18&lt;/electronic-resource-num&gt;&lt;language&gt;English&lt;/language&gt;&lt;/record&gt;&lt;/Cite&gt;&lt;/EndNote&gt;</w:instrText>
      </w:r>
      <w:r w:rsidRPr="00F539C0">
        <w:fldChar w:fldCharType="separate"/>
      </w:r>
      <w:r w:rsidR="00014750">
        <w:rPr>
          <w:noProof/>
        </w:rPr>
        <w:t>(18)</w:t>
      </w:r>
      <w:r w:rsidRPr="00F539C0">
        <w:fldChar w:fldCharType="end"/>
      </w:r>
      <w:r w:rsidRPr="00F539C0">
        <w:t xml:space="preserve">, which we </w:t>
      </w:r>
      <w:r>
        <w:t xml:space="preserve">also </w:t>
      </w:r>
      <w:r w:rsidRPr="00F539C0">
        <w:t xml:space="preserve">observed among men in urban, but not rural, areas. </w:t>
      </w:r>
      <w:r>
        <w:t>Adair’s study using DHS data on men from 5 countries in SSA found condom use at last intercourse to increase with increasing wealth</w:t>
      </w:r>
      <w:r>
        <w:fldChar w:fldCharType="begin"/>
      </w:r>
      <w:r w:rsidR="00014750">
        <w:instrText xml:space="preserve"> ADDIN EN.CITE &lt;EndNote&gt;&lt;Cite&gt;&lt;Author&gt;Adair&lt;/Author&gt;&lt;Year&gt;2208&lt;/Year&gt;&lt;RecNum&gt;136&lt;/RecNum&gt;&lt;DisplayText&gt;(19)&lt;/DisplayText&gt;&lt;record&gt;&lt;rec-number&gt;136&lt;/rec-number&gt;&lt;foreign-keys&gt;&lt;key app="EN" db-id="5razretsn59atee0dznxe5pfazpsd9sva20f" timestamp="1680265069"&gt;136&lt;/key&gt;&lt;/foreign-keys&gt;&lt;ref-type name="Journal Article"&gt;17&lt;/ref-type&gt;&lt;contributors&gt;&lt;authors&gt;&lt;author&gt;Adair, T.&lt;/author&gt;&lt;/authors&gt;&lt;/contributors&gt;&lt;titles&gt;&lt;title&gt;Men&amp;apos;s condom use in higher-risk sex: Trends in five sub-Saharan African countries&lt;/title&gt;&lt;secondary-title&gt;Journal of Population Research&lt;/secondary-title&gt;&lt;/titles&gt;&lt;periodical&gt;&lt;full-title&gt;Journal of Population Research&lt;/full-title&gt;&lt;/periodical&gt;&lt;pages&gt;51-62&lt;/pages&gt;&lt;volume&gt;25&lt;/volume&gt;&lt;dates&gt;&lt;year&gt;2208&lt;/year&gt;&lt;/dates&gt;&lt;urls&gt;&lt;/urls&gt;&lt;/record&gt;&lt;/Cite&gt;&lt;/EndNote&gt;</w:instrText>
      </w:r>
      <w:r>
        <w:fldChar w:fldCharType="separate"/>
      </w:r>
      <w:r w:rsidR="00014750">
        <w:rPr>
          <w:noProof/>
        </w:rPr>
        <w:t>(19)</w:t>
      </w:r>
      <w:r>
        <w:fldChar w:fldCharType="end"/>
      </w:r>
      <w:r>
        <w:t>, whilst another multi-country study by Phiri et al found that richer men were more likely to report using condoms, as well as reporting more sexual partners</w:t>
      </w:r>
      <w:r>
        <w:fldChar w:fldCharType="begin">
          <w:fldData xml:space="preserve">PEVuZE5vdGU+PENpdGU+PEF1dGhvcj5QaGlyaTwvQXV0aG9yPjxZZWFyPjIwMjI8L1llYXI+PFJl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</w:fldData>
        </w:fldChar>
      </w:r>
      <w:r w:rsidR="00014750">
        <w:instrText xml:space="preserve"> ADDIN EN.CITE </w:instrText>
      </w:r>
      <w:r w:rsidR="00014750">
        <w:fldChar w:fldCharType="begin">
          <w:fldData xml:space="preserve">PEVuZE5vdGU+PENpdGU+PEF1dGhvcj5QaGlyaTwvQXV0aG9yPjxZZWFyPjIwMjI8L1llYXI+PFJl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</w:fldData>
        </w:fldChar>
      </w:r>
      <w:r w:rsidR="00014750">
        <w:instrText xml:space="preserve"> ADDIN EN.CITE.DATA </w:instrText>
      </w:r>
      <w:r w:rsidR="00014750">
        <w:fldChar w:fldCharType="end"/>
      </w:r>
      <w:r>
        <w:fldChar w:fldCharType="separate"/>
      </w:r>
      <w:r w:rsidR="00014750">
        <w:rPr>
          <w:noProof/>
        </w:rPr>
        <w:t>(20)</w:t>
      </w:r>
      <w:r>
        <w:fldChar w:fldCharType="end"/>
      </w:r>
      <w:r>
        <w:t xml:space="preserve">. Various studies in South Africa have looked at whether wealth is associated with concurrent sexual partners, an outcome we did not investigate. Kenyon et </w:t>
      </w:r>
      <w:proofErr w:type="spellStart"/>
      <w:r>
        <w:t>al’s</w:t>
      </w:r>
      <w:proofErr w:type="spellEnd"/>
      <w:r>
        <w:t xml:space="preserve"> paper found that poorer men were more likely than their wealthier counterparts to report concurrence</w:t>
      </w:r>
      <w:r>
        <w:fldChar w:fldCharType="begin"/>
      </w:r>
      <w:r w:rsidR="00014750">
        <w:instrText xml:space="preserve"> ADDIN EN.CITE &lt;EndNote&gt;&lt;Cite&gt;&lt;Author&gt;Kenyon&lt;/Author&gt;&lt;Year&gt;2015&lt;/Year&gt;&lt;RecNum&gt;135&lt;/RecNum&gt;&lt;DisplayText&gt;(21)&lt;/DisplayText&gt;&lt;record&gt;&lt;rec-number&gt;135&lt;/rec-number&gt;&lt;foreign-keys&gt;&lt;key app="EN" db-id="5razretsn59atee0dznxe5pfazpsd9sva20f" timestamp="1680264966"&gt;135&lt;/key&gt;&lt;/foreign-keys&gt;&lt;ref-type name="Journal Article"&gt;17&lt;/ref-type&gt;&lt;contributors&gt;&lt;authors&gt;&lt;author&gt;Kenyon, C. R.&lt;/author&gt;&lt;author&gt;Osbak, K.&lt;/author&gt;&lt;author&gt;Buyze, J.&lt;/author&gt;&lt;author&gt;Johnson, S.&lt;/author&gt;&lt;author&gt;van Lankveld, J.&lt;/author&gt;&lt;/authors&gt;&lt;/contributors&gt;&lt;auth-address&gt;Inst Trop Med, HIV STI Unit, B-2000 Antwerp, Belgium&amp;#xD;Hlth Dev Africa, Johannesburg, South Africa&amp;#xD;Open Univ, Heerlen, Netherlands&lt;/auth-address&gt;&lt;titles&gt;&lt;title&gt;Variations of Sexual Scripts Relating to Concurrency by Race, Class, and Gender in South Africa&lt;/title&gt;&lt;secondary-title&gt;Journal of Sex Research&lt;/secondary-title&gt;&lt;alt-title&gt;J Sex Res&lt;/alt-title&gt;&lt;/titles&gt;&lt;periodical&gt;&lt;full-title&gt;Journal of Sex Research&lt;/full-title&gt;&lt;abbr-1&gt;J Sex Res&lt;/abbr-1&gt;&lt;/periodical&gt;&lt;alt-periodical&gt;&lt;full-title&gt;Journal of Sex Research&lt;/full-title&gt;&lt;abbr-1&gt;J Sex Res&lt;/abbr-1&gt;&lt;/alt-periodical&gt;&lt;pages&gt;878-886&lt;/pages&gt;&lt;volume&gt;52&lt;/volume&gt;&lt;number&gt;8&lt;/number&gt;&lt;keywords&gt;&lt;keyword&gt;hiv transmission risk&lt;/keyword&gt;&lt;keyword&gt;alcohol-use&lt;/keyword&gt;&lt;keyword&gt;pluralistic ignorance&lt;/keyword&gt;&lt;keyword&gt;partnerships&lt;/keyword&gt;&lt;keyword&gt;prevalence&lt;/keyword&gt;&lt;keyword&gt;association&lt;/keyword&gt;&lt;keyword&gt;spread&lt;/keyword&gt;&lt;keyword&gt;behaviors&lt;/keyword&gt;&lt;keyword&gt;networks&lt;/keyword&gt;&lt;keyword&gt;multiple&lt;/keyword&gt;&lt;/keywords&gt;&lt;dates&gt;&lt;year&gt;2015&lt;/year&gt;&lt;pub-dates&gt;&lt;date&gt;Oct&lt;/date&gt;&lt;/pub-dates&gt;&lt;/dates&gt;&lt;isbn&gt;0022-4499&lt;/isbn&gt;&lt;accession-num&gt;WOS:000361534700004&lt;/accession-num&gt;&lt;urls&gt;&lt;related-urls&gt;&lt;url&gt;&amp;lt;Go to ISI&amp;gt;://WOS:000361534700004&lt;/url&gt;&lt;/related-urls&gt;&lt;/urls&gt;&lt;electronic-resource-num&gt;10.1080/00224499.2014.963832&lt;/electronic-resource-num&gt;&lt;language&gt;English&lt;/language&gt;&lt;/record&gt;&lt;/Cite&gt;&lt;/EndNote&gt;</w:instrText>
      </w:r>
      <w:r>
        <w:fldChar w:fldCharType="separate"/>
      </w:r>
      <w:r w:rsidR="00014750">
        <w:rPr>
          <w:noProof/>
        </w:rPr>
        <w:t>(21)</w:t>
      </w:r>
      <w:r>
        <w:fldChar w:fldCharType="end"/>
      </w:r>
      <w:r>
        <w:t xml:space="preserve">, whilst Mah et </w:t>
      </w:r>
      <w:proofErr w:type="spellStart"/>
      <w:r>
        <w:t>al’s</w:t>
      </w:r>
      <w:proofErr w:type="spellEnd"/>
      <w:r>
        <w:t xml:space="preserve"> study on younger men</w:t>
      </w:r>
      <w:r>
        <w:fldChar w:fldCharType="begin"/>
      </w:r>
      <w:r w:rsidR="00014750">
        <w:instrText xml:space="preserve"> ADDIN EN.CITE &lt;EndNote&gt;&lt;Cite&gt;&lt;Author&gt;Mah&lt;/Author&gt;&lt;Year&gt;2010&lt;/Year&gt;&lt;RecNum&gt;134&lt;/RecNum&gt;&lt;DisplayText&gt;(22)&lt;/DisplayText&gt;&lt;record&gt;&lt;rec-number&gt;134&lt;/rec-number&gt;&lt;foreign-keys&gt;&lt;key app="EN" db-id="5razretsn59atee0dznxe5pfazpsd9sva20f" timestamp="1680264912"&gt;134&lt;/key&gt;&lt;/foreign-keys&gt;&lt;ref-type name="Journal Article"&gt;17&lt;/ref-type&gt;&lt;contributors&gt;&lt;authors&gt;&lt;author&gt;Mah, T. L.&lt;/author&gt;&lt;/authors&gt;&lt;/contributors&gt;&lt;auth-address&gt;US Agcy Int Dev, Div Tech Leadership &amp;amp; Res, Off HIV AIDS, Washington, DC 20523 USA&lt;/auth-address&gt;&lt;titles&gt;&lt;title&gt;Prevalence and Correlates of Concurrent Sexual Partnerships Among Young People in South Africa&lt;/title&gt;&lt;secondary-title&gt;Sexually Transmitted Diseases&lt;/secondary-title&gt;&lt;alt-title&gt;Sex Transm Dis&lt;/alt-title&gt;&lt;/titles&gt;&lt;periodical&gt;&lt;full-title&gt;Sexually Transmitted Diseases&lt;/full-title&gt;&lt;abbr-1&gt;Sex Transm Dis&lt;/abbr-1&gt;&lt;/periodical&gt;&lt;alt-periodical&gt;&lt;full-title&gt;Sexually Transmitted Diseases&lt;/full-title&gt;&lt;abbr-1&gt;Sex Transm Dis&lt;/abbr-1&gt;&lt;/alt-periodical&gt;&lt;pages&gt;105-108&lt;/pages&gt;&lt;volume&gt;37&lt;/volume&gt;&lt;number&gt;2&lt;/number&gt;&lt;keywords&gt;&lt;keyword&gt;concurrency&lt;/keyword&gt;&lt;keyword&gt;hiv prevention&lt;/keyword&gt;&lt;keyword&gt;concurrent sexual partnerships&lt;/keyword&gt;&lt;keyword&gt;multiple partners&lt;/keyword&gt;&lt;keyword&gt;hiv prevalence&lt;/keyword&gt;&lt;keyword&gt;risk&lt;/keyword&gt;&lt;keyword&gt;behavior&lt;/keyword&gt;&lt;keyword&gt;spread&lt;/keyword&gt;&lt;keyword&gt;age&lt;/keyword&gt;&lt;/keywords&gt;&lt;dates&gt;&lt;year&gt;2010&lt;/year&gt;&lt;pub-dates&gt;&lt;date&gt;Feb&lt;/date&gt;&lt;/pub-dates&gt;&lt;/dates&gt;&lt;isbn&gt;0148-5717&lt;/isbn&gt;&lt;accession-num&gt;WOS:000274070900008&lt;/accession-num&gt;&lt;urls&gt;&lt;related-urls&gt;&lt;url&gt;&amp;lt;Go to ISI&amp;gt;://WOS:000274070900008&lt;/url&gt;&lt;/related-urls&gt;&lt;/urls&gt;&lt;electronic-resource-num&gt;10.1097/OLQ.0b013e3181bcdf75&lt;/electronic-resource-num&gt;&lt;language&gt;English&lt;/language&gt;&lt;/record&gt;&lt;/Cite&gt;&lt;/EndNote&gt;</w:instrText>
      </w:r>
      <w:r>
        <w:fldChar w:fldCharType="separate"/>
      </w:r>
      <w:r w:rsidR="00014750">
        <w:rPr>
          <w:noProof/>
        </w:rPr>
        <w:t>(22)</w:t>
      </w:r>
      <w:r>
        <w:fldChar w:fldCharType="end"/>
      </w:r>
      <w:r>
        <w:t xml:space="preserve"> and Kenyon and </w:t>
      </w:r>
      <w:proofErr w:type="spellStart"/>
      <w:r>
        <w:t>Coleblunders</w:t>
      </w:r>
      <w:proofErr w:type="spellEnd"/>
      <w:r>
        <w:t>’ study on men and women</w:t>
      </w:r>
      <w:r>
        <w:fldChar w:fldCharType="begin"/>
      </w:r>
      <w:r w:rsidR="00014750">
        <w:instrText xml:space="preserve"> ADDIN EN.CITE &lt;EndNote&gt;&lt;Cite&gt;&lt;Author&gt;Kenyon&lt;/Author&gt;&lt;Year&gt;2015&lt;/Year&gt;&lt;RecNum&gt;133&lt;/RecNum&gt;&lt;DisplayText&gt;(23)&lt;/DisplayText&gt;&lt;record&gt;&lt;rec-number&gt;133&lt;/rec-number&gt;&lt;foreign-keys&gt;&lt;key app="EN" db-id="5razretsn59atee0dznxe5pfazpsd9sva20f" timestamp="1680264880"&gt;133&lt;/key&gt;&lt;/foreign-keys&gt;&lt;ref-type name="Journal Article"&gt;17&lt;/ref-type&gt;&lt;contributors&gt;&lt;authors&gt;&lt;author&gt;Kenyon, C.&lt;/author&gt;&lt;author&gt;Colebunders, R.&lt;/author&gt;&lt;/authors&gt;&lt;/contributors&gt;&lt;auth-address&gt;Inst Trop Med, HIV STI Unit, Sexually Transmitted Dis, Natl Str 155, B-2000 Antwerp, Belgium&amp;#xD;Univ Cape Town, Div Infect Dis &amp;amp; HIV Med, ZA-7700 Observatory, South Africa&amp;#xD;Univ Antwerp, Infect Dis, B-2000 Antwerp, Belgium&lt;/auth-address&gt;&lt;titles&gt;&lt;title&gt;Correlates of concurrency among young people in Carletonville, South Africa&lt;/title&gt;&lt;secondary-title&gt;Sahara J-Journal of Social Aspects of Hiv-Aids&lt;/secondary-title&gt;&lt;alt-title&gt;Sahara J-J Soc Asp H&lt;/alt-title&gt;&lt;/titles&gt;&lt;periodical&gt;&lt;full-title&gt;Sahara J-Journal of Social Aspects of Hiv-Aids&lt;/full-title&gt;&lt;abbr-1&gt;Sahara J-J Soc Asp H&lt;/abbr-1&gt;&lt;/periodical&gt;&lt;alt-periodical&gt;&lt;full-title&gt;Sahara J-Journal of Social Aspects of Hiv-Aids&lt;/full-title&gt;&lt;abbr-1&gt;Sahara J-J Soc Asp H&lt;/abbr-1&gt;&lt;/alt-periodical&gt;&lt;pages&gt;51-58&lt;/pages&gt;&lt;volume&gt;12&lt;/volume&gt;&lt;number&gt;1&lt;/number&gt;&lt;keywords&gt;&lt;keyword&gt;socioeconomic&lt;/keyword&gt;&lt;keyword&gt;culture&lt;/keyword&gt;&lt;keyword&gt;life-course&lt;/keyword&gt;&lt;keyword&gt;hiv&lt;/keyword&gt;&lt;keyword&gt;sexual partnerships&lt;/keyword&gt;&lt;keyword&gt;hiv prevalence&lt;/keyword&gt;&lt;keyword&gt;association&lt;/keyword&gt;&lt;keyword&gt;youth&lt;/keyword&gt;&lt;/keywords&gt;&lt;dates&gt;&lt;year&gt;2015&lt;/year&gt;&lt;/dates&gt;&lt;isbn&gt;1729-0376&lt;/isbn&gt;&lt;accession-num&gt;WOS:000369859200007&lt;/accession-num&gt;&lt;urls&gt;&lt;related-urls&gt;&lt;url&gt;&amp;lt;Go to ISI&amp;gt;://WOS:000369859200007&lt;/url&gt;&lt;/related-urls&gt;&lt;/urls&gt;&lt;electronic-resource-num&gt;10.1080/17290376.2015.1100093&lt;/electronic-resource-num&gt;&lt;language&gt;English&lt;/language&gt;&lt;/record&gt;&lt;/Cite&gt;&lt;/EndNote&gt;</w:instrText>
      </w:r>
      <w:r>
        <w:fldChar w:fldCharType="separate"/>
      </w:r>
      <w:r w:rsidR="00014750">
        <w:rPr>
          <w:noProof/>
        </w:rPr>
        <w:t>(23)</w:t>
      </w:r>
      <w:r>
        <w:fldChar w:fldCharType="end"/>
      </w:r>
      <w:r>
        <w:t xml:space="preserve"> did not observe this association. </w:t>
      </w:r>
      <w:r w:rsidRPr="00F539C0">
        <w:t>A study among young women in Zimbabwe found that lower</w:t>
      </w:r>
      <w:r>
        <w:t xml:space="preserve"> </w:t>
      </w:r>
      <w:r w:rsidRPr="00F539C0">
        <w:t>socio</w:t>
      </w:r>
      <w:r>
        <w:t>-</w:t>
      </w:r>
      <w:r w:rsidRPr="00F539C0">
        <w:t>economic position was associated with increased transactional sex and having older sexual partners</w:t>
      </w:r>
      <w:r w:rsidRPr="00F539C0">
        <w:fldChar w:fldCharType="begin"/>
      </w:r>
      <w:r w:rsidR="00014750">
        <w:instrText xml:space="preserve"> ADDIN EN.CITE &lt;EndNote&gt;&lt;Cite&gt;&lt;Author&gt;Pascoe&lt;/Author&gt;&lt;Year&gt;2015&lt;/Year&gt;&lt;RecNum&gt;86&lt;/RecNum&gt;&lt;DisplayText&gt;(24)&lt;/DisplayText&gt;&lt;record&gt;&lt;rec-number&gt;86&lt;/rec-number&gt;&lt;foreign-keys&gt;&lt;key app="EN" db-id="5razretsn59atee0dznxe5pfazpsd9sva20f" timestamp="1662453953"&gt;86&lt;/key&gt;&lt;/foreign-keys&gt;&lt;ref-type name="Journal Article"&gt;17&lt;/ref-type&gt;&lt;contributors&gt;&lt;authors&gt;&lt;author&gt;Pascoe, S. J. S.&lt;/author&gt;&lt;author&gt;Langhaug, L. F.&lt;/author&gt;&lt;author&gt;Mavhu, W.&lt;/author&gt;&lt;author&gt;Hargreaves, J.&lt;/author&gt;&lt;author&gt;Jaffar, S.&lt;/author&gt;&lt;author&gt;Hayes, R.&lt;/author&gt;&lt;author&gt;Cowan, F. M.&lt;/author&gt;&lt;/authors&gt;&lt;/contributors&gt;&lt;auth-address&gt;London Sch Hyg &amp;amp; Trop Med, Fac Epidemiol &amp;amp; Populat Hlth, London WC1, England&amp;#xD;Royal Free &amp;amp; Univ Coll, Sch Med, Ctr Sexual Hlth &amp;amp; HIV Res, London, England&amp;#xD;Ctr Sexual Hlth &amp;amp; HIV AIDS Res CeSHHAR Zimbabw, Harare, Zimbabwe&lt;/auth-address&gt;&lt;titles&gt;&lt;title&gt;Poverty, Food Insufficiency and HIV Infection and Sexual Behaviour among Young Rural Zimbabwean Women&lt;/title&gt;&lt;secondary-title&gt;Plos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One&lt;/abbr-1&gt;&lt;/alt-periodical&gt;&lt;volume&gt;10&lt;/volume&gt;&lt;number&gt;1&lt;/number&gt;&lt;keywords&gt;&lt;keyword&gt;intimate-partner violence&lt;/keyword&gt;&lt;keyword&gt;common mental-disorders&lt;/keyword&gt;&lt;keyword&gt;dzive shiri project&lt;/keyword&gt;&lt;keyword&gt;risk-factors&lt;/keyword&gt;&lt;keyword&gt;prevention intervention&lt;/keyword&gt;&lt;keyword&gt;educational-attainment&lt;/keyword&gt;&lt;keyword&gt;south-africa&lt;/keyword&gt;&lt;keyword&gt;4 cities&lt;/keyword&gt;&lt;keyword&gt;population&lt;/keyword&gt;&lt;keyword&gt;association&lt;/keyword&gt;&lt;/keywords&gt;&lt;dates&gt;&lt;year&gt;2015&lt;/year&gt;&lt;pub-dates&gt;&lt;date&gt;Jan 27&lt;/date&gt;&lt;/pub-dates&gt;&lt;/dates&gt;&lt;isbn&gt;1932-6203&lt;/isbn&gt;&lt;accession-num&gt;WOS:000348821400007&lt;/accession-num&gt;&lt;urls&gt;&lt;related-urls&gt;&lt;url&gt;&amp;lt;Go to ISI&amp;gt;://WOS:000348821400007&lt;/url&gt;&lt;/related-urls&gt;&lt;/urls&gt;&lt;electronic-resource-num&gt;ARTN e0115290&amp;#xD;10.1371/journal.pone.0115290&lt;/electronic-resource-num&gt;&lt;language&gt;English&lt;/language&gt;&lt;/record&gt;&lt;/Cite&gt;&lt;/EndNote&gt;</w:instrText>
      </w:r>
      <w:r w:rsidRPr="00F539C0">
        <w:fldChar w:fldCharType="separate"/>
      </w:r>
      <w:r w:rsidR="00014750">
        <w:rPr>
          <w:noProof/>
        </w:rPr>
        <w:t>(24)</w:t>
      </w:r>
      <w:r w:rsidRPr="00F539C0">
        <w:fldChar w:fldCharType="end"/>
      </w:r>
      <w:r w:rsidRPr="00F539C0">
        <w:t xml:space="preserve">. We found similar results for transactional </w:t>
      </w:r>
      <w:proofErr w:type="gramStart"/>
      <w:r w:rsidRPr="00F539C0">
        <w:t>sex, but</w:t>
      </w:r>
      <w:proofErr w:type="gramEnd"/>
      <w:r w:rsidRPr="00F539C0">
        <w:t xml:space="preserve"> found that higher wealth was associated with increased intergenerational sex, perhaps due to the different setting. A study among women in Kenya found that the odds of transactional sex and unprotected casual sex were higher in the lowest wealth quintile compared to some, but not all, other quintiles</w:t>
      </w:r>
      <w:r w:rsidRPr="00F539C0">
        <w:fldChar w:fldCharType="begin">
          <w:fldData xml:space="preserve">PEVuZE5vdGU+PENpdGU+PEF1dGhvcj5NdWNob21iYTwvQXV0aG9yPjxZZWFyPjIwMTQ8L1llYXI+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</w:fldData>
        </w:fldChar>
      </w:r>
      <w:r w:rsidR="00014750">
        <w:instrText xml:space="preserve"> ADDIN EN.CITE </w:instrText>
      </w:r>
      <w:r w:rsidR="00014750">
        <w:fldChar w:fldCharType="begin">
          <w:fldData xml:space="preserve">PEVuZE5vdGU+PENpdGU+PEF1dGhvcj5NdWNob21iYTwvQXV0aG9yPjxZZWFyPjIwMTQ8L1llYXI+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</w:fldData>
        </w:fldChar>
      </w:r>
      <w:r w:rsidR="00014750">
        <w:instrText xml:space="preserve"> ADDIN EN.CITE.DATA </w:instrText>
      </w:r>
      <w:r w:rsidR="00014750">
        <w:fldChar w:fldCharType="end"/>
      </w:r>
      <w:r w:rsidRPr="00F539C0">
        <w:fldChar w:fldCharType="separate"/>
      </w:r>
      <w:r w:rsidR="00014750">
        <w:rPr>
          <w:noProof/>
        </w:rPr>
        <w:t>(25)</w:t>
      </w:r>
      <w:r w:rsidRPr="00F539C0">
        <w:fldChar w:fldCharType="end"/>
      </w:r>
      <w:r>
        <w:t>. This is</w:t>
      </w:r>
      <w:r w:rsidRPr="00F539C0">
        <w:t xml:space="preserve"> potentially due to losing statistical power by treating wealth as a categorical rather than continuous variable</w:t>
      </w:r>
      <w:r w:rsidRPr="00F539C0">
        <w:fldChar w:fldCharType="begin"/>
      </w:r>
      <w:r w:rsidR="00014750">
        <w:instrText xml:space="preserve"> ADDIN EN.CITE &lt;EndNote&gt;&lt;Cite&gt;&lt;Author&gt;Muchomba&lt;/Author&gt;&lt;Year&gt;2014&lt;/Year&gt;&lt;RecNum&gt;87&lt;/RecNum&gt;&lt;DisplayText&gt;(25)&lt;/DisplayText&gt;&lt;record&gt;&lt;rec-number&gt;87&lt;/rec-number&gt;&lt;foreign-keys&gt;&lt;key app="EN" db-id="5razretsn59atee0dznxe5pfazpsd9sva20f" timestamp="1662454227"&gt;87&lt;/key&gt;&lt;/foreign-keys&gt;&lt;ref-type name="Journal Article"&gt;17&lt;/ref-type&gt;&lt;contributors&gt;&lt;authors&gt;&lt;author&gt;Muchomba, F. M.&lt;/author&gt;&lt;author&gt;Wang, J. S. H.&lt;/author&gt;&lt;author&gt;Agosta, L. M.&lt;/author&gt;&lt;/authors&gt;&lt;/contributors&gt;&lt;auth-address&gt;Columbia Univ, Sch Social Work, New York, NY 10027 USA&amp;#xD;Columbia Univ, Sch Int &amp;amp; Publ Affairs, New York, NY 10027 USA&lt;/auth-address&gt;&lt;titles&gt;&lt;title&gt;Women&amp;apos;s land ownership and risk of HIV infection in Kenya&lt;/title&gt;&lt;secondary-title&gt;Social Science &amp;amp; Medicine&lt;/secondary-title&gt;&lt;alt-title&gt;Soc Sci Med&lt;/alt-title&gt;&lt;/titles&gt;&lt;periodical&gt;&lt;full-title&gt;Social Science &amp;amp; Medicine&lt;/full-title&gt;&lt;abbr-1&gt;Soc Sci Med&lt;/abbr-1&gt;&lt;/periodical&gt;&lt;alt-periodical&gt;&lt;full-title&gt;Social Science &amp;amp; Medicine&lt;/full-title&gt;&lt;abbr-1&gt;Soc Sci Med&lt;/abbr-1&gt;&lt;/alt-periodical&gt;&lt;pages&gt;97-102&lt;/pages&gt;&lt;volume&gt;114&lt;/volume&gt;&lt;keywords&gt;&lt;keyword&gt;kenya&lt;/keyword&gt;&lt;keyword&gt;hiv&lt;/keyword&gt;&lt;keyword&gt;risk behavior&lt;/keyword&gt;&lt;keyword&gt;women&lt;/keyword&gt;&lt;keyword&gt;land ownership&lt;/keyword&gt;&lt;keyword&gt;poverty&lt;/keyword&gt;&lt;keyword&gt;socioeconomic-status&lt;/keyword&gt;&lt;keyword&gt;allocation&lt;/keyword&gt;&lt;keyword&gt;resources&lt;/keyword&gt;&lt;keyword&gt;gender&lt;/keyword&gt;&lt;keyword&gt;rights&lt;/keyword&gt;&lt;keyword&gt;empowerment&lt;/keyword&gt;&lt;keyword&gt;prevention&lt;/keyword&gt;&lt;keyword&gt;hiv/aids&lt;/keyword&gt;&lt;keyword&gt;poverty&lt;/keyword&gt;&lt;keyword&gt;africa&lt;/keyword&gt;&lt;/keywords&gt;&lt;dates&gt;&lt;year&gt;2014&lt;/year&gt;&lt;pub-dates&gt;&lt;date&gt;Aug&lt;/date&gt;&lt;/pub-dates&gt;&lt;/dates&gt;&lt;isbn&gt;0277-9536&lt;/isbn&gt;&lt;accession-num&gt;WOS:000339131500012&lt;/accession-num&gt;&lt;urls&gt;&lt;related-urls&gt;&lt;url&gt;&amp;lt;Go to ISI&amp;gt;://WOS:000339131500012&lt;/url&gt;&lt;/related-urls&gt;&lt;/urls&gt;&lt;electronic-resource-num&gt;10.1016/j.socscimed.2014.05.055&lt;/electronic-resource-num&gt;&lt;language&gt;English&lt;/language&gt;&lt;/record&gt;&lt;/Cite&gt;&lt;/EndNote&gt;</w:instrText>
      </w:r>
      <w:r w:rsidRPr="00F539C0">
        <w:fldChar w:fldCharType="separate"/>
      </w:r>
      <w:r w:rsidR="00014750">
        <w:rPr>
          <w:noProof/>
        </w:rPr>
        <w:t>(25)</w:t>
      </w:r>
      <w:r w:rsidRPr="00F539C0">
        <w:fldChar w:fldCharType="end"/>
      </w:r>
      <w:r w:rsidRPr="00F539C0">
        <w:t>. Meanwhile, various studies have found that food insecurity is associated with increased risky sexual behaviours</w:t>
      </w:r>
      <w:r w:rsidRPr="00287C24">
        <w:t xml:space="preserve"> in SSA</w:t>
      </w:r>
      <w:r w:rsidRPr="00F539C0">
        <w:fldChar w:fldCharType="begin">
          <w:fldData xml:space="preserve">PEVuZE5vdGU+PENpdGU+PEF1dGhvcj5NaWxsZXI8L0F1dGhvcj48WWVhcj4yMDExPC9ZZWFyPjxS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</w:fldData>
        </w:fldChar>
      </w:r>
      <w:r w:rsidR="00014750">
        <w:instrText xml:space="preserve"> ADDIN EN.CITE </w:instrText>
      </w:r>
      <w:r w:rsidR="00014750">
        <w:fldChar w:fldCharType="begin">
          <w:fldData xml:space="preserve">PEVuZE5vdGU+PENpdGU+PEF1dGhvcj5NaWxsZXI8L0F1dGhvcj48WWVhcj4yMDExPC9ZZWFyPjxS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</w:fldData>
        </w:fldChar>
      </w:r>
      <w:r w:rsidR="00014750">
        <w:instrText xml:space="preserve"> ADDIN EN.CITE.DATA </w:instrText>
      </w:r>
      <w:r w:rsidR="00014750">
        <w:fldChar w:fldCharType="end"/>
      </w:r>
      <w:r w:rsidRPr="00F539C0">
        <w:fldChar w:fldCharType="separate"/>
      </w:r>
      <w:r w:rsidR="00014750">
        <w:rPr>
          <w:noProof/>
        </w:rPr>
        <w:t>(1, 24, 26-28)</w:t>
      </w:r>
      <w:r w:rsidRPr="00F539C0">
        <w:fldChar w:fldCharType="end"/>
      </w:r>
      <w:r w:rsidRPr="00F539C0">
        <w:t xml:space="preserve">. </w:t>
      </w:r>
      <w:r>
        <w:t>A systematic review and meta-analysis found that transactional sex was associated with prevalent HIV infections</w:t>
      </w:r>
      <w:r>
        <w:fldChar w:fldCharType="begin">
          <w:fldData xml:space="preserve">PEVuZE5vdGU+PENpdGU+PEF1dGhvcj5XYW1veWk8L0F1dGhvcj48WWVhcj4yMDE2PC9ZZWFyPjxS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</w:fldData>
        </w:fldChar>
      </w:r>
      <w:r w:rsidR="00014750">
        <w:instrText xml:space="preserve"> ADDIN EN.CITE </w:instrText>
      </w:r>
      <w:r w:rsidR="00014750">
        <w:fldChar w:fldCharType="begin">
          <w:fldData xml:space="preserve">PEVuZE5vdGU+PENpdGU+PEF1dGhvcj5XYW1veWk8L0F1dGhvcj48WWVhcj4yMDE2PC9ZZWFyPjxS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</w:fldData>
        </w:fldChar>
      </w:r>
      <w:r w:rsidR="00014750">
        <w:instrText xml:space="preserve"> ADDIN EN.CITE.DATA </w:instrText>
      </w:r>
      <w:r w:rsidR="00014750">
        <w:fldChar w:fldCharType="end"/>
      </w:r>
      <w:r>
        <w:fldChar w:fldCharType="separate"/>
      </w:r>
      <w:r w:rsidR="00014750">
        <w:rPr>
          <w:noProof/>
        </w:rPr>
        <w:t>(29)</w:t>
      </w:r>
      <w:r>
        <w:fldChar w:fldCharType="end"/>
      </w:r>
      <w:r>
        <w:t>. Other research has found that intergenerational sex is predictive of prevalent HIV infection among young women</w:t>
      </w:r>
      <w:r>
        <w:fldChar w:fldCharType="begin"/>
      </w:r>
      <w:r w:rsidR="00014750">
        <w:instrText xml:space="preserve"> ADDIN EN.CITE &lt;EndNote&gt;&lt;Cite&gt;&lt;Author&gt;Bajunirwe&lt;/Author&gt;&lt;Year&gt;2020&lt;/Year&gt;&lt;RecNum&gt;90&lt;/RecNum&gt;&lt;DisplayText&gt;(30)&lt;/DisplayText&gt;&lt;record&gt;&lt;rec-number&gt;90&lt;/rec-number&gt;&lt;foreign-keys&gt;&lt;key app="EN" db-id="5razretsn59atee0dznxe5pfazpsd9sva20f" timestamp="1662454645"&gt;90&lt;/key&gt;&lt;/foreign-keys&gt;&lt;ref-type name="Journal Article"&gt;17&lt;/ref-type&gt;&lt;contributors&gt;&lt;authors&gt;&lt;author&gt;Bajunirwe, F.&lt;/author&gt;&lt;author&gt;Semakula, D.&lt;/author&gt;&lt;author&gt;Izudi, J.&lt;/author&gt;&lt;/authors&gt;&lt;/contributors&gt;&lt;auth-address&gt;Mbarara Univ Sci &amp;amp; Technol, Dept Community Hlth, Fac Med, POB 1410, Mbarara, Uganda&lt;/auth-address&gt;&lt;titles&gt;&lt;title&gt;Risk of HIV infection among adolescent girls and young women in age-disparate relationships in sub-Saharan Africa&lt;/title&gt;&lt;secondary-title&gt;Aids&lt;/secondary-title&gt;&lt;alt-title&gt;Aids&lt;/alt-title&gt;&lt;/titles&gt;&lt;periodical&gt;&lt;full-title&gt;Aids&lt;/full-title&gt;&lt;abbr-1&gt;Aids&lt;/abbr-1&gt;&lt;/periodical&gt;&lt;alt-periodical&gt;&lt;full-title&gt;Aids&lt;/full-title&gt;&lt;abbr-1&gt;Aids&lt;/abbr-1&gt;&lt;/alt-periodical&gt;&lt;pages&gt;1539-1548&lt;/pages&gt;&lt;volume&gt;34&lt;/volume&gt;&lt;number&gt;10&lt;/number&gt;&lt;keywords&gt;&lt;keyword&gt;age-disparate relationship&lt;/keyword&gt;&lt;keyword&gt;hiv infection&lt;/keyword&gt;&lt;keyword&gt;sub-saharan africa&lt;/keyword&gt;&lt;keyword&gt;unprotected sex&lt;/keyword&gt;&lt;keyword&gt;human-immunodeficiency-virus&lt;/keyword&gt;&lt;keyword&gt;south-africa&lt;/keyword&gt;&lt;keyword&gt;publication bias&lt;/keyword&gt;&lt;keyword&gt;prevalence&lt;/keyword&gt;&lt;keyword&gt;partnerships&lt;/keyword&gt;&lt;keyword&gt;sex&lt;/keyword&gt;&lt;keyword&gt;metaanalysis&lt;/keyword&gt;&lt;keyword&gt;association&lt;/keyword&gt;&lt;keyword&gt;population&lt;/keyword&gt;&lt;keyword&gt;school&lt;/keyword&gt;&lt;/keywords&gt;&lt;dates&gt;&lt;year&gt;2020&lt;/year&gt;&lt;pub-dates&gt;&lt;date&gt;Aug 1&lt;/date&gt;&lt;/pub-dates&gt;&lt;/dates&gt;&lt;isbn&gt;0269-9370&lt;/isbn&gt;&lt;accession-num&gt;WOS:000561277800012&lt;/accession-num&gt;&lt;urls&gt;&lt;related-urls&gt;&lt;url&gt;&amp;lt;Go to ISI&amp;gt;://WOS:000561277800012&lt;/url&gt;&lt;/related-urls&gt;&lt;/urls&gt;&lt;electronic-resource-num&gt;10.1097/Qad.0000000000002582&lt;/electronic-resource-num&gt;&lt;language&gt;English&lt;/language&gt;&lt;/record&gt;&lt;/Cite&gt;&lt;/EndNote&gt;</w:instrText>
      </w:r>
      <w:r>
        <w:fldChar w:fldCharType="separate"/>
      </w:r>
      <w:r w:rsidR="00014750">
        <w:rPr>
          <w:noProof/>
        </w:rPr>
        <w:t>(30)</w:t>
      </w:r>
      <w:r>
        <w:fldChar w:fldCharType="end"/>
      </w:r>
      <w:r>
        <w:t>, and that, for young women, older partner age is associated with increased odds of recent HIV infection</w:t>
      </w:r>
      <w:r>
        <w:fldChar w:fldCharType="begin">
          <w:fldData xml:space="preserve">PEVuZE5vdGU+PENpdGU+PEF1dGhvcj5BeXRvbjwvQXV0aG9yPjxZZWFyPjIwMjI8L1llYXI+PFJl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</w:fldData>
        </w:fldChar>
      </w:r>
      <w:r w:rsidR="00014750">
        <w:instrText xml:space="preserve"> ADDIN EN.CITE </w:instrText>
      </w:r>
      <w:r w:rsidR="00014750">
        <w:fldChar w:fldCharType="begin">
          <w:fldData xml:space="preserve">PEVuZE5vdGU+PENpdGU+PEF1dGhvcj5BeXRvbjwvQXV0aG9yPjxZZWFyPjIwMjI8L1llYXI+PFJl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</w:fldData>
        </w:fldChar>
      </w:r>
      <w:r w:rsidR="00014750">
        <w:instrText xml:space="preserve"> ADDIN EN.CITE.DATA </w:instrText>
      </w:r>
      <w:r w:rsidR="00014750">
        <w:fldChar w:fldCharType="end"/>
      </w:r>
      <w:r>
        <w:fldChar w:fldCharType="separate"/>
      </w:r>
      <w:r w:rsidR="00014750">
        <w:rPr>
          <w:noProof/>
        </w:rPr>
        <w:t>(31)</w:t>
      </w:r>
      <w:r>
        <w:fldChar w:fldCharType="end"/>
      </w:r>
      <w:r>
        <w:t xml:space="preserve">. </w:t>
      </w:r>
    </w:p>
    <w:p w14:paraId="3788627C" w14:textId="77777777" w:rsidR="007234AF" w:rsidRDefault="007234AF">
      <w:pPr>
        <w:rPr>
          <w:b/>
          <w:bCs/>
        </w:rPr>
      </w:pPr>
      <w:r>
        <w:rPr>
          <w:b/>
          <w:bCs/>
        </w:rPr>
        <w:br w:type="page"/>
      </w:r>
    </w:p>
    <w:p w14:paraId="1CBCEC1E" w14:textId="64E125C5" w:rsidR="003E1BC1" w:rsidRPr="000E3809" w:rsidRDefault="00412668" w:rsidP="008C1163">
      <w:r w:rsidRPr="00D43AA5">
        <w:rPr>
          <w:b/>
          <w:bCs/>
        </w:rPr>
        <w:lastRenderedPageBreak/>
        <w:t xml:space="preserve">Supplementary table </w:t>
      </w:r>
      <w:r w:rsidR="00946823">
        <w:rPr>
          <w:b/>
          <w:bCs/>
        </w:rPr>
        <w:t>12</w:t>
      </w:r>
      <w:r w:rsidRPr="00D43AA5">
        <w:rPr>
          <w:b/>
          <w:bCs/>
        </w:rPr>
        <w:t>:</w:t>
      </w:r>
      <w:r w:rsidRPr="00E31B0F">
        <w:t xml:space="preserve"> </w:t>
      </w:r>
      <w:proofErr w:type="spellStart"/>
      <w:r w:rsidR="00CF4857">
        <w:t>S</w:t>
      </w:r>
      <w:r w:rsidR="00600E57">
        <w:t>T</w:t>
      </w:r>
      <w:r w:rsidR="00CF4857">
        <w:t>rengthening</w:t>
      </w:r>
      <w:proofErr w:type="spellEnd"/>
      <w:r w:rsidR="00CF4857">
        <w:t xml:space="preserve"> the </w:t>
      </w:r>
      <w:r w:rsidR="00600E57">
        <w:t>R</w:t>
      </w:r>
      <w:r w:rsidR="00CF4857">
        <w:t xml:space="preserve">eporting of </w:t>
      </w:r>
      <w:proofErr w:type="spellStart"/>
      <w:r w:rsidR="00600E57">
        <w:t>OB</w:t>
      </w:r>
      <w:r w:rsidR="00CF4857">
        <w:t>servational</w:t>
      </w:r>
      <w:proofErr w:type="spellEnd"/>
      <w:r w:rsidR="00CF4857">
        <w:t xml:space="preserve"> studies in </w:t>
      </w:r>
      <w:r w:rsidR="00600E57">
        <w:t>Epidemiology</w:t>
      </w:r>
      <w:r w:rsidR="00CF4857">
        <w:t xml:space="preserve"> </w:t>
      </w:r>
      <w:r w:rsidR="00600E57">
        <w:t>(</w:t>
      </w:r>
      <w:r w:rsidR="003E1BC1" w:rsidRPr="00412668">
        <w:t>STROBE</w:t>
      </w:r>
      <w:r w:rsidR="00600E57">
        <w:t>)</w:t>
      </w:r>
      <w:r w:rsidR="003E1BC1" w:rsidRPr="00412668">
        <w:t xml:space="preserve"> </w:t>
      </w:r>
      <w:r w:rsidRPr="00412668">
        <w:t>checklist</w:t>
      </w:r>
      <w:r w:rsidR="00600E57">
        <w:t>.</w:t>
      </w:r>
    </w:p>
    <w:tbl>
      <w:tblPr>
        <w:tblW w:w="9498" w:type="dxa"/>
        <w:tblBorders>
          <w:insideH w:val="single" w:sz="4" w:space="0" w:color="auto"/>
        </w:tblBorders>
        <w:tblLook w:val="04A0" w:firstRow="1" w:lastRow="0" w:firstColumn="1" w:lastColumn="0" w:noHBand="0" w:noVBand="1"/>
      </w:tblPr>
      <w:tblGrid>
        <w:gridCol w:w="1989"/>
        <w:gridCol w:w="850"/>
        <w:gridCol w:w="3965"/>
        <w:gridCol w:w="2694"/>
      </w:tblGrid>
      <w:tr w:rsidR="00C01840" w14:paraId="516FB89B" w14:textId="77777777" w:rsidTr="00C01840">
        <w:tc>
          <w:tcPr>
            <w:tcW w:w="1989" w:type="dxa"/>
            <w:tcBorders>
              <w:top w:val="nil"/>
              <w:left w:val="nil"/>
              <w:bottom w:val="single" w:sz="4" w:space="0" w:color="auto"/>
              <w:right w:val="nil"/>
            </w:tcBorders>
          </w:tcPr>
          <w:p w14:paraId="3B3982BB" w14:textId="77777777" w:rsidR="002B7433" w:rsidRDefault="002B7433">
            <w:pPr>
              <w:tabs>
                <w:tab w:val="left" w:pos="5400"/>
              </w:tabs>
              <w:rPr>
                <w:sz w:val="20"/>
              </w:rPr>
            </w:pPr>
            <w:bookmarkStart w:id="0" w:name="italic4" w:colFirst="2" w:colLast="2"/>
            <w:bookmarkStart w:id="1" w:name="bold3" w:colFirst="2" w:colLast="2"/>
            <w:bookmarkStart w:id="2" w:name="italic3" w:colFirst="2" w:colLast="2"/>
            <w:bookmarkStart w:id="3" w:name="bold2" w:colFirst="2" w:colLast="2"/>
            <w:bookmarkStart w:id="4" w:name="bold1" w:colFirst="1" w:colLast="1"/>
            <w:bookmarkStart w:id="5" w:name="italic2" w:colFirst="1" w:colLast="1"/>
            <w:bookmarkStart w:id="6" w:name="italic1" w:colFirst="0" w:colLast="0"/>
          </w:p>
        </w:tc>
        <w:tc>
          <w:tcPr>
            <w:tcW w:w="850" w:type="dxa"/>
            <w:tcBorders>
              <w:top w:val="nil"/>
              <w:left w:val="nil"/>
              <w:bottom w:val="single" w:sz="4" w:space="0" w:color="auto"/>
              <w:right w:val="nil"/>
            </w:tcBorders>
            <w:hideMark/>
          </w:tcPr>
          <w:p w14:paraId="285911FB" w14:textId="77777777" w:rsidR="002B7433" w:rsidRDefault="002B7433">
            <w:pPr>
              <w:pStyle w:val="TableHeader"/>
              <w:tabs>
                <w:tab w:val="left" w:pos="5400"/>
              </w:tabs>
              <w:jc w:val="center"/>
              <w:rPr>
                <w:bCs/>
                <w:sz w:val="20"/>
              </w:rPr>
            </w:pPr>
            <w:r>
              <w:rPr>
                <w:bCs/>
                <w:sz w:val="20"/>
              </w:rPr>
              <w:t>Item No</w:t>
            </w:r>
          </w:p>
        </w:tc>
        <w:tc>
          <w:tcPr>
            <w:tcW w:w="3965" w:type="dxa"/>
            <w:tcBorders>
              <w:top w:val="nil"/>
              <w:left w:val="nil"/>
              <w:bottom w:val="single" w:sz="4" w:space="0" w:color="auto"/>
              <w:right w:val="nil"/>
            </w:tcBorders>
            <w:vAlign w:val="bottom"/>
            <w:hideMark/>
          </w:tcPr>
          <w:p w14:paraId="7C13A00C" w14:textId="77777777" w:rsidR="002B7433" w:rsidRDefault="002B7433">
            <w:pPr>
              <w:pStyle w:val="TableHeader"/>
              <w:tabs>
                <w:tab w:val="left" w:pos="5400"/>
              </w:tabs>
              <w:jc w:val="center"/>
              <w:rPr>
                <w:bCs/>
                <w:sz w:val="20"/>
              </w:rPr>
            </w:pPr>
            <w:r>
              <w:rPr>
                <w:bCs/>
                <w:sz w:val="20"/>
              </w:rPr>
              <w:t>Recommendation</w:t>
            </w:r>
          </w:p>
        </w:tc>
        <w:tc>
          <w:tcPr>
            <w:tcW w:w="2694" w:type="dxa"/>
            <w:tcBorders>
              <w:top w:val="nil"/>
              <w:left w:val="nil"/>
              <w:bottom w:val="single" w:sz="4" w:space="0" w:color="auto"/>
              <w:right w:val="nil"/>
            </w:tcBorders>
          </w:tcPr>
          <w:p w14:paraId="6215BB67" w14:textId="529FAADD" w:rsidR="002B7433" w:rsidRDefault="00412668">
            <w:pPr>
              <w:pStyle w:val="TableHeader"/>
              <w:tabs>
                <w:tab w:val="left" w:pos="5400"/>
              </w:tabs>
              <w:jc w:val="center"/>
              <w:rPr>
                <w:bCs/>
                <w:sz w:val="20"/>
              </w:rPr>
            </w:pPr>
            <w:r>
              <w:rPr>
                <w:bCs/>
                <w:sz w:val="20"/>
              </w:rPr>
              <w:t>Page</w:t>
            </w:r>
          </w:p>
        </w:tc>
      </w:tr>
      <w:tr w:rsidR="00C01840" w14:paraId="287A7CE4" w14:textId="77777777" w:rsidTr="00C01840">
        <w:tc>
          <w:tcPr>
            <w:tcW w:w="1989" w:type="dxa"/>
            <w:vMerge w:val="restart"/>
            <w:tcBorders>
              <w:top w:val="single" w:sz="4" w:space="0" w:color="auto"/>
              <w:left w:val="nil"/>
              <w:bottom w:val="single" w:sz="4" w:space="0" w:color="auto"/>
              <w:right w:val="nil"/>
            </w:tcBorders>
            <w:hideMark/>
          </w:tcPr>
          <w:p w14:paraId="6B3ED774" w14:textId="4744554A" w:rsidR="002B7433" w:rsidRDefault="002B7433">
            <w:pPr>
              <w:tabs>
                <w:tab w:val="left" w:pos="5400"/>
              </w:tabs>
              <w:rPr>
                <w:b/>
                <w:bCs/>
                <w:sz w:val="20"/>
              </w:rPr>
            </w:pPr>
            <w:bookmarkStart w:id="7" w:name="italic6"/>
            <w:bookmarkStart w:id="8" w:name="bold5"/>
            <w:bookmarkEnd w:id="0"/>
            <w:bookmarkEnd w:id="1"/>
            <w:bookmarkEnd w:id="2"/>
            <w:bookmarkEnd w:id="3"/>
            <w:bookmarkEnd w:id="4"/>
            <w:bookmarkEnd w:id="5"/>
            <w:bookmarkEnd w:id="6"/>
            <w:r>
              <w:rPr>
                <w:b/>
                <w:sz w:val="20"/>
              </w:rPr>
              <w:t>Title and abstract</w:t>
            </w:r>
            <w:bookmarkEnd w:id="7"/>
            <w:bookmarkEnd w:id="8"/>
          </w:p>
        </w:tc>
        <w:tc>
          <w:tcPr>
            <w:tcW w:w="850" w:type="dxa"/>
            <w:vMerge w:val="restart"/>
            <w:tcBorders>
              <w:top w:val="single" w:sz="4" w:space="0" w:color="auto"/>
              <w:left w:val="nil"/>
              <w:bottom w:val="single" w:sz="4" w:space="0" w:color="auto"/>
              <w:right w:val="nil"/>
            </w:tcBorders>
            <w:hideMark/>
          </w:tcPr>
          <w:p w14:paraId="64DC64D7" w14:textId="77777777" w:rsidR="002B7433" w:rsidRDefault="002B7433">
            <w:pPr>
              <w:tabs>
                <w:tab w:val="left" w:pos="5400"/>
              </w:tabs>
              <w:jc w:val="center"/>
              <w:rPr>
                <w:sz w:val="20"/>
              </w:rPr>
            </w:pPr>
            <w:r>
              <w:rPr>
                <w:sz w:val="20"/>
              </w:rPr>
              <w:t>1</w:t>
            </w:r>
          </w:p>
        </w:tc>
        <w:tc>
          <w:tcPr>
            <w:tcW w:w="3965" w:type="dxa"/>
            <w:tcBorders>
              <w:top w:val="single" w:sz="4" w:space="0" w:color="auto"/>
              <w:left w:val="nil"/>
              <w:bottom w:val="single" w:sz="4" w:space="0" w:color="auto"/>
              <w:right w:val="nil"/>
            </w:tcBorders>
            <w:hideMark/>
          </w:tcPr>
          <w:p w14:paraId="761574ED" w14:textId="77777777" w:rsidR="002B7433" w:rsidRDefault="002B7433">
            <w:pPr>
              <w:tabs>
                <w:tab w:val="left" w:pos="5400"/>
              </w:tabs>
              <w:rPr>
                <w:sz w:val="20"/>
              </w:rPr>
            </w:pPr>
            <w:r>
              <w:rPr>
                <w:sz w:val="20"/>
              </w:rPr>
              <w:t>(</w:t>
            </w:r>
            <w:r>
              <w:rPr>
                <w:i/>
                <w:sz w:val="20"/>
              </w:rPr>
              <w:t>a</w:t>
            </w:r>
            <w:r>
              <w:rPr>
                <w:sz w:val="20"/>
              </w:rPr>
              <w:t>) Indicate the study’s design with a commonly used term in the title or the abstract</w:t>
            </w:r>
          </w:p>
        </w:tc>
        <w:tc>
          <w:tcPr>
            <w:tcW w:w="2694" w:type="dxa"/>
            <w:tcBorders>
              <w:top w:val="single" w:sz="4" w:space="0" w:color="auto"/>
              <w:left w:val="nil"/>
              <w:bottom w:val="single" w:sz="4" w:space="0" w:color="auto"/>
              <w:right w:val="nil"/>
            </w:tcBorders>
          </w:tcPr>
          <w:p w14:paraId="600FEF3F" w14:textId="2B1B74FD" w:rsidR="002B7433" w:rsidRDefault="001D0442">
            <w:pPr>
              <w:tabs>
                <w:tab w:val="left" w:pos="5400"/>
              </w:tabs>
              <w:rPr>
                <w:sz w:val="20"/>
              </w:rPr>
            </w:pPr>
            <w:r>
              <w:rPr>
                <w:sz w:val="20"/>
              </w:rPr>
              <w:t>1</w:t>
            </w:r>
            <w:r w:rsidR="009C2A92">
              <w:rPr>
                <w:sz w:val="20"/>
              </w:rPr>
              <w:t xml:space="preserve"> (title)</w:t>
            </w:r>
          </w:p>
        </w:tc>
      </w:tr>
      <w:tr w:rsidR="00C01840" w14:paraId="016F9293" w14:textId="77777777" w:rsidTr="00C01840">
        <w:tc>
          <w:tcPr>
            <w:tcW w:w="1989" w:type="dxa"/>
            <w:vMerge/>
            <w:tcBorders>
              <w:top w:val="single" w:sz="4" w:space="0" w:color="auto"/>
              <w:left w:val="nil"/>
              <w:bottom w:val="single" w:sz="4" w:space="0" w:color="auto"/>
              <w:right w:val="nil"/>
            </w:tcBorders>
            <w:vAlign w:val="center"/>
            <w:hideMark/>
          </w:tcPr>
          <w:p w14:paraId="4975FC2A" w14:textId="77777777" w:rsidR="002B7433" w:rsidRDefault="002B7433">
            <w:pPr>
              <w:spacing w:line="240" w:lineRule="auto"/>
              <w:rPr>
                <w:b/>
                <w:bCs/>
                <w:sz w:val="20"/>
              </w:rPr>
            </w:pPr>
          </w:p>
        </w:tc>
        <w:tc>
          <w:tcPr>
            <w:tcW w:w="850" w:type="dxa"/>
            <w:vMerge/>
            <w:tcBorders>
              <w:top w:val="single" w:sz="4" w:space="0" w:color="auto"/>
              <w:left w:val="nil"/>
              <w:bottom w:val="single" w:sz="4" w:space="0" w:color="auto"/>
              <w:right w:val="nil"/>
            </w:tcBorders>
            <w:vAlign w:val="center"/>
            <w:hideMark/>
          </w:tcPr>
          <w:p w14:paraId="4E57B19F" w14:textId="77777777" w:rsidR="002B7433" w:rsidRDefault="002B7433">
            <w:pPr>
              <w:spacing w:line="240" w:lineRule="auto"/>
              <w:rPr>
                <w:sz w:val="20"/>
              </w:rPr>
            </w:pPr>
          </w:p>
        </w:tc>
        <w:tc>
          <w:tcPr>
            <w:tcW w:w="3965" w:type="dxa"/>
            <w:tcBorders>
              <w:top w:val="single" w:sz="4" w:space="0" w:color="auto"/>
              <w:left w:val="nil"/>
              <w:bottom w:val="single" w:sz="4" w:space="0" w:color="auto"/>
              <w:right w:val="nil"/>
            </w:tcBorders>
            <w:hideMark/>
          </w:tcPr>
          <w:p w14:paraId="1545FCDA" w14:textId="77777777" w:rsidR="002B7433" w:rsidRDefault="002B7433">
            <w:pPr>
              <w:tabs>
                <w:tab w:val="left" w:pos="5400"/>
              </w:tabs>
              <w:rPr>
                <w:sz w:val="20"/>
              </w:rPr>
            </w:pPr>
            <w:bookmarkStart w:id="9" w:name="italic7"/>
            <w:bookmarkStart w:id="10" w:name="bold6"/>
            <w:bookmarkEnd w:id="9"/>
            <w:bookmarkEnd w:id="10"/>
            <w:r>
              <w:rPr>
                <w:sz w:val="20"/>
              </w:rPr>
              <w:t>(</w:t>
            </w:r>
            <w:r>
              <w:rPr>
                <w:i/>
                <w:sz w:val="20"/>
              </w:rPr>
              <w:t>b</w:t>
            </w:r>
            <w:r>
              <w:rPr>
                <w:sz w:val="20"/>
              </w:rPr>
              <w:t>) Provide in the abstract an informative and balanced summary of what was done and what was found</w:t>
            </w:r>
          </w:p>
        </w:tc>
        <w:tc>
          <w:tcPr>
            <w:tcW w:w="2694" w:type="dxa"/>
            <w:tcBorders>
              <w:top w:val="single" w:sz="4" w:space="0" w:color="auto"/>
              <w:left w:val="nil"/>
              <w:bottom w:val="single" w:sz="4" w:space="0" w:color="auto"/>
              <w:right w:val="nil"/>
            </w:tcBorders>
          </w:tcPr>
          <w:p w14:paraId="073DE2BE" w14:textId="4503DA7D" w:rsidR="002B7433" w:rsidRDefault="009C2A92">
            <w:pPr>
              <w:tabs>
                <w:tab w:val="left" w:pos="5400"/>
              </w:tabs>
              <w:rPr>
                <w:sz w:val="20"/>
              </w:rPr>
            </w:pPr>
            <w:r>
              <w:rPr>
                <w:sz w:val="20"/>
              </w:rPr>
              <w:t>2 (abstract)</w:t>
            </w:r>
          </w:p>
        </w:tc>
      </w:tr>
      <w:tr w:rsidR="002B7433" w14:paraId="1432D6B2" w14:textId="76FF4238" w:rsidTr="00D43AA5">
        <w:tc>
          <w:tcPr>
            <w:tcW w:w="6804" w:type="dxa"/>
            <w:gridSpan w:val="3"/>
            <w:tcBorders>
              <w:top w:val="single" w:sz="4" w:space="0" w:color="auto"/>
              <w:left w:val="nil"/>
              <w:bottom w:val="single" w:sz="4" w:space="0" w:color="auto"/>
              <w:right w:val="nil"/>
            </w:tcBorders>
            <w:hideMark/>
          </w:tcPr>
          <w:p w14:paraId="1AF06A83" w14:textId="589F21ED" w:rsidR="002B7433" w:rsidRDefault="002B7433">
            <w:pPr>
              <w:pStyle w:val="TableSubHead"/>
              <w:tabs>
                <w:tab w:val="left" w:pos="5400"/>
              </w:tabs>
              <w:rPr>
                <w:sz w:val="20"/>
              </w:rPr>
            </w:pPr>
            <w:bookmarkStart w:id="11" w:name="italic8"/>
            <w:bookmarkStart w:id="12" w:name="bold7"/>
            <w:r>
              <w:rPr>
                <w:sz w:val="20"/>
              </w:rPr>
              <w:t>Introduction</w:t>
            </w:r>
            <w:bookmarkEnd w:id="11"/>
            <w:bookmarkEnd w:id="12"/>
          </w:p>
        </w:tc>
        <w:tc>
          <w:tcPr>
            <w:tcW w:w="2694" w:type="dxa"/>
            <w:tcBorders>
              <w:top w:val="single" w:sz="4" w:space="0" w:color="auto"/>
              <w:left w:val="nil"/>
              <w:bottom w:val="single" w:sz="4" w:space="0" w:color="auto"/>
              <w:right w:val="nil"/>
            </w:tcBorders>
          </w:tcPr>
          <w:p w14:paraId="399C522F" w14:textId="77777777" w:rsidR="002B7433" w:rsidRDefault="002B7433">
            <w:pPr>
              <w:pStyle w:val="TableSubHead"/>
              <w:tabs>
                <w:tab w:val="left" w:pos="5400"/>
              </w:tabs>
              <w:rPr>
                <w:sz w:val="20"/>
              </w:rPr>
            </w:pPr>
          </w:p>
        </w:tc>
      </w:tr>
      <w:tr w:rsidR="00C01840" w14:paraId="119CD403" w14:textId="77777777" w:rsidTr="00C01840">
        <w:tc>
          <w:tcPr>
            <w:tcW w:w="1989" w:type="dxa"/>
            <w:tcBorders>
              <w:top w:val="single" w:sz="4" w:space="0" w:color="auto"/>
              <w:left w:val="nil"/>
              <w:bottom w:val="single" w:sz="4" w:space="0" w:color="auto"/>
              <w:right w:val="nil"/>
            </w:tcBorders>
            <w:hideMark/>
          </w:tcPr>
          <w:p w14:paraId="7D63197E" w14:textId="0A637C6E" w:rsidR="002B7433" w:rsidRDefault="002B7433">
            <w:pPr>
              <w:tabs>
                <w:tab w:val="left" w:pos="5400"/>
              </w:tabs>
              <w:rPr>
                <w:bCs/>
                <w:sz w:val="20"/>
              </w:rPr>
            </w:pPr>
            <w:bookmarkStart w:id="13" w:name="italic9"/>
            <w:bookmarkStart w:id="14" w:name="bold8"/>
            <w:r>
              <w:rPr>
                <w:bCs/>
                <w:sz w:val="20"/>
              </w:rPr>
              <w:t>Background/</w:t>
            </w:r>
            <w:bookmarkStart w:id="15" w:name="italic10"/>
            <w:bookmarkStart w:id="16" w:name="bold9"/>
            <w:bookmarkEnd w:id="13"/>
            <w:bookmarkEnd w:id="14"/>
            <w:r>
              <w:rPr>
                <w:bCs/>
                <w:sz w:val="20"/>
              </w:rPr>
              <w:t>rationale</w:t>
            </w:r>
            <w:bookmarkEnd w:id="15"/>
            <w:bookmarkEnd w:id="16"/>
          </w:p>
        </w:tc>
        <w:tc>
          <w:tcPr>
            <w:tcW w:w="850" w:type="dxa"/>
            <w:tcBorders>
              <w:top w:val="single" w:sz="4" w:space="0" w:color="auto"/>
              <w:left w:val="nil"/>
              <w:bottom w:val="single" w:sz="4" w:space="0" w:color="auto"/>
              <w:right w:val="nil"/>
            </w:tcBorders>
            <w:hideMark/>
          </w:tcPr>
          <w:p w14:paraId="5DD5E4C4" w14:textId="77777777" w:rsidR="002B7433" w:rsidRDefault="002B7433">
            <w:pPr>
              <w:tabs>
                <w:tab w:val="left" w:pos="5400"/>
              </w:tabs>
              <w:jc w:val="center"/>
              <w:rPr>
                <w:sz w:val="20"/>
              </w:rPr>
            </w:pPr>
            <w:r>
              <w:rPr>
                <w:sz w:val="20"/>
              </w:rPr>
              <w:t>2</w:t>
            </w:r>
          </w:p>
        </w:tc>
        <w:tc>
          <w:tcPr>
            <w:tcW w:w="3965" w:type="dxa"/>
            <w:tcBorders>
              <w:top w:val="single" w:sz="4" w:space="0" w:color="auto"/>
              <w:left w:val="nil"/>
              <w:bottom w:val="single" w:sz="4" w:space="0" w:color="auto"/>
              <w:right w:val="nil"/>
            </w:tcBorders>
            <w:hideMark/>
          </w:tcPr>
          <w:p w14:paraId="71B625EA" w14:textId="77777777" w:rsidR="002B7433" w:rsidRDefault="002B7433">
            <w:pPr>
              <w:tabs>
                <w:tab w:val="left" w:pos="5400"/>
              </w:tabs>
              <w:rPr>
                <w:sz w:val="20"/>
              </w:rPr>
            </w:pPr>
            <w:r>
              <w:rPr>
                <w:sz w:val="20"/>
              </w:rPr>
              <w:t>Explain the scientific background and rationale for the investigation being reported</w:t>
            </w:r>
          </w:p>
        </w:tc>
        <w:tc>
          <w:tcPr>
            <w:tcW w:w="2694" w:type="dxa"/>
            <w:tcBorders>
              <w:top w:val="single" w:sz="4" w:space="0" w:color="auto"/>
              <w:left w:val="nil"/>
              <w:bottom w:val="single" w:sz="4" w:space="0" w:color="auto"/>
              <w:right w:val="nil"/>
            </w:tcBorders>
          </w:tcPr>
          <w:p w14:paraId="0B75A385" w14:textId="7AB59F0C" w:rsidR="002B7433" w:rsidRDefault="00612D9D">
            <w:pPr>
              <w:tabs>
                <w:tab w:val="left" w:pos="5400"/>
              </w:tabs>
              <w:rPr>
                <w:sz w:val="20"/>
              </w:rPr>
            </w:pPr>
            <w:r>
              <w:rPr>
                <w:sz w:val="20"/>
              </w:rPr>
              <w:t>4</w:t>
            </w:r>
            <w:r w:rsidR="00D41337">
              <w:rPr>
                <w:sz w:val="20"/>
              </w:rPr>
              <w:t xml:space="preserve"> (paragraphs 1-3)</w:t>
            </w:r>
          </w:p>
        </w:tc>
      </w:tr>
      <w:tr w:rsidR="00C01840" w14:paraId="4329571C" w14:textId="77777777" w:rsidTr="00C01840">
        <w:tc>
          <w:tcPr>
            <w:tcW w:w="1989" w:type="dxa"/>
            <w:tcBorders>
              <w:top w:val="single" w:sz="4" w:space="0" w:color="auto"/>
              <w:left w:val="nil"/>
              <w:bottom w:val="single" w:sz="4" w:space="0" w:color="auto"/>
              <w:right w:val="nil"/>
            </w:tcBorders>
            <w:hideMark/>
          </w:tcPr>
          <w:p w14:paraId="7AEC3D5B" w14:textId="77777777" w:rsidR="002B7433" w:rsidRDefault="002B7433">
            <w:pPr>
              <w:tabs>
                <w:tab w:val="left" w:pos="5400"/>
              </w:tabs>
              <w:rPr>
                <w:bCs/>
                <w:sz w:val="20"/>
              </w:rPr>
            </w:pPr>
            <w:bookmarkStart w:id="17" w:name="italic11" w:colFirst="0" w:colLast="0"/>
            <w:bookmarkStart w:id="18" w:name="bold10" w:colFirst="0" w:colLast="0"/>
            <w:r>
              <w:rPr>
                <w:bCs/>
                <w:sz w:val="20"/>
              </w:rPr>
              <w:t>Objectives</w:t>
            </w:r>
          </w:p>
        </w:tc>
        <w:tc>
          <w:tcPr>
            <w:tcW w:w="850" w:type="dxa"/>
            <w:tcBorders>
              <w:top w:val="single" w:sz="4" w:space="0" w:color="auto"/>
              <w:left w:val="nil"/>
              <w:bottom w:val="single" w:sz="4" w:space="0" w:color="auto"/>
              <w:right w:val="nil"/>
            </w:tcBorders>
            <w:hideMark/>
          </w:tcPr>
          <w:p w14:paraId="53FAD7F3" w14:textId="77777777" w:rsidR="002B7433" w:rsidRDefault="002B7433">
            <w:pPr>
              <w:tabs>
                <w:tab w:val="left" w:pos="5400"/>
              </w:tabs>
              <w:jc w:val="center"/>
              <w:rPr>
                <w:sz w:val="20"/>
              </w:rPr>
            </w:pPr>
            <w:r>
              <w:rPr>
                <w:sz w:val="20"/>
              </w:rPr>
              <w:t>3</w:t>
            </w:r>
          </w:p>
        </w:tc>
        <w:tc>
          <w:tcPr>
            <w:tcW w:w="3965" w:type="dxa"/>
            <w:tcBorders>
              <w:top w:val="single" w:sz="4" w:space="0" w:color="auto"/>
              <w:left w:val="nil"/>
              <w:bottom w:val="single" w:sz="4" w:space="0" w:color="auto"/>
              <w:right w:val="nil"/>
            </w:tcBorders>
            <w:hideMark/>
          </w:tcPr>
          <w:p w14:paraId="593B63E9" w14:textId="77777777" w:rsidR="002B7433" w:rsidRDefault="002B7433">
            <w:pPr>
              <w:tabs>
                <w:tab w:val="left" w:pos="5400"/>
              </w:tabs>
              <w:rPr>
                <w:sz w:val="20"/>
              </w:rPr>
            </w:pPr>
            <w:r>
              <w:rPr>
                <w:sz w:val="20"/>
              </w:rPr>
              <w:t>State specific objectives, including any prespecified hypotheses</w:t>
            </w:r>
          </w:p>
        </w:tc>
        <w:tc>
          <w:tcPr>
            <w:tcW w:w="2694" w:type="dxa"/>
            <w:tcBorders>
              <w:top w:val="single" w:sz="4" w:space="0" w:color="auto"/>
              <w:left w:val="nil"/>
              <w:bottom w:val="single" w:sz="4" w:space="0" w:color="auto"/>
              <w:right w:val="nil"/>
            </w:tcBorders>
          </w:tcPr>
          <w:p w14:paraId="4E1397AD" w14:textId="2B26AFF5" w:rsidR="002B7433" w:rsidRDefault="00612D9D">
            <w:pPr>
              <w:tabs>
                <w:tab w:val="left" w:pos="5400"/>
              </w:tabs>
              <w:rPr>
                <w:sz w:val="20"/>
              </w:rPr>
            </w:pPr>
            <w:r>
              <w:rPr>
                <w:sz w:val="20"/>
              </w:rPr>
              <w:t>4</w:t>
            </w:r>
            <w:r w:rsidR="00D41337">
              <w:rPr>
                <w:sz w:val="20"/>
              </w:rPr>
              <w:t xml:space="preserve"> (paragraph 4)</w:t>
            </w:r>
          </w:p>
        </w:tc>
      </w:tr>
      <w:tr w:rsidR="002B7433" w14:paraId="1773942A" w14:textId="21202A40" w:rsidTr="00D43AA5">
        <w:tc>
          <w:tcPr>
            <w:tcW w:w="6804" w:type="dxa"/>
            <w:gridSpan w:val="3"/>
            <w:tcBorders>
              <w:top w:val="single" w:sz="4" w:space="0" w:color="auto"/>
              <w:left w:val="nil"/>
              <w:bottom w:val="single" w:sz="4" w:space="0" w:color="auto"/>
              <w:right w:val="nil"/>
            </w:tcBorders>
            <w:hideMark/>
          </w:tcPr>
          <w:p w14:paraId="59A7DA6E" w14:textId="6BD8632A" w:rsidR="002B7433" w:rsidRDefault="002B7433">
            <w:pPr>
              <w:pStyle w:val="TableSubHead"/>
              <w:tabs>
                <w:tab w:val="left" w:pos="5400"/>
              </w:tabs>
              <w:rPr>
                <w:sz w:val="20"/>
              </w:rPr>
            </w:pPr>
            <w:bookmarkStart w:id="19" w:name="italic12"/>
            <w:bookmarkStart w:id="20" w:name="bold11"/>
            <w:bookmarkEnd w:id="17"/>
            <w:bookmarkEnd w:id="18"/>
            <w:r>
              <w:rPr>
                <w:sz w:val="20"/>
              </w:rPr>
              <w:t>Methods</w:t>
            </w:r>
            <w:bookmarkEnd w:id="19"/>
            <w:bookmarkEnd w:id="20"/>
          </w:p>
        </w:tc>
        <w:tc>
          <w:tcPr>
            <w:tcW w:w="2694" w:type="dxa"/>
            <w:tcBorders>
              <w:top w:val="single" w:sz="4" w:space="0" w:color="auto"/>
              <w:left w:val="nil"/>
              <w:bottom w:val="single" w:sz="4" w:space="0" w:color="auto"/>
              <w:right w:val="nil"/>
            </w:tcBorders>
          </w:tcPr>
          <w:p w14:paraId="6A019FFB" w14:textId="77777777" w:rsidR="002B7433" w:rsidRDefault="002B7433">
            <w:pPr>
              <w:pStyle w:val="TableSubHead"/>
              <w:tabs>
                <w:tab w:val="left" w:pos="5400"/>
              </w:tabs>
              <w:rPr>
                <w:sz w:val="20"/>
              </w:rPr>
            </w:pPr>
          </w:p>
        </w:tc>
      </w:tr>
      <w:tr w:rsidR="00C01840" w14:paraId="6E50D24F" w14:textId="77777777" w:rsidTr="00C01840">
        <w:tc>
          <w:tcPr>
            <w:tcW w:w="1989" w:type="dxa"/>
            <w:tcBorders>
              <w:top w:val="single" w:sz="4" w:space="0" w:color="auto"/>
              <w:left w:val="nil"/>
              <w:bottom w:val="single" w:sz="4" w:space="0" w:color="auto"/>
              <w:right w:val="nil"/>
            </w:tcBorders>
            <w:hideMark/>
          </w:tcPr>
          <w:p w14:paraId="4807DFCE" w14:textId="77777777" w:rsidR="002B7433" w:rsidRDefault="002B7433">
            <w:pPr>
              <w:tabs>
                <w:tab w:val="left" w:pos="5400"/>
              </w:tabs>
              <w:rPr>
                <w:bCs/>
                <w:sz w:val="20"/>
              </w:rPr>
            </w:pPr>
            <w:bookmarkStart w:id="21" w:name="italic13" w:colFirst="0" w:colLast="0"/>
            <w:bookmarkStart w:id="22" w:name="bold12" w:colFirst="0" w:colLast="0"/>
            <w:r>
              <w:rPr>
                <w:bCs/>
                <w:sz w:val="20"/>
              </w:rPr>
              <w:t>Study design</w:t>
            </w:r>
          </w:p>
        </w:tc>
        <w:tc>
          <w:tcPr>
            <w:tcW w:w="850" w:type="dxa"/>
            <w:tcBorders>
              <w:top w:val="single" w:sz="4" w:space="0" w:color="auto"/>
              <w:left w:val="nil"/>
              <w:bottom w:val="single" w:sz="4" w:space="0" w:color="auto"/>
              <w:right w:val="nil"/>
            </w:tcBorders>
            <w:hideMark/>
          </w:tcPr>
          <w:p w14:paraId="7121C5CA" w14:textId="77777777" w:rsidR="002B7433" w:rsidRDefault="002B7433">
            <w:pPr>
              <w:tabs>
                <w:tab w:val="left" w:pos="5400"/>
              </w:tabs>
              <w:jc w:val="center"/>
              <w:rPr>
                <w:sz w:val="20"/>
              </w:rPr>
            </w:pPr>
            <w:r>
              <w:rPr>
                <w:sz w:val="20"/>
              </w:rPr>
              <w:t>4</w:t>
            </w:r>
          </w:p>
        </w:tc>
        <w:tc>
          <w:tcPr>
            <w:tcW w:w="3965" w:type="dxa"/>
            <w:tcBorders>
              <w:top w:val="single" w:sz="4" w:space="0" w:color="auto"/>
              <w:left w:val="nil"/>
              <w:bottom w:val="single" w:sz="4" w:space="0" w:color="auto"/>
              <w:right w:val="nil"/>
            </w:tcBorders>
            <w:hideMark/>
          </w:tcPr>
          <w:p w14:paraId="37ADBC10" w14:textId="77777777" w:rsidR="002B7433" w:rsidRDefault="002B7433">
            <w:pPr>
              <w:tabs>
                <w:tab w:val="left" w:pos="5400"/>
              </w:tabs>
              <w:rPr>
                <w:sz w:val="20"/>
              </w:rPr>
            </w:pPr>
            <w:r>
              <w:rPr>
                <w:sz w:val="20"/>
              </w:rPr>
              <w:t>Present key elements of study design early in the paper</w:t>
            </w:r>
          </w:p>
        </w:tc>
        <w:tc>
          <w:tcPr>
            <w:tcW w:w="2694" w:type="dxa"/>
            <w:tcBorders>
              <w:top w:val="single" w:sz="4" w:space="0" w:color="auto"/>
              <w:left w:val="nil"/>
              <w:bottom w:val="single" w:sz="4" w:space="0" w:color="auto"/>
              <w:right w:val="nil"/>
            </w:tcBorders>
          </w:tcPr>
          <w:p w14:paraId="56EF3E61" w14:textId="43D616B6" w:rsidR="002B7433" w:rsidRDefault="00612D9D">
            <w:pPr>
              <w:tabs>
                <w:tab w:val="left" w:pos="5400"/>
              </w:tabs>
              <w:rPr>
                <w:sz w:val="20"/>
              </w:rPr>
            </w:pPr>
            <w:r>
              <w:rPr>
                <w:sz w:val="20"/>
              </w:rPr>
              <w:t>5 (Data and procedures)</w:t>
            </w:r>
          </w:p>
        </w:tc>
      </w:tr>
      <w:tr w:rsidR="00C01840" w14:paraId="1998F0E0" w14:textId="77777777" w:rsidTr="00C01840">
        <w:tc>
          <w:tcPr>
            <w:tcW w:w="1989" w:type="dxa"/>
            <w:tcBorders>
              <w:top w:val="single" w:sz="4" w:space="0" w:color="auto"/>
              <w:left w:val="nil"/>
              <w:bottom w:val="single" w:sz="4" w:space="0" w:color="auto"/>
              <w:right w:val="nil"/>
            </w:tcBorders>
            <w:hideMark/>
          </w:tcPr>
          <w:p w14:paraId="6F4D3938" w14:textId="77777777" w:rsidR="002B7433" w:rsidRDefault="002B7433">
            <w:pPr>
              <w:tabs>
                <w:tab w:val="left" w:pos="5400"/>
              </w:tabs>
              <w:rPr>
                <w:bCs/>
                <w:sz w:val="20"/>
              </w:rPr>
            </w:pPr>
            <w:bookmarkStart w:id="23" w:name="italic14" w:colFirst="0" w:colLast="0"/>
            <w:bookmarkStart w:id="24" w:name="bold13" w:colFirst="0" w:colLast="0"/>
            <w:bookmarkEnd w:id="21"/>
            <w:bookmarkEnd w:id="22"/>
            <w:r>
              <w:rPr>
                <w:bCs/>
                <w:sz w:val="20"/>
              </w:rPr>
              <w:t>Setting</w:t>
            </w:r>
          </w:p>
        </w:tc>
        <w:tc>
          <w:tcPr>
            <w:tcW w:w="850" w:type="dxa"/>
            <w:tcBorders>
              <w:top w:val="single" w:sz="4" w:space="0" w:color="auto"/>
              <w:left w:val="nil"/>
              <w:bottom w:val="single" w:sz="4" w:space="0" w:color="auto"/>
              <w:right w:val="nil"/>
            </w:tcBorders>
            <w:hideMark/>
          </w:tcPr>
          <w:p w14:paraId="00991EA5" w14:textId="77777777" w:rsidR="002B7433" w:rsidRDefault="002B7433">
            <w:pPr>
              <w:tabs>
                <w:tab w:val="left" w:pos="5400"/>
              </w:tabs>
              <w:jc w:val="center"/>
              <w:rPr>
                <w:sz w:val="20"/>
              </w:rPr>
            </w:pPr>
            <w:r>
              <w:rPr>
                <w:sz w:val="20"/>
              </w:rPr>
              <w:t>5</w:t>
            </w:r>
          </w:p>
        </w:tc>
        <w:tc>
          <w:tcPr>
            <w:tcW w:w="3965" w:type="dxa"/>
            <w:tcBorders>
              <w:top w:val="single" w:sz="4" w:space="0" w:color="auto"/>
              <w:left w:val="nil"/>
              <w:bottom w:val="single" w:sz="4" w:space="0" w:color="auto"/>
              <w:right w:val="nil"/>
            </w:tcBorders>
            <w:hideMark/>
          </w:tcPr>
          <w:p w14:paraId="0D3958D1" w14:textId="77777777" w:rsidR="002B7433" w:rsidRDefault="002B7433">
            <w:pPr>
              <w:tabs>
                <w:tab w:val="left" w:pos="5400"/>
              </w:tabs>
              <w:rPr>
                <w:sz w:val="20"/>
              </w:rPr>
            </w:pPr>
            <w:r>
              <w:rPr>
                <w:sz w:val="20"/>
              </w:rPr>
              <w:t>Describe the setting, locations, and relevant dates, including periods of recruitment, exposure, follow-up, and data collection</w:t>
            </w:r>
          </w:p>
        </w:tc>
        <w:tc>
          <w:tcPr>
            <w:tcW w:w="2694" w:type="dxa"/>
            <w:tcBorders>
              <w:top w:val="single" w:sz="4" w:space="0" w:color="auto"/>
              <w:left w:val="nil"/>
              <w:bottom w:val="single" w:sz="4" w:space="0" w:color="auto"/>
              <w:right w:val="nil"/>
            </w:tcBorders>
          </w:tcPr>
          <w:p w14:paraId="4FADE771" w14:textId="3742C89B" w:rsidR="002B7433" w:rsidRDefault="00F87153">
            <w:pPr>
              <w:tabs>
                <w:tab w:val="left" w:pos="5400"/>
              </w:tabs>
              <w:rPr>
                <w:sz w:val="20"/>
              </w:rPr>
            </w:pPr>
            <w:r>
              <w:rPr>
                <w:sz w:val="20"/>
              </w:rPr>
              <w:t>5 (Data and procedures)</w:t>
            </w:r>
          </w:p>
        </w:tc>
      </w:tr>
      <w:bookmarkEnd w:id="23"/>
      <w:bookmarkEnd w:id="24"/>
      <w:tr w:rsidR="00C01840" w14:paraId="5BEF527E" w14:textId="77777777" w:rsidTr="00C01840">
        <w:tc>
          <w:tcPr>
            <w:tcW w:w="1989" w:type="dxa"/>
            <w:tcBorders>
              <w:top w:val="single" w:sz="4" w:space="0" w:color="auto"/>
              <w:left w:val="nil"/>
              <w:bottom w:val="single" w:sz="4" w:space="0" w:color="auto"/>
              <w:right w:val="nil"/>
            </w:tcBorders>
            <w:hideMark/>
          </w:tcPr>
          <w:p w14:paraId="620FDE83" w14:textId="77777777" w:rsidR="002B7433" w:rsidRDefault="002B7433">
            <w:pPr>
              <w:tabs>
                <w:tab w:val="left" w:pos="5400"/>
              </w:tabs>
              <w:rPr>
                <w:bCs/>
                <w:sz w:val="20"/>
              </w:rPr>
            </w:pPr>
            <w:r>
              <w:rPr>
                <w:bCs/>
                <w:sz w:val="20"/>
              </w:rPr>
              <w:t>Participants</w:t>
            </w:r>
          </w:p>
        </w:tc>
        <w:tc>
          <w:tcPr>
            <w:tcW w:w="850" w:type="dxa"/>
            <w:tcBorders>
              <w:top w:val="single" w:sz="4" w:space="0" w:color="auto"/>
              <w:left w:val="nil"/>
              <w:bottom w:val="single" w:sz="4" w:space="0" w:color="auto"/>
              <w:right w:val="nil"/>
            </w:tcBorders>
            <w:hideMark/>
          </w:tcPr>
          <w:p w14:paraId="15D83F8E" w14:textId="77777777" w:rsidR="002B7433" w:rsidRDefault="002B7433">
            <w:pPr>
              <w:tabs>
                <w:tab w:val="left" w:pos="5400"/>
              </w:tabs>
              <w:jc w:val="center"/>
              <w:rPr>
                <w:sz w:val="20"/>
              </w:rPr>
            </w:pPr>
            <w:r>
              <w:rPr>
                <w:sz w:val="20"/>
              </w:rPr>
              <w:t>6</w:t>
            </w:r>
          </w:p>
        </w:tc>
        <w:tc>
          <w:tcPr>
            <w:tcW w:w="3965" w:type="dxa"/>
            <w:tcBorders>
              <w:top w:val="single" w:sz="4" w:space="0" w:color="auto"/>
              <w:left w:val="nil"/>
              <w:bottom w:val="single" w:sz="4" w:space="0" w:color="auto"/>
              <w:right w:val="nil"/>
            </w:tcBorders>
            <w:hideMark/>
          </w:tcPr>
          <w:p w14:paraId="240AD6A5" w14:textId="77777777" w:rsidR="002B7433" w:rsidRDefault="002B7433">
            <w:pPr>
              <w:tabs>
                <w:tab w:val="left" w:pos="5400"/>
              </w:tabs>
              <w:rPr>
                <w:sz w:val="20"/>
              </w:rPr>
            </w:pPr>
            <w:r>
              <w:rPr>
                <w:sz w:val="20"/>
              </w:rPr>
              <w:t>(</w:t>
            </w:r>
            <w:r>
              <w:rPr>
                <w:i/>
                <w:sz w:val="20"/>
              </w:rPr>
              <w:t>a</w:t>
            </w:r>
            <w:r>
              <w:rPr>
                <w:sz w:val="20"/>
              </w:rPr>
              <w:t>) Give the eligibility criteria, and the sources and methods of selection of participants</w:t>
            </w:r>
          </w:p>
        </w:tc>
        <w:tc>
          <w:tcPr>
            <w:tcW w:w="2694" w:type="dxa"/>
            <w:tcBorders>
              <w:top w:val="single" w:sz="4" w:space="0" w:color="auto"/>
              <w:left w:val="nil"/>
              <w:bottom w:val="single" w:sz="4" w:space="0" w:color="auto"/>
              <w:right w:val="nil"/>
            </w:tcBorders>
          </w:tcPr>
          <w:p w14:paraId="2A64845D" w14:textId="6DD3029E" w:rsidR="002B7433" w:rsidRDefault="006025FB">
            <w:pPr>
              <w:tabs>
                <w:tab w:val="left" w:pos="5400"/>
              </w:tabs>
              <w:rPr>
                <w:sz w:val="20"/>
              </w:rPr>
            </w:pPr>
            <w:r>
              <w:rPr>
                <w:sz w:val="20"/>
              </w:rPr>
              <w:t xml:space="preserve">5 (Data and procedures) and </w:t>
            </w:r>
            <w:r w:rsidR="00F0571E">
              <w:rPr>
                <w:sz w:val="20"/>
              </w:rPr>
              <w:t xml:space="preserve">appendix pages </w:t>
            </w:r>
            <w:r w:rsidR="00A969E4">
              <w:rPr>
                <w:sz w:val="20"/>
              </w:rPr>
              <w:t>4-6</w:t>
            </w:r>
          </w:p>
        </w:tc>
      </w:tr>
      <w:tr w:rsidR="00C01840" w14:paraId="5FC98F5E" w14:textId="77777777" w:rsidTr="00C01840">
        <w:tc>
          <w:tcPr>
            <w:tcW w:w="1989" w:type="dxa"/>
            <w:tcBorders>
              <w:top w:val="single" w:sz="4" w:space="0" w:color="auto"/>
              <w:left w:val="nil"/>
              <w:bottom w:val="single" w:sz="4" w:space="0" w:color="auto"/>
              <w:right w:val="nil"/>
            </w:tcBorders>
            <w:hideMark/>
          </w:tcPr>
          <w:p w14:paraId="0103C444" w14:textId="77777777" w:rsidR="002B7433" w:rsidRDefault="002B7433">
            <w:pPr>
              <w:tabs>
                <w:tab w:val="left" w:pos="5400"/>
              </w:tabs>
              <w:rPr>
                <w:bCs/>
                <w:sz w:val="20"/>
              </w:rPr>
            </w:pPr>
            <w:bookmarkStart w:id="25" w:name="italic17" w:colFirst="0" w:colLast="0"/>
            <w:bookmarkStart w:id="26" w:name="bold16" w:colFirst="0" w:colLast="0"/>
            <w:r>
              <w:rPr>
                <w:bCs/>
                <w:sz w:val="20"/>
              </w:rPr>
              <w:t>Variables</w:t>
            </w:r>
          </w:p>
        </w:tc>
        <w:tc>
          <w:tcPr>
            <w:tcW w:w="850" w:type="dxa"/>
            <w:tcBorders>
              <w:top w:val="single" w:sz="4" w:space="0" w:color="auto"/>
              <w:left w:val="nil"/>
              <w:bottom w:val="single" w:sz="4" w:space="0" w:color="auto"/>
              <w:right w:val="nil"/>
            </w:tcBorders>
            <w:hideMark/>
          </w:tcPr>
          <w:p w14:paraId="088D0DD8" w14:textId="77777777" w:rsidR="002B7433" w:rsidRDefault="002B7433">
            <w:pPr>
              <w:tabs>
                <w:tab w:val="left" w:pos="5400"/>
              </w:tabs>
              <w:jc w:val="center"/>
              <w:rPr>
                <w:sz w:val="20"/>
              </w:rPr>
            </w:pPr>
            <w:r>
              <w:rPr>
                <w:sz w:val="20"/>
              </w:rPr>
              <w:t>7</w:t>
            </w:r>
          </w:p>
        </w:tc>
        <w:tc>
          <w:tcPr>
            <w:tcW w:w="3965" w:type="dxa"/>
            <w:tcBorders>
              <w:top w:val="single" w:sz="4" w:space="0" w:color="auto"/>
              <w:left w:val="nil"/>
              <w:bottom w:val="single" w:sz="4" w:space="0" w:color="auto"/>
              <w:right w:val="nil"/>
            </w:tcBorders>
            <w:hideMark/>
          </w:tcPr>
          <w:p w14:paraId="2658C03C" w14:textId="77777777" w:rsidR="002B7433" w:rsidRDefault="002B7433">
            <w:pPr>
              <w:tabs>
                <w:tab w:val="left" w:pos="5400"/>
              </w:tabs>
              <w:rPr>
                <w:sz w:val="20"/>
              </w:rPr>
            </w:pPr>
            <w:r>
              <w:rPr>
                <w:sz w:val="20"/>
              </w:rPr>
              <w:t>Clearly define all outcomes, exposures, predictors, potential confounders, and effect modifiers. Give diagnostic criteria, if applicable</w:t>
            </w:r>
          </w:p>
        </w:tc>
        <w:tc>
          <w:tcPr>
            <w:tcW w:w="2694" w:type="dxa"/>
            <w:tcBorders>
              <w:top w:val="single" w:sz="4" w:space="0" w:color="auto"/>
              <w:left w:val="nil"/>
              <w:bottom w:val="single" w:sz="4" w:space="0" w:color="auto"/>
              <w:right w:val="nil"/>
            </w:tcBorders>
          </w:tcPr>
          <w:p w14:paraId="53F054B3" w14:textId="7A27DF85" w:rsidR="002B7433" w:rsidRDefault="007F6F5B">
            <w:pPr>
              <w:tabs>
                <w:tab w:val="left" w:pos="5400"/>
              </w:tabs>
              <w:rPr>
                <w:sz w:val="20"/>
              </w:rPr>
            </w:pPr>
            <w:r>
              <w:rPr>
                <w:sz w:val="20"/>
              </w:rPr>
              <w:t>5-6 (Variables and Statistical analyses)</w:t>
            </w:r>
          </w:p>
        </w:tc>
      </w:tr>
      <w:tr w:rsidR="00C01840" w14:paraId="34AE6E3D" w14:textId="77777777" w:rsidTr="00C01840">
        <w:trPr>
          <w:trHeight w:val="294"/>
        </w:trPr>
        <w:tc>
          <w:tcPr>
            <w:tcW w:w="1989" w:type="dxa"/>
            <w:tcBorders>
              <w:top w:val="single" w:sz="4" w:space="0" w:color="auto"/>
              <w:left w:val="nil"/>
              <w:bottom w:val="single" w:sz="4" w:space="0" w:color="auto"/>
              <w:right w:val="nil"/>
            </w:tcBorders>
            <w:hideMark/>
          </w:tcPr>
          <w:p w14:paraId="0C52A4AB" w14:textId="069D4DEF" w:rsidR="002B7433" w:rsidRDefault="002B7433">
            <w:pPr>
              <w:tabs>
                <w:tab w:val="left" w:pos="5400"/>
              </w:tabs>
              <w:rPr>
                <w:bCs/>
                <w:sz w:val="20"/>
              </w:rPr>
            </w:pPr>
            <w:bookmarkStart w:id="27" w:name="italic18"/>
            <w:bookmarkStart w:id="28" w:name="bold17"/>
            <w:bookmarkEnd w:id="25"/>
            <w:bookmarkEnd w:id="26"/>
            <w:r>
              <w:rPr>
                <w:bCs/>
                <w:sz w:val="20"/>
              </w:rPr>
              <w:t>Data sources/</w:t>
            </w:r>
            <w:bookmarkStart w:id="29" w:name="italic19"/>
            <w:bookmarkStart w:id="30" w:name="bold18"/>
            <w:bookmarkEnd w:id="27"/>
            <w:bookmarkEnd w:id="28"/>
            <w:r>
              <w:rPr>
                <w:bCs/>
                <w:sz w:val="20"/>
              </w:rPr>
              <w:t xml:space="preserve"> measurement</w:t>
            </w:r>
            <w:bookmarkEnd w:id="29"/>
            <w:bookmarkEnd w:id="30"/>
          </w:p>
        </w:tc>
        <w:tc>
          <w:tcPr>
            <w:tcW w:w="850" w:type="dxa"/>
            <w:tcBorders>
              <w:top w:val="single" w:sz="4" w:space="0" w:color="auto"/>
              <w:left w:val="nil"/>
              <w:bottom w:val="single" w:sz="4" w:space="0" w:color="auto"/>
              <w:right w:val="nil"/>
            </w:tcBorders>
            <w:hideMark/>
          </w:tcPr>
          <w:p w14:paraId="5983F382" w14:textId="6759CB24" w:rsidR="002B7433" w:rsidRDefault="002B7433">
            <w:pPr>
              <w:tabs>
                <w:tab w:val="left" w:pos="5400"/>
              </w:tabs>
              <w:jc w:val="center"/>
              <w:rPr>
                <w:sz w:val="20"/>
              </w:rPr>
            </w:pPr>
            <w:r>
              <w:rPr>
                <w:sz w:val="20"/>
              </w:rPr>
              <w:t>8</w:t>
            </w:r>
          </w:p>
        </w:tc>
        <w:tc>
          <w:tcPr>
            <w:tcW w:w="3965" w:type="dxa"/>
            <w:tcBorders>
              <w:top w:val="single" w:sz="4" w:space="0" w:color="auto"/>
              <w:left w:val="nil"/>
              <w:bottom w:val="single" w:sz="4" w:space="0" w:color="auto"/>
              <w:right w:val="nil"/>
            </w:tcBorders>
            <w:hideMark/>
          </w:tcPr>
          <w:p w14:paraId="3621B5B1" w14:textId="77777777" w:rsidR="002B7433" w:rsidRDefault="002B7433">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2694" w:type="dxa"/>
            <w:tcBorders>
              <w:top w:val="single" w:sz="4" w:space="0" w:color="auto"/>
              <w:left w:val="nil"/>
              <w:bottom w:val="single" w:sz="4" w:space="0" w:color="auto"/>
              <w:right w:val="nil"/>
            </w:tcBorders>
          </w:tcPr>
          <w:p w14:paraId="00A97780" w14:textId="5F88B91B" w:rsidR="002B7433" w:rsidRDefault="00710BAA">
            <w:pPr>
              <w:tabs>
                <w:tab w:val="left" w:pos="5400"/>
              </w:tabs>
              <w:rPr>
                <w:i/>
                <w:sz w:val="20"/>
              </w:rPr>
            </w:pPr>
            <w:r>
              <w:rPr>
                <w:sz w:val="20"/>
              </w:rPr>
              <w:t>5-6 (Variables and Statistical analyses)</w:t>
            </w:r>
          </w:p>
        </w:tc>
      </w:tr>
      <w:tr w:rsidR="00C01840" w14:paraId="5FBA3BFA" w14:textId="77777777" w:rsidTr="00C01840">
        <w:tc>
          <w:tcPr>
            <w:tcW w:w="1989" w:type="dxa"/>
            <w:tcBorders>
              <w:top w:val="single" w:sz="4" w:space="0" w:color="auto"/>
              <w:left w:val="nil"/>
              <w:bottom w:val="single" w:sz="4" w:space="0" w:color="auto"/>
              <w:right w:val="nil"/>
            </w:tcBorders>
            <w:hideMark/>
          </w:tcPr>
          <w:p w14:paraId="3E3119D4" w14:textId="77777777" w:rsidR="002B7433" w:rsidRDefault="002B7433">
            <w:pPr>
              <w:tabs>
                <w:tab w:val="left" w:pos="5400"/>
              </w:tabs>
              <w:rPr>
                <w:bCs/>
                <w:color w:val="000000"/>
                <w:sz w:val="20"/>
              </w:rPr>
            </w:pPr>
            <w:bookmarkStart w:id="31" w:name="italic20" w:colFirst="0" w:colLast="0"/>
            <w:bookmarkStart w:id="32" w:name="bold20" w:colFirst="0" w:colLast="0"/>
            <w:r>
              <w:rPr>
                <w:bCs/>
                <w:color w:val="000000"/>
                <w:sz w:val="20"/>
              </w:rPr>
              <w:t>Bias</w:t>
            </w:r>
          </w:p>
        </w:tc>
        <w:tc>
          <w:tcPr>
            <w:tcW w:w="850" w:type="dxa"/>
            <w:tcBorders>
              <w:top w:val="single" w:sz="4" w:space="0" w:color="auto"/>
              <w:left w:val="nil"/>
              <w:bottom w:val="single" w:sz="4" w:space="0" w:color="auto"/>
              <w:right w:val="nil"/>
            </w:tcBorders>
            <w:hideMark/>
          </w:tcPr>
          <w:p w14:paraId="7CB8B546" w14:textId="77777777" w:rsidR="002B7433" w:rsidRDefault="002B7433">
            <w:pPr>
              <w:tabs>
                <w:tab w:val="left" w:pos="5400"/>
              </w:tabs>
              <w:jc w:val="center"/>
              <w:rPr>
                <w:sz w:val="20"/>
              </w:rPr>
            </w:pPr>
            <w:r>
              <w:rPr>
                <w:sz w:val="20"/>
              </w:rPr>
              <w:t>9</w:t>
            </w:r>
          </w:p>
        </w:tc>
        <w:tc>
          <w:tcPr>
            <w:tcW w:w="3965" w:type="dxa"/>
            <w:tcBorders>
              <w:top w:val="single" w:sz="4" w:space="0" w:color="auto"/>
              <w:left w:val="nil"/>
              <w:bottom w:val="single" w:sz="4" w:space="0" w:color="auto"/>
              <w:right w:val="nil"/>
            </w:tcBorders>
            <w:hideMark/>
          </w:tcPr>
          <w:p w14:paraId="550F47C6" w14:textId="77777777" w:rsidR="002B7433" w:rsidRDefault="002B7433">
            <w:pPr>
              <w:tabs>
                <w:tab w:val="left" w:pos="5400"/>
              </w:tabs>
              <w:rPr>
                <w:color w:val="000000"/>
                <w:sz w:val="20"/>
              </w:rPr>
            </w:pPr>
            <w:r>
              <w:rPr>
                <w:color w:val="000000"/>
                <w:sz w:val="20"/>
              </w:rPr>
              <w:t>Describe any efforts to address potential sources of bias</w:t>
            </w:r>
          </w:p>
        </w:tc>
        <w:tc>
          <w:tcPr>
            <w:tcW w:w="2694" w:type="dxa"/>
            <w:tcBorders>
              <w:top w:val="single" w:sz="4" w:space="0" w:color="auto"/>
              <w:left w:val="nil"/>
              <w:bottom w:val="single" w:sz="4" w:space="0" w:color="auto"/>
              <w:right w:val="nil"/>
            </w:tcBorders>
          </w:tcPr>
          <w:p w14:paraId="73A78EFB" w14:textId="13AC06DA" w:rsidR="002B7433" w:rsidRDefault="00A42DC5">
            <w:pPr>
              <w:tabs>
                <w:tab w:val="left" w:pos="5400"/>
              </w:tabs>
              <w:rPr>
                <w:color w:val="000000"/>
                <w:sz w:val="20"/>
              </w:rPr>
            </w:pPr>
            <w:r>
              <w:rPr>
                <w:color w:val="000000"/>
                <w:sz w:val="20"/>
              </w:rPr>
              <w:t>6 (Statistical analyses; re weighting)</w:t>
            </w:r>
          </w:p>
        </w:tc>
      </w:tr>
      <w:tr w:rsidR="00C01840" w14:paraId="6AB1ABFA" w14:textId="77777777" w:rsidTr="00C01840">
        <w:tc>
          <w:tcPr>
            <w:tcW w:w="1989" w:type="dxa"/>
            <w:tcBorders>
              <w:top w:val="single" w:sz="4" w:space="0" w:color="auto"/>
              <w:left w:val="nil"/>
              <w:bottom w:val="single" w:sz="4" w:space="0" w:color="auto"/>
              <w:right w:val="nil"/>
            </w:tcBorders>
            <w:hideMark/>
          </w:tcPr>
          <w:p w14:paraId="5279AA9A" w14:textId="77777777" w:rsidR="002B7433" w:rsidRDefault="002B7433">
            <w:pPr>
              <w:tabs>
                <w:tab w:val="left" w:pos="5400"/>
              </w:tabs>
              <w:rPr>
                <w:bCs/>
                <w:sz w:val="20"/>
              </w:rPr>
            </w:pPr>
            <w:bookmarkStart w:id="33" w:name="italic21" w:colFirst="0" w:colLast="0"/>
            <w:bookmarkStart w:id="34" w:name="bold21" w:colFirst="0" w:colLast="0"/>
            <w:bookmarkEnd w:id="31"/>
            <w:bookmarkEnd w:id="32"/>
            <w:r>
              <w:rPr>
                <w:bCs/>
                <w:sz w:val="20"/>
              </w:rPr>
              <w:t>Study size</w:t>
            </w:r>
          </w:p>
        </w:tc>
        <w:tc>
          <w:tcPr>
            <w:tcW w:w="850" w:type="dxa"/>
            <w:tcBorders>
              <w:top w:val="single" w:sz="4" w:space="0" w:color="auto"/>
              <w:left w:val="nil"/>
              <w:bottom w:val="single" w:sz="4" w:space="0" w:color="auto"/>
              <w:right w:val="nil"/>
            </w:tcBorders>
            <w:hideMark/>
          </w:tcPr>
          <w:p w14:paraId="2092A765" w14:textId="77777777" w:rsidR="002B7433" w:rsidRDefault="002B7433">
            <w:pPr>
              <w:tabs>
                <w:tab w:val="left" w:pos="5400"/>
              </w:tabs>
              <w:jc w:val="center"/>
              <w:rPr>
                <w:sz w:val="20"/>
              </w:rPr>
            </w:pPr>
            <w:r>
              <w:rPr>
                <w:sz w:val="20"/>
              </w:rPr>
              <w:t>10</w:t>
            </w:r>
          </w:p>
        </w:tc>
        <w:tc>
          <w:tcPr>
            <w:tcW w:w="3965" w:type="dxa"/>
            <w:tcBorders>
              <w:top w:val="single" w:sz="4" w:space="0" w:color="auto"/>
              <w:left w:val="nil"/>
              <w:bottom w:val="single" w:sz="4" w:space="0" w:color="auto"/>
              <w:right w:val="nil"/>
            </w:tcBorders>
            <w:hideMark/>
          </w:tcPr>
          <w:p w14:paraId="352C922D" w14:textId="77777777" w:rsidR="002B7433" w:rsidRDefault="002B7433">
            <w:pPr>
              <w:tabs>
                <w:tab w:val="left" w:pos="5400"/>
              </w:tabs>
              <w:rPr>
                <w:sz w:val="20"/>
              </w:rPr>
            </w:pPr>
            <w:r>
              <w:rPr>
                <w:sz w:val="20"/>
              </w:rPr>
              <w:t>Explain how the study size was arrived at</w:t>
            </w:r>
          </w:p>
        </w:tc>
        <w:tc>
          <w:tcPr>
            <w:tcW w:w="2694" w:type="dxa"/>
            <w:tcBorders>
              <w:top w:val="single" w:sz="4" w:space="0" w:color="auto"/>
              <w:left w:val="nil"/>
              <w:bottom w:val="single" w:sz="4" w:space="0" w:color="auto"/>
              <w:right w:val="nil"/>
            </w:tcBorders>
          </w:tcPr>
          <w:p w14:paraId="365035D1" w14:textId="7B64729C" w:rsidR="002B7433" w:rsidRDefault="00E77750">
            <w:pPr>
              <w:tabs>
                <w:tab w:val="left" w:pos="5400"/>
              </w:tabs>
              <w:rPr>
                <w:sz w:val="20"/>
              </w:rPr>
            </w:pPr>
            <w:r>
              <w:rPr>
                <w:sz w:val="20"/>
              </w:rPr>
              <w:t>Supplementary table 1</w:t>
            </w:r>
            <w:r w:rsidR="00414649">
              <w:rPr>
                <w:sz w:val="20"/>
              </w:rPr>
              <w:t xml:space="preserve"> (</w:t>
            </w:r>
            <w:r w:rsidR="00414649" w:rsidRPr="00414649">
              <w:rPr>
                <w:sz w:val="20"/>
              </w:rPr>
              <w:t>PHIA survey sampling frames and sample sizes</w:t>
            </w:r>
            <w:r w:rsidR="00414649">
              <w:rPr>
                <w:sz w:val="20"/>
              </w:rPr>
              <w:t>)</w:t>
            </w:r>
          </w:p>
        </w:tc>
      </w:tr>
      <w:tr w:rsidR="00C01840" w14:paraId="2F555173" w14:textId="66083264" w:rsidTr="00C01840">
        <w:tc>
          <w:tcPr>
            <w:tcW w:w="1989" w:type="dxa"/>
            <w:tcBorders>
              <w:top w:val="single" w:sz="4" w:space="0" w:color="auto"/>
              <w:left w:val="nil"/>
              <w:bottom w:val="single" w:sz="4" w:space="0" w:color="auto"/>
              <w:right w:val="nil"/>
            </w:tcBorders>
            <w:hideMark/>
          </w:tcPr>
          <w:p w14:paraId="6FA79BD0" w14:textId="17D1F410" w:rsidR="00E77750" w:rsidRDefault="00E77750" w:rsidP="00E77750">
            <w:pPr>
              <w:tabs>
                <w:tab w:val="left" w:pos="5400"/>
              </w:tabs>
              <w:rPr>
                <w:bCs/>
                <w:sz w:val="20"/>
              </w:rPr>
            </w:pPr>
            <w:bookmarkStart w:id="35" w:name="italic22"/>
            <w:bookmarkStart w:id="36" w:name="bold22"/>
            <w:bookmarkEnd w:id="33"/>
            <w:bookmarkEnd w:id="34"/>
            <w:r>
              <w:rPr>
                <w:bCs/>
                <w:sz w:val="20"/>
              </w:rPr>
              <w:t>Quantitative</w:t>
            </w:r>
            <w:bookmarkStart w:id="37" w:name="italic23"/>
            <w:bookmarkStart w:id="38" w:name="bold23"/>
            <w:bookmarkEnd w:id="35"/>
            <w:bookmarkEnd w:id="36"/>
            <w:r>
              <w:rPr>
                <w:bCs/>
                <w:sz w:val="20"/>
              </w:rPr>
              <w:t xml:space="preserve"> variables</w:t>
            </w:r>
            <w:bookmarkEnd w:id="37"/>
            <w:bookmarkEnd w:id="38"/>
          </w:p>
        </w:tc>
        <w:tc>
          <w:tcPr>
            <w:tcW w:w="850" w:type="dxa"/>
            <w:tcBorders>
              <w:top w:val="single" w:sz="4" w:space="0" w:color="auto"/>
              <w:left w:val="nil"/>
              <w:bottom w:val="single" w:sz="4" w:space="0" w:color="auto"/>
              <w:right w:val="nil"/>
            </w:tcBorders>
            <w:hideMark/>
          </w:tcPr>
          <w:p w14:paraId="0C117779" w14:textId="77777777" w:rsidR="00E77750" w:rsidRDefault="00E77750" w:rsidP="00E77750">
            <w:pPr>
              <w:tabs>
                <w:tab w:val="left" w:pos="5400"/>
              </w:tabs>
              <w:jc w:val="center"/>
              <w:rPr>
                <w:sz w:val="20"/>
              </w:rPr>
            </w:pPr>
            <w:r>
              <w:rPr>
                <w:sz w:val="20"/>
              </w:rPr>
              <w:t>11</w:t>
            </w:r>
          </w:p>
        </w:tc>
        <w:tc>
          <w:tcPr>
            <w:tcW w:w="3965" w:type="dxa"/>
            <w:tcBorders>
              <w:top w:val="single" w:sz="4" w:space="0" w:color="auto"/>
              <w:left w:val="nil"/>
              <w:bottom w:val="single" w:sz="4" w:space="0" w:color="auto"/>
              <w:right w:val="nil"/>
            </w:tcBorders>
            <w:hideMark/>
          </w:tcPr>
          <w:p w14:paraId="152108A5" w14:textId="77777777" w:rsidR="00E77750" w:rsidRDefault="00E77750" w:rsidP="00E77750">
            <w:pPr>
              <w:tabs>
                <w:tab w:val="left" w:pos="5400"/>
              </w:tabs>
              <w:rPr>
                <w:sz w:val="20"/>
              </w:rPr>
            </w:pPr>
            <w:r>
              <w:rPr>
                <w:sz w:val="20"/>
              </w:rPr>
              <w:t>Explain how quantitative variables were handled in the analyses. If applicable, describe which groupings were chosen and why</w:t>
            </w:r>
          </w:p>
        </w:tc>
        <w:tc>
          <w:tcPr>
            <w:tcW w:w="2694" w:type="dxa"/>
            <w:tcBorders>
              <w:top w:val="single" w:sz="4" w:space="0" w:color="auto"/>
              <w:left w:val="nil"/>
              <w:bottom w:val="single" w:sz="4" w:space="0" w:color="auto"/>
              <w:right w:val="nil"/>
            </w:tcBorders>
          </w:tcPr>
          <w:p w14:paraId="6382039D" w14:textId="19644864" w:rsidR="00E77750" w:rsidRDefault="00E77750" w:rsidP="00E77750">
            <w:pPr>
              <w:tabs>
                <w:tab w:val="left" w:pos="5400"/>
              </w:tabs>
              <w:rPr>
                <w:sz w:val="20"/>
              </w:rPr>
            </w:pPr>
            <w:r>
              <w:rPr>
                <w:sz w:val="20"/>
              </w:rPr>
              <w:t>5-6 (Variables and Statistical analyses)</w:t>
            </w:r>
          </w:p>
        </w:tc>
      </w:tr>
      <w:tr w:rsidR="00C01840" w14:paraId="25F08193" w14:textId="7C1E294D" w:rsidTr="00C01840">
        <w:tc>
          <w:tcPr>
            <w:tcW w:w="1989" w:type="dxa"/>
            <w:vMerge w:val="restart"/>
            <w:tcBorders>
              <w:top w:val="single" w:sz="4" w:space="0" w:color="auto"/>
              <w:left w:val="nil"/>
              <w:bottom w:val="single" w:sz="4" w:space="0" w:color="auto"/>
              <w:right w:val="nil"/>
            </w:tcBorders>
            <w:hideMark/>
          </w:tcPr>
          <w:p w14:paraId="77226265" w14:textId="17B3F984" w:rsidR="00E77750" w:rsidRDefault="00E77750" w:rsidP="00E77750">
            <w:pPr>
              <w:tabs>
                <w:tab w:val="left" w:pos="5400"/>
              </w:tabs>
              <w:rPr>
                <w:sz w:val="20"/>
              </w:rPr>
            </w:pPr>
            <w:bookmarkStart w:id="39" w:name="italic24"/>
            <w:r>
              <w:rPr>
                <w:sz w:val="20"/>
              </w:rPr>
              <w:lastRenderedPageBreak/>
              <w:t>Statistical</w:t>
            </w:r>
            <w:bookmarkStart w:id="40" w:name="italic25"/>
            <w:bookmarkEnd w:id="39"/>
            <w:r>
              <w:rPr>
                <w:sz w:val="20"/>
              </w:rPr>
              <w:t xml:space="preserve"> methods</w:t>
            </w:r>
            <w:bookmarkEnd w:id="40"/>
          </w:p>
        </w:tc>
        <w:tc>
          <w:tcPr>
            <w:tcW w:w="850" w:type="dxa"/>
            <w:vMerge w:val="restart"/>
            <w:tcBorders>
              <w:top w:val="single" w:sz="4" w:space="0" w:color="auto"/>
              <w:left w:val="nil"/>
              <w:bottom w:val="single" w:sz="4" w:space="0" w:color="auto"/>
              <w:right w:val="nil"/>
            </w:tcBorders>
            <w:hideMark/>
          </w:tcPr>
          <w:p w14:paraId="7D25B0AD" w14:textId="77777777" w:rsidR="00E77750" w:rsidRDefault="00E77750" w:rsidP="00E77750">
            <w:pPr>
              <w:tabs>
                <w:tab w:val="left" w:pos="5400"/>
              </w:tabs>
              <w:jc w:val="center"/>
              <w:rPr>
                <w:sz w:val="20"/>
              </w:rPr>
            </w:pPr>
            <w:r>
              <w:rPr>
                <w:sz w:val="20"/>
              </w:rPr>
              <w:t>12</w:t>
            </w:r>
          </w:p>
        </w:tc>
        <w:tc>
          <w:tcPr>
            <w:tcW w:w="3965" w:type="dxa"/>
            <w:tcBorders>
              <w:top w:val="single" w:sz="4" w:space="0" w:color="auto"/>
              <w:left w:val="nil"/>
              <w:bottom w:val="single" w:sz="4" w:space="0" w:color="auto"/>
              <w:right w:val="nil"/>
            </w:tcBorders>
            <w:hideMark/>
          </w:tcPr>
          <w:p w14:paraId="29F7E3F2" w14:textId="77777777" w:rsidR="00E77750" w:rsidRDefault="00E77750" w:rsidP="00E77750">
            <w:pPr>
              <w:tabs>
                <w:tab w:val="left" w:pos="5400"/>
              </w:tabs>
              <w:rPr>
                <w:sz w:val="20"/>
              </w:rPr>
            </w:pPr>
            <w:r>
              <w:rPr>
                <w:sz w:val="20"/>
              </w:rPr>
              <w:t>(</w:t>
            </w:r>
            <w:r>
              <w:rPr>
                <w:i/>
                <w:sz w:val="20"/>
              </w:rPr>
              <w:t>a</w:t>
            </w:r>
            <w:r>
              <w:rPr>
                <w:sz w:val="20"/>
              </w:rPr>
              <w:t>) Describe all statistical methods, including those used to control for confounding</w:t>
            </w:r>
          </w:p>
        </w:tc>
        <w:tc>
          <w:tcPr>
            <w:tcW w:w="2694" w:type="dxa"/>
            <w:tcBorders>
              <w:top w:val="single" w:sz="4" w:space="0" w:color="auto"/>
              <w:left w:val="nil"/>
              <w:bottom w:val="single" w:sz="4" w:space="0" w:color="auto"/>
              <w:right w:val="nil"/>
            </w:tcBorders>
          </w:tcPr>
          <w:p w14:paraId="2C237971" w14:textId="66169C01" w:rsidR="00E77750" w:rsidRDefault="00414649" w:rsidP="00E77750">
            <w:pPr>
              <w:tabs>
                <w:tab w:val="left" w:pos="5400"/>
              </w:tabs>
              <w:rPr>
                <w:sz w:val="20"/>
              </w:rPr>
            </w:pPr>
            <w:r>
              <w:rPr>
                <w:sz w:val="20"/>
              </w:rPr>
              <w:t>6 (Statistical analyses)</w:t>
            </w:r>
          </w:p>
        </w:tc>
      </w:tr>
      <w:tr w:rsidR="00C01840" w14:paraId="556008CD" w14:textId="63A77B42" w:rsidTr="00C01840">
        <w:tc>
          <w:tcPr>
            <w:tcW w:w="1989" w:type="dxa"/>
            <w:vMerge/>
            <w:tcBorders>
              <w:top w:val="single" w:sz="4" w:space="0" w:color="auto"/>
              <w:left w:val="nil"/>
              <w:bottom w:val="single" w:sz="4" w:space="0" w:color="auto"/>
              <w:right w:val="nil"/>
            </w:tcBorders>
            <w:vAlign w:val="center"/>
            <w:hideMark/>
          </w:tcPr>
          <w:p w14:paraId="16A7A2E5" w14:textId="77777777" w:rsidR="00E77750" w:rsidRDefault="00E77750" w:rsidP="00E77750">
            <w:pPr>
              <w:spacing w:line="240" w:lineRule="auto"/>
              <w:rPr>
                <w:sz w:val="20"/>
              </w:rPr>
            </w:pPr>
          </w:p>
        </w:tc>
        <w:tc>
          <w:tcPr>
            <w:tcW w:w="850" w:type="dxa"/>
            <w:vMerge/>
            <w:tcBorders>
              <w:top w:val="single" w:sz="4" w:space="0" w:color="auto"/>
              <w:left w:val="nil"/>
              <w:bottom w:val="single" w:sz="4" w:space="0" w:color="auto"/>
              <w:right w:val="nil"/>
            </w:tcBorders>
            <w:vAlign w:val="center"/>
            <w:hideMark/>
          </w:tcPr>
          <w:p w14:paraId="3820F166"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62D9B776" w14:textId="77777777" w:rsidR="00E77750" w:rsidRDefault="00E77750" w:rsidP="00E77750">
            <w:pPr>
              <w:tabs>
                <w:tab w:val="left" w:pos="5400"/>
              </w:tabs>
              <w:rPr>
                <w:sz w:val="20"/>
              </w:rPr>
            </w:pPr>
            <w:bookmarkStart w:id="41" w:name="italic26"/>
            <w:bookmarkStart w:id="42" w:name="bold24"/>
            <w:bookmarkEnd w:id="41"/>
            <w:bookmarkEnd w:id="42"/>
            <w:r>
              <w:rPr>
                <w:sz w:val="20"/>
              </w:rPr>
              <w:t>(</w:t>
            </w:r>
            <w:r>
              <w:rPr>
                <w:i/>
                <w:sz w:val="20"/>
              </w:rPr>
              <w:t>b</w:t>
            </w:r>
            <w:r>
              <w:rPr>
                <w:sz w:val="20"/>
              </w:rPr>
              <w:t>) Describe any methods used to examine subgroups and interactions</w:t>
            </w:r>
          </w:p>
        </w:tc>
        <w:tc>
          <w:tcPr>
            <w:tcW w:w="2694" w:type="dxa"/>
            <w:tcBorders>
              <w:top w:val="single" w:sz="4" w:space="0" w:color="auto"/>
              <w:left w:val="nil"/>
              <w:bottom w:val="single" w:sz="4" w:space="0" w:color="auto"/>
              <w:right w:val="nil"/>
            </w:tcBorders>
          </w:tcPr>
          <w:p w14:paraId="2B306F11" w14:textId="31FD6413" w:rsidR="00E77750" w:rsidRDefault="00C13F11" w:rsidP="00E77750">
            <w:pPr>
              <w:tabs>
                <w:tab w:val="left" w:pos="5400"/>
              </w:tabs>
              <w:rPr>
                <w:sz w:val="20"/>
              </w:rPr>
            </w:pPr>
            <w:r>
              <w:rPr>
                <w:sz w:val="20"/>
              </w:rPr>
              <w:t>5 (Variables)</w:t>
            </w:r>
          </w:p>
        </w:tc>
      </w:tr>
      <w:tr w:rsidR="00C01840" w14:paraId="010E5D90" w14:textId="625709D7" w:rsidTr="00C01840">
        <w:tc>
          <w:tcPr>
            <w:tcW w:w="1989" w:type="dxa"/>
            <w:vMerge/>
            <w:tcBorders>
              <w:top w:val="single" w:sz="4" w:space="0" w:color="auto"/>
              <w:left w:val="nil"/>
              <w:bottom w:val="single" w:sz="4" w:space="0" w:color="auto"/>
              <w:right w:val="nil"/>
            </w:tcBorders>
            <w:vAlign w:val="center"/>
            <w:hideMark/>
          </w:tcPr>
          <w:p w14:paraId="603E7FA1" w14:textId="77777777" w:rsidR="00E77750" w:rsidRDefault="00E77750" w:rsidP="00E77750">
            <w:pPr>
              <w:spacing w:line="240" w:lineRule="auto"/>
              <w:rPr>
                <w:sz w:val="20"/>
              </w:rPr>
            </w:pPr>
          </w:p>
        </w:tc>
        <w:tc>
          <w:tcPr>
            <w:tcW w:w="850" w:type="dxa"/>
            <w:vMerge/>
            <w:tcBorders>
              <w:top w:val="single" w:sz="4" w:space="0" w:color="auto"/>
              <w:left w:val="nil"/>
              <w:bottom w:val="single" w:sz="4" w:space="0" w:color="auto"/>
              <w:right w:val="nil"/>
            </w:tcBorders>
            <w:vAlign w:val="center"/>
            <w:hideMark/>
          </w:tcPr>
          <w:p w14:paraId="58B3378D"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6E6703EC" w14:textId="77777777" w:rsidR="00E77750" w:rsidRDefault="00E77750" w:rsidP="00E77750">
            <w:pPr>
              <w:tabs>
                <w:tab w:val="left" w:pos="5400"/>
              </w:tabs>
              <w:rPr>
                <w:sz w:val="20"/>
              </w:rPr>
            </w:pPr>
            <w:bookmarkStart w:id="43" w:name="italic27"/>
            <w:bookmarkStart w:id="44" w:name="bold25"/>
            <w:bookmarkEnd w:id="43"/>
            <w:bookmarkEnd w:id="44"/>
            <w:r>
              <w:rPr>
                <w:sz w:val="20"/>
              </w:rPr>
              <w:t>(</w:t>
            </w:r>
            <w:r>
              <w:rPr>
                <w:i/>
                <w:sz w:val="20"/>
              </w:rPr>
              <w:t>c</w:t>
            </w:r>
            <w:r>
              <w:rPr>
                <w:sz w:val="20"/>
              </w:rPr>
              <w:t>) Explain how missing data were addressed</w:t>
            </w:r>
          </w:p>
        </w:tc>
        <w:tc>
          <w:tcPr>
            <w:tcW w:w="2694" w:type="dxa"/>
            <w:tcBorders>
              <w:top w:val="single" w:sz="4" w:space="0" w:color="auto"/>
              <w:left w:val="nil"/>
              <w:bottom w:val="single" w:sz="4" w:space="0" w:color="auto"/>
              <w:right w:val="nil"/>
            </w:tcBorders>
          </w:tcPr>
          <w:p w14:paraId="40215945" w14:textId="57DD6D38" w:rsidR="00E77750" w:rsidRDefault="00B82885" w:rsidP="00E77750">
            <w:pPr>
              <w:tabs>
                <w:tab w:val="left" w:pos="5400"/>
              </w:tabs>
              <w:rPr>
                <w:sz w:val="20"/>
              </w:rPr>
            </w:pPr>
            <w:r>
              <w:rPr>
                <w:sz w:val="20"/>
              </w:rPr>
              <w:t>7 (Statistical analyses)</w:t>
            </w:r>
          </w:p>
        </w:tc>
      </w:tr>
      <w:tr w:rsidR="00C01840" w14:paraId="552D67E5" w14:textId="0A74B49E" w:rsidTr="00C01840">
        <w:tc>
          <w:tcPr>
            <w:tcW w:w="1989" w:type="dxa"/>
            <w:vMerge/>
            <w:tcBorders>
              <w:top w:val="single" w:sz="4" w:space="0" w:color="auto"/>
              <w:left w:val="nil"/>
              <w:bottom w:val="single" w:sz="4" w:space="0" w:color="auto"/>
              <w:right w:val="nil"/>
            </w:tcBorders>
            <w:vAlign w:val="center"/>
            <w:hideMark/>
          </w:tcPr>
          <w:p w14:paraId="1F281549" w14:textId="77777777" w:rsidR="00E77750" w:rsidRDefault="00E77750" w:rsidP="00E77750">
            <w:pPr>
              <w:spacing w:line="240" w:lineRule="auto"/>
              <w:rPr>
                <w:sz w:val="20"/>
              </w:rPr>
            </w:pPr>
          </w:p>
        </w:tc>
        <w:tc>
          <w:tcPr>
            <w:tcW w:w="850" w:type="dxa"/>
            <w:vMerge/>
            <w:tcBorders>
              <w:top w:val="single" w:sz="4" w:space="0" w:color="auto"/>
              <w:left w:val="nil"/>
              <w:bottom w:val="single" w:sz="4" w:space="0" w:color="auto"/>
              <w:right w:val="nil"/>
            </w:tcBorders>
            <w:vAlign w:val="center"/>
            <w:hideMark/>
          </w:tcPr>
          <w:p w14:paraId="5FC55F4B"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31E5BA6B" w14:textId="77777777" w:rsidR="00E77750" w:rsidRDefault="00E77750" w:rsidP="00E77750">
            <w:pPr>
              <w:tabs>
                <w:tab w:val="left" w:pos="5400"/>
              </w:tabs>
              <w:rPr>
                <w:sz w:val="20"/>
              </w:rPr>
            </w:pPr>
            <w:bookmarkStart w:id="45" w:name="italic28"/>
            <w:bookmarkStart w:id="46" w:name="bold26"/>
            <w:bookmarkEnd w:id="45"/>
            <w:bookmarkEnd w:id="46"/>
            <w:r>
              <w:rPr>
                <w:sz w:val="20"/>
              </w:rPr>
              <w:t>(</w:t>
            </w:r>
            <w:r>
              <w:rPr>
                <w:i/>
                <w:sz w:val="20"/>
              </w:rPr>
              <w:t>d</w:t>
            </w:r>
            <w:r>
              <w:rPr>
                <w:sz w:val="20"/>
              </w:rPr>
              <w:t>) If applicable, describe analytical methods taking account of sampling strategy</w:t>
            </w:r>
          </w:p>
        </w:tc>
        <w:tc>
          <w:tcPr>
            <w:tcW w:w="2694" w:type="dxa"/>
            <w:tcBorders>
              <w:top w:val="single" w:sz="4" w:space="0" w:color="auto"/>
              <w:left w:val="nil"/>
              <w:bottom w:val="single" w:sz="4" w:space="0" w:color="auto"/>
              <w:right w:val="nil"/>
            </w:tcBorders>
          </w:tcPr>
          <w:p w14:paraId="3A41BCB5" w14:textId="3572511E" w:rsidR="00E77750" w:rsidRDefault="00747C26" w:rsidP="00E77750">
            <w:pPr>
              <w:tabs>
                <w:tab w:val="left" w:pos="5400"/>
              </w:tabs>
              <w:rPr>
                <w:sz w:val="20"/>
              </w:rPr>
            </w:pPr>
            <w:r>
              <w:rPr>
                <w:color w:val="000000"/>
                <w:sz w:val="20"/>
              </w:rPr>
              <w:t>6 (Statistical analyses; re weighting)</w:t>
            </w:r>
          </w:p>
        </w:tc>
      </w:tr>
      <w:tr w:rsidR="00C01840" w14:paraId="08B5F530" w14:textId="3866EDE0" w:rsidTr="00C01840">
        <w:tc>
          <w:tcPr>
            <w:tcW w:w="1989" w:type="dxa"/>
            <w:vMerge/>
            <w:tcBorders>
              <w:top w:val="single" w:sz="4" w:space="0" w:color="auto"/>
              <w:left w:val="nil"/>
              <w:bottom w:val="single" w:sz="4" w:space="0" w:color="auto"/>
              <w:right w:val="nil"/>
            </w:tcBorders>
            <w:vAlign w:val="center"/>
            <w:hideMark/>
          </w:tcPr>
          <w:p w14:paraId="49F7B1E7" w14:textId="77777777" w:rsidR="00E77750" w:rsidRDefault="00E77750" w:rsidP="00E77750">
            <w:pPr>
              <w:spacing w:line="240" w:lineRule="auto"/>
              <w:rPr>
                <w:sz w:val="20"/>
              </w:rPr>
            </w:pPr>
          </w:p>
        </w:tc>
        <w:tc>
          <w:tcPr>
            <w:tcW w:w="850" w:type="dxa"/>
            <w:vMerge/>
            <w:tcBorders>
              <w:top w:val="single" w:sz="4" w:space="0" w:color="auto"/>
              <w:left w:val="nil"/>
              <w:bottom w:val="single" w:sz="4" w:space="0" w:color="auto"/>
              <w:right w:val="nil"/>
            </w:tcBorders>
            <w:vAlign w:val="center"/>
            <w:hideMark/>
          </w:tcPr>
          <w:p w14:paraId="3E70D278"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0947207C" w14:textId="77777777" w:rsidR="00E77750" w:rsidRDefault="00E77750" w:rsidP="00E77750">
            <w:pPr>
              <w:tabs>
                <w:tab w:val="left" w:pos="5400"/>
              </w:tabs>
              <w:rPr>
                <w:sz w:val="20"/>
              </w:rPr>
            </w:pPr>
            <w:bookmarkStart w:id="47" w:name="italic29"/>
            <w:bookmarkStart w:id="48" w:name="bold27"/>
            <w:bookmarkEnd w:id="47"/>
            <w:bookmarkEnd w:id="48"/>
            <w:r>
              <w:rPr>
                <w:sz w:val="20"/>
              </w:rPr>
              <w:t>(</w:t>
            </w:r>
            <w:r>
              <w:rPr>
                <w:i/>
                <w:sz w:val="20"/>
                <w:u w:val="single"/>
              </w:rPr>
              <w:t>e</w:t>
            </w:r>
            <w:r>
              <w:rPr>
                <w:sz w:val="20"/>
              </w:rPr>
              <w:t>) Describe any sensitivity analyses</w:t>
            </w:r>
          </w:p>
        </w:tc>
        <w:tc>
          <w:tcPr>
            <w:tcW w:w="2694" w:type="dxa"/>
            <w:tcBorders>
              <w:top w:val="single" w:sz="4" w:space="0" w:color="auto"/>
              <w:left w:val="nil"/>
              <w:bottom w:val="single" w:sz="4" w:space="0" w:color="auto"/>
              <w:right w:val="nil"/>
            </w:tcBorders>
          </w:tcPr>
          <w:p w14:paraId="5FC0766D" w14:textId="4048819E" w:rsidR="00E77750" w:rsidRDefault="000B1967" w:rsidP="00E77750">
            <w:pPr>
              <w:tabs>
                <w:tab w:val="left" w:pos="5400"/>
              </w:tabs>
              <w:rPr>
                <w:sz w:val="20"/>
              </w:rPr>
            </w:pPr>
            <w:r>
              <w:rPr>
                <w:sz w:val="20"/>
              </w:rPr>
              <w:t>5 (Variables)</w:t>
            </w:r>
          </w:p>
        </w:tc>
      </w:tr>
      <w:tr w:rsidR="00E77750" w14:paraId="5FC8F39B" w14:textId="4AB62371" w:rsidTr="00D43AA5">
        <w:tc>
          <w:tcPr>
            <w:tcW w:w="6804" w:type="dxa"/>
            <w:gridSpan w:val="3"/>
            <w:tcBorders>
              <w:top w:val="single" w:sz="4" w:space="0" w:color="auto"/>
              <w:left w:val="nil"/>
              <w:bottom w:val="single" w:sz="4" w:space="0" w:color="auto"/>
              <w:right w:val="nil"/>
            </w:tcBorders>
            <w:hideMark/>
          </w:tcPr>
          <w:p w14:paraId="478BF87F" w14:textId="60C04B63" w:rsidR="00E77750" w:rsidRDefault="00E77750" w:rsidP="00E77750">
            <w:pPr>
              <w:pStyle w:val="TableSubHead"/>
              <w:tabs>
                <w:tab w:val="left" w:pos="5400"/>
              </w:tabs>
              <w:rPr>
                <w:sz w:val="20"/>
              </w:rPr>
            </w:pPr>
            <w:bookmarkStart w:id="49" w:name="italic30"/>
            <w:bookmarkStart w:id="50" w:name="bold28"/>
            <w:r>
              <w:rPr>
                <w:sz w:val="20"/>
              </w:rPr>
              <w:t>Results</w:t>
            </w:r>
            <w:bookmarkEnd w:id="49"/>
            <w:bookmarkEnd w:id="50"/>
          </w:p>
        </w:tc>
        <w:tc>
          <w:tcPr>
            <w:tcW w:w="2694" w:type="dxa"/>
            <w:tcBorders>
              <w:top w:val="single" w:sz="4" w:space="0" w:color="auto"/>
              <w:left w:val="nil"/>
              <w:bottom w:val="single" w:sz="4" w:space="0" w:color="auto"/>
              <w:right w:val="nil"/>
            </w:tcBorders>
          </w:tcPr>
          <w:p w14:paraId="487A7493" w14:textId="77777777" w:rsidR="00E77750" w:rsidRDefault="00E77750" w:rsidP="00E77750">
            <w:pPr>
              <w:pStyle w:val="TableSubHead"/>
              <w:tabs>
                <w:tab w:val="left" w:pos="5400"/>
              </w:tabs>
              <w:rPr>
                <w:sz w:val="20"/>
              </w:rPr>
            </w:pPr>
          </w:p>
        </w:tc>
      </w:tr>
      <w:tr w:rsidR="00C01840" w14:paraId="28D47770" w14:textId="1B648C70" w:rsidTr="00C01840">
        <w:tc>
          <w:tcPr>
            <w:tcW w:w="1989" w:type="dxa"/>
            <w:vMerge w:val="restart"/>
            <w:tcBorders>
              <w:top w:val="single" w:sz="4" w:space="0" w:color="auto"/>
              <w:left w:val="nil"/>
              <w:bottom w:val="single" w:sz="4" w:space="0" w:color="auto"/>
              <w:right w:val="nil"/>
            </w:tcBorders>
            <w:hideMark/>
          </w:tcPr>
          <w:p w14:paraId="3B36687C" w14:textId="50B2AD41" w:rsidR="00E77750" w:rsidRDefault="00E77750" w:rsidP="00E77750">
            <w:pPr>
              <w:tabs>
                <w:tab w:val="left" w:pos="5400"/>
              </w:tabs>
              <w:rPr>
                <w:bCs/>
                <w:sz w:val="20"/>
              </w:rPr>
            </w:pPr>
            <w:bookmarkStart w:id="51" w:name="italic31"/>
            <w:bookmarkStart w:id="52" w:name="bold29"/>
            <w:r>
              <w:rPr>
                <w:bCs/>
                <w:sz w:val="20"/>
              </w:rPr>
              <w:t>Participants</w:t>
            </w:r>
            <w:bookmarkEnd w:id="51"/>
            <w:bookmarkEnd w:id="52"/>
          </w:p>
        </w:tc>
        <w:tc>
          <w:tcPr>
            <w:tcW w:w="850" w:type="dxa"/>
            <w:vMerge w:val="restart"/>
            <w:tcBorders>
              <w:top w:val="single" w:sz="4" w:space="0" w:color="auto"/>
              <w:left w:val="nil"/>
              <w:bottom w:val="single" w:sz="4" w:space="0" w:color="auto"/>
              <w:right w:val="nil"/>
            </w:tcBorders>
            <w:hideMark/>
          </w:tcPr>
          <w:p w14:paraId="31533B75" w14:textId="2CFE8923" w:rsidR="00E77750" w:rsidRDefault="00E77750" w:rsidP="00E77750">
            <w:pPr>
              <w:tabs>
                <w:tab w:val="left" w:pos="5400"/>
              </w:tabs>
              <w:jc w:val="center"/>
              <w:rPr>
                <w:sz w:val="20"/>
              </w:rPr>
            </w:pPr>
            <w:r>
              <w:rPr>
                <w:sz w:val="20"/>
              </w:rPr>
              <w:t>13</w:t>
            </w:r>
          </w:p>
        </w:tc>
        <w:tc>
          <w:tcPr>
            <w:tcW w:w="3965" w:type="dxa"/>
            <w:tcBorders>
              <w:top w:val="single" w:sz="4" w:space="0" w:color="auto"/>
              <w:left w:val="nil"/>
              <w:bottom w:val="single" w:sz="4" w:space="0" w:color="auto"/>
              <w:right w:val="nil"/>
            </w:tcBorders>
            <w:hideMark/>
          </w:tcPr>
          <w:p w14:paraId="611CCC3F" w14:textId="77777777" w:rsidR="00E77750" w:rsidRDefault="00E77750" w:rsidP="00E77750">
            <w:pPr>
              <w:tabs>
                <w:tab w:val="left" w:pos="5400"/>
              </w:tabs>
              <w:rPr>
                <w:sz w:val="20"/>
              </w:rPr>
            </w:pPr>
            <w:r>
              <w:rPr>
                <w:sz w:val="20"/>
              </w:rPr>
              <w:t>(a) Report numbers of individuals at each stage of study—</w:t>
            </w:r>
            <w:proofErr w:type="spellStart"/>
            <w:r>
              <w:rPr>
                <w:sz w:val="20"/>
              </w:rPr>
              <w:t>eg</w:t>
            </w:r>
            <w:proofErr w:type="spellEnd"/>
            <w:r>
              <w:rPr>
                <w:sz w:val="20"/>
              </w:rPr>
              <w:t xml:space="preserve"> numbers potentially eligible, examined for eligibility, confirmed eligible, included in the study, completing follow-up, and analysed</w:t>
            </w:r>
          </w:p>
        </w:tc>
        <w:tc>
          <w:tcPr>
            <w:tcW w:w="2694" w:type="dxa"/>
            <w:tcBorders>
              <w:top w:val="single" w:sz="4" w:space="0" w:color="auto"/>
              <w:left w:val="nil"/>
              <w:bottom w:val="single" w:sz="4" w:space="0" w:color="auto"/>
              <w:right w:val="nil"/>
            </w:tcBorders>
          </w:tcPr>
          <w:p w14:paraId="7B6C6B1E" w14:textId="15A45925" w:rsidR="00E77750" w:rsidRDefault="009825A4" w:rsidP="00E77750">
            <w:pPr>
              <w:tabs>
                <w:tab w:val="left" w:pos="5400"/>
              </w:tabs>
              <w:rPr>
                <w:sz w:val="20"/>
              </w:rPr>
            </w:pPr>
            <w:r>
              <w:rPr>
                <w:sz w:val="20"/>
              </w:rPr>
              <w:t xml:space="preserve">8 (Results) and </w:t>
            </w:r>
            <w:r w:rsidR="00B63F97">
              <w:rPr>
                <w:sz w:val="20"/>
              </w:rPr>
              <w:t>s</w:t>
            </w:r>
            <w:r w:rsidR="00B63F97" w:rsidRPr="00B63F97">
              <w:rPr>
                <w:sz w:val="20"/>
              </w:rPr>
              <w:t>upplementary table 5</w:t>
            </w:r>
            <w:r w:rsidR="00B63F97">
              <w:rPr>
                <w:sz w:val="20"/>
              </w:rPr>
              <w:t xml:space="preserve"> (</w:t>
            </w:r>
            <w:r w:rsidR="00B63F97" w:rsidRPr="00B63F97">
              <w:rPr>
                <w:sz w:val="20"/>
              </w:rPr>
              <w:t>PHIA survey response rates</w:t>
            </w:r>
            <w:r w:rsidR="00B63F97">
              <w:rPr>
                <w:sz w:val="20"/>
              </w:rPr>
              <w:t>)</w:t>
            </w:r>
          </w:p>
        </w:tc>
      </w:tr>
      <w:tr w:rsidR="00C01840" w14:paraId="556C9DD6" w14:textId="07ABC3E6" w:rsidTr="00C01840">
        <w:tc>
          <w:tcPr>
            <w:tcW w:w="1989" w:type="dxa"/>
            <w:vMerge/>
            <w:tcBorders>
              <w:top w:val="single" w:sz="4" w:space="0" w:color="auto"/>
              <w:left w:val="nil"/>
              <w:bottom w:val="single" w:sz="4" w:space="0" w:color="auto"/>
              <w:right w:val="nil"/>
            </w:tcBorders>
            <w:vAlign w:val="center"/>
            <w:hideMark/>
          </w:tcPr>
          <w:p w14:paraId="79F6C266" w14:textId="77777777" w:rsidR="00E77750" w:rsidRDefault="00E77750" w:rsidP="00E77750">
            <w:pPr>
              <w:spacing w:line="240" w:lineRule="auto"/>
              <w:rPr>
                <w:bCs/>
                <w:sz w:val="20"/>
              </w:rPr>
            </w:pPr>
          </w:p>
        </w:tc>
        <w:tc>
          <w:tcPr>
            <w:tcW w:w="850" w:type="dxa"/>
            <w:vMerge/>
            <w:tcBorders>
              <w:top w:val="single" w:sz="4" w:space="0" w:color="auto"/>
              <w:left w:val="nil"/>
              <w:bottom w:val="single" w:sz="4" w:space="0" w:color="auto"/>
              <w:right w:val="nil"/>
            </w:tcBorders>
            <w:vAlign w:val="center"/>
            <w:hideMark/>
          </w:tcPr>
          <w:p w14:paraId="0A8CC489"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555C6A73" w14:textId="77777777" w:rsidR="00E77750" w:rsidRDefault="00E77750" w:rsidP="00E77750">
            <w:pPr>
              <w:tabs>
                <w:tab w:val="left" w:pos="5400"/>
              </w:tabs>
              <w:rPr>
                <w:sz w:val="20"/>
              </w:rPr>
            </w:pPr>
            <w:bookmarkStart w:id="53" w:name="italic32"/>
            <w:bookmarkStart w:id="54" w:name="bold31"/>
            <w:bookmarkEnd w:id="53"/>
            <w:bookmarkEnd w:id="54"/>
            <w:r>
              <w:rPr>
                <w:sz w:val="20"/>
              </w:rPr>
              <w:t>(b) Give reasons for non-participation at each stage</w:t>
            </w:r>
          </w:p>
        </w:tc>
        <w:tc>
          <w:tcPr>
            <w:tcW w:w="2694" w:type="dxa"/>
            <w:tcBorders>
              <w:top w:val="single" w:sz="4" w:space="0" w:color="auto"/>
              <w:left w:val="nil"/>
              <w:bottom w:val="single" w:sz="4" w:space="0" w:color="auto"/>
              <w:right w:val="nil"/>
            </w:tcBorders>
          </w:tcPr>
          <w:p w14:paraId="6387095F" w14:textId="12DF30C3" w:rsidR="00E77750" w:rsidRDefault="008B5645" w:rsidP="00E77750">
            <w:pPr>
              <w:tabs>
                <w:tab w:val="left" w:pos="5400"/>
              </w:tabs>
              <w:rPr>
                <w:sz w:val="20"/>
              </w:rPr>
            </w:pPr>
            <w:r>
              <w:rPr>
                <w:sz w:val="20"/>
              </w:rPr>
              <w:t>8 (Results) and s</w:t>
            </w:r>
            <w:r w:rsidRPr="00B63F97">
              <w:rPr>
                <w:sz w:val="20"/>
              </w:rPr>
              <w:t>upplementary table 5</w:t>
            </w:r>
            <w:r>
              <w:rPr>
                <w:sz w:val="20"/>
              </w:rPr>
              <w:t xml:space="preserve"> (</w:t>
            </w:r>
            <w:r w:rsidRPr="00B63F97">
              <w:rPr>
                <w:sz w:val="20"/>
              </w:rPr>
              <w:t>PHIA survey response rates</w:t>
            </w:r>
            <w:r>
              <w:rPr>
                <w:sz w:val="20"/>
              </w:rPr>
              <w:t>)</w:t>
            </w:r>
          </w:p>
        </w:tc>
      </w:tr>
      <w:tr w:rsidR="00C01840" w14:paraId="47E27C51" w14:textId="113539A1" w:rsidTr="00C01840">
        <w:tc>
          <w:tcPr>
            <w:tcW w:w="1989" w:type="dxa"/>
            <w:vMerge/>
            <w:tcBorders>
              <w:top w:val="single" w:sz="4" w:space="0" w:color="auto"/>
              <w:left w:val="nil"/>
              <w:bottom w:val="single" w:sz="4" w:space="0" w:color="auto"/>
              <w:right w:val="nil"/>
            </w:tcBorders>
            <w:vAlign w:val="center"/>
            <w:hideMark/>
          </w:tcPr>
          <w:p w14:paraId="42EFEF56" w14:textId="77777777" w:rsidR="00E77750" w:rsidRDefault="00E77750" w:rsidP="00E77750">
            <w:pPr>
              <w:spacing w:line="240" w:lineRule="auto"/>
              <w:rPr>
                <w:bCs/>
                <w:sz w:val="20"/>
              </w:rPr>
            </w:pPr>
          </w:p>
        </w:tc>
        <w:tc>
          <w:tcPr>
            <w:tcW w:w="850" w:type="dxa"/>
            <w:vMerge/>
            <w:tcBorders>
              <w:top w:val="single" w:sz="4" w:space="0" w:color="auto"/>
              <w:left w:val="nil"/>
              <w:bottom w:val="single" w:sz="4" w:space="0" w:color="auto"/>
              <w:right w:val="nil"/>
            </w:tcBorders>
            <w:vAlign w:val="center"/>
            <w:hideMark/>
          </w:tcPr>
          <w:p w14:paraId="09BD92DB"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48B7A284" w14:textId="77777777" w:rsidR="00E77750" w:rsidRDefault="00E77750" w:rsidP="00E77750">
            <w:pPr>
              <w:tabs>
                <w:tab w:val="left" w:pos="5400"/>
              </w:tabs>
              <w:rPr>
                <w:sz w:val="20"/>
              </w:rPr>
            </w:pPr>
            <w:bookmarkStart w:id="55" w:name="italic33"/>
            <w:bookmarkStart w:id="56" w:name="bold32"/>
            <w:bookmarkStart w:id="57" w:name="OLE_LINK4"/>
            <w:bookmarkEnd w:id="55"/>
            <w:bookmarkEnd w:id="56"/>
            <w:r>
              <w:rPr>
                <w:sz w:val="20"/>
              </w:rPr>
              <w:t>(c) Consider use of a flow diagram</w:t>
            </w:r>
            <w:bookmarkEnd w:id="57"/>
          </w:p>
        </w:tc>
        <w:tc>
          <w:tcPr>
            <w:tcW w:w="2694" w:type="dxa"/>
            <w:tcBorders>
              <w:top w:val="single" w:sz="4" w:space="0" w:color="auto"/>
              <w:left w:val="nil"/>
              <w:bottom w:val="single" w:sz="4" w:space="0" w:color="auto"/>
              <w:right w:val="nil"/>
            </w:tcBorders>
          </w:tcPr>
          <w:p w14:paraId="41F0A164" w14:textId="4AD5E859" w:rsidR="00E77750" w:rsidRDefault="008B5645" w:rsidP="00E77750">
            <w:pPr>
              <w:tabs>
                <w:tab w:val="left" w:pos="5400"/>
              </w:tabs>
              <w:rPr>
                <w:sz w:val="20"/>
              </w:rPr>
            </w:pPr>
            <w:r>
              <w:rPr>
                <w:sz w:val="20"/>
              </w:rPr>
              <w:t xml:space="preserve">Flow diagram information for individual surveys </w:t>
            </w:r>
            <w:proofErr w:type="gramStart"/>
            <w:r>
              <w:rPr>
                <w:sz w:val="20"/>
              </w:rPr>
              <w:t>are</w:t>
            </w:r>
            <w:proofErr w:type="gramEnd"/>
            <w:r>
              <w:rPr>
                <w:sz w:val="20"/>
              </w:rPr>
              <w:t xml:space="preserve"> linked to on page 3 of the appendix.</w:t>
            </w:r>
          </w:p>
        </w:tc>
      </w:tr>
      <w:tr w:rsidR="00C01840" w14:paraId="054FF004" w14:textId="35A40287" w:rsidTr="00C01840">
        <w:tc>
          <w:tcPr>
            <w:tcW w:w="1989" w:type="dxa"/>
            <w:vMerge w:val="restart"/>
            <w:tcBorders>
              <w:top w:val="single" w:sz="4" w:space="0" w:color="auto"/>
              <w:left w:val="nil"/>
              <w:bottom w:val="single" w:sz="4" w:space="0" w:color="auto"/>
              <w:right w:val="nil"/>
            </w:tcBorders>
            <w:hideMark/>
          </w:tcPr>
          <w:p w14:paraId="56C80B83" w14:textId="0C18227A" w:rsidR="00E77750" w:rsidRDefault="00E77750" w:rsidP="00E77750">
            <w:pPr>
              <w:tabs>
                <w:tab w:val="left" w:pos="5400"/>
              </w:tabs>
              <w:rPr>
                <w:bCs/>
                <w:sz w:val="20"/>
              </w:rPr>
            </w:pPr>
            <w:bookmarkStart w:id="58" w:name="italic34"/>
            <w:bookmarkStart w:id="59" w:name="bold33"/>
            <w:r>
              <w:rPr>
                <w:bCs/>
                <w:sz w:val="20"/>
              </w:rPr>
              <w:t xml:space="preserve">Descriptive </w:t>
            </w:r>
            <w:bookmarkStart w:id="60" w:name="italic35"/>
            <w:bookmarkStart w:id="61" w:name="bold34"/>
            <w:bookmarkEnd w:id="58"/>
            <w:bookmarkEnd w:id="59"/>
            <w:r>
              <w:rPr>
                <w:bCs/>
                <w:sz w:val="20"/>
              </w:rPr>
              <w:t>data</w:t>
            </w:r>
            <w:bookmarkEnd w:id="60"/>
            <w:bookmarkEnd w:id="61"/>
          </w:p>
        </w:tc>
        <w:tc>
          <w:tcPr>
            <w:tcW w:w="850" w:type="dxa"/>
            <w:vMerge w:val="restart"/>
            <w:tcBorders>
              <w:top w:val="single" w:sz="4" w:space="0" w:color="auto"/>
              <w:left w:val="nil"/>
              <w:bottom w:val="single" w:sz="4" w:space="0" w:color="auto"/>
              <w:right w:val="nil"/>
            </w:tcBorders>
            <w:hideMark/>
          </w:tcPr>
          <w:p w14:paraId="536E837F" w14:textId="36560343" w:rsidR="00E77750" w:rsidRDefault="00E77750" w:rsidP="00E77750">
            <w:pPr>
              <w:tabs>
                <w:tab w:val="left" w:pos="5400"/>
              </w:tabs>
              <w:jc w:val="center"/>
              <w:rPr>
                <w:sz w:val="20"/>
              </w:rPr>
            </w:pPr>
            <w:r>
              <w:rPr>
                <w:sz w:val="20"/>
              </w:rPr>
              <w:t>14</w:t>
            </w:r>
          </w:p>
        </w:tc>
        <w:tc>
          <w:tcPr>
            <w:tcW w:w="3965" w:type="dxa"/>
            <w:tcBorders>
              <w:top w:val="single" w:sz="4" w:space="0" w:color="auto"/>
              <w:left w:val="nil"/>
              <w:bottom w:val="single" w:sz="4" w:space="0" w:color="auto"/>
              <w:right w:val="nil"/>
            </w:tcBorders>
            <w:hideMark/>
          </w:tcPr>
          <w:p w14:paraId="51B76FFC" w14:textId="77777777" w:rsidR="00E77750" w:rsidRDefault="00E77750" w:rsidP="00E77750">
            <w:pPr>
              <w:tabs>
                <w:tab w:val="left" w:pos="5400"/>
              </w:tabs>
              <w:rPr>
                <w:sz w:val="20"/>
              </w:rPr>
            </w:pPr>
            <w:r>
              <w:rPr>
                <w:sz w:val="20"/>
              </w:rPr>
              <w:t>(a) Give characteristics of study participants (</w:t>
            </w:r>
            <w:proofErr w:type="spellStart"/>
            <w:r>
              <w:rPr>
                <w:sz w:val="20"/>
              </w:rPr>
              <w:t>eg</w:t>
            </w:r>
            <w:proofErr w:type="spellEnd"/>
            <w:r>
              <w:rPr>
                <w:sz w:val="20"/>
              </w:rPr>
              <w:t xml:space="preserve"> demographic, clinical, social) and information on exposures and potential confounders</w:t>
            </w:r>
          </w:p>
        </w:tc>
        <w:tc>
          <w:tcPr>
            <w:tcW w:w="2694" w:type="dxa"/>
            <w:tcBorders>
              <w:top w:val="single" w:sz="4" w:space="0" w:color="auto"/>
              <w:left w:val="nil"/>
              <w:bottom w:val="single" w:sz="4" w:space="0" w:color="auto"/>
              <w:right w:val="nil"/>
            </w:tcBorders>
          </w:tcPr>
          <w:p w14:paraId="7001C3A4" w14:textId="406D44F3" w:rsidR="00E77750" w:rsidRDefault="00212356" w:rsidP="00E77750">
            <w:pPr>
              <w:tabs>
                <w:tab w:val="left" w:pos="5400"/>
              </w:tabs>
              <w:rPr>
                <w:sz w:val="20"/>
              </w:rPr>
            </w:pPr>
            <w:r>
              <w:rPr>
                <w:sz w:val="20"/>
              </w:rPr>
              <w:t>Page 8 (Results)</w:t>
            </w:r>
            <w:r w:rsidR="00967EFC">
              <w:rPr>
                <w:sz w:val="20"/>
              </w:rPr>
              <w:t xml:space="preserve"> and</w:t>
            </w:r>
            <w:r w:rsidR="00566264">
              <w:rPr>
                <w:sz w:val="20"/>
              </w:rPr>
              <w:t xml:space="preserve"> Table 1 (</w:t>
            </w:r>
            <w:r w:rsidR="00244B4A" w:rsidRPr="00244B4A">
              <w:rPr>
                <w:sz w:val="20"/>
              </w:rPr>
              <w:t>Weighted demographic characteristics by wealth quintile, stratified by gender.</w:t>
            </w:r>
            <w:r w:rsidR="00C01840">
              <w:rPr>
                <w:sz w:val="20"/>
              </w:rPr>
              <w:t xml:space="preserve">) </w:t>
            </w:r>
          </w:p>
        </w:tc>
      </w:tr>
      <w:tr w:rsidR="00C01840" w14:paraId="050B2FAE" w14:textId="1D65D79A" w:rsidTr="00C01840">
        <w:tc>
          <w:tcPr>
            <w:tcW w:w="1989" w:type="dxa"/>
            <w:vMerge/>
            <w:tcBorders>
              <w:top w:val="single" w:sz="4" w:space="0" w:color="auto"/>
              <w:left w:val="nil"/>
              <w:bottom w:val="single" w:sz="4" w:space="0" w:color="auto"/>
              <w:right w:val="nil"/>
            </w:tcBorders>
            <w:vAlign w:val="center"/>
            <w:hideMark/>
          </w:tcPr>
          <w:p w14:paraId="66B77848" w14:textId="77777777" w:rsidR="00E77750" w:rsidRDefault="00E77750" w:rsidP="00E77750">
            <w:pPr>
              <w:spacing w:line="240" w:lineRule="auto"/>
              <w:rPr>
                <w:bCs/>
                <w:sz w:val="20"/>
              </w:rPr>
            </w:pPr>
          </w:p>
        </w:tc>
        <w:tc>
          <w:tcPr>
            <w:tcW w:w="850" w:type="dxa"/>
            <w:vMerge/>
            <w:tcBorders>
              <w:top w:val="single" w:sz="4" w:space="0" w:color="auto"/>
              <w:left w:val="nil"/>
              <w:bottom w:val="single" w:sz="4" w:space="0" w:color="auto"/>
              <w:right w:val="nil"/>
            </w:tcBorders>
            <w:vAlign w:val="center"/>
            <w:hideMark/>
          </w:tcPr>
          <w:p w14:paraId="278E5027"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19A5B486" w14:textId="77777777" w:rsidR="00E77750" w:rsidRDefault="00E77750" w:rsidP="00E77750">
            <w:pPr>
              <w:tabs>
                <w:tab w:val="left" w:pos="5400"/>
              </w:tabs>
              <w:rPr>
                <w:sz w:val="20"/>
              </w:rPr>
            </w:pPr>
            <w:bookmarkStart w:id="62" w:name="italic36"/>
            <w:bookmarkStart w:id="63" w:name="bold36"/>
            <w:bookmarkEnd w:id="62"/>
            <w:bookmarkEnd w:id="63"/>
            <w:r>
              <w:rPr>
                <w:sz w:val="20"/>
              </w:rPr>
              <w:t>(b) Indicate number of participants with missing data for each variable of interest</w:t>
            </w:r>
          </w:p>
        </w:tc>
        <w:tc>
          <w:tcPr>
            <w:tcW w:w="2694" w:type="dxa"/>
            <w:tcBorders>
              <w:top w:val="single" w:sz="4" w:space="0" w:color="auto"/>
              <w:left w:val="nil"/>
              <w:bottom w:val="single" w:sz="4" w:space="0" w:color="auto"/>
              <w:right w:val="nil"/>
            </w:tcBorders>
          </w:tcPr>
          <w:p w14:paraId="670CF1DB" w14:textId="07CBE9C1" w:rsidR="00E77750" w:rsidRDefault="002C0D0F" w:rsidP="00E77750">
            <w:pPr>
              <w:tabs>
                <w:tab w:val="left" w:pos="5400"/>
              </w:tabs>
              <w:rPr>
                <w:sz w:val="20"/>
              </w:rPr>
            </w:pPr>
            <w:r>
              <w:rPr>
                <w:sz w:val="20"/>
              </w:rPr>
              <w:t>9 (Sexual behaviours and recent HIV)</w:t>
            </w:r>
          </w:p>
        </w:tc>
      </w:tr>
      <w:tr w:rsidR="00C01840" w14:paraId="4DBEFDB2" w14:textId="40BE918E" w:rsidTr="00C01840">
        <w:trPr>
          <w:trHeight w:val="295"/>
        </w:trPr>
        <w:tc>
          <w:tcPr>
            <w:tcW w:w="1989" w:type="dxa"/>
            <w:tcBorders>
              <w:top w:val="single" w:sz="4" w:space="0" w:color="auto"/>
              <w:left w:val="nil"/>
              <w:bottom w:val="single" w:sz="4" w:space="0" w:color="auto"/>
              <w:right w:val="nil"/>
            </w:tcBorders>
            <w:hideMark/>
          </w:tcPr>
          <w:p w14:paraId="1930E621" w14:textId="77777777" w:rsidR="00E77750" w:rsidRDefault="00E77750" w:rsidP="00E77750">
            <w:pPr>
              <w:tabs>
                <w:tab w:val="left" w:pos="5400"/>
              </w:tabs>
              <w:rPr>
                <w:bCs/>
                <w:sz w:val="20"/>
              </w:rPr>
            </w:pPr>
            <w:bookmarkStart w:id="64" w:name="italic38" w:colFirst="0" w:colLast="0"/>
            <w:bookmarkStart w:id="65" w:name="bold38" w:colFirst="0" w:colLast="0"/>
            <w:r>
              <w:rPr>
                <w:bCs/>
                <w:sz w:val="20"/>
              </w:rPr>
              <w:t>Outcome data</w:t>
            </w:r>
          </w:p>
        </w:tc>
        <w:tc>
          <w:tcPr>
            <w:tcW w:w="850" w:type="dxa"/>
            <w:tcBorders>
              <w:top w:val="single" w:sz="4" w:space="0" w:color="auto"/>
              <w:left w:val="nil"/>
              <w:bottom w:val="single" w:sz="4" w:space="0" w:color="auto"/>
              <w:right w:val="nil"/>
            </w:tcBorders>
            <w:hideMark/>
          </w:tcPr>
          <w:p w14:paraId="03F93125" w14:textId="5B76E723" w:rsidR="00E77750" w:rsidRDefault="00E77750" w:rsidP="00E77750">
            <w:pPr>
              <w:tabs>
                <w:tab w:val="left" w:pos="5400"/>
              </w:tabs>
              <w:jc w:val="center"/>
              <w:rPr>
                <w:sz w:val="20"/>
              </w:rPr>
            </w:pPr>
            <w:r>
              <w:rPr>
                <w:sz w:val="20"/>
              </w:rPr>
              <w:t>15</w:t>
            </w:r>
          </w:p>
        </w:tc>
        <w:tc>
          <w:tcPr>
            <w:tcW w:w="3965" w:type="dxa"/>
            <w:tcBorders>
              <w:top w:val="single" w:sz="4" w:space="0" w:color="auto"/>
              <w:left w:val="nil"/>
              <w:bottom w:val="single" w:sz="4" w:space="0" w:color="auto"/>
              <w:right w:val="nil"/>
            </w:tcBorders>
            <w:hideMark/>
          </w:tcPr>
          <w:p w14:paraId="09DF11EA" w14:textId="77777777" w:rsidR="00E77750" w:rsidRDefault="00E77750" w:rsidP="00E77750">
            <w:pPr>
              <w:tabs>
                <w:tab w:val="left" w:pos="5400"/>
              </w:tabs>
              <w:rPr>
                <w:sz w:val="20"/>
              </w:rPr>
            </w:pPr>
            <w:r>
              <w:rPr>
                <w:sz w:val="20"/>
              </w:rPr>
              <w:t>Report numbers of outcome events or summary measures</w:t>
            </w:r>
          </w:p>
        </w:tc>
        <w:tc>
          <w:tcPr>
            <w:tcW w:w="2694" w:type="dxa"/>
            <w:tcBorders>
              <w:top w:val="single" w:sz="4" w:space="0" w:color="auto"/>
              <w:left w:val="nil"/>
              <w:bottom w:val="single" w:sz="4" w:space="0" w:color="auto"/>
              <w:right w:val="nil"/>
            </w:tcBorders>
          </w:tcPr>
          <w:p w14:paraId="69E2CAC0" w14:textId="70CE5E4F" w:rsidR="00E77750" w:rsidRDefault="00967EFC" w:rsidP="00E77750">
            <w:pPr>
              <w:tabs>
                <w:tab w:val="left" w:pos="5400"/>
              </w:tabs>
              <w:rPr>
                <w:sz w:val="20"/>
              </w:rPr>
            </w:pPr>
            <w:r>
              <w:rPr>
                <w:sz w:val="20"/>
              </w:rPr>
              <w:t>Table 1 (</w:t>
            </w:r>
            <w:r w:rsidRPr="00244B4A">
              <w:rPr>
                <w:sz w:val="20"/>
              </w:rPr>
              <w:t>Weighted demographic characteristics by wealth quintile, stratified by gender.</w:t>
            </w:r>
            <w:r>
              <w:rPr>
                <w:sz w:val="20"/>
              </w:rPr>
              <w:t>) and table 4 (</w:t>
            </w:r>
            <w:r w:rsidRPr="00C01840">
              <w:rPr>
                <w:sz w:val="20"/>
              </w:rPr>
              <w:t>Associations between having recently acquired HIV and sexual behaviours among HIV-negative women and men, separately for rural and urban areas (weighted).</w:t>
            </w:r>
            <w:r>
              <w:rPr>
                <w:sz w:val="20"/>
              </w:rPr>
              <w:t>)</w:t>
            </w:r>
          </w:p>
        </w:tc>
      </w:tr>
      <w:tr w:rsidR="00C01840" w14:paraId="32497A14" w14:textId="371C11CB" w:rsidTr="00C01840">
        <w:tc>
          <w:tcPr>
            <w:tcW w:w="1989" w:type="dxa"/>
            <w:vMerge w:val="restart"/>
            <w:tcBorders>
              <w:top w:val="single" w:sz="4" w:space="0" w:color="auto"/>
              <w:left w:val="nil"/>
              <w:bottom w:val="single" w:sz="4" w:space="0" w:color="auto"/>
              <w:right w:val="nil"/>
            </w:tcBorders>
            <w:hideMark/>
          </w:tcPr>
          <w:p w14:paraId="33177EA4" w14:textId="77777777" w:rsidR="00E77750" w:rsidRDefault="00E77750" w:rsidP="00E77750">
            <w:pPr>
              <w:tabs>
                <w:tab w:val="left" w:pos="5400"/>
              </w:tabs>
              <w:rPr>
                <w:bCs/>
                <w:sz w:val="20"/>
              </w:rPr>
            </w:pPr>
            <w:bookmarkStart w:id="66" w:name="bold41" w:colFirst="0" w:colLast="0"/>
            <w:bookmarkStart w:id="67" w:name="italic40" w:colFirst="0" w:colLast="0"/>
            <w:bookmarkEnd w:id="64"/>
            <w:bookmarkEnd w:id="65"/>
            <w:r>
              <w:rPr>
                <w:bCs/>
                <w:sz w:val="20"/>
              </w:rPr>
              <w:t>Main results</w:t>
            </w:r>
          </w:p>
        </w:tc>
        <w:tc>
          <w:tcPr>
            <w:tcW w:w="850" w:type="dxa"/>
            <w:vMerge w:val="restart"/>
            <w:tcBorders>
              <w:top w:val="single" w:sz="4" w:space="0" w:color="auto"/>
              <w:left w:val="nil"/>
              <w:bottom w:val="single" w:sz="4" w:space="0" w:color="auto"/>
              <w:right w:val="nil"/>
            </w:tcBorders>
            <w:hideMark/>
          </w:tcPr>
          <w:p w14:paraId="27621F6A" w14:textId="77777777" w:rsidR="00E77750" w:rsidRDefault="00E77750" w:rsidP="00E77750">
            <w:pPr>
              <w:tabs>
                <w:tab w:val="left" w:pos="5400"/>
              </w:tabs>
              <w:jc w:val="center"/>
              <w:rPr>
                <w:sz w:val="20"/>
              </w:rPr>
            </w:pPr>
            <w:r>
              <w:rPr>
                <w:sz w:val="20"/>
              </w:rPr>
              <w:t>16</w:t>
            </w:r>
          </w:p>
        </w:tc>
        <w:tc>
          <w:tcPr>
            <w:tcW w:w="3965" w:type="dxa"/>
            <w:tcBorders>
              <w:top w:val="single" w:sz="4" w:space="0" w:color="auto"/>
              <w:left w:val="nil"/>
              <w:bottom w:val="single" w:sz="4" w:space="0" w:color="auto"/>
              <w:right w:val="nil"/>
            </w:tcBorders>
            <w:hideMark/>
          </w:tcPr>
          <w:p w14:paraId="7A5BE412" w14:textId="77777777" w:rsidR="00E77750" w:rsidRDefault="00E77750" w:rsidP="00E77750">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2694" w:type="dxa"/>
            <w:tcBorders>
              <w:top w:val="single" w:sz="4" w:space="0" w:color="auto"/>
              <w:left w:val="nil"/>
              <w:bottom w:val="single" w:sz="4" w:space="0" w:color="auto"/>
              <w:right w:val="nil"/>
            </w:tcBorders>
          </w:tcPr>
          <w:p w14:paraId="4AE377AE" w14:textId="035E347D" w:rsidR="00E77750" w:rsidRDefault="000263A7" w:rsidP="00E77750">
            <w:pPr>
              <w:tabs>
                <w:tab w:val="left" w:pos="5400"/>
              </w:tabs>
              <w:rPr>
                <w:sz w:val="20"/>
              </w:rPr>
            </w:pPr>
            <w:r>
              <w:rPr>
                <w:sz w:val="20"/>
              </w:rPr>
              <w:t>Tables 2-5.</w:t>
            </w:r>
          </w:p>
        </w:tc>
      </w:tr>
      <w:bookmarkEnd w:id="66"/>
      <w:bookmarkEnd w:id="67"/>
      <w:tr w:rsidR="00C01840" w14:paraId="70BC34DC" w14:textId="580AF651" w:rsidTr="00C01840">
        <w:tc>
          <w:tcPr>
            <w:tcW w:w="1989" w:type="dxa"/>
            <w:vMerge/>
            <w:tcBorders>
              <w:top w:val="single" w:sz="4" w:space="0" w:color="auto"/>
              <w:left w:val="nil"/>
              <w:bottom w:val="single" w:sz="4" w:space="0" w:color="auto"/>
              <w:right w:val="nil"/>
            </w:tcBorders>
            <w:vAlign w:val="center"/>
            <w:hideMark/>
          </w:tcPr>
          <w:p w14:paraId="47DD2EB3" w14:textId="77777777" w:rsidR="00E77750" w:rsidRDefault="00E77750" w:rsidP="00E77750">
            <w:pPr>
              <w:spacing w:line="240" w:lineRule="auto"/>
              <w:rPr>
                <w:bCs/>
                <w:sz w:val="20"/>
              </w:rPr>
            </w:pPr>
          </w:p>
        </w:tc>
        <w:tc>
          <w:tcPr>
            <w:tcW w:w="850" w:type="dxa"/>
            <w:vMerge/>
            <w:tcBorders>
              <w:top w:val="single" w:sz="4" w:space="0" w:color="auto"/>
              <w:left w:val="nil"/>
              <w:bottom w:val="single" w:sz="4" w:space="0" w:color="auto"/>
              <w:right w:val="nil"/>
            </w:tcBorders>
            <w:vAlign w:val="center"/>
            <w:hideMark/>
          </w:tcPr>
          <w:p w14:paraId="0B557647"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68A72ED3" w14:textId="77777777" w:rsidR="00E77750" w:rsidRDefault="00E77750" w:rsidP="00E77750">
            <w:pPr>
              <w:tabs>
                <w:tab w:val="left" w:pos="5400"/>
              </w:tabs>
              <w:rPr>
                <w:sz w:val="20"/>
              </w:rPr>
            </w:pPr>
            <w:bookmarkStart w:id="68" w:name="bold42"/>
            <w:bookmarkStart w:id="69" w:name="italic41"/>
            <w:bookmarkEnd w:id="68"/>
            <w:bookmarkEnd w:id="69"/>
            <w:r>
              <w:rPr>
                <w:sz w:val="20"/>
              </w:rPr>
              <w:t>(</w:t>
            </w:r>
            <w:r>
              <w:rPr>
                <w:i/>
                <w:sz w:val="20"/>
              </w:rPr>
              <w:t>b</w:t>
            </w:r>
            <w:r>
              <w:rPr>
                <w:sz w:val="20"/>
              </w:rPr>
              <w:t>) Report category boundaries when continuous variables were categorized</w:t>
            </w:r>
          </w:p>
        </w:tc>
        <w:tc>
          <w:tcPr>
            <w:tcW w:w="2694" w:type="dxa"/>
            <w:tcBorders>
              <w:top w:val="single" w:sz="4" w:space="0" w:color="auto"/>
              <w:left w:val="nil"/>
              <w:bottom w:val="single" w:sz="4" w:space="0" w:color="auto"/>
              <w:right w:val="nil"/>
            </w:tcBorders>
          </w:tcPr>
          <w:p w14:paraId="37986A40" w14:textId="565FB732" w:rsidR="00E77750" w:rsidRDefault="00C37602" w:rsidP="00E77750">
            <w:pPr>
              <w:tabs>
                <w:tab w:val="left" w:pos="5400"/>
              </w:tabs>
              <w:rPr>
                <w:sz w:val="20"/>
              </w:rPr>
            </w:pPr>
            <w:r>
              <w:rPr>
                <w:sz w:val="20"/>
              </w:rPr>
              <w:t>NA</w:t>
            </w:r>
          </w:p>
        </w:tc>
      </w:tr>
      <w:tr w:rsidR="00C01840" w14:paraId="611BC1B0" w14:textId="701ECC8E" w:rsidTr="00C01840">
        <w:tc>
          <w:tcPr>
            <w:tcW w:w="1989" w:type="dxa"/>
            <w:vMerge/>
            <w:tcBorders>
              <w:top w:val="single" w:sz="4" w:space="0" w:color="auto"/>
              <w:left w:val="nil"/>
              <w:bottom w:val="single" w:sz="4" w:space="0" w:color="auto"/>
              <w:right w:val="nil"/>
            </w:tcBorders>
            <w:vAlign w:val="center"/>
            <w:hideMark/>
          </w:tcPr>
          <w:p w14:paraId="7F44BE73" w14:textId="77777777" w:rsidR="00E77750" w:rsidRDefault="00E77750" w:rsidP="00E77750">
            <w:pPr>
              <w:spacing w:line="240" w:lineRule="auto"/>
              <w:rPr>
                <w:bCs/>
                <w:sz w:val="20"/>
              </w:rPr>
            </w:pPr>
          </w:p>
        </w:tc>
        <w:tc>
          <w:tcPr>
            <w:tcW w:w="850" w:type="dxa"/>
            <w:vMerge/>
            <w:tcBorders>
              <w:top w:val="single" w:sz="4" w:space="0" w:color="auto"/>
              <w:left w:val="nil"/>
              <w:bottom w:val="single" w:sz="4" w:space="0" w:color="auto"/>
              <w:right w:val="nil"/>
            </w:tcBorders>
            <w:vAlign w:val="center"/>
            <w:hideMark/>
          </w:tcPr>
          <w:p w14:paraId="0B4B3C97" w14:textId="77777777" w:rsidR="00E77750" w:rsidRDefault="00E77750" w:rsidP="00E77750">
            <w:pPr>
              <w:spacing w:line="240" w:lineRule="auto"/>
              <w:rPr>
                <w:sz w:val="20"/>
              </w:rPr>
            </w:pPr>
          </w:p>
        </w:tc>
        <w:tc>
          <w:tcPr>
            <w:tcW w:w="3965" w:type="dxa"/>
            <w:tcBorders>
              <w:top w:val="single" w:sz="4" w:space="0" w:color="auto"/>
              <w:left w:val="nil"/>
              <w:bottom w:val="single" w:sz="4" w:space="0" w:color="auto"/>
              <w:right w:val="nil"/>
            </w:tcBorders>
            <w:hideMark/>
          </w:tcPr>
          <w:p w14:paraId="6060153D" w14:textId="77777777" w:rsidR="00E77750" w:rsidRDefault="00E77750" w:rsidP="00E77750">
            <w:pPr>
              <w:tabs>
                <w:tab w:val="left" w:pos="5400"/>
              </w:tabs>
              <w:rPr>
                <w:sz w:val="20"/>
              </w:rPr>
            </w:pPr>
            <w:bookmarkStart w:id="70" w:name="bold43"/>
            <w:bookmarkStart w:id="71" w:name="italic42"/>
            <w:bookmarkEnd w:id="70"/>
            <w:bookmarkEnd w:id="71"/>
            <w:r>
              <w:rPr>
                <w:sz w:val="20"/>
              </w:rPr>
              <w:t>(</w:t>
            </w:r>
            <w:r>
              <w:rPr>
                <w:i/>
                <w:sz w:val="20"/>
              </w:rPr>
              <w:t>c</w:t>
            </w:r>
            <w:r>
              <w:rPr>
                <w:sz w:val="20"/>
              </w:rPr>
              <w:t xml:space="preserve">) If relevant, consider translating estimates of relative risk into absolute risk for a meaningful </w:t>
            </w:r>
            <w:proofErr w:type="gramStart"/>
            <w:r>
              <w:rPr>
                <w:sz w:val="20"/>
              </w:rPr>
              <w:t>time period</w:t>
            </w:r>
            <w:proofErr w:type="gramEnd"/>
          </w:p>
        </w:tc>
        <w:tc>
          <w:tcPr>
            <w:tcW w:w="2694" w:type="dxa"/>
            <w:tcBorders>
              <w:top w:val="single" w:sz="4" w:space="0" w:color="auto"/>
              <w:left w:val="nil"/>
              <w:bottom w:val="single" w:sz="4" w:space="0" w:color="auto"/>
              <w:right w:val="nil"/>
            </w:tcBorders>
          </w:tcPr>
          <w:p w14:paraId="689A4EE2" w14:textId="30A8877D" w:rsidR="00E77750" w:rsidRDefault="00C37602" w:rsidP="00E77750">
            <w:pPr>
              <w:tabs>
                <w:tab w:val="left" w:pos="5400"/>
              </w:tabs>
              <w:rPr>
                <w:sz w:val="20"/>
              </w:rPr>
            </w:pPr>
            <w:r>
              <w:rPr>
                <w:sz w:val="20"/>
              </w:rPr>
              <w:t>NA</w:t>
            </w:r>
          </w:p>
        </w:tc>
      </w:tr>
      <w:tr w:rsidR="00C01840" w14:paraId="61BFAD0B" w14:textId="1E7995FA" w:rsidTr="00C01840">
        <w:tc>
          <w:tcPr>
            <w:tcW w:w="1989" w:type="dxa"/>
            <w:tcBorders>
              <w:top w:val="single" w:sz="4" w:space="0" w:color="auto"/>
              <w:left w:val="nil"/>
              <w:bottom w:val="single" w:sz="4" w:space="0" w:color="auto"/>
              <w:right w:val="nil"/>
            </w:tcBorders>
            <w:hideMark/>
          </w:tcPr>
          <w:p w14:paraId="00E278CC" w14:textId="71AE8F67" w:rsidR="00E77750" w:rsidRDefault="00E77750" w:rsidP="00E77750">
            <w:pPr>
              <w:tabs>
                <w:tab w:val="left" w:pos="5400"/>
              </w:tabs>
              <w:rPr>
                <w:bCs/>
                <w:sz w:val="20"/>
              </w:rPr>
            </w:pPr>
            <w:bookmarkStart w:id="72" w:name="bold44"/>
            <w:bookmarkStart w:id="73" w:name="italic43"/>
            <w:r>
              <w:rPr>
                <w:bCs/>
                <w:sz w:val="20"/>
              </w:rPr>
              <w:t>Other analyses</w:t>
            </w:r>
            <w:bookmarkEnd w:id="72"/>
            <w:bookmarkEnd w:id="73"/>
          </w:p>
        </w:tc>
        <w:tc>
          <w:tcPr>
            <w:tcW w:w="850" w:type="dxa"/>
            <w:tcBorders>
              <w:top w:val="single" w:sz="4" w:space="0" w:color="auto"/>
              <w:left w:val="nil"/>
              <w:bottom w:val="single" w:sz="4" w:space="0" w:color="auto"/>
              <w:right w:val="nil"/>
            </w:tcBorders>
            <w:hideMark/>
          </w:tcPr>
          <w:p w14:paraId="0B40E741" w14:textId="77777777" w:rsidR="00E77750" w:rsidRDefault="00E77750" w:rsidP="00E77750">
            <w:pPr>
              <w:tabs>
                <w:tab w:val="left" w:pos="5400"/>
              </w:tabs>
              <w:jc w:val="center"/>
              <w:rPr>
                <w:sz w:val="20"/>
              </w:rPr>
            </w:pPr>
            <w:r>
              <w:rPr>
                <w:sz w:val="20"/>
              </w:rPr>
              <w:t>17</w:t>
            </w:r>
          </w:p>
        </w:tc>
        <w:tc>
          <w:tcPr>
            <w:tcW w:w="3965" w:type="dxa"/>
            <w:tcBorders>
              <w:top w:val="single" w:sz="4" w:space="0" w:color="auto"/>
              <w:left w:val="nil"/>
              <w:bottom w:val="single" w:sz="4" w:space="0" w:color="auto"/>
              <w:right w:val="nil"/>
            </w:tcBorders>
            <w:hideMark/>
          </w:tcPr>
          <w:p w14:paraId="53F4647B" w14:textId="77777777" w:rsidR="00E77750" w:rsidRDefault="00E77750" w:rsidP="00E77750">
            <w:pPr>
              <w:tabs>
                <w:tab w:val="left" w:pos="5400"/>
              </w:tabs>
              <w:rPr>
                <w:sz w:val="20"/>
              </w:rPr>
            </w:pPr>
            <w:r>
              <w:rPr>
                <w:sz w:val="20"/>
              </w:rPr>
              <w:t>Report other analyses done—</w:t>
            </w:r>
            <w:proofErr w:type="spellStart"/>
            <w:r>
              <w:rPr>
                <w:sz w:val="20"/>
              </w:rPr>
              <w:t>eg</w:t>
            </w:r>
            <w:proofErr w:type="spellEnd"/>
            <w:r>
              <w:rPr>
                <w:sz w:val="20"/>
              </w:rPr>
              <w:t xml:space="preserve"> analyses of subgroups and interactions, and sensitivity analyses</w:t>
            </w:r>
          </w:p>
        </w:tc>
        <w:tc>
          <w:tcPr>
            <w:tcW w:w="2694" w:type="dxa"/>
            <w:tcBorders>
              <w:top w:val="single" w:sz="4" w:space="0" w:color="auto"/>
              <w:left w:val="nil"/>
              <w:bottom w:val="single" w:sz="4" w:space="0" w:color="auto"/>
              <w:right w:val="nil"/>
            </w:tcBorders>
          </w:tcPr>
          <w:p w14:paraId="397B6BAA" w14:textId="4EA28C5B" w:rsidR="00E77750" w:rsidRDefault="00B401B2" w:rsidP="00E77750">
            <w:pPr>
              <w:tabs>
                <w:tab w:val="left" w:pos="5400"/>
              </w:tabs>
              <w:rPr>
                <w:sz w:val="20"/>
              </w:rPr>
            </w:pPr>
            <w:r>
              <w:rPr>
                <w:sz w:val="20"/>
              </w:rPr>
              <w:t>9 (Sexual behaviours and recent HIV &amp; Drought and recent HIV)</w:t>
            </w:r>
          </w:p>
        </w:tc>
      </w:tr>
      <w:tr w:rsidR="00E77750" w14:paraId="6D74250A" w14:textId="78D46BAD" w:rsidTr="00D43AA5">
        <w:tc>
          <w:tcPr>
            <w:tcW w:w="6804" w:type="dxa"/>
            <w:gridSpan w:val="3"/>
            <w:tcBorders>
              <w:top w:val="single" w:sz="4" w:space="0" w:color="auto"/>
              <w:left w:val="nil"/>
              <w:bottom w:val="single" w:sz="4" w:space="0" w:color="auto"/>
              <w:right w:val="nil"/>
            </w:tcBorders>
            <w:hideMark/>
          </w:tcPr>
          <w:p w14:paraId="115E65CD" w14:textId="078CE611" w:rsidR="00E77750" w:rsidRDefault="00E77750" w:rsidP="00E77750">
            <w:pPr>
              <w:pStyle w:val="TableSubHead"/>
              <w:tabs>
                <w:tab w:val="left" w:pos="5400"/>
              </w:tabs>
              <w:rPr>
                <w:sz w:val="20"/>
              </w:rPr>
            </w:pPr>
            <w:bookmarkStart w:id="74" w:name="bold45"/>
            <w:bookmarkStart w:id="75" w:name="italic44"/>
            <w:r>
              <w:rPr>
                <w:sz w:val="20"/>
              </w:rPr>
              <w:t>Discussion</w:t>
            </w:r>
            <w:bookmarkEnd w:id="74"/>
            <w:bookmarkEnd w:id="75"/>
          </w:p>
        </w:tc>
        <w:tc>
          <w:tcPr>
            <w:tcW w:w="2694" w:type="dxa"/>
            <w:tcBorders>
              <w:top w:val="single" w:sz="4" w:space="0" w:color="auto"/>
              <w:left w:val="nil"/>
              <w:bottom w:val="single" w:sz="4" w:space="0" w:color="auto"/>
              <w:right w:val="nil"/>
            </w:tcBorders>
          </w:tcPr>
          <w:p w14:paraId="0833CB28" w14:textId="77777777" w:rsidR="00E77750" w:rsidRDefault="00E77750" w:rsidP="00E77750">
            <w:pPr>
              <w:pStyle w:val="TableSubHead"/>
              <w:tabs>
                <w:tab w:val="left" w:pos="5400"/>
              </w:tabs>
              <w:rPr>
                <w:sz w:val="20"/>
              </w:rPr>
            </w:pPr>
          </w:p>
        </w:tc>
      </w:tr>
      <w:tr w:rsidR="00C01840" w14:paraId="3C0D65B8" w14:textId="08040751" w:rsidTr="00C01840">
        <w:tc>
          <w:tcPr>
            <w:tcW w:w="1989" w:type="dxa"/>
            <w:tcBorders>
              <w:top w:val="single" w:sz="4" w:space="0" w:color="auto"/>
              <w:left w:val="nil"/>
              <w:bottom w:val="single" w:sz="4" w:space="0" w:color="auto"/>
              <w:right w:val="nil"/>
            </w:tcBorders>
            <w:hideMark/>
          </w:tcPr>
          <w:p w14:paraId="1BBDD9FC" w14:textId="77777777" w:rsidR="00E77750" w:rsidRDefault="00E77750" w:rsidP="00E77750">
            <w:pPr>
              <w:tabs>
                <w:tab w:val="left" w:pos="5400"/>
              </w:tabs>
              <w:rPr>
                <w:bCs/>
                <w:sz w:val="20"/>
              </w:rPr>
            </w:pPr>
            <w:bookmarkStart w:id="76" w:name="bold46" w:colFirst="0" w:colLast="0"/>
            <w:bookmarkStart w:id="77" w:name="italic45" w:colFirst="0" w:colLast="0"/>
            <w:r>
              <w:rPr>
                <w:bCs/>
                <w:sz w:val="20"/>
              </w:rPr>
              <w:t>Key results</w:t>
            </w:r>
          </w:p>
        </w:tc>
        <w:tc>
          <w:tcPr>
            <w:tcW w:w="850" w:type="dxa"/>
            <w:tcBorders>
              <w:top w:val="single" w:sz="4" w:space="0" w:color="auto"/>
              <w:left w:val="nil"/>
              <w:bottom w:val="single" w:sz="4" w:space="0" w:color="auto"/>
              <w:right w:val="nil"/>
            </w:tcBorders>
            <w:hideMark/>
          </w:tcPr>
          <w:p w14:paraId="5D605B02" w14:textId="77777777" w:rsidR="00E77750" w:rsidRDefault="00E77750" w:rsidP="00E77750">
            <w:pPr>
              <w:tabs>
                <w:tab w:val="left" w:pos="5400"/>
              </w:tabs>
              <w:jc w:val="center"/>
              <w:rPr>
                <w:sz w:val="20"/>
              </w:rPr>
            </w:pPr>
            <w:r>
              <w:rPr>
                <w:sz w:val="20"/>
              </w:rPr>
              <w:t>18</w:t>
            </w:r>
          </w:p>
        </w:tc>
        <w:tc>
          <w:tcPr>
            <w:tcW w:w="3965" w:type="dxa"/>
            <w:tcBorders>
              <w:top w:val="single" w:sz="4" w:space="0" w:color="auto"/>
              <w:left w:val="nil"/>
              <w:bottom w:val="single" w:sz="4" w:space="0" w:color="auto"/>
              <w:right w:val="nil"/>
            </w:tcBorders>
            <w:hideMark/>
          </w:tcPr>
          <w:p w14:paraId="549039FC" w14:textId="77777777" w:rsidR="00E77750" w:rsidRDefault="00E77750" w:rsidP="00E77750">
            <w:pPr>
              <w:tabs>
                <w:tab w:val="left" w:pos="5400"/>
              </w:tabs>
              <w:rPr>
                <w:sz w:val="20"/>
              </w:rPr>
            </w:pPr>
            <w:r>
              <w:rPr>
                <w:sz w:val="20"/>
              </w:rPr>
              <w:t>Summarise key results with reference to study objectives</w:t>
            </w:r>
          </w:p>
        </w:tc>
        <w:tc>
          <w:tcPr>
            <w:tcW w:w="2694" w:type="dxa"/>
            <w:tcBorders>
              <w:top w:val="single" w:sz="4" w:space="0" w:color="auto"/>
              <w:left w:val="nil"/>
              <w:bottom w:val="single" w:sz="4" w:space="0" w:color="auto"/>
              <w:right w:val="nil"/>
            </w:tcBorders>
          </w:tcPr>
          <w:p w14:paraId="1D995817" w14:textId="7C51007C" w:rsidR="00E77750" w:rsidRDefault="00D412C0" w:rsidP="00E77750">
            <w:pPr>
              <w:tabs>
                <w:tab w:val="left" w:pos="5400"/>
              </w:tabs>
              <w:rPr>
                <w:sz w:val="20"/>
              </w:rPr>
            </w:pPr>
            <w:r>
              <w:rPr>
                <w:sz w:val="20"/>
              </w:rPr>
              <w:t>10 (first paragraph)</w:t>
            </w:r>
          </w:p>
        </w:tc>
      </w:tr>
      <w:tr w:rsidR="00C01840" w14:paraId="775373B8" w14:textId="1400928D" w:rsidTr="00C01840">
        <w:tc>
          <w:tcPr>
            <w:tcW w:w="1989" w:type="dxa"/>
            <w:tcBorders>
              <w:top w:val="single" w:sz="4" w:space="0" w:color="auto"/>
              <w:left w:val="nil"/>
              <w:bottom w:val="single" w:sz="4" w:space="0" w:color="auto"/>
              <w:right w:val="nil"/>
            </w:tcBorders>
            <w:hideMark/>
          </w:tcPr>
          <w:p w14:paraId="69041045" w14:textId="77777777" w:rsidR="00E77750" w:rsidRDefault="00E77750" w:rsidP="00E77750">
            <w:pPr>
              <w:tabs>
                <w:tab w:val="left" w:pos="5400"/>
              </w:tabs>
              <w:rPr>
                <w:bCs/>
                <w:sz w:val="20"/>
              </w:rPr>
            </w:pPr>
            <w:bookmarkStart w:id="78" w:name="bold47" w:colFirst="0" w:colLast="0"/>
            <w:bookmarkStart w:id="79" w:name="italic46" w:colFirst="0" w:colLast="0"/>
            <w:bookmarkEnd w:id="76"/>
            <w:bookmarkEnd w:id="77"/>
            <w:r>
              <w:rPr>
                <w:bCs/>
                <w:sz w:val="20"/>
              </w:rPr>
              <w:t>Limitations</w:t>
            </w:r>
          </w:p>
        </w:tc>
        <w:tc>
          <w:tcPr>
            <w:tcW w:w="850" w:type="dxa"/>
            <w:tcBorders>
              <w:top w:val="single" w:sz="4" w:space="0" w:color="auto"/>
              <w:left w:val="nil"/>
              <w:bottom w:val="single" w:sz="4" w:space="0" w:color="auto"/>
              <w:right w:val="nil"/>
            </w:tcBorders>
            <w:hideMark/>
          </w:tcPr>
          <w:p w14:paraId="5BF10B65" w14:textId="77777777" w:rsidR="00E77750" w:rsidRDefault="00E77750" w:rsidP="00E77750">
            <w:pPr>
              <w:tabs>
                <w:tab w:val="left" w:pos="5400"/>
              </w:tabs>
              <w:jc w:val="center"/>
              <w:rPr>
                <w:sz w:val="20"/>
              </w:rPr>
            </w:pPr>
            <w:r>
              <w:rPr>
                <w:sz w:val="20"/>
              </w:rPr>
              <w:t>19</w:t>
            </w:r>
          </w:p>
        </w:tc>
        <w:tc>
          <w:tcPr>
            <w:tcW w:w="3965" w:type="dxa"/>
            <w:tcBorders>
              <w:top w:val="single" w:sz="4" w:space="0" w:color="auto"/>
              <w:left w:val="nil"/>
              <w:bottom w:val="single" w:sz="4" w:space="0" w:color="auto"/>
              <w:right w:val="nil"/>
            </w:tcBorders>
            <w:hideMark/>
          </w:tcPr>
          <w:p w14:paraId="494F03D9" w14:textId="77777777" w:rsidR="00E77750" w:rsidRDefault="00E77750" w:rsidP="00E77750">
            <w:pPr>
              <w:tabs>
                <w:tab w:val="left" w:pos="5400"/>
              </w:tabs>
              <w:rPr>
                <w:sz w:val="20"/>
              </w:rPr>
            </w:pPr>
            <w:r>
              <w:rPr>
                <w:sz w:val="20"/>
              </w:rPr>
              <w:t xml:space="preserve">Discuss limitations of the study, </w:t>
            </w:r>
            <w:proofErr w:type="gramStart"/>
            <w:r>
              <w:rPr>
                <w:sz w:val="20"/>
              </w:rPr>
              <w:t>taking into account</w:t>
            </w:r>
            <w:proofErr w:type="gramEnd"/>
            <w:r>
              <w:rPr>
                <w:sz w:val="20"/>
              </w:rPr>
              <w:t xml:space="preserve"> sources of potential bias or imprecision. Discuss both direction and magnitude of any potential bias</w:t>
            </w:r>
          </w:p>
        </w:tc>
        <w:tc>
          <w:tcPr>
            <w:tcW w:w="2694" w:type="dxa"/>
            <w:tcBorders>
              <w:top w:val="single" w:sz="4" w:space="0" w:color="auto"/>
              <w:left w:val="nil"/>
              <w:bottom w:val="single" w:sz="4" w:space="0" w:color="auto"/>
              <w:right w:val="nil"/>
            </w:tcBorders>
          </w:tcPr>
          <w:p w14:paraId="7502F805" w14:textId="6F4B9DD7" w:rsidR="00E77750" w:rsidRDefault="00D412C0" w:rsidP="00E77750">
            <w:pPr>
              <w:tabs>
                <w:tab w:val="left" w:pos="5400"/>
              </w:tabs>
              <w:rPr>
                <w:sz w:val="20"/>
              </w:rPr>
            </w:pPr>
            <w:r>
              <w:rPr>
                <w:sz w:val="20"/>
              </w:rPr>
              <w:t>11 (Strengths and limitations)</w:t>
            </w:r>
          </w:p>
        </w:tc>
      </w:tr>
      <w:tr w:rsidR="00C01840" w14:paraId="1EF9B487" w14:textId="298251A2" w:rsidTr="00C01840">
        <w:tc>
          <w:tcPr>
            <w:tcW w:w="1989" w:type="dxa"/>
            <w:tcBorders>
              <w:top w:val="single" w:sz="4" w:space="0" w:color="auto"/>
              <w:left w:val="nil"/>
              <w:bottom w:val="single" w:sz="4" w:space="0" w:color="auto"/>
              <w:right w:val="nil"/>
            </w:tcBorders>
            <w:hideMark/>
          </w:tcPr>
          <w:p w14:paraId="578B5C84" w14:textId="77777777" w:rsidR="00E77750" w:rsidRDefault="00E77750" w:rsidP="00E77750">
            <w:pPr>
              <w:tabs>
                <w:tab w:val="left" w:pos="5400"/>
              </w:tabs>
              <w:rPr>
                <w:bCs/>
                <w:sz w:val="20"/>
              </w:rPr>
            </w:pPr>
            <w:bookmarkStart w:id="80" w:name="bold48" w:colFirst="0" w:colLast="0"/>
            <w:bookmarkStart w:id="81" w:name="italic47" w:colFirst="0" w:colLast="0"/>
            <w:bookmarkEnd w:id="78"/>
            <w:bookmarkEnd w:id="79"/>
            <w:r>
              <w:rPr>
                <w:bCs/>
                <w:sz w:val="20"/>
              </w:rPr>
              <w:t>Interpretation</w:t>
            </w:r>
          </w:p>
        </w:tc>
        <w:tc>
          <w:tcPr>
            <w:tcW w:w="850" w:type="dxa"/>
            <w:tcBorders>
              <w:top w:val="single" w:sz="4" w:space="0" w:color="auto"/>
              <w:left w:val="nil"/>
              <w:bottom w:val="single" w:sz="4" w:space="0" w:color="auto"/>
              <w:right w:val="nil"/>
            </w:tcBorders>
            <w:hideMark/>
          </w:tcPr>
          <w:p w14:paraId="18692BC4" w14:textId="77777777" w:rsidR="00E77750" w:rsidRDefault="00E77750" w:rsidP="00E77750">
            <w:pPr>
              <w:tabs>
                <w:tab w:val="left" w:pos="5400"/>
              </w:tabs>
              <w:jc w:val="center"/>
              <w:rPr>
                <w:sz w:val="20"/>
              </w:rPr>
            </w:pPr>
            <w:r>
              <w:rPr>
                <w:sz w:val="20"/>
              </w:rPr>
              <w:t>20</w:t>
            </w:r>
          </w:p>
        </w:tc>
        <w:tc>
          <w:tcPr>
            <w:tcW w:w="3965" w:type="dxa"/>
            <w:tcBorders>
              <w:top w:val="single" w:sz="4" w:space="0" w:color="auto"/>
              <w:left w:val="nil"/>
              <w:bottom w:val="single" w:sz="4" w:space="0" w:color="auto"/>
              <w:right w:val="nil"/>
            </w:tcBorders>
            <w:hideMark/>
          </w:tcPr>
          <w:p w14:paraId="15C0C2B1" w14:textId="77777777" w:rsidR="00E77750" w:rsidRDefault="00E77750" w:rsidP="00E7775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2694" w:type="dxa"/>
            <w:tcBorders>
              <w:top w:val="single" w:sz="4" w:space="0" w:color="auto"/>
              <w:left w:val="nil"/>
              <w:bottom w:val="single" w:sz="4" w:space="0" w:color="auto"/>
              <w:right w:val="nil"/>
            </w:tcBorders>
          </w:tcPr>
          <w:p w14:paraId="07827E8F" w14:textId="23150264" w:rsidR="00E77750" w:rsidRDefault="00B16B8A" w:rsidP="00E77750">
            <w:pPr>
              <w:tabs>
                <w:tab w:val="left" w:pos="5400"/>
              </w:tabs>
              <w:rPr>
                <w:sz w:val="20"/>
              </w:rPr>
            </w:pPr>
            <w:r>
              <w:rPr>
                <w:sz w:val="20"/>
              </w:rPr>
              <w:t>12 (Implications)</w:t>
            </w:r>
          </w:p>
        </w:tc>
      </w:tr>
      <w:tr w:rsidR="00C01840" w14:paraId="28306EBA" w14:textId="7517FF18" w:rsidTr="00C01840">
        <w:tc>
          <w:tcPr>
            <w:tcW w:w="1989" w:type="dxa"/>
            <w:tcBorders>
              <w:top w:val="single" w:sz="4" w:space="0" w:color="auto"/>
              <w:left w:val="nil"/>
              <w:bottom w:val="single" w:sz="4" w:space="0" w:color="auto"/>
              <w:right w:val="nil"/>
            </w:tcBorders>
            <w:hideMark/>
          </w:tcPr>
          <w:p w14:paraId="6C8F69AB" w14:textId="77777777" w:rsidR="00E77750" w:rsidRDefault="00E77750" w:rsidP="00E77750">
            <w:pPr>
              <w:tabs>
                <w:tab w:val="left" w:pos="5400"/>
              </w:tabs>
              <w:rPr>
                <w:bCs/>
                <w:sz w:val="20"/>
              </w:rPr>
            </w:pPr>
            <w:bookmarkStart w:id="82" w:name="bold49" w:colFirst="0" w:colLast="0"/>
            <w:bookmarkStart w:id="83" w:name="italic48" w:colFirst="0" w:colLast="0"/>
            <w:bookmarkEnd w:id="80"/>
            <w:bookmarkEnd w:id="81"/>
            <w:r>
              <w:rPr>
                <w:bCs/>
                <w:sz w:val="20"/>
              </w:rPr>
              <w:t>Generalisability</w:t>
            </w:r>
          </w:p>
        </w:tc>
        <w:tc>
          <w:tcPr>
            <w:tcW w:w="850" w:type="dxa"/>
            <w:tcBorders>
              <w:top w:val="single" w:sz="4" w:space="0" w:color="auto"/>
              <w:left w:val="nil"/>
              <w:bottom w:val="single" w:sz="4" w:space="0" w:color="auto"/>
              <w:right w:val="nil"/>
            </w:tcBorders>
            <w:hideMark/>
          </w:tcPr>
          <w:p w14:paraId="54D5C207" w14:textId="77777777" w:rsidR="00E77750" w:rsidRDefault="00E77750" w:rsidP="00E77750">
            <w:pPr>
              <w:tabs>
                <w:tab w:val="left" w:pos="5400"/>
              </w:tabs>
              <w:jc w:val="center"/>
              <w:rPr>
                <w:sz w:val="20"/>
              </w:rPr>
            </w:pPr>
            <w:r>
              <w:rPr>
                <w:sz w:val="20"/>
              </w:rPr>
              <w:t>21</w:t>
            </w:r>
          </w:p>
        </w:tc>
        <w:tc>
          <w:tcPr>
            <w:tcW w:w="3965" w:type="dxa"/>
            <w:tcBorders>
              <w:top w:val="single" w:sz="4" w:space="0" w:color="auto"/>
              <w:left w:val="nil"/>
              <w:bottom w:val="single" w:sz="4" w:space="0" w:color="auto"/>
              <w:right w:val="nil"/>
            </w:tcBorders>
            <w:hideMark/>
          </w:tcPr>
          <w:p w14:paraId="27815897" w14:textId="77777777" w:rsidR="00E77750" w:rsidRDefault="00E77750" w:rsidP="00E77750">
            <w:pPr>
              <w:tabs>
                <w:tab w:val="left" w:pos="5400"/>
              </w:tabs>
              <w:rPr>
                <w:sz w:val="20"/>
              </w:rPr>
            </w:pPr>
            <w:r>
              <w:rPr>
                <w:sz w:val="20"/>
              </w:rPr>
              <w:t>Discuss the generalisability (external validity) of the study results</w:t>
            </w:r>
          </w:p>
        </w:tc>
        <w:tc>
          <w:tcPr>
            <w:tcW w:w="2694" w:type="dxa"/>
            <w:tcBorders>
              <w:top w:val="single" w:sz="4" w:space="0" w:color="auto"/>
              <w:left w:val="nil"/>
              <w:bottom w:val="single" w:sz="4" w:space="0" w:color="auto"/>
              <w:right w:val="nil"/>
            </w:tcBorders>
          </w:tcPr>
          <w:p w14:paraId="34A242AA" w14:textId="0C367AAE" w:rsidR="00E77750" w:rsidRDefault="00E462A2" w:rsidP="00E77750">
            <w:pPr>
              <w:tabs>
                <w:tab w:val="left" w:pos="5400"/>
              </w:tabs>
              <w:rPr>
                <w:sz w:val="20"/>
              </w:rPr>
            </w:pPr>
            <w:r>
              <w:rPr>
                <w:sz w:val="20"/>
              </w:rPr>
              <w:t>11 (Strengths and limitations)</w:t>
            </w:r>
          </w:p>
        </w:tc>
      </w:tr>
      <w:tr w:rsidR="00E77750" w14:paraId="60C6186D" w14:textId="26C7635A" w:rsidTr="00D43AA5">
        <w:tc>
          <w:tcPr>
            <w:tcW w:w="6804" w:type="dxa"/>
            <w:gridSpan w:val="3"/>
            <w:tcBorders>
              <w:top w:val="single" w:sz="4" w:space="0" w:color="auto"/>
              <w:left w:val="nil"/>
              <w:bottom w:val="single" w:sz="4" w:space="0" w:color="auto"/>
              <w:right w:val="nil"/>
            </w:tcBorders>
            <w:hideMark/>
          </w:tcPr>
          <w:p w14:paraId="65148F30" w14:textId="7F09C597" w:rsidR="00E77750" w:rsidRDefault="00E77750" w:rsidP="00E77750">
            <w:pPr>
              <w:pStyle w:val="TableSubHead"/>
              <w:tabs>
                <w:tab w:val="left" w:pos="5400"/>
              </w:tabs>
              <w:rPr>
                <w:sz w:val="20"/>
              </w:rPr>
            </w:pPr>
            <w:bookmarkStart w:id="84" w:name="bold50"/>
            <w:bookmarkStart w:id="85" w:name="italic49"/>
            <w:bookmarkEnd w:id="82"/>
            <w:bookmarkEnd w:id="83"/>
            <w:r>
              <w:rPr>
                <w:sz w:val="20"/>
              </w:rPr>
              <w:t>Other information</w:t>
            </w:r>
            <w:bookmarkEnd w:id="84"/>
            <w:bookmarkEnd w:id="85"/>
          </w:p>
        </w:tc>
        <w:tc>
          <w:tcPr>
            <w:tcW w:w="2694" w:type="dxa"/>
            <w:tcBorders>
              <w:top w:val="single" w:sz="4" w:space="0" w:color="auto"/>
              <w:left w:val="nil"/>
              <w:bottom w:val="single" w:sz="4" w:space="0" w:color="auto"/>
              <w:right w:val="nil"/>
            </w:tcBorders>
          </w:tcPr>
          <w:p w14:paraId="4A3B35C8" w14:textId="77777777" w:rsidR="00E77750" w:rsidRDefault="00E77750" w:rsidP="00E77750">
            <w:pPr>
              <w:pStyle w:val="TableSubHead"/>
              <w:tabs>
                <w:tab w:val="left" w:pos="5400"/>
              </w:tabs>
              <w:rPr>
                <w:sz w:val="20"/>
              </w:rPr>
            </w:pPr>
          </w:p>
        </w:tc>
      </w:tr>
      <w:tr w:rsidR="00C01840" w14:paraId="68ED1384" w14:textId="5C5476FF" w:rsidTr="00C01840">
        <w:tc>
          <w:tcPr>
            <w:tcW w:w="1989" w:type="dxa"/>
            <w:tcBorders>
              <w:top w:val="single" w:sz="4" w:space="0" w:color="auto"/>
              <w:left w:val="nil"/>
              <w:bottom w:val="single" w:sz="4" w:space="0" w:color="auto"/>
              <w:right w:val="nil"/>
            </w:tcBorders>
            <w:hideMark/>
          </w:tcPr>
          <w:p w14:paraId="2AA3EE55" w14:textId="77777777" w:rsidR="00E77750" w:rsidRDefault="00E77750" w:rsidP="00E77750">
            <w:pPr>
              <w:tabs>
                <w:tab w:val="left" w:pos="5400"/>
              </w:tabs>
              <w:rPr>
                <w:bCs/>
                <w:sz w:val="20"/>
              </w:rPr>
            </w:pPr>
            <w:bookmarkStart w:id="86" w:name="italic50" w:colFirst="0" w:colLast="0"/>
            <w:bookmarkStart w:id="87" w:name="bold51" w:colFirst="0" w:colLast="0"/>
            <w:r>
              <w:rPr>
                <w:bCs/>
                <w:sz w:val="20"/>
              </w:rPr>
              <w:t>Funding</w:t>
            </w:r>
          </w:p>
        </w:tc>
        <w:tc>
          <w:tcPr>
            <w:tcW w:w="850" w:type="dxa"/>
            <w:tcBorders>
              <w:top w:val="single" w:sz="4" w:space="0" w:color="auto"/>
              <w:left w:val="nil"/>
              <w:bottom w:val="single" w:sz="4" w:space="0" w:color="auto"/>
              <w:right w:val="nil"/>
            </w:tcBorders>
            <w:hideMark/>
          </w:tcPr>
          <w:p w14:paraId="6DFAF975" w14:textId="77777777" w:rsidR="00E77750" w:rsidRDefault="00E77750" w:rsidP="00E77750">
            <w:pPr>
              <w:tabs>
                <w:tab w:val="left" w:pos="5400"/>
              </w:tabs>
              <w:jc w:val="center"/>
              <w:rPr>
                <w:sz w:val="20"/>
              </w:rPr>
            </w:pPr>
            <w:r>
              <w:rPr>
                <w:sz w:val="20"/>
              </w:rPr>
              <w:t>22</w:t>
            </w:r>
          </w:p>
        </w:tc>
        <w:tc>
          <w:tcPr>
            <w:tcW w:w="3965" w:type="dxa"/>
            <w:tcBorders>
              <w:top w:val="single" w:sz="4" w:space="0" w:color="auto"/>
              <w:left w:val="nil"/>
              <w:bottom w:val="single" w:sz="4" w:space="0" w:color="auto"/>
              <w:right w:val="nil"/>
            </w:tcBorders>
            <w:hideMark/>
          </w:tcPr>
          <w:p w14:paraId="504101C0" w14:textId="77777777" w:rsidR="00E77750" w:rsidRDefault="00E77750" w:rsidP="00E77750">
            <w:pPr>
              <w:tabs>
                <w:tab w:val="left" w:pos="5400"/>
              </w:tabs>
              <w:rPr>
                <w:sz w:val="20"/>
              </w:rPr>
            </w:pPr>
            <w:r>
              <w:rPr>
                <w:sz w:val="20"/>
              </w:rPr>
              <w:t>Give the source of funding and the role of the funders for the present study and, if applicable, for the original study on which the present article is based</w:t>
            </w:r>
          </w:p>
        </w:tc>
        <w:tc>
          <w:tcPr>
            <w:tcW w:w="2694" w:type="dxa"/>
            <w:tcBorders>
              <w:top w:val="single" w:sz="4" w:space="0" w:color="auto"/>
              <w:left w:val="nil"/>
              <w:bottom w:val="single" w:sz="4" w:space="0" w:color="auto"/>
              <w:right w:val="nil"/>
            </w:tcBorders>
          </w:tcPr>
          <w:p w14:paraId="2F660A93" w14:textId="59E3D58E" w:rsidR="00E77750" w:rsidRDefault="00014345" w:rsidP="00E77750">
            <w:pPr>
              <w:tabs>
                <w:tab w:val="left" w:pos="5400"/>
              </w:tabs>
              <w:rPr>
                <w:sz w:val="20"/>
              </w:rPr>
            </w:pPr>
            <w:r>
              <w:rPr>
                <w:sz w:val="20"/>
              </w:rPr>
              <w:t>2 (Abstract)</w:t>
            </w:r>
          </w:p>
        </w:tc>
      </w:tr>
      <w:bookmarkEnd w:id="86"/>
      <w:bookmarkEnd w:id="87"/>
    </w:tbl>
    <w:p w14:paraId="26919A04" w14:textId="77777777" w:rsidR="008C1163" w:rsidRDefault="008C1163" w:rsidP="001D05A0">
      <w:pPr>
        <w:autoSpaceDE w:val="0"/>
        <w:autoSpaceDN w:val="0"/>
        <w:adjustRightInd w:val="0"/>
        <w:spacing w:after="0" w:line="240" w:lineRule="auto"/>
      </w:pPr>
    </w:p>
    <w:p w14:paraId="0C33A032" w14:textId="77777777" w:rsidR="001D05A0" w:rsidRDefault="001D05A0" w:rsidP="001D05A0">
      <w:r>
        <w:br w:type="page"/>
      </w:r>
    </w:p>
    <w:p w14:paraId="21C35E82" w14:textId="77777777" w:rsidR="001D05A0" w:rsidRDefault="001D05A0" w:rsidP="003773EC">
      <w:pPr>
        <w:autoSpaceDE w:val="0"/>
        <w:autoSpaceDN w:val="0"/>
        <w:adjustRightInd w:val="0"/>
        <w:spacing w:after="0" w:line="240" w:lineRule="auto"/>
        <w:sectPr w:rsidR="001D05A0" w:rsidSect="009B3B07">
          <w:pgSz w:w="11906" w:h="16838"/>
          <w:pgMar w:top="1440" w:right="1440" w:bottom="1440" w:left="1440" w:header="709" w:footer="709" w:gutter="0"/>
          <w:cols w:space="708"/>
          <w:docGrid w:linePitch="360"/>
        </w:sectPr>
      </w:pPr>
    </w:p>
    <w:p w14:paraId="7812799B" w14:textId="2BCB1944" w:rsidR="00323E26" w:rsidRPr="00323E26" w:rsidRDefault="00323E26">
      <w:pPr>
        <w:rPr>
          <w:b/>
          <w:bCs/>
        </w:rPr>
      </w:pPr>
      <w:r w:rsidRPr="00323E26">
        <w:rPr>
          <w:b/>
          <w:bCs/>
        </w:rPr>
        <w:lastRenderedPageBreak/>
        <w:t>References</w:t>
      </w:r>
    </w:p>
    <w:p w14:paraId="7EB3C92F" w14:textId="77777777" w:rsidR="00014750" w:rsidRPr="00014750" w:rsidRDefault="00323E26" w:rsidP="00014750">
      <w:pPr>
        <w:pStyle w:val="EndNoteBibliography"/>
        <w:spacing w:after="0"/>
      </w:pPr>
      <w:r>
        <w:fldChar w:fldCharType="begin"/>
      </w:r>
      <w:r>
        <w:instrText xml:space="preserve"> ADDIN EN.REFLIST </w:instrText>
      </w:r>
      <w:r>
        <w:fldChar w:fldCharType="separate"/>
      </w:r>
      <w:r w:rsidR="00014750" w:rsidRPr="00014750">
        <w:t>1.</w:t>
      </w:r>
      <w:r w:rsidR="00014750" w:rsidRPr="00014750">
        <w:tab/>
        <w:t>Low A, Gummerson E, Schwitters A, Bonifacio R, Teferi M, Mutenda N, et al. Food insecurity and the risk of HIV acquisition: findings from population-based surveys in six sub-Saharan African countries (2016-2017). Bmj Open. 2022;12(7).</w:t>
      </w:r>
    </w:p>
    <w:p w14:paraId="23AE36B8" w14:textId="77777777" w:rsidR="00014750" w:rsidRPr="00014750" w:rsidRDefault="00014750" w:rsidP="00014750">
      <w:pPr>
        <w:pStyle w:val="EndNoteBibliography"/>
        <w:spacing w:after="0"/>
      </w:pPr>
      <w:r w:rsidRPr="00014750">
        <w:t>2.</w:t>
      </w:r>
      <w:r w:rsidRPr="00014750">
        <w:tab/>
        <w:t>Pendergrass AG, Knutti R, Lehner F, Deser C, Sanderson BM. Precipitation variability increases in a warmer climate. Sci Rep. 2017;7(1):17966.</w:t>
      </w:r>
    </w:p>
    <w:p w14:paraId="615451F9" w14:textId="77777777" w:rsidR="00014750" w:rsidRPr="00014750" w:rsidRDefault="00014750" w:rsidP="00014750">
      <w:pPr>
        <w:pStyle w:val="EndNoteBibliography"/>
        <w:spacing w:after="0"/>
      </w:pPr>
      <w:r w:rsidRPr="00014750">
        <w:t>3.</w:t>
      </w:r>
      <w:r w:rsidRPr="00014750">
        <w:tab/>
        <w:t>ICAP at Columbia. Population-based HIV Impact Assessment (PHIA) Data Use Manual. New York, NY; 2019 July 2019.</w:t>
      </w:r>
    </w:p>
    <w:p w14:paraId="137D57B5" w14:textId="77777777" w:rsidR="00014750" w:rsidRPr="00014750" w:rsidRDefault="00014750" w:rsidP="00014750">
      <w:pPr>
        <w:pStyle w:val="EndNoteBibliography"/>
        <w:spacing w:after="0"/>
      </w:pPr>
      <w:r w:rsidRPr="00014750">
        <w:t>4.</w:t>
      </w:r>
      <w:r w:rsidRPr="00014750">
        <w:tab/>
        <w:t>Filmer D, Pritchett LH. Estimating wealth effects without expenditure data - Or tears: An application to educational enrollments in states of India. Demography. 2001;38(1):115-32.</w:t>
      </w:r>
    </w:p>
    <w:p w14:paraId="726C5ED1" w14:textId="77777777" w:rsidR="00014750" w:rsidRPr="00014750" w:rsidRDefault="00014750" w:rsidP="00014750">
      <w:pPr>
        <w:pStyle w:val="EndNoteBibliography"/>
        <w:spacing w:after="0"/>
      </w:pPr>
      <w:r w:rsidRPr="00014750">
        <w:t>5.</w:t>
      </w:r>
      <w:r w:rsidRPr="00014750">
        <w:tab/>
        <w:t>Rutstein S, Kiersten J. The DHS Wealth Index. Calverton, Maryland: ORC Macro;; 2004.</w:t>
      </w:r>
    </w:p>
    <w:p w14:paraId="05F37CD9" w14:textId="77777777" w:rsidR="00014750" w:rsidRPr="00014750" w:rsidRDefault="00014750" w:rsidP="00014750">
      <w:pPr>
        <w:pStyle w:val="EndNoteBibliography"/>
        <w:spacing w:after="0"/>
      </w:pPr>
      <w:r w:rsidRPr="00014750">
        <w:t>6.</w:t>
      </w:r>
      <w:r w:rsidRPr="00014750">
        <w:tab/>
        <w:t>Howe LD, Hargreaves JR, Huttly SR. Issues in the construction of wealth indices for the measurement of socio-economic position in low-income countries. Emerg Themes Epidemiol. 2008;5:3.</w:t>
      </w:r>
    </w:p>
    <w:p w14:paraId="5AFE9A61" w14:textId="77777777" w:rsidR="00014750" w:rsidRPr="00014750" w:rsidRDefault="00014750" w:rsidP="00014750">
      <w:pPr>
        <w:pStyle w:val="EndNoteBibliography"/>
        <w:spacing w:after="0"/>
      </w:pPr>
      <w:r w:rsidRPr="00014750">
        <w:t>7.</w:t>
      </w:r>
      <w:r w:rsidRPr="00014750">
        <w:tab/>
        <w:t>Kaiser BN, Hruschka D, Hadley C. Measuring material wealth in low-income settings: A conceptual and how-to guide. Am J Hum Biol. 2017;29(4).</w:t>
      </w:r>
    </w:p>
    <w:p w14:paraId="5492AED5" w14:textId="77777777" w:rsidR="00014750" w:rsidRPr="00014750" w:rsidRDefault="00014750" w:rsidP="00014750">
      <w:pPr>
        <w:pStyle w:val="EndNoteBibliography"/>
        <w:spacing w:after="0"/>
      </w:pPr>
      <w:r w:rsidRPr="00014750">
        <w:t>8.</w:t>
      </w:r>
      <w:r w:rsidRPr="00014750">
        <w:tab/>
        <w:t>Burke M, Gong E, Jones K. Income Shocks and HIV in Africa. Econ J. 2015;125(585):1157-89.</w:t>
      </w:r>
    </w:p>
    <w:p w14:paraId="717AD4A9" w14:textId="77777777" w:rsidR="00014750" w:rsidRPr="00014750" w:rsidRDefault="00014750" w:rsidP="00014750">
      <w:pPr>
        <w:pStyle w:val="EndNoteBibliography"/>
        <w:spacing w:after="0"/>
      </w:pPr>
      <w:r w:rsidRPr="00014750">
        <w:t>9.</w:t>
      </w:r>
      <w:r w:rsidRPr="00014750">
        <w:tab/>
        <w:t>Low AJ, Frederix K, McCracken S, Manyau S, Gummerson E, Radin E, et al. Association between severe drought and HIV prevention and care behaviors in Lesotho: A population-based survey 2016-2017. Plos Med. 2019;16(1).</w:t>
      </w:r>
    </w:p>
    <w:p w14:paraId="75161003" w14:textId="77777777" w:rsidR="00014750" w:rsidRPr="00014750" w:rsidRDefault="00014750" w:rsidP="00014750">
      <w:pPr>
        <w:pStyle w:val="EndNoteBibliography"/>
        <w:spacing w:after="0"/>
      </w:pPr>
      <w:r w:rsidRPr="00014750">
        <w:t>10.</w:t>
      </w:r>
      <w:r w:rsidRPr="00014750">
        <w:tab/>
        <w:t>Treibich C, Bell E, Blanc E, Lepine A. From a drought to HIV: An analysis of the effect of droughts on transactional sex and sexually transmitted infections in Malawi. Ssm-Popul Hlth. 2022;19.</w:t>
      </w:r>
    </w:p>
    <w:p w14:paraId="2DF22FA8" w14:textId="77777777" w:rsidR="00014750" w:rsidRPr="00014750" w:rsidRDefault="00014750" w:rsidP="00014750">
      <w:pPr>
        <w:pStyle w:val="EndNoteBibliography"/>
        <w:spacing w:after="0"/>
      </w:pPr>
      <w:r w:rsidRPr="00014750">
        <w:t>11.</w:t>
      </w:r>
      <w:r w:rsidRPr="00014750">
        <w:tab/>
        <w:t>Austin KF, Noble MD, Berndt VK. Drying Climates and Gendered Suffering: Links Between Drought, Food Insecurity, and Women's HIV in Less-Developed Countries. Soc Indic Res. 2021;154(1):313-34.</w:t>
      </w:r>
    </w:p>
    <w:p w14:paraId="09838250" w14:textId="77777777" w:rsidR="00014750" w:rsidRPr="00014750" w:rsidRDefault="00014750" w:rsidP="00014750">
      <w:pPr>
        <w:pStyle w:val="EndNoteBibliography"/>
        <w:spacing w:after="0"/>
      </w:pPr>
      <w:r w:rsidRPr="00014750">
        <w:t>12.</w:t>
      </w:r>
      <w:r w:rsidRPr="00014750">
        <w:tab/>
        <w:t>Epstein A, Nagata JM, Ganson KT, Nash D, Saberi P, Tsai AC, et al. Drought, HIV Testing, and HIV Transmission Risk Behaviors: A Population-Based Study in 10 High HIV Prevalence Countries in Sub-Saharan Africa. Aids Behav. 2022.</w:t>
      </w:r>
    </w:p>
    <w:p w14:paraId="6400D403" w14:textId="77777777" w:rsidR="00014750" w:rsidRPr="00014750" w:rsidRDefault="00014750" w:rsidP="00014750">
      <w:pPr>
        <w:pStyle w:val="EndNoteBibliography"/>
        <w:spacing w:after="0"/>
      </w:pPr>
      <w:r w:rsidRPr="00014750">
        <w:t>13.</w:t>
      </w:r>
      <w:r w:rsidRPr="00014750">
        <w:tab/>
        <w:t>UNAIDS. Climate Change and AIDS: A Joint Working Paper. 2008.</w:t>
      </w:r>
    </w:p>
    <w:p w14:paraId="38DE84F3" w14:textId="77777777" w:rsidR="00014750" w:rsidRPr="00014750" w:rsidRDefault="00014750" w:rsidP="00014750">
      <w:pPr>
        <w:pStyle w:val="EndNoteBibliography"/>
        <w:spacing w:after="0"/>
      </w:pPr>
      <w:r w:rsidRPr="00014750">
        <w:t>14.</w:t>
      </w:r>
      <w:r w:rsidRPr="00014750">
        <w:tab/>
        <w:t>Azzarri C, Signorelli S. Climate and poverty in Africa South of the Sahara. World Dev. 2020;125.</w:t>
      </w:r>
    </w:p>
    <w:p w14:paraId="15B70BD0" w14:textId="77777777" w:rsidR="00014750" w:rsidRPr="00014750" w:rsidRDefault="00014750" w:rsidP="00014750">
      <w:pPr>
        <w:pStyle w:val="EndNoteBibliography"/>
        <w:spacing w:after="0"/>
      </w:pPr>
      <w:r w:rsidRPr="00014750">
        <w:t>15.</w:t>
      </w:r>
      <w:r w:rsidRPr="00014750">
        <w:tab/>
        <w:t>Hallegate S, Bangalore M, Bonzanigo L, Fay M, Kane T, Narloch U, et al. Shock Waves: Managing the Impacts of Climate Change on Poverty. Washington, DC.: World Bank,; 2016.</w:t>
      </w:r>
    </w:p>
    <w:p w14:paraId="6153BE49" w14:textId="77777777" w:rsidR="00014750" w:rsidRPr="00014750" w:rsidRDefault="00014750" w:rsidP="00014750">
      <w:pPr>
        <w:pStyle w:val="EndNoteBibliography"/>
        <w:spacing w:after="0"/>
      </w:pPr>
      <w:r w:rsidRPr="00014750">
        <w:t>16.</w:t>
      </w:r>
      <w:r w:rsidRPr="00014750">
        <w:tab/>
        <w:t>Hope KR. Climate change and poverty in Africa. Int J Sust Dev World. 2009;16(6):451-61.</w:t>
      </w:r>
    </w:p>
    <w:p w14:paraId="66BE2CEF" w14:textId="77777777" w:rsidR="00014750" w:rsidRPr="00014750" w:rsidRDefault="00014750" w:rsidP="00014750">
      <w:pPr>
        <w:pStyle w:val="EndNoteBibliography"/>
        <w:spacing w:after="0"/>
      </w:pPr>
      <w:r w:rsidRPr="00014750">
        <w:t>17.</w:t>
      </w:r>
      <w:r w:rsidRPr="00014750">
        <w:tab/>
        <w:t>Mani A, Mullainathan S, Shafir E, Zhao JY. Poverty Impedes Cognitive Function. Science. 2013;341(6149):976-80.</w:t>
      </w:r>
    </w:p>
    <w:p w14:paraId="1E912EC1" w14:textId="77777777" w:rsidR="00014750" w:rsidRPr="00014750" w:rsidRDefault="00014750" w:rsidP="00014750">
      <w:pPr>
        <w:pStyle w:val="EndNoteBibliography"/>
        <w:spacing w:after="0"/>
      </w:pPr>
      <w:r w:rsidRPr="00014750">
        <w:t>18.</w:t>
      </w:r>
      <w:r w:rsidRPr="00014750">
        <w:tab/>
        <w:t>Ali R, Tadele A. Risky Sexual Behavior across Extremes of Wealth in sub-Saharan Africa: A Meta-Analysis of Demographic and Health Surveys. Ethiop J Health Sci. 2021;31(1):159-66.</w:t>
      </w:r>
    </w:p>
    <w:p w14:paraId="3BAE6542" w14:textId="77777777" w:rsidR="00014750" w:rsidRPr="00014750" w:rsidRDefault="00014750" w:rsidP="00014750">
      <w:pPr>
        <w:pStyle w:val="EndNoteBibliography"/>
        <w:spacing w:after="0"/>
      </w:pPr>
      <w:r w:rsidRPr="00014750">
        <w:t>19.</w:t>
      </w:r>
      <w:r w:rsidRPr="00014750">
        <w:tab/>
        <w:t>Adair T. Men's condom use in higher-risk sex: Trends in five sub-Saharan African countries. Journal of Population Research. 2208;25:51-62.</w:t>
      </w:r>
    </w:p>
    <w:p w14:paraId="498737FA" w14:textId="77777777" w:rsidR="00014750" w:rsidRPr="00014750" w:rsidRDefault="00014750" w:rsidP="00014750">
      <w:pPr>
        <w:pStyle w:val="EndNoteBibliography"/>
        <w:spacing w:after="0"/>
      </w:pPr>
      <w:r w:rsidRPr="00014750">
        <w:t>20.</w:t>
      </w:r>
      <w:r w:rsidRPr="00014750">
        <w:tab/>
        <w:t>Phiri M, Lemba M, Chomba C, Kanyamuna V. Examining differentials in HIV transmission risk behaviour and its associated factors among men in Southern African countries. Hum Soc Sci Commun. 2022;9(1).</w:t>
      </w:r>
    </w:p>
    <w:p w14:paraId="0A1E3A93" w14:textId="77777777" w:rsidR="00014750" w:rsidRPr="00014750" w:rsidRDefault="00014750" w:rsidP="00014750">
      <w:pPr>
        <w:pStyle w:val="EndNoteBibliography"/>
        <w:spacing w:after="0"/>
      </w:pPr>
      <w:r w:rsidRPr="00014750">
        <w:t>21.</w:t>
      </w:r>
      <w:r w:rsidRPr="00014750">
        <w:tab/>
        <w:t>Kenyon CR, Osbak K, Buyze J, Johnson S, van Lankveld J. Variations of Sexual Scripts Relating to Concurrency by Race, Class, and Gender in South Africa. J Sex Res. 2015;52(8):878-86.</w:t>
      </w:r>
    </w:p>
    <w:p w14:paraId="13BBB078" w14:textId="77777777" w:rsidR="00014750" w:rsidRPr="00014750" w:rsidRDefault="00014750" w:rsidP="00014750">
      <w:pPr>
        <w:pStyle w:val="EndNoteBibliography"/>
        <w:spacing w:after="0"/>
      </w:pPr>
      <w:r w:rsidRPr="00014750">
        <w:t>22.</w:t>
      </w:r>
      <w:r w:rsidRPr="00014750">
        <w:tab/>
        <w:t>Mah TL. Prevalence and Correlates of Concurrent Sexual Partnerships Among Young People in South Africa. Sex Transm Dis. 2010;37(2):105-8.</w:t>
      </w:r>
    </w:p>
    <w:p w14:paraId="703F00A6" w14:textId="77777777" w:rsidR="00014750" w:rsidRPr="00014750" w:rsidRDefault="00014750" w:rsidP="00014750">
      <w:pPr>
        <w:pStyle w:val="EndNoteBibliography"/>
        <w:spacing w:after="0"/>
      </w:pPr>
      <w:r w:rsidRPr="00014750">
        <w:t>23.</w:t>
      </w:r>
      <w:r w:rsidRPr="00014750">
        <w:tab/>
        <w:t>Kenyon C, Colebunders R. Correlates of concurrency among young people in Carletonville, South Africa. Sahara J-J Soc Asp H. 2015;12(1):51-8.</w:t>
      </w:r>
    </w:p>
    <w:p w14:paraId="36DCA38D" w14:textId="77777777" w:rsidR="00014750" w:rsidRPr="00014750" w:rsidRDefault="00014750" w:rsidP="00014750">
      <w:pPr>
        <w:pStyle w:val="EndNoteBibliography"/>
        <w:spacing w:after="0"/>
      </w:pPr>
      <w:r w:rsidRPr="00014750">
        <w:lastRenderedPageBreak/>
        <w:t>24.</w:t>
      </w:r>
      <w:r w:rsidRPr="00014750">
        <w:tab/>
        <w:t>Pascoe SJS, Langhaug LF, Mavhu W, Hargreaves J, Jaffar S, Hayes R, et al. Poverty, Food Insufficiency and HIV Infection and Sexual Behaviour among Young Rural Zimbabwean Women. Plos One. 2015;10(1).</w:t>
      </w:r>
    </w:p>
    <w:p w14:paraId="4D513151" w14:textId="77777777" w:rsidR="00014750" w:rsidRPr="00014750" w:rsidRDefault="00014750" w:rsidP="00014750">
      <w:pPr>
        <w:pStyle w:val="EndNoteBibliography"/>
        <w:spacing w:after="0"/>
      </w:pPr>
      <w:r w:rsidRPr="00014750">
        <w:t>25.</w:t>
      </w:r>
      <w:r w:rsidRPr="00014750">
        <w:tab/>
        <w:t>Muchomba FM, Wang JSH, Agosta LM. Women's land ownership and risk of HIV infection in Kenya. Soc Sci Med. 2014;114:97-102.</w:t>
      </w:r>
    </w:p>
    <w:p w14:paraId="563068AC" w14:textId="77777777" w:rsidR="00014750" w:rsidRPr="00014750" w:rsidRDefault="00014750" w:rsidP="00014750">
      <w:pPr>
        <w:pStyle w:val="EndNoteBibliography"/>
        <w:spacing w:after="0"/>
      </w:pPr>
      <w:r w:rsidRPr="00014750">
        <w:t>26.</w:t>
      </w:r>
      <w:r w:rsidRPr="00014750">
        <w:tab/>
        <w:t>Miller CL, Bangsberg DR, Tuller DM, Senkungu J, Kawuma A, Frongillo EA, et al. Food Insecurity and Sexual Risk in an HIV Endemic Community in Uganda. Aids Behav. 2011;15(7):1512-9.</w:t>
      </w:r>
    </w:p>
    <w:p w14:paraId="38E0F954" w14:textId="77777777" w:rsidR="00014750" w:rsidRPr="00014750" w:rsidRDefault="00014750" w:rsidP="00014750">
      <w:pPr>
        <w:pStyle w:val="EndNoteBibliography"/>
        <w:spacing w:after="0"/>
      </w:pPr>
      <w:r w:rsidRPr="00014750">
        <w:t>27.</w:t>
      </w:r>
      <w:r w:rsidRPr="00014750">
        <w:tab/>
        <w:t>McCoy SI, Ralph LJ, Njau PF, Msolla MM, Padian NS. Food Insecurity, Socioeconomic Status, and HIV-Related Risk Behavior Among Women in Farming Households in Tanzania. Aids Behav. 2014;18(7):1224-36.</w:t>
      </w:r>
    </w:p>
    <w:p w14:paraId="0E0A5AD6" w14:textId="77777777" w:rsidR="00014750" w:rsidRPr="00014750" w:rsidRDefault="00014750" w:rsidP="00014750">
      <w:pPr>
        <w:pStyle w:val="EndNoteBibliography"/>
        <w:spacing w:after="0"/>
      </w:pPr>
      <w:r w:rsidRPr="00014750">
        <w:t>28.</w:t>
      </w:r>
      <w:r w:rsidRPr="00014750">
        <w:tab/>
        <w:t>Weiser SD, Leiter K, Bangsberg DR, Butler LM, Korte FPD, Hlanze Z, et al. Food insufficiency is associated with high-risk sexual behavior among women in Botswana and Swaziland. Plos Med. 2007;4(10):1589-98.</w:t>
      </w:r>
    </w:p>
    <w:p w14:paraId="1C3CA761" w14:textId="77777777" w:rsidR="00014750" w:rsidRPr="00014750" w:rsidRDefault="00014750" w:rsidP="00014750">
      <w:pPr>
        <w:pStyle w:val="EndNoteBibliography"/>
        <w:spacing w:after="0"/>
      </w:pPr>
      <w:r w:rsidRPr="00014750">
        <w:t>29.</w:t>
      </w:r>
      <w:r w:rsidRPr="00014750">
        <w:tab/>
        <w:t>Wamoyi J, Stobeanau K, Bobrova N, Abramsky T, Watts C. Transactional sex and risk for HIV infection in sub-Saharan Africa: a systematic review and meta-analysis. J Int Aids Soc. 2016;19.</w:t>
      </w:r>
    </w:p>
    <w:p w14:paraId="60A6A912" w14:textId="77777777" w:rsidR="00014750" w:rsidRPr="00014750" w:rsidRDefault="00014750" w:rsidP="00014750">
      <w:pPr>
        <w:pStyle w:val="EndNoteBibliography"/>
        <w:spacing w:after="0"/>
      </w:pPr>
      <w:r w:rsidRPr="00014750">
        <w:t>30.</w:t>
      </w:r>
      <w:r w:rsidRPr="00014750">
        <w:tab/>
        <w:t>Bajunirwe F, Semakula D, Izudi J. Risk of HIV infection among adolescent girls and young women in age-disparate relationships in sub-Saharan Africa. Aids. 2020;34(10):1539-48.</w:t>
      </w:r>
    </w:p>
    <w:p w14:paraId="24549694" w14:textId="77777777" w:rsidR="00014750" w:rsidRPr="00014750" w:rsidRDefault="00014750" w:rsidP="00014750">
      <w:pPr>
        <w:pStyle w:val="EndNoteBibliography"/>
      </w:pPr>
      <w:r w:rsidRPr="00014750">
        <w:t>31.</w:t>
      </w:r>
      <w:r w:rsidRPr="00014750">
        <w:tab/>
        <w:t>Ayton S, Schwitters A, Mantell JE, Nuwagaba-Biribonwoha H, Hakim A, Hoffman S, et al. Male partner age, viral load, and HIV infection in adolescent girls and young women: Evidence from eight sub-Saharan African countries. Aids. 2022.</w:t>
      </w:r>
    </w:p>
    <w:p w14:paraId="1DD5AEA5" w14:textId="4787159A" w:rsidR="00E76D9C" w:rsidRPr="00ED433C" w:rsidRDefault="00323E26">
      <w:r>
        <w:fldChar w:fldCharType="end"/>
      </w:r>
    </w:p>
    <w:sectPr w:rsidR="00E76D9C" w:rsidRPr="00ED433C" w:rsidSect="009B3B0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9A766" w14:textId="77777777" w:rsidR="00E528D2" w:rsidRDefault="00E528D2" w:rsidP="0075132F">
      <w:pPr>
        <w:spacing w:after="0" w:line="240" w:lineRule="auto"/>
      </w:pPr>
      <w:r>
        <w:separator/>
      </w:r>
    </w:p>
  </w:endnote>
  <w:endnote w:type="continuationSeparator" w:id="0">
    <w:p w14:paraId="4411F860" w14:textId="77777777" w:rsidR="00E528D2" w:rsidRDefault="00E528D2" w:rsidP="0075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C381" w14:textId="77777777" w:rsidR="004E5AD1" w:rsidRDefault="004E5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730547"/>
      <w:docPartObj>
        <w:docPartGallery w:val="Page Numbers (Bottom of Page)"/>
        <w:docPartUnique/>
      </w:docPartObj>
    </w:sdtPr>
    <w:sdtEndPr>
      <w:rPr>
        <w:noProof/>
      </w:rPr>
    </w:sdtEndPr>
    <w:sdtContent>
      <w:p w14:paraId="54478072" w14:textId="1AC4B0AA" w:rsidR="0085361D" w:rsidRDefault="00853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822BA0" w14:textId="77777777" w:rsidR="0085361D" w:rsidRDefault="008536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3200" w14:textId="77777777" w:rsidR="004E5AD1" w:rsidRDefault="004E5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63389" w14:textId="77777777" w:rsidR="00E528D2" w:rsidRDefault="00E528D2" w:rsidP="0075132F">
      <w:pPr>
        <w:spacing w:after="0" w:line="240" w:lineRule="auto"/>
      </w:pPr>
      <w:r>
        <w:separator/>
      </w:r>
    </w:p>
  </w:footnote>
  <w:footnote w:type="continuationSeparator" w:id="0">
    <w:p w14:paraId="50B1B87A" w14:textId="77777777" w:rsidR="00E528D2" w:rsidRDefault="00E528D2" w:rsidP="00751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19A5" w14:textId="77777777" w:rsidR="004E5AD1" w:rsidRDefault="004E5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9644" w14:textId="77777777" w:rsidR="004E5AD1" w:rsidRDefault="004E5A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CCDC" w14:textId="77777777" w:rsidR="004E5AD1" w:rsidRDefault="004E5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14EC"/>
    <w:multiLevelType w:val="hybridMultilevel"/>
    <w:tmpl w:val="9378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B64727"/>
    <w:multiLevelType w:val="hybridMultilevel"/>
    <w:tmpl w:val="B9BC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3310634">
    <w:abstractNumId w:val="0"/>
  </w:num>
  <w:num w:numId="2" w16cid:durableId="1866864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azretsn59atee0dznxe5pfazpsd9sva20f&quot;&gt;Climate change and HIV-Converted&lt;record-ids&gt;&lt;item&gt;1&lt;/item&gt;&lt;item&gt;3&lt;/item&gt;&lt;item&gt;6&lt;/item&gt;&lt;item&gt;11&lt;/item&gt;&lt;item&gt;18&lt;/item&gt;&lt;item&gt;65&lt;/item&gt;&lt;item&gt;80&lt;/item&gt;&lt;item&gt;81&lt;/item&gt;&lt;item&gt;82&lt;/item&gt;&lt;item&gt;83&lt;/item&gt;&lt;item&gt;84&lt;/item&gt;&lt;item&gt;85&lt;/item&gt;&lt;item&gt;86&lt;/item&gt;&lt;item&gt;87&lt;/item&gt;&lt;item&gt;89&lt;/item&gt;&lt;item&gt;90&lt;/item&gt;&lt;item&gt;106&lt;/item&gt;&lt;item&gt;107&lt;/item&gt;&lt;item&gt;108&lt;/item&gt;&lt;item&gt;111&lt;/item&gt;&lt;item&gt;126&lt;/item&gt;&lt;item&gt;127&lt;/item&gt;&lt;item&gt;128&lt;/item&gt;&lt;item&gt;129&lt;/item&gt;&lt;item&gt;130&lt;/item&gt;&lt;item&gt;131&lt;/item&gt;&lt;item&gt;132&lt;/item&gt;&lt;item&gt;133&lt;/item&gt;&lt;item&gt;134&lt;/item&gt;&lt;item&gt;135&lt;/item&gt;&lt;item&gt;136&lt;/item&gt;&lt;/record-ids&gt;&lt;/item&gt;&lt;/Libraries&gt;"/>
  </w:docVars>
  <w:rsids>
    <w:rsidRoot w:val="000E212B"/>
    <w:rsid w:val="00001825"/>
    <w:rsid w:val="00003090"/>
    <w:rsid w:val="0000416D"/>
    <w:rsid w:val="00005504"/>
    <w:rsid w:val="00005567"/>
    <w:rsid w:val="00014345"/>
    <w:rsid w:val="000143CF"/>
    <w:rsid w:val="00014750"/>
    <w:rsid w:val="0002604A"/>
    <w:rsid w:val="000263A7"/>
    <w:rsid w:val="000328BE"/>
    <w:rsid w:val="00033A22"/>
    <w:rsid w:val="00035641"/>
    <w:rsid w:val="000518BA"/>
    <w:rsid w:val="00055CFF"/>
    <w:rsid w:val="00056205"/>
    <w:rsid w:val="0006311D"/>
    <w:rsid w:val="000644B3"/>
    <w:rsid w:val="00071E50"/>
    <w:rsid w:val="000725E7"/>
    <w:rsid w:val="00075C3F"/>
    <w:rsid w:val="00082AD0"/>
    <w:rsid w:val="00085EED"/>
    <w:rsid w:val="000A3878"/>
    <w:rsid w:val="000A5E8C"/>
    <w:rsid w:val="000B1967"/>
    <w:rsid w:val="000B416C"/>
    <w:rsid w:val="000C2151"/>
    <w:rsid w:val="000E212B"/>
    <w:rsid w:val="000E3809"/>
    <w:rsid w:val="001012B4"/>
    <w:rsid w:val="001019EB"/>
    <w:rsid w:val="00102E40"/>
    <w:rsid w:val="001030E9"/>
    <w:rsid w:val="0010448C"/>
    <w:rsid w:val="00104E1E"/>
    <w:rsid w:val="0010638A"/>
    <w:rsid w:val="001111DD"/>
    <w:rsid w:val="00111C19"/>
    <w:rsid w:val="00112DC5"/>
    <w:rsid w:val="001144C1"/>
    <w:rsid w:val="00114AED"/>
    <w:rsid w:val="00122E86"/>
    <w:rsid w:val="00125129"/>
    <w:rsid w:val="00132A09"/>
    <w:rsid w:val="00134158"/>
    <w:rsid w:val="001368E4"/>
    <w:rsid w:val="00147285"/>
    <w:rsid w:val="00151636"/>
    <w:rsid w:val="001540D4"/>
    <w:rsid w:val="001605C4"/>
    <w:rsid w:val="00163DCB"/>
    <w:rsid w:val="00165C60"/>
    <w:rsid w:val="00165EBC"/>
    <w:rsid w:val="0016794A"/>
    <w:rsid w:val="001719B3"/>
    <w:rsid w:val="00177E14"/>
    <w:rsid w:val="00184ADB"/>
    <w:rsid w:val="00184E83"/>
    <w:rsid w:val="001918CA"/>
    <w:rsid w:val="001A7161"/>
    <w:rsid w:val="001B152E"/>
    <w:rsid w:val="001B2171"/>
    <w:rsid w:val="001B466D"/>
    <w:rsid w:val="001B54FA"/>
    <w:rsid w:val="001C4842"/>
    <w:rsid w:val="001D0442"/>
    <w:rsid w:val="001D05A0"/>
    <w:rsid w:val="001D2F9C"/>
    <w:rsid w:val="001F2EF3"/>
    <w:rsid w:val="001F3544"/>
    <w:rsid w:val="001F5510"/>
    <w:rsid w:val="001F7E97"/>
    <w:rsid w:val="00212356"/>
    <w:rsid w:val="00214838"/>
    <w:rsid w:val="00232C1F"/>
    <w:rsid w:val="00244B4A"/>
    <w:rsid w:val="0025511B"/>
    <w:rsid w:val="00261C17"/>
    <w:rsid w:val="00267190"/>
    <w:rsid w:val="0027333E"/>
    <w:rsid w:val="00276BE7"/>
    <w:rsid w:val="00287C50"/>
    <w:rsid w:val="0029052C"/>
    <w:rsid w:val="00291325"/>
    <w:rsid w:val="00296A2E"/>
    <w:rsid w:val="002A1ECA"/>
    <w:rsid w:val="002A3B6D"/>
    <w:rsid w:val="002A3C75"/>
    <w:rsid w:val="002A5FC8"/>
    <w:rsid w:val="002B1B30"/>
    <w:rsid w:val="002B7433"/>
    <w:rsid w:val="002C0D0F"/>
    <w:rsid w:val="002C1817"/>
    <w:rsid w:val="002C23C1"/>
    <w:rsid w:val="002C4AD8"/>
    <w:rsid w:val="002D133C"/>
    <w:rsid w:val="002E5DBC"/>
    <w:rsid w:val="002F0F9E"/>
    <w:rsid w:val="002F2485"/>
    <w:rsid w:val="002F25F0"/>
    <w:rsid w:val="002F43C4"/>
    <w:rsid w:val="002F645A"/>
    <w:rsid w:val="002F733D"/>
    <w:rsid w:val="003001B6"/>
    <w:rsid w:val="00302967"/>
    <w:rsid w:val="00303435"/>
    <w:rsid w:val="00305379"/>
    <w:rsid w:val="00305475"/>
    <w:rsid w:val="00306E2C"/>
    <w:rsid w:val="00310D00"/>
    <w:rsid w:val="00320BD7"/>
    <w:rsid w:val="0032299A"/>
    <w:rsid w:val="00323E26"/>
    <w:rsid w:val="00326302"/>
    <w:rsid w:val="00330838"/>
    <w:rsid w:val="00332446"/>
    <w:rsid w:val="00336A23"/>
    <w:rsid w:val="00343628"/>
    <w:rsid w:val="00343940"/>
    <w:rsid w:val="003442BB"/>
    <w:rsid w:val="003446C6"/>
    <w:rsid w:val="00351279"/>
    <w:rsid w:val="00355504"/>
    <w:rsid w:val="003604CC"/>
    <w:rsid w:val="00371254"/>
    <w:rsid w:val="0037571B"/>
    <w:rsid w:val="003773EC"/>
    <w:rsid w:val="003810CC"/>
    <w:rsid w:val="003842C8"/>
    <w:rsid w:val="00391C70"/>
    <w:rsid w:val="0039454E"/>
    <w:rsid w:val="00394C22"/>
    <w:rsid w:val="00397E66"/>
    <w:rsid w:val="003A286B"/>
    <w:rsid w:val="003A34A3"/>
    <w:rsid w:val="003A4812"/>
    <w:rsid w:val="003A58BF"/>
    <w:rsid w:val="003B2920"/>
    <w:rsid w:val="003C3CE5"/>
    <w:rsid w:val="003D3321"/>
    <w:rsid w:val="003E1BC1"/>
    <w:rsid w:val="003E5485"/>
    <w:rsid w:val="003F1531"/>
    <w:rsid w:val="003F2B0D"/>
    <w:rsid w:val="003F49D7"/>
    <w:rsid w:val="003F5B3F"/>
    <w:rsid w:val="00407233"/>
    <w:rsid w:val="00412668"/>
    <w:rsid w:val="00414649"/>
    <w:rsid w:val="00423302"/>
    <w:rsid w:val="00424B1B"/>
    <w:rsid w:val="00426F06"/>
    <w:rsid w:val="00434851"/>
    <w:rsid w:val="00441176"/>
    <w:rsid w:val="004411DA"/>
    <w:rsid w:val="004420AF"/>
    <w:rsid w:val="0044466E"/>
    <w:rsid w:val="00455B3A"/>
    <w:rsid w:val="004703E6"/>
    <w:rsid w:val="004712B3"/>
    <w:rsid w:val="004718DB"/>
    <w:rsid w:val="00472391"/>
    <w:rsid w:val="00477A26"/>
    <w:rsid w:val="00486F2D"/>
    <w:rsid w:val="004A1E25"/>
    <w:rsid w:val="004A3699"/>
    <w:rsid w:val="004A5DF6"/>
    <w:rsid w:val="004B1C5F"/>
    <w:rsid w:val="004B607B"/>
    <w:rsid w:val="004C5E14"/>
    <w:rsid w:val="004C7CAF"/>
    <w:rsid w:val="004D1337"/>
    <w:rsid w:val="004D284E"/>
    <w:rsid w:val="004D38D7"/>
    <w:rsid w:val="004D7B66"/>
    <w:rsid w:val="004E59CB"/>
    <w:rsid w:val="004E5AD1"/>
    <w:rsid w:val="004E77A9"/>
    <w:rsid w:val="004F1385"/>
    <w:rsid w:val="004F1B64"/>
    <w:rsid w:val="004F442C"/>
    <w:rsid w:val="004F7FF1"/>
    <w:rsid w:val="00514F1E"/>
    <w:rsid w:val="00515C83"/>
    <w:rsid w:val="005163F0"/>
    <w:rsid w:val="00517A92"/>
    <w:rsid w:val="00520551"/>
    <w:rsid w:val="005234D4"/>
    <w:rsid w:val="00526ACE"/>
    <w:rsid w:val="00527842"/>
    <w:rsid w:val="00533B49"/>
    <w:rsid w:val="005426BB"/>
    <w:rsid w:val="00542F6C"/>
    <w:rsid w:val="00544535"/>
    <w:rsid w:val="00545764"/>
    <w:rsid w:val="005507C2"/>
    <w:rsid w:val="00550FDC"/>
    <w:rsid w:val="0055259B"/>
    <w:rsid w:val="00553450"/>
    <w:rsid w:val="00566264"/>
    <w:rsid w:val="00581D37"/>
    <w:rsid w:val="00582677"/>
    <w:rsid w:val="00587343"/>
    <w:rsid w:val="0059148A"/>
    <w:rsid w:val="00594FC4"/>
    <w:rsid w:val="005977B9"/>
    <w:rsid w:val="005A046F"/>
    <w:rsid w:val="005A21B6"/>
    <w:rsid w:val="005A404E"/>
    <w:rsid w:val="005A5760"/>
    <w:rsid w:val="005A5883"/>
    <w:rsid w:val="005A7DAC"/>
    <w:rsid w:val="005B0E1F"/>
    <w:rsid w:val="005B7ECF"/>
    <w:rsid w:val="005C468D"/>
    <w:rsid w:val="005D5951"/>
    <w:rsid w:val="005D5EF2"/>
    <w:rsid w:val="005D5F1D"/>
    <w:rsid w:val="005D6D02"/>
    <w:rsid w:val="005E7B8E"/>
    <w:rsid w:val="005F0D00"/>
    <w:rsid w:val="005F1794"/>
    <w:rsid w:val="005F51F8"/>
    <w:rsid w:val="005F7FEA"/>
    <w:rsid w:val="00600E57"/>
    <w:rsid w:val="006025FB"/>
    <w:rsid w:val="00612927"/>
    <w:rsid w:val="00612D9D"/>
    <w:rsid w:val="00623364"/>
    <w:rsid w:val="00630710"/>
    <w:rsid w:val="006310A2"/>
    <w:rsid w:val="00631776"/>
    <w:rsid w:val="00632291"/>
    <w:rsid w:val="00640D20"/>
    <w:rsid w:val="006450B3"/>
    <w:rsid w:val="00653443"/>
    <w:rsid w:val="00653CE1"/>
    <w:rsid w:val="00662163"/>
    <w:rsid w:val="00666E41"/>
    <w:rsid w:val="00676637"/>
    <w:rsid w:val="006766BB"/>
    <w:rsid w:val="006774DF"/>
    <w:rsid w:val="00681E66"/>
    <w:rsid w:val="0068593B"/>
    <w:rsid w:val="006976BC"/>
    <w:rsid w:val="00697FE1"/>
    <w:rsid w:val="006A41CA"/>
    <w:rsid w:val="006B254E"/>
    <w:rsid w:val="006B48F5"/>
    <w:rsid w:val="006B6982"/>
    <w:rsid w:val="006C181F"/>
    <w:rsid w:val="006C4D83"/>
    <w:rsid w:val="006C540C"/>
    <w:rsid w:val="006C5660"/>
    <w:rsid w:val="006C7141"/>
    <w:rsid w:val="006D4B09"/>
    <w:rsid w:val="006D5ED0"/>
    <w:rsid w:val="006D6058"/>
    <w:rsid w:val="006D7D6C"/>
    <w:rsid w:val="006E3F1D"/>
    <w:rsid w:val="006E407F"/>
    <w:rsid w:val="006E6047"/>
    <w:rsid w:val="006F0E5A"/>
    <w:rsid w:val="006F47E8"/>
    <w:rsid w:val="006F694F"/>
    <w:rsid w:val="006F6C2F"/>
    <w:rsid w:val="00705687"/>
    <w:rsid w:val="00710BAA"/>
    <w:rsid w:val="00712EE2"/>
    <w:rsid w:val="00713249"/>
    <w:rsid w:val="00720F09"/>
    <w:rsid w:val="00721CC0"/>
    <w:rsid w:val="00721E24"/>
    <w:rsid w:val="007234AF"/>
    <w:rsid w:val="00731EDE"/>
    <w:rsid w:val="007350F1"/>
    <w:rsid w:val="0074091C"/>
    <w:rsid w:val="00740EF7"/>
    <w:rsid w:val="00741594"/>
    <w:rsid w:val="00747C26"/>
    <w:rsid w:val="0075102C"/>
    <w:rsid w:val="0075132F"/>
    <w:rsid w:val="00755E22"/>
    <w:rsid w:val="007623AB"/>
    <w:rsid w:val="007753D6"/>
    <w:rsid w:val="00780D4B"/>
    <w:rsid w:val="00786096"/>
    <w:rsid w:val="0078744E"/>
    <w:rsid w:val="007A58C3"/>
    <w:rsid w:val="007B1926"/>
    <w:rsid w:val="007D3D85"/>
    <w:rsid w:val="007D4138"/>
    <w:rsid w:val="007D4AE1"/>
    <w:rsid w:val="007E14BE"/>
    <w:rsid w:val="007E2157"/>
    <w:rsid w:val="007E2E21"/>
    <w:rsid w:val="007E79C3"/>
    <w:rsid w:val="007F6F5B"/>
    <w:rsid w:val="0080284F"/>
    <w:rsid w:val="0080566B"/>
    <w:rsid w:val="0081292A"/>
    <w:rsid w:val="00812F7B"/>
    <w:rsid w:val="00813F66"/>
    <w:rsid w:val="00815D92"/>
    <w:rsid w:val="00816CBC"/>
    <w:rsid w:val="0081753D"/>
    <w:rsid w:val="00823851"/>
    <w:rsid w:val="00831B5B"/>
    <w:rsid w:val="0083244A"/>
    <w:rsid w:val="00832D48"/>
    <w:rsid w:val="00844B97"/>
    <w:rsid w:val="0085361D"/>
    <w:rsid w:val="008543D9"/>
    <w:rsid w:val="008556AB"/>
    <w:rsid w:val="00855FBB"/>
    <w:rsid w:val="0086787B"/>
    <w:rsid w:val="008746F6"/>
    <w:rsid w:val="008757AD"/>
    <w:rsid w:val="008802E9"/>
    <w:rsid w:val="0088046C"/>
    <w:rsid w:val="00880C42"/>
    <w:rsid w:val="00883001"/>
    <w:rsid w:val="008844A4"/>
    <w:rsid w:val="008865ED"/>
    <w:rsid w:val="00887785"/>
    <w:rsid w:val="008900C4"/>
    <w:rsid w:val="0089245E"/>
    <w:rsid w:val="008949E4"/>
    <w:rsid w:val="00894AFB"/>
    <w:rsid w:val="008A121F"/>
    <w:rsid w:val="008A54CE"/>
    <w:rsid w:val="008B356C"/>
    <w:rsid w:val="008B5645"/>
    <w:rsid w:val="008B78AD"/>
    <w:rsid w:val="008C1163"/>
    <w:rsid w:val="008D27C0"/>
    <w:rsid w:val="008D3C82"/>
    <w:rsid w:val="008D589E"/>
    <w:rsid w:val="008E45CB"/>
    <w:rsid w:val="008E546B"/>
    <w:rsid w:val="00901BBF"/>
    <w:rsid w:val="00902DEE"/>
    <w:rsid w:val="00911EC5"/>
    <w:rsid w:val="009127F8"/>
    <w:rsid w:val="00914548"/>
    <w:rsid w:val="00915DEA"/>
    <w:rsid w:val="00916BAE"/>
    <w:rsid w:val="009308E7"/>
    <w:rsid w:val="00934453"/>
    <w:rsid w:val="00941848"/>
    <w:rsid w:val="00944291"/>
    <w:rsid w:val="00946823"/>
    <w:rsid w:val="00953B50"/>
    <w:rsid w:val="0095782F"/>
    <w:rsid w:val="00967EFC"/>
    <w:rsid w:val="00972045"/>
    <w:rsid w:val="00980AB5"/>
    <w:rsid w:val="009825A4"/>
    <w:rsid w:val="00985BA6"/>
    <w:rsid w:val="00985D61"/>
    <w:rsid w:val="009948F4"/>
    <w:rsid w:val="009962E0"/>
    <w:rsid w:val="009A165B"/>
    <w:rsid w:val="009A594B"/>
    <w:rsid w:val="009A6DB8"/>
    <w:rsid w:val="009B185D"/>
    <w:rsid w:val="009B26E9"/>
    <w:rsid w:val="009B2890"/>
    <w:rsid w:val="009B2B0A"/>
    <w:rsid w:val="009B3B07"/>
    <w:rsid w:val="009B40E2"/>
    <w:rsid w:val="009B6B36"/>
    <w:rsid w:val="009C1024"/>
    <w:rsid w:val="009C29C6"/>
    <w:rsid w:val="009C2A92"/>
    <w:rsid w:val="009C631A"/>
    <w:rsid w:val="009D1806"/>
    <w:rsid w:val="009D2948"/>
    <w:rsid w:val="009D46DC"/>
    <w:rsid w:val="009D60B5"/>
    <w:rsid w:val="009D6F8A"/>
    <w:rsid w:val="009D7FFA"/>
    <w:rsid w:val="009E0792"/>
    <w:rsid w:val="009E7BE8"/>
    <w:rsid w:val="009F13E4"/>
    <w:rsid w:val="009F2B94"/>
    <w:rsid w:val="009F321E"/>
    <w:rsid w:val="009F4032"/>
    <w:rsid w:val="009F40E5"/>
    <w:rsid w:val="00A05582"/>
    <w:rsid w:val="00A10F25"/>
    <w:rsid w:val="00A117AC"/>
    <w:rsid w:val="00A23FB0"/>
    <w:rsid w:val="00A25A47"/>
    <w:rsid w:val="00A2629B"/>
    <w:rsid w:val="00A32BF0"/>
    <w:rsid w:val="00A35C3E"/>
    <w:rsid w:val="00A367F3"/>
    <w:rsid w:val="00A36F5C"/>
    <w:rsid w:val="00A42DC5"/>
    <w:rsid w:val="00A47832"/>
    <w:rsid w:val="00A5120E"/>
    <w:rsid w:val="00A51485"/>
    <w:rsid w:val="00A529FC"/>
    <w:rsid w:val="00A5423C"/>
    <w:rsid w:val="00A54AD1"/>
    <w:rsid w:val="00A54B0A"/>
    <w:rsid w:val="00A55BD7"/>
    <w:rsid w:val="00A60B54"/>
    <w:rsid w:val="00A66F76"/>
    <w:rsid w:val="00A67DE7"/>
    <w:rsid w:val="00A7373F"/>
    <w:rsid w:val="00A815E5"/>
    <w:rsid w:val="00A81A96"/>
    <w:rsid w:val="00A85448"/>
    <w:rsid w:val="00A86AA1"/>
    <w:rsid w:val="00A92CDB"/>
    <w:rsid w:val="00A969E4"/>
    <w:rsid w:val="00AA46CD"/>
    <w:rsid w:val="00AA5899"/>
    <w:rsid w:val="00AA5974"/>
    <w:rsid w:val="00AA5C7C"/>
    <w:rsid w:val="00AA6AB5"/>
    <w:rsid w:val="00AA6F43"/>
    <w:rsid w:val="00AB6AF0"/>
    <w:rsid w:val="00AC66E5"/>
    <w:rsid w:val="00AD7530"/>
    <w:rsid w:val="00AE3844"/>
    <w:rsid w:val="00AE4F85"/>
    <w:rsid w:val="00AF2598"/>
    <w:rsid w:val="00B031AC"/>
    <w:rsid w:val="00B0385E"/>
    <w:rsid w:val="00B04D4F"/>
    <w:rsid w:val="00B07CBE"/>
    <w:rsid w:val="00B126C4"/>
    <w:rsid w:val="00B16B8A"/>
    <w:rsid w:val="00B31100"/>
    <w:rsid w:val="00B316AD"/>
    <w:rsid w:val="00B35EC7"/>
    <w:rsid w:val="00B401B2"/>
    <w:rsid w:val="00B41BE4"/>
    <w:rsid w:val="00B5526D"/>
    <w:rsid w:val="00B55A44"/>
    <w:rsid w:val="00B63F97"/>
    <w:rsid w:val="00B72008"/>
    <w:rsid w:val="00B82885"/>
    <w:rsid w:val="00B83048"/>
    <w:rsid w:val="00B86D2F"/>
    <w:rsid w:val="00B9664A"/>
    <w:rsid w:val="00BA03A1"/>
    <w:rsid w:val="00BA4E60"/>
    <w:rsid w:val="00BA4F17"/>
    <w:rsid w:val="00BA7815"/>
    <w:rsid w:val="00BB0DBC"/>
    <w:rsid w:val="00BB450E"/>
    <w:rsid w:val="00BB4A0C"/>
    <w:rsid w:val="00BB69F8"/>
    <w:rsid w:val="00BB6A65"/>
    <w:rsid w:val="00BC0714"/>
    <w:rsid w:val="00BC11E7"/>
    <w:rsid w:val="00BC150A"/>
    <w:rsid w:val="00BC2451"/>
    <w:rsid w:val="00BC2EC3"/>
    <w:rsid w:val="00BC648A"/>
    <w:rsid w:val="00BC74CD"/>
    <w:rsid w:val="00BE1AC8"/>
    <w:rsid w:val="00BE4419"/>
    <w:rsid w:val="00BF0A37"/>
    <w:rsid w:val="00BF26E1"/>
    <w:rsid w:val="00BF697B"/>
    <w:rsid w:val="00C01749"/>
    <w:rsid w:val="00C01840"/>
    <w:rsid w:val="00C110FD"/>
    <w:rsid w:val="00C1203C"/>
    <w:rsid w:val="00C139ED"/>
    <w:rsid w:val="00C13F11"/>
    <w:rsid w:val="00C14563"/>
    <w:rsid w:val="00C1520E"/>
    <w:rsid w:val="00C372B4"/>
    <w:rsid w:val="00C37602"/>
    <w:rsid w:val="00C41F0E"/>
    <w:rsid w:val="00C44B89"/>
    <w:rsid w:val="00C61A88"/>
    <w:rsid w:val="00C621B8"/>
    <w:rsid w:val="00C6558D"/>
    <w:rsid w:val="00C66301"/>
    <w:rsid w:val="00C73772"/>
    <w:rsid w:val="00C752C9"/>
    <w:rsid w:val="00C769E6"/>
    <w:rsid w:val="00C77594"/>
    <w:rsid w:val="00C93F1B"/>
    <w:rsid w:val="00CA1019"/>
    <w:rsid w:val="00CA43C9"/>
    <w:rsid w:val="00CA56C7"/>
    <w:rsid w:val="00CB2862"/>
    <w:rsid w:val="00CC1DC3"/>
    <w:rsid w:val="00CC4BBA"/>
    <w:rsid w:val="00CC5BAB"/>
    <w:rsid w:val="00CE75F5"/>
    <w:rsid w:val="00CE7EF2"/>
    <w:rsid w:val="00CF4857"/>
    <w:rsid w:val="00CF5E86"/>
    <w:rsid w:val="00D05C2D"/>
    <w:rsid w:val="00D07F6C"/>
    <w:rsid w:val="00D10A44"/>
    <w:rsid w:val="00D117E6"/>
    <w:rsid w:val="00D15268"/>
    <w:rsid w:val="00D15C60"/>
    <w:rsid w:val="00D20DA9"/>
    <w:rsid w:val="00D2738B"/>
    <w:rsid w:val="00D3327D"/>
    <w:rsid w:val="00D412C0"/>
    <w:rsid w:val="00D41337"/>
    <w:rsid w:val="00D43AA5"/>
    <w:rsid w:val="00D44BE1"/>
    <w:rsid w:val="00D5474F"/>
    <w:rsid w:val="00D646E2"/>
    <w:rsid w:val="00D65C63"/>
    <w:rsid w:val="00D73371"/>
    <w:rsid w:val="00D76181"/>
    <w:rsid w:val="00D825DD"/>
    <w:rsid w:val="00D91F0F"/>
    <w:rsid w:val="00D944EA"/>
    <w:rsid w:val="00DA7AEF"/>
    <w:rsid w:val="00DB3804"/>
    <w:rsid w:val="00DB77DD"/>
    <w:rsid w:val="00DD05B7"/>
    <w:rsid w:val="00DD078F"/>
    <w:rsid w:val="00DD7122"/>
    <w:rsid w:val="00DD78AF"/>
    <w:rsid w:val="00DE3827"/>
    <w:rsid w:val="00DE4E4D"/>
    <w:rsid w:val="00DF5A1F"/>
    <w:rsid w:val="00E01687"/>
    <w:rsid w:val="00E040C7"/>
    <w:rsid w:val="00E1180F"/>
    <w:rsid w:val="00E132EC"/>
    <w:rsid w:val="00E14D40"/>
    <w:rsid w:val="00E20533"/>
    <w:rsid w:val="00E20CF6"/>
    <w:rsid w:val="00E266F7"/>
    <w:rsid w:val="00E31B0F"/>
    <w:rsid w:val="00E3491F"/>
    <w:rsid w:val="00E40D7E"/>
    <w:rsid w:val="00E43922"/>
    <w:rsid w:val="00E44019"/>
    <w:rsid w:val="00E448D4"/>
    <w:rsid w:val="00E462A2"/>
    <w:rsid w:val="00E528D2"/>
    <w:rsid w:val="00E539BC"/>
    <w:rsid w:val="00E6159E"/>
    <w:rsid w:val="00E6201D"/>
    <w:rsid w:val="00E6456F"/>
    <w:rsid w:val="00E671F3"/>
    <w:rsid w:val="00E70CD3"/>
    <w:rsid w:val="00E72D99"/>
    <w:rsid w:val="00E7418B"/>
    <w:rsid w:val="00E7487E"/>
    <w:rsid w:val="00E76BC2"/>
    <w:rsid w:val="00E76D9C"/>
    <w:rsid w:val="00E77738"/>
    <w:rsid w:val="00E77750"/>
    <w:rsid w:val="00E8105A"/>
    <w:rsid w:val="00E863AD"/>
    <w:rsid w:val="00E86D22"/>
    <w:rsid w:val="00E911A3"/>
    <w:rsid w:val="00E93E22"/>
    <w:rsid w:val="00E96120"/>
    <w:rsid w:val="00E9762D"/>
    <w:rsid w:val="00EB4D11"/>
    <w:rsid w:val="00EB7B73"/>
    <w:rsid w:val="00EC0246"/>
    <w:rsid w:val="00EC05CA"/>
    <w:rsid w:val="00ED1C7B"/>
    <w:rsid w:val="00ED433C"/>
    <w:rsid w:val="00ED4BC3"/>
    <w:rsid w:val="00ED78D9"/>
    <w:rsid w:val="00ED7C9A"/>
    <w:rsid w:val="00EF0A2F"/>
    <w:rsid w:val="00EF384B"/>
    <w:rsid w:val="00EF46C4"/>
    <w:rsid w:val="00EF5EA2"/>
    <w:rsid w:val="00F01014"/>
    <w:rsid w:val="00F0571E"/>
    <w:rsid w:val="00F06CF1"/>
    <w:rsid w:val="00F1075C"/>
    <w:rsid w:val="00F17E8B"/>
    <w:rsid w:val="00F209C9"/>
    <w:rsid w:val="00F21710"/>
    <w:rsid w:val="00F2479D"/>
    <w:rsid w:val="00F269D7"/>
    <w:rsid w:val="00F36492"/>
    <w:rsid w:val="00F4051A"/>
    <w:rsid w:val="00F411EF"/>
    <w:rsid w:val="00F4486B"/>
    <w:rsid w:val="00F51C3F"/>
    <w:rsid w:val="00F52E56"/>
    <w:rsid w:val="00F619DF"/>
    <w:rsid w:val="00F621E2"/>
    <w:rsid w:val="00F6231F"/>
    <w:rsid w:val="00F64478"/>
    <w:rsid w:val="00F87153"/>
    <w:rsid w:val="00F87626"/>
    <w:rsid w:val="00F91BA4"/>
    <w:rsid w:val="00F951B9"/>
    <w:rsid w:val="00F97DA8"/>
    <w:rsid w:val="00F97EA6"/>
    <w:rsid w:val="00FA3737"/>
    <w:rsid w:val="00FA42EC"/>
    <w:rsid w:val="00FA4684"/>
    <w:rsid w:val="00FA4BC8"/>
    <w:rsid w:val="00FA5086"/>
    <w:rsid w:val="00FA7E66"/>
    <w:rsid w:val="00FB2945"/>
    <w:rsid w:val="00FB3828"/>
    <w:rsid w:val="00FB5A7A"/>
    <w:rsid w:val="00FB75F4"/>
    <w:rsid w:val="00FC516F"/>
    <w:rsid w:val="00FC5E0F"/>
    <w:rsid w:val="00FD2AD3"/>
    <w:rsid w:val="00FD44CA"/>
    <w:rsid w:val="00FD4DBD"/>
    <w:rsid w:val="00FE1892"/>
    <w:rsid w:val="00FE320D"/>
    <w:rsid w:val="00FF1687"/>
    <w:rsid w:val="00FF2795"/>
    <w:rsid w:val="00FF6DE2"/>
    <w:rsid w:val="00FF7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A1292"/>
  <w15:chartTrackingRefBased/>
  <w15:docId w15:val="{04E5E7D7-999C-41EA-BCD8-043CC750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EC5"/>
    <w:pPr>
      <w:keepNext/>
      <w:keepLines/>
      <w:spacing w:before="240" w:after="0" w:line="240" w:lineRule="auto"/>
      <w:jc w:val="both"/>
      <w:outlineLvl w:val="0"/>
    </w:pPr>
    <w:rPr>
      <w:rFonts w:ascii="Times New Roman" w:eastAsiaTheme="majorEastAsia" w:hAnsi="Times New Roman" w:cstheme="majorBidi"/>
      <w:b/>
      <w:color w:val="2F5496" w:themeColor="accent1" w:themeShade="B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5D61"/>
    <w:rPr>
      <w:color w:val="0563C1" w:themeColor="hyperlink"/>
      <w:u w:val="single"/>
    </w:rPr>
  </w:style>
  <w:style w:type="character" w:styleId="UnresolvedMention">
    <w:name w:val="Unresolved Mention"/>
    <w:basedOn w:val="DefaultParagraphFont"/>
    <w:uiPriority w:val="99"/>
    <w:semiHidden/>
    <w:unhideWhenUsed/>
    <w:rsid w:val="00985D61"/>
    <w:rPr>
      <w:color w:val="605E5C"/>
      <w:shd w:val="clear" w:color="auto" w:fill="E1DFDD"/>
    </w:rPr>
  </w:style>
  <w:style w:type="paragraph" w:styleId="ListParagraph">
    <w:name w:val="List Paragraph"/>
    <w:basedOn w:val="Normal"/>
    <w:uiPriority w:val="34"/>
    <w:qFormat/>
    <w:rsid w:val="00291325"/>
    <w:pPr>
      <w:ind w:left="720"/>
      <w:contextualSpacing/>
    </w:pPr>
  </w:style>
  <w:style w:type="paragraph" w:styleId="Header">
    <w:name w:val="header"/>
    <w:basedOn w:val="Normal"/>
    <w:link w:val="HeaderChar"/>
    <w:uiPriority w:val="99"/>
    <w:unhideWhenUsed/>
    <w:rsid w:val="00853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61D"/>
  </w:style>
  <w:style w:type="paragraph" w:styleId="Footer">
    <w:name w:val="footer"/>
    <w:basedOn w:val="Normal"/>
    <w:link w:val="FooterChar"/>
    <w:uiPriority w:val="99"/>
    <w:unhideWhenUsed/>
    <w:rsid w:val="00853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61D"/>
  </w:style>
  <w:style w:type="character" w:styleId="CommentReference">
    <w:name w:val="annotation reference"/>
    <w:basedOn w:val="DefaultParagraphFont"/>
    <w:uiPriority w:val="99"/>
    <w:semiHidden/>
    <w:unhideWhenUsed/>
    <w:rsid w:val="00623364"/>
    <w:rPr>
      <w:sz w:val="16"/>
      <w:szCs w:val="16"/>
    </w:rPr>
  </w:style>
  <w:style w:type="paragraph" w:styleId="CommentText">
    <w:name w:val="annotation text"/>
    <w:basedOn w:val="Normal"/>
    <w:link w:val="CommentTextChar"/>
    <w:uiPriority w:val="99"/>
    <w:unhideWhenUsed/>
    <w:rsid w:val="00623364"/>
    <w:pPr>
      <w:spacing w:line="240" w:lineRule="auto"/>
    </w:pPr>
    <w:rPr>
      <w:sz w:val="20"/>
      <w:szCs w:val="20"/>
    </w:rPr>
  </w:style>
  <w:style w:type="character" w:customStyle="1" w:styleId="CommentTextChar">
    <w:name w:val="Comment Text Char"/>
    <w:basedOn w:val="DefaultParagraphFont"/>
    <w:link w:val="CommentText"/>
    <w:uiPriority w:val="99"/>
    <w:rsid w:val="00623364"/>
    <w:rPr>
      <w:sz w:val="20"/>
      <w:szCs w:val="20"/>
    </w:rPr>
  </w:style>
  <w:style w:type="paragraph" w:styleId="CommentSubject">
    <w:name w:val="annotation subject"/>
    <w:basedOn w:val="CommentText"/>
    <w:next w:val="CommentText"/>
    <w:link w:val="CommentSubjectChar"/>
    <w:uiPriority w:val="99"/>
    <w:semiHidden/>
    <w:unhideWhenUsed/>
    <w:rsid w:val="00623364"/>
    <w:rPr>
      <w:b/>
      <w:bCs/>
    </w:rPr>
  </w:style>
  <w:style w:type="character" w:customStyle="1" w:styleId="CommentSubjectChar">
    <w:name w:val="Comment Subject Char"/>
    <w:basedOn w:val="CommentTextChar"/>
    <w:link w:val="CommentSubject"/>
    <w:uiPriority w:val="99"/>
    <w:semiHidden/>
    <w:rsid w:val="00623364"/>
    <w:rPr>
      <w:b/>
      <w:bCs/>
      <w:sz w:val="20"/>
      <w:szCs w:val="20"/>
    </w:rPr>
  </w:style>
  <w:style w:type="character" w:customStyle="1" w:styleId="Heading1Char">
    <w:name w:val="Heading 1 Char"/>
    <w:basedOn w:val="DefaultParagraphFont"/>
    <w:link w:val="Heading1"/>
    <w:uiPriority w:val="9"/>
    <w:rsid w:val="00911EC5"/>
    <w:rPr>
      <w:rFonts w:ascii="Times New Roman" w:eastAsiaTheme="majorEastAsia" w:hAnsi="Times New Roman" w:cstheme="majorBidi"/>
      <w:b/>
      <w:color w:val="2F5496" w:themeColor="accent1" w:themeShade="BF"/>
      <w:sz w:val="24"/>
      <w:szCs w:val="32"/>
    </w:rPr>
  </w:style>
  <w:style w:type="table" w:styleId="TableGrid">
    <w:name w:val="Table Grid"/>
    <w:basedOn w:val="TableNormal"/>
    <w:uiPriority w:val="39"/>
    <w:rsid w:val="0010448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23E2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23E26"/>
    <w:rPr>
      <w:rFonts w:ascii="Calibri" w:hAnsi="Calibri" w:cs="Calibri"/>
      <w:noProof/>
      <w:lang w:val="en-US"/>
    </w:rPr>
  </w:style>
  <w:style w:type="paragraph" w:customStyle="1" w:styleId="EndNoteBibliography">
    <w:name w:val="EndNote Bibliography"/>
    <w:basedOn w:val="Normal"/>
    <w:link w:val="EndNoteBibliographyChar"/>
    <w:rsid w:val="00323E2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23E26"/>
    <w:rPr>
      <w:rFonts w:ascii="Calibri" w:hAnsi="Calibri" w:cs="Calibri"/>
      <w:noProof/>
      <w:lang w:val="en-US"/>
    </w:rPr>
  </w:style>
  <w:style w:type="paragraph" w:styleId="Revision">
    <w:name w:val="Revision"/>
    <w:hidden/>
    <w:uiPriority w:val="99"/>
    <w:semiHidden/>
    <w:rsid w:val="009F13E4"/>
    <w:pPr>
      <w:spacing w:after="0" w:line="240" w:lineRule="auto"/>
    </w:pPr>
  </w:style>
  <w:style w:type="character" w:customStyle="1" w:styleId="cf01">
    <w:name w:val="cf01"/>
    <w:basedOn w:val="DefaultParagraphFont"/>
    <w:rsid w:val="009F13E4"/>
    <w:rPr>
      <w:rFonts w:ascii="Segoe UI" w:hAnsi="Segoe UI" w:cs="Segoe UI" w:hint="default"/>
      <w:sz w:val="18"/>
      <w:szCs w:val="18"/>
    </w:rPr>
  </w:style>
  <w:style w:type="character" w:styleId="FollowedHyperlink">
    <w:name w:val="FollowedHyperlink"/>
    <w:basedOn w:val="DefaultParagraphFont"/>
    <w:uiPriority w:val="99"/>
    <w:semiHidden/>
    <w:unhideWhenUsed/>
    <w:rsid w:val="009F13E4"/>
    <w:rPr>
      <w:color w:val="954F72" w:themeColor="followedHyperlink"/>
      <w:u w:val="single"/>
    </w:rPr>
  </w:style>
  <w:style w:type="paragraph" w:customStyle="1" w:styleId="TableNote">
    <w:name w:val="TableNote"/>
    <w:basedOn w:val="Normal"/>
    <w:rsid w:val="002B7433"/>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2B7433"/>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2B7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789">
      <w:bodyDiv w:val="1"/>
      <w:marLeft w:val="0"/>
      <w:marRight w:val="0"/>
      <w:marTop w:val="0"/>
      <w:marBottom w:val="0"/>
      <w:divBdr>
        <w:top w:val="none" w:sz="0" w:space="0" w:color="auto"/>
        <w:left w:val="none" w:sz="0" w:space="0" w:color="auto"/>
        <w:bottom w:val="none" w:sz="0" w:space="0" w:color="auto"/>
        <w:right w:val="none" w:sz="0" w:space="0" w:color="auto"/>
      </w:divBdr>
    </w:div>
    <w:div w:id="50423146">
      <w:bodyDiv w:val="1"/>
      <w:marLeft w:val="0"/>
      <w:marRight w:val="0"/>
      <w:marTop w:val="0"/>
      <w:marBottom w:val="0"/>
      <w:divBdr>
        <w:top w:val="none" w:sz="0" w:space="0" w:color="auto"/>
        <w:left w:val="none" w:sz="0" w:space="0" w:color="auto"/>
        <w:bottom w:val="none" w:sz="0" w:space="0" w:color="auto"/>
        <w:right w:val="none" w:sz="0" w:space="0" w:color="auto"/>
      </w:divBdr>
    </w:div>
    <w:div w:id="93677436">
      <w:bodyDiv w:val="1"/>
      <w:marLeft w:val="0"/>
      <w:marRight w:val="0"/>
      <w:marTop w:val="0"/>
      <w:marBottom w:val="0"/>
      <w:divBdr>
        <w:top w:val="none" w:sz="0" w:space="0" w:color="auto"/>
        <w:left w:val="none" w:sz="0" w:space="0" w:color="auto"/>
        <w:bottom w:val="none" w:sz="0" w:space="0" w:color="auto"/>
        <w:right w:val="none" w:sz="0" w:space="0" w:color="auto"/>
      </w:divBdr>
    </w:div>
    <w:div w:id="104272922">
      <w:bodyDiv w:val="1"/>
      <w:marLeft w:val="0"/>
      <w:marRight w:val="0"/>
      <w:marTop w:val="0"/>
      <w:marBottom w:val="0"/>
      <w:divBdr>
        <w:top w:val="none" w:sz="0" w:space="0" w:color="auto"/>
        <w:left w:val="none" w:sz="0" w:space="0" w:color="auto"/>
        <w:bottom w:val="none" w:sz="0" w:space="0" w:color="auto"/>
        <w:right w:val="none" w:sz="0" w:space="0" w:color="auto"/>
      </w:divBdr>
    </w:div>
    <w:div w:id="311327405">
      <w:bodyDiv w:val="1"/>
      <w:marLeft w:val="0"/>
      <w:marRight w:val="0"/>
      <w:marTop w:val="0"/>
      <w:marBottom w:val="0"/>
      <w:divBdr>
        <w:top w:val="none" w:sz="0" w:space="0" w:color="auto"/>
        <w:left w:val="none" w:sz="0" w:space="0" w:color="auto"/>
        <w:bottom w:val="none" w:sz="0" w:space="0" w:color="auto"/>
        <w:right w:val="none" w:sz="0" w:space="0" w:color="auto"/>
      </w:divBdr>
    </w:div>
    <w:div w:id="311494331">
      <w:bodyDiv w:val="1"/>
      <w:marLeft w:val="0"/>
      <w:marRight w:val="0"/>
      <w:marTop w:val="0"/>
      <w:marBottom w:val="0"/>
      <w:divBdr>
        <w:top w:val="none" w:sz="0" w:space="0" w:color="auto"/>
        <w:left w:val="none" w:sz="0" w:space="0" w:color="auto"/>
        <w:bottom w:val="none" w:sz="0" w:space="0" w:color="auto"/>
        <w:right w:val="none" w:sz="0" w:space="0" w:color="auto"/>
      </w:divBdr>
    </w:div>
    <w:div w:id="327756715">
      <w:bodyDiv w:val="1"/>
      <w:marLeft w:val="0"/>
      <w:marRight w:val="0"/>
      <w:marTop w:val="0"/>
      <w:marBottom w:val="0"/>
      <w:divBdr>
        <w:top w:val="none" w:sz="0" w:space="0" w:color="auto"/>
        <w:left w:val="none" w:sz="0" w:space="0" w:color="auto"/>
        <w:bottom w:val="none" w:sz="0" w:space="0" w:color="auto"/>
        <w:right w:val="none" w:sz="0" w:space="0" w:color="auto"/>
      </w:divBdr>
    </w:div>
    <w:div w:id="418525415">
      <w:bodyDiv w:val="1"/>
      <w:marLeft w:val="0"/>
      <w:marRight w:val="0"/>
      <w:marTop w:val="0"/>
      <w:marBottom w:val="0"/>
      <w:divBdr>
        <w:top w:val="none" w:sz="0" w:space="0" w:color="auto"/>
        <w:left w:val="none" w:sz="0" w:space="0" w:color="auto"/>
        <w:bottom w:val="none" w:sz="0" w:space="0" w:color="auto"/>
        <w:right w:val="none" w:sz="0" w:space="0" w:color="auto"/>
      </w:divBdr>
    </w:div>
    <w:div w:id="461853275">
      <w:bodyDiv w:val="1"/>
      <w:marLeft w:val="0"/>
      <w:marRight w:val="0"/>
      <w:marTop w:val="0"/>
      <w:marBottom w:val="0"/>
      <w:divBdr>
        <w:top w:val="none" w:sz="0" w:space="0" w:color="auto"/>
        <w:left w:val="none" w:sz="0" w:space="0" w:color="auto"/>
        <w:bottom w:val="none" w:sz="0" w:space="0" w:color="auto"/>
        <w:right w:val="none" w:sz="0" w:space="0" w:color="auto"/>
      </w:divBdr>
    </w:div>
    <w:div w:id="509225790">
      <w:bodyDiv w:val="1"/>
      <w:marLeft w:val="0"/>
      <w:marRight w:val="0"/>
      <w:marTop w:val="0"/>
      <w:marBottom w:val="0"/>
      <w:divBdr>
        <w:top w:val="none" w:sz="0" w:space="0" w:color="auto"/>
        <w:left w:val="none" w:sz="0" w:space="0" w:color="auto"/>
        <w:bottom w:val="none" w:sz="0" w:space="0" w:color="auto"/>
        <w:right w:val="none" w:sz="0" w:space="0" w:color="auto"/>
      </w:divBdr>
    </w:div>
    <w:div w:id="533202322">
      <w:bodyDiv w:val="1"/>
      <w:marLeft w:val="0"/>
      <w:marRight w:val="0"/>
      <w:marTop w:val="0"/>
      <w:marBottom w:val="0"/>
      <w:divBdr>
        <w:top w:val="none" w:sz="0" w:space="0" w:color="auto"/>
        <w:left w:val="none" w:sz="0" w:space="0" w:color="auto"/>
        <w:bottom w:val="none" w:sz="0" w:space="0" w:color="auto"/>
        <w:right w:val="none" w:sz="0" w:space="0" w:color="auto"/>
      </w:divBdr>
    </w:div>
    <w:div w:id="581988093">
      <w:bodyDiv w:val="1"/>
      <w:marLeft w:val="0"/>
      <w:marRight w:val="0"/>
      <w:marTop w:val="0"/>
      <w:marBottom w:val="0"/>
      <w:divBdr>
        <w:top w:val="none" w:sz="0" w:space="0" w:color="auto"/>
        <w:left w:val="none" w:sz="0" w:space="0" w:color="auto"/>
        <w:bottom w:val="none" w:sz="0" w:space="0" w:color="auto"/>
        <w:right w:val="none" w:sz="0" w:space="0" w:color="auto"/>
      </w:divBdr>
    </w:div>
    <w:div w:id="600142253">
      <w:bodyDiv w:val="1"/>
      <w:marLeft w:val="0"/>
      <w:marRight w:val="0"/>
      <w:marTop w:val="0"/>
      <w:marBottom w:val="0"/>
      <w:divBdr>
        <w:top w:val="none" w:sz="0" w:space="0" w:color="auto"/>
        <w:left w:val="none" w:sz="0" w:space="0" w:color="auto"/>
        <w:bottom w:val="none" w:sz="0" w:space="0" w:color="auto"/>
        <w:right w:val="none" w:sz="0" w:space="0" w:color="auto"/>
      </w:divBdr>
    </w:div>
    <w:div w:id="640234130">
      <w:bodyDiv w:val="1"/>
      <w:marLeft w:val="0"/>
      <w:marRight w:val="0"/>
      <w:marTop w:val="0"/>
      <w:marBottom w:val="0"/>
      <w:divBdr>
        <w:top w:val="none" w:sz="0" w:space="0" w:color="auto"/>
        <w:left w:val="none" w:sz="0" w:space="0" w:color="auto"/>
        <w:bottom w:val="none" w:sz="0" w:space="0" w:color="auto"/>
        <w:right w:val="none" w:sz="0" w:space="0" w:color="auto"/>
      </w:divBdr>
    </w:div>
    <w:div w:id="719285017">
      <w:bodyDiv w:val="1"/>
      <w:marLeft w:val="0"/>
      <w:marRight w:val="0"/>
      <w:marTop w:val="0"/>
      <w:marBottom w:val="0"/>
      <w:divBdr>
        <w:top w:val="none" w:sz="0" w:space="0" w:color="auto"/>
        <w:left w:val="none" w:sz="0" w:space="0" w:color="auto"/>
        <w:bottom w:val="none" w:sz="0" w:space="0" w:color="auto"/>
        <w:right w:val="none" w:sz="0" w:space="0" w:color="auto"/>
      </w:divBdr>
    </w:div>
    <w:div w:id="742601935">
      <w:bodyDiv w:val="1"/>
      <w:marLeft w:val="0"/>
      <w:marRight w:val="0"/>
      <w:marTop w:val="0"/>
      <w:marBottom w:val="0"/>
      <w:divBdr>
        <w:top w:val="none" w:sz="0" w:space="0" w:color="auto"/>
        <w:left w:val="none" w:sz="0" w:space="0" w:color="auto"/>
        <w:bottom w:val="none" w:sz="0" w:space="0" w:color="auto"/>
        <w:right w:val="none" w:sz="0" w:space="0" w:color="auto"/>
      </w:divBdr>
    </w:div>
    <w:div w:id="794519192">
      <w:bodyDiv w:val="1"/>
      <w:marLeft w:val="0"/>
      <w:marRight w:val="0"/>
      <w:marTop w:val="0"/>
      <w:marBottom w:val="0"/>
      <w:divBdr>
        <w:top w:val="none" w:sz="0" w:space="0" w:color="auto"/>
        <w:left w:val="none" w:sz="0" w:space="0" w:color="auto"/>
        <w:bottom w:val="none" w:sz="0" w:space="0" w:color="auto"/>
        <w:right w:val="none" w:sz="0" w:space="0" w:color="auto"/>
      </w:divBdr>
    </w:div>
    <w:div w:id="835532037">
      <w:bodyDiv w:val="1"/>
      <w:marLeft w:val="0"/>
      <w:marRight w:val="0"/>
      <w:marTop w:val="0"/>
      <w:marBottom w:val="0"/>
      <w:divBdr>
        <w:top w:val="none" w:sz="0" w:space="0" w:color="auto"/>
        <w:left w:val="none" w:sz="0" w:space="0" w:color="auto"/>
        <w:bottom w:val="none" w:sz="0" w:space="0" w:color="auto"/>
        <w:right w:val="none" w:sz="0" w:space="0" w:color="auto"/>
      </w:divBdr>
    </w:div>
    <w:div w:id="881788863">
      <w:bodyDiv w:val="1"/>
      <w:marLeft w:val="0"/>
      <w:marRight w:val="0"/>
      <w:marTop w:val="0"/>
      <w:marBottom w:val="0"/>
      <w:divBdr>
        <w:top w:val="none" w:sz="0" w:space="0" w:color="auto"/>
        <w:left w:val="none" w:sz="0" w:space="0" w:color="auto"/>
        <w:bottom w:val="none" w:sz="0" w:space="0" w:color="auto"/>
        <w:right w:val="none" w:sz="0" w:space="0" w:color="auto"/>
      </w:divBdr>
    </w:div>
    <w:div w:id="917903154">
      <w:bodyDiv w:val="1"/>
      <w:marLeft w:val="0"/>
      <w:marRight w:val="0"/>
      <w:marTop w:val="0"/>
      <w:marBottom w:val="0"/>
      <w:divBdr>
        <w:top w:val="none" w:sz="0" w:space="0" w:color="auto"/>
        <w:left w:val="none" w:sz="0" w:space="0" w:color="auto"/>
        <w:bottom w:val="none" w:sz="0" w:space="0" w:color="auto"/>
        <w:right w:val="none" w:sz="0" w:space="0" w:color="auto"/>
      </w:divBdr>
    </w:div>
    <w:div w:id="930699058">
      <w:bodyDiv w:val="1"/>
      <w:marLeft w:val="0"/>
      <w:marRight w:val="0"/>
      <w:marTop w:val="0"/>
      <w:marBottom w:val="0"/>
      <w:divBdr>
        <w:top w:val="none" w:sz="0" w:space="0" w:color="auto"/>
        <w:left w:val="none" w:sz="0" w:space="0" w:color="auto"/>
        <w:bottom w:val="none" w:sz="0" w:space="0" w:color="auto"/>
        <w:right w:val="none" w:sz="0" w:space="0" w:color="auto"/>
      </w:divBdr>
    </w:div>
    <w:div w:id="931201479">
      <w:bodyDiv w:val="1"/>
      <w:marLeft w:val="0"/>
      <w:marRight w:val="0"/>
      <w:marTop w:val="0"/>
      <w:marBottom w:val="0"/>
      <w:divBdr>
        <w:top w:val="none" w:sz="0" w:space="0" w:color="auto"/>
        <w:left w:val="none" w:sz="0" w:space="0" w:color="auto"/>
        <w:bottom w:val="none" w:sz="0" w:space="0" w:color="auto"/>
        <w:right w:val="none" w:sz="0" w:space="0" w:color="auto"/>
      </w:divBdr>
    </w:div>
    <w:div w:id="957876006">
      <w:bodyDiv w:val="1"/>
      <w:marLeft w:val="0"/>
      <w:marRight w:val="0"/>
      <w:marTop w:val="0"/>
      <w:marBottom w:val="0"/>
      <w:divBdr>
        <w:top w:val="none" w:sz="0" w:space="0" w:color="auto"/>
        <w:left w:val="none" w:sz="0" w:space="0" w:color="auto"/>
        <w:bottom w:val="none" w:sz="0" w:space="0" w:color="auto"/>
        <w:right w:val="none" w:sz="0" w:space="0" w:color="auto"/>
      </w:divBdr>
    </w:div>
    <w:div w:id="960377451">
      <w:bodyDiv w:val="1"/>
      <w:marLeft w:val="0"/>
      <w:marRight w:val="0"/>
      <w:marTop w:val="0"/>
      <w:marBottom w:val="0"/>
      <w:divBdr>
        <w:top w:val="none" w:sz="0" w:space="0" w:color="auto"/>
        <w:left w:val="none" w:sz="0" w:space="0" w:color="auto"/>
        <w:bottom w:val="none" w:sz="0" w:space="0" w:color="auto"/>
        <w:right w:val="none" w:sz="0" w:space="0" w:color="auto"/>
      </w:divBdr>
    </w:div>
    <w:div w:id="972566242">
      <w:bodyDiv w:val="1"/>
      <w:marLeft w:val="0"/>
      <w:marRight w:val="0"/>
      <w:marTop w:val="0"/>
      <w:marBottom w:val="0"/>
      <w:divBdr>
        <w:top w:val="none" w:sz="0" w:space="0" w:color="auto"/>
        <w:left w:val="none" w:sz="0" w:space="0" w:color="auto"/>
        <w:bottom w:val="none" w:sz="0" w:space="0" w:color="auto"/>
        <w:right w:val="none" w:sz="0" w:space="0" w:color="auto"/>
      </w:divBdr>
    </w:div>
    <w:div w:id="1065958778">
      <w:bodyDiv w:val="1"/>
      <w:marLeft w:val="0"/>
      <w:marRight w:val="0"/>
      <w:marTop w:val="0"/>
      <w:marBottom w:val="0"/>
      <w:divBdr>
        <w:top w:val="none" w:sz="0" w:space="0" w:color="auto"/>
        <w:left w:val="none" w:sz="0" w:space="0" w:color="auto"/>
        <w:bottom w:val="none" w:sz="0" w:space="0" w:color="auto"/>
        <w:right w:val="none" w:sz="0" w:space="0" w:color="auto"/>
      </w:divBdr>
    </w:div>
    <w:div w:id="1101529977">
      <w:bodyDiv w:val="1"/>
      <w:marLeft w:val="0"/>
      <w:marRight w:val="0"/>
      <w:marTop w:val="0"/>
      <w:marBottom w:val="0"/>
      <w:divBdr>
        <w:top w:val="none" w:sz="0" w:space="0" w:color="auto"/>
        <w:left w:val="none" w:sz="0" w:space="0" w:color="auto"/>
        <w:bottom w:val="none" w:sz="0" w:space="0" w:color="auto"/>
        <w:right w:val="none" w:sz="0" w:space="0" w:color="auto"/>
      </w:divBdr>
    </w:div>
    <w:div w:id="1111126875">
      <w:bodyDiv w:val="1"/>
      <w:marLeft w:val="0"/>
      <w:marRight w:val="0"/>
      <w:marTop w:val="0"/>
      <w:marBottom w:val="0"/>
      <w:divBdr>
        <w:top w:val="none" w:sz="0" w:space="0" w:color="auto"/>
        <w:left w:val="none" w:sz="0" w:space="0" w:color="auto"/>
        <w:bottom w:val="none" w:sz="0" w:space="0" w:color="auto"/>
        <w:right w:val="none" w:sz="0" w:space="0" w:color="auto"/>
      </w:divBdr>
    </w:div>
    <w:div w:id="1189948467">
      <w:bodyDiv w:val="1"/>
      <w:marLeft w:val="0"/>
      <w:marRight w:val="0"/>
      <w:marTop w:val="0"/>
      <w:marBottom w:val="0"/>
      <w:divBdr>
        <w:top w:val="none" w:sz="0" w:space="0" w:color="auto"/>
        <w:left w:val="none" w:sz="0" w:space="0" w:color="auto"/>
        <w:bottom w:val="none" w:sz="0" w:space="0" w:color="auto"/>
        <w:right w:val="none" w:sz="0" w:space="0" w:color="auto"/>
      </w:divBdr>
    </w:div>
    <w:div w:id="1233008815">
      <w:bodyDiv w:val="1"/>
      <w:marLeft w:val="0"/>
      <w:marRight w:val="0"/>
      <w:marTop w:val="0"/>
      <w:marBottom w:val="0"/>
      <w:divBdr>
        <w:top w:val="none" w:sz="0" w:space="0" w:color="auto"/>
        <w:left w:val="none" w:sz="0" w:space="0" w:color="auto"/>
        <w:bottom w:val="none" w:sz="0" w:space="0" w:color="auto"/>
        <w:right w:val="none" w:sz="0" w:space="0" w:color="auto"/>
      </w:divBdr>
    </w:div>
    <w:div w:id="1348672898">
      <w:bodyDiv w:val="1"/>
      <w:marLeft w:val="0"/>
      <w:marRight w:val="0"/>
      <w:marTop w:val="0"/>
      <w:marBottom w:val="0"/>
      <w:divBdr>
        <w:top w:val="none" w:sz="0" w:space="0" w:color="auto"/>
        <w:left w:val="none" w:sz="0" w:space="0" w:color="auto"/>
        <w:bottom w:val="none" w:sz="0" w:space="0" w:color="auto"/>
        <w:right w:val="none" w:sz="0" w:space="0" w:color="auto"/>
      </w:divBdr>
    </w:div>
    <w:div w:id="1364864272">
      <w:bodyDiv w:val="1"/>
      <w:marLeft w:val="0"/>
      <w:marRight w:val="0"/>
      <w:marTop w:val="0"/>
      <w:marBottom w:val="0"/>
      <w:divBdr>
        <w:top w:val="none" w:sz="0" w:space="0" w:color="auto"/>
        <w:left w:val="none" w:sz="0" w:space="0" w:color="auto"/>
        <w:bottom w:val="none" w:sz="0" w:space="0" w:color="auto"/>
        <w:right w:val="none" w:sz="0" w:space="0" w:color="auto"/>
      </w:divBdr>
    </w:div>
    <w:div w:id="1371807867">
      <w:bodyDiv w:val="1"/>
      <w:marLeft w:val="0"/>
      <w:marRight w:val="0"/>
      <w:marTop w:val="0"/>
      <w:marBottom w:val="0"/>
      <w:divBdr>
        <w:top w:val="none" w:sz="0" w:space="0" w:color="auto"/>
        <w:left w:val="none" w:sz="0" w:space="0" w:color="auto"/>
        <w:bottom w:val="none" w:sz="0" w:space="0" w:color="auto"/>
        <w:right w:val="none" w:sz="0" w:space="0" w:color="auto"/>
      </w:divBdr>
    </w:div>
    <w:div w:id="1440954153">
      <w:bodyDiv w:val="1"/>
      <w:marLeft w:val="0"/>
      <w:marRight w:val="0"/>
      <w:marTop w:val="0"/>
      <w:marBottom w:val="0"/>
      <w:divBdr>
        <w:top w:val="none" w:sz="0" w:space="0" w:color="auto"/>
        <w:left w:val="none" w:sz="0" w:space="0" w:color="auto"/>
        <w:bottom w:val="none" w:sz="0" w:space="0" w:color="auto"/>
        <w:right w:val="none" w:sz="0" w:space="0" w:color="auto"/>
      </w:divBdr>
    </w:div>
    <w:div w:id="1539463350">
      <w:bodyDiv w:val="1"/>
      <w:marLeft w:val="0"/>
      <w:marRight w:val="0"/>
      <w:marTop w:val="0"/>
      <w:marBottom w:val="0"/>
      <w:divBdr>
        <w:top w:val="none" w:sz="0" w:space="0" w:color="auto"/>
        <w:left w:val="none" w:sz="0" w:space="0" w:color="auto"/>
        <w:bottom w:val="none" w:sz="0" w:space="0" w:color="auto"/>
        <w:right w:val="none" w:sz="0" w:space="0" w:color="auto"/>
      </w:divBdr>
    </w:div>
    <w:div w:id="1547713028">
      <w:bodyDiv w:val="1"/>
      <w:marLeft w:val="0"/>
      <w:marRight w:val="0"/>
      <w:marTop w:val="0"/>
      <w:marBottom w:val="0"/>
      <w:divBdr>
        <w:top w:val="none" w:sz="0" w:space="0" w:color="auto"/>
        <w:left w:val="none" w:sz="0" w:space="0" w:color="auto"/>
        <w:bottom w:val="none" w:sz="0" w:space="0" w:color="auto"/>
        <w:right w:val="none" w:sz="0" w:space="0" w:color="auto"/>
      </w:divBdr>
    </w:div>
    <w:div w:id="1584530233">
      <w:bodyDiv w:val="1"/>
      <w:marLeft w:val="0"/>
      <w:marRight w:val="0"/>
      <w:marTop w:val="0"/>
      <w:marBottom w:val="0"/>
      <w:divBdr>
        <w:top w:val="none" w:sz="0" w:space="0" w:color="auto"/>
        <w:left w:val="none" w:sz="0" w:space="0" w:color="auto"/>
        <w:bottom w:val="none" w:sz="0" w:space="0" w:color="auto"/>
        <w:right w:val="none" w:sz="0" w:space="0" w:color="auto"/>
      </w:divBdr>
    </w:div>
    <w:div w:id="1616252041">
      <w:bodyDiv w:val="1"/>
      <w:marLeft w:val="0"/>
      <w:marRight w:val="0"/>
      <w:marTop w:val="0"/>
      <w:marBottom w:val="0"/>
      <w:divBdr>
        <w:top w:val="none" w:sz="0" w:space="0" w:color="auto"/>
        <w:left w:val="none" w:sz="0" w:space="0" w:color="auto"/>
        <w:bottom w:val="none" w:sz="0" w:space="0" w:color="auto"/>
        <w:right w:val="none" w:sz="0" w:space="0" w:color="auto"/>
      </w:divBdr>
    </w:div>
    <w:div w:id="1661083390">
      <w:bodyDiv w:val="1"/>
      <w:marLeft w:val="0"/>
      <w:marRight w:val="0"/>
      <w:marTop w:val="0"/>
      <w:marBottom w:val="0"/>
      <w:divBdr>
        <w:top w:val="none" w:sz="0" w:space="0" w:color="auto"/>
        <w:left w:val="none" w:sz="0" w:space="0" w:color="auto"/>
        <w:bottom w:val="none" w:sz="0" w:space="0" w:color="auto"/>
        <w:right w:val="none" w:sz="0" w:space="0" w:color="auto"/>
      </w:divBdr>
    </w:div>
    <w:div w:id="1693218994">
      <w:bodyDiv w:val="1"/>
      <w:marLeft w:val="0"/>
      <w:marRight w:val="0"/>
      <w:marTop w:val="0"/>
      <w:marBottom w:val="0"/>
      <w:divBdr>
        <w:top w:val="none" w:sz="0" w:space="0" w:color="auto"/>
        <w:left w:val="none" w:sz="0" w:space="0" w:color="auto"/>
        <w:bottom w:val="none" w:sz="0" w:space="0" w:color="auto"/>
        <w:right w:val="none" w:sz="0" w:space="0" w:color="auto"/>
      </w:divBdr>
    </w:div>
    <w:div w:id="1704280594">
      <w:bodyDiv w:val="1"/>
      <w:marLeft w:val="0"/>
      <w:marRight w:val="0"/>
      <w:marTop w:val="0"/>
      <w:marBottom w:val="0"/>
      <w:divBdr>
        <w:top w:val="none" w:sz="0" w:space="0" w:color="auto"/>
        <w:left w:val="none" w:sz="0" w:space="0" w:color="auto"/>
        <w:bottom w:val="none" w:sz="0" w:space="0" w:color="auto"/>
        <w:right w:val="none" w:sz="0" w:space="0" w:color="auto"/>
      </w:divBdr>
    </w:div>
    <w:div w:id="1790389465">
      <w:bodyDiv w:val="1"/>
      <w:marLeft w:val="0"/>
      <w:marRight w:val="0"/>
      <w:marTop w:val="0"/>
      <w:marBottom w:val="0"/>
      <w:divBdr>
        <w:top w:val="none" w:sz="0" w:space="0" w:color="auto"/>
        <w:left w:val="none" w:sz="0" w:space="0" w:color="auto"/>
        <w:bottom w:val="none" w:sz="0" w:space="0" w:color="auto"/>
        <w:right w:val="none" w:sz="0" w:space="0" w:color="auto"/>
      </w:divBdr>
    </w:div>
    <w:div w:id="1790738124">
      <w:bodyDiv w:val="1"/>
      <w:marLeft w:val="0"/>
      <w:marRight w:val="0"/>
      <w:marTop w:val="0"/>
      <w:marBottom w:val="0"/>
      <w:divBdr>
        <w:top w:val="none" w:sz="0" w:space="0" w:color="auto"/>
        <w:left w:val="none" w:sz="0" w:space="0" w:color="auto"/>
        <w:bottom w:val="none" w:sz="0" w:space="0" w:color="auto"/>
        <w:right w:val="none" w:sz="0" w:space="0" w:color="auto"/>
      </w:divBdr>
    </w:div>
    <w:div w:id="1851096989">
      <w:bodyDiv w:val="1"/>
      <w:marLeft w:val="0"/>
      <w:marRight w:val="0"/>
      <w:marTop w:val="0"/>
      <w:marBottom w:val="0"/>
      <w:divBdr>
        <w:top w:val="none" w:sz="0" w:space="0" w:color="auto"/>
        <w:left w:val="none" w:sz="0" w:space="0" w:color="auto"/>
        <w:bottom w:val="none" w:sz="0" w:space="0" w:color="auto"/>
        <w:right w:val="none" w:sz="0" w:space="0" w:color="auto"/>
      </w:divBdr>
    </w:div>
    <w:div w:id="1967543725">
      <w:bodyDiv w:val="1"/>
      <w:marLeft w:val="0"/>
      <w:marRight w:val="0"/>
      <w:marTop w:val="0"/>
      <w:marBottom w:val="0"/>
      <w:divBdr>
        <w:top w:val="none" w:sz="0" w:space="0" w:color="auto"/>
        <w:left w:val="none" w:sz="0" w:space="0" w:color="auto"/>
        <w:bottom w:val="none" w:sz="0" w:space="0" w:color="auto"/>
        <w:right w:val="none" w:sz="0" w:space="0" w:color="auto"/>
      </w:divBdr>
    </w:div>
    <w:div w:id="1974291780">
      <w:bodyDiv w:val="1"/>
      <w:marLeft w:val="0"/>
      <w:marRight w:val="0"/>
      <w:marTop w:val="0"/>
      <w:marBottom w:val="0"/>
      <w:divBdr>
        <w:top w:val="none" w:sz="0" w:space="0" w:color="auto"/>
        <w:left w:val="none" w:sz="0" w:space="0" w:color="auto"/>
        <w:bottom w:val="none" w:sz="0" w:space="0" w:color="auto"/>
        <w:right w:val="none" w:sz="0" w:space="0" w:color="auto"/>
      </w:divBdr>
    </w:div>
    <w:div w:id="2061896590">
      <w:bodyDiv w:val="1"/>
      <w:marLeft w:val="0"/>
      <w:marRight w:val="0"/>
      <w:marTop w:val="0"/>
      <w:marBottom w:val="0"/>
      <w:divBdr>
        <w:top w:val="none" w:sz="0" w:space="0" w:color="auto"/>
        <w:left w:val="none" w:sz="0" w:space="0" w:color="auto"/>
        <w:bottom w:val="none" w:sz="0" w:space="0" w:color="auto"/>
        <w:right w:val="none" w:sz="0" w:space="0" w:color="auto"/>
      </w:divBdr>
    </w:div>
    <w:div w:id="2075271227">
      <w:bodyDiv w:val="1"/>
      <w:marLeft w:val="0"/>
      <w:marRight w:val="0"/>
      <w:marTop w:val="0"/>
      <w:marBottom w:val="0"/>
      <w:divBdr>
        <w:top w:val="none" w:sz="0" w:space="0" w:color="auto"/>
        <w:left w:val="none" w:sz="0" w:space="0" w:color="auto"/>
        <w:bottom w:val="none" w:sz="0" w:space="0" w:color="auto"/>
        <w:right w:val="none" w:sz="0" w:space="0" w:color="auto"/>
      </w:divBdr>
    </w:div>
    <w:div w:id="21257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a-data.icap.columbia.edu/storage/Country/28-09-2021-22-01-17-615390ad6a147.pdf" TargetMode="External"/><Relationship Id="rId13" Type="http://schemas.openxmlformats.org/officeDocument/2006/relationships/hyperlink" Target="https://phia.icap.columbia.edu/wp-content/uploads/2019/03/ZAMPHIA-Final-Report__2.26.19.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hia.icap.columbia.edu/wp-content/uploads/2020/02/UPHIA_Final_Report_Revise_07.11.2019_Final_for-web.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ia.icap.columbia.edu/wp-content/uploads/2020/02/FINAL_THIS-2016-2017_Final-Report__06.21.19_for-web_TS.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hia.icap.columbia.edu/wp-content/uploads/2020/02/LePHIA_FinalReport_Web.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hia.icap.columbia.edu/wp-content/uploads/2020/02/SHIMS2_Final-Report_05.03.2019_forWEB.pdf"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C62D3-3862-4AFC-836A-9D8306BDE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15002</Words>
  <Characters>85516</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Trickey</dc:creator>
  <cp:keywords/>
  <dc:description/>
  <cp:lastModifiedBy>Adam Trickey</cp:lastModifiedBy>
  <cp:revision>3</cp:revision>
  <dcterms:created xsi:type="dcterms:W3CDTF">2024-01-24T11:18:00Z</dcterms:created>
  <dcterms:modified xsi:type="dcterms:W3CDTF">2024-01-24T11:19:00Z</dcterms:modified>
</cp:coreProperties>
</file>