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758AA" w14:textId="433668D4" w:rsidR="005E73D2" w:rsidRDefault="0028138A" w:rsidP="0028138A">
      <w:pPr>
        <w:rPr>
          <w:rFonts w:ascii="Times New Roman" w:hAnsi="Times New Roman" w:cs="Times New Roman"/>
          <w:sz w:val="24"/>
          <w:szCs w:val="24"/>
        </w:rPr>
      </w:pPr>
      <w:r>
        <w:rPr>
          <w:rFonts w:ascii="Times New Roman" w:hAnsi="Times New Roman" w:cs="Times New Roman" w:hint="eastAsia"/>
          <w:b/>
          <w:bCs/>
          <w:sz w:val="24"/>
          <w:szCs w:val="24"/>
        </w:rPr>
        <w:t xml:space="preserve">Appendix </w:t>
      </w:r>
      <w:r w:rsidR="007F2161">
        <w:rPr>
          <w:rFonts w:ascii="Times New Roman" w:hAnsi="Times New Roman" w:cs="Times New Roman" w:hint="eastAsia"/>
          <w:b/>
          <w:bCs/>
          <w:sz w:val="24"/>
          <w:szCs w:val="24"/>
        </w:rPr>
        <w:t>C</w:t>
      </w:r>
      <w:r>
        <w:rPr>
          <w:rFonts w:ascii="Times New Roman" w:hAnsi="Times New Roman" w:cs="Times New Roman" w:hint="eastAsia"/>
          <w:sz w:val="24"/>
          <w:szCs w:val="24"/>
        </w:rPr>
        <w:t>: The Assessment of Risk of Bias</w:t>
      </w:r>
    </w:p>
    <w:p w14:paraId="1C914634" w14:textId="77777777" w:rsidR="007943A2" w:rsidRDefault="007943A2" w:rsidP="0028138A">
      <w:pPr>
        <w:rPr>
          <w:rFonts w:ascii="Times New Roman" w:hAnsi="Times New Roman" w:cs="Times New Roman"/>
          <w:sz w:val="24"/>
          <w:szCs w:val="24"/>
        </w:rPr>
      </w:pPr>
      <w:r>
        <w:rPr>
          <w:rFonts w:ascii="Times New Roman" w:hAnsi="Times New Roman" w:cs="Times New Roman"/>
          <w:sz w:val="24"/>
          <w:szCs w:val="24"/>
        </w:rPr>
        <w:t>This appendix presents the comprehensive methodological quality and risk of bias assessments conducted for all studies included in this systematic review. Given the diverse range of study designs encompassed in the literature</w:t>
      </w:r>
      <w:r>
        <w:rPr>
          <w:rFonts w:ascii="Times New Roman" w:hAnsi="Times New Roman" w:cs="Times New Roman" w:hint="eastAsia"/>
          <w:sz w:val="24"/>
          <w:szCs w:val="24"/>
        </w:rPr>
        <w:t xml:space="preserve">, </w:t>
      </w:r>
      <w:r>
        <w:rPr>
          <w:rFonts w:ascii="Times New Roman" w:hAnsi="Times New Roman" w:cs="Times New Roman"/>
          <w:sz w:val="24"/>
          <w:szCs w:val="24"/>
        </w:rPr>
        <w:t>including analytical cross-sectional studies, cohort studies, randomized controlled trials (RCTs), qualitative research, quasi-experimental designs, expert opinions, mixed-methods research, and prediction models utilizing artificial intelligence</w:t>
      </w:r>
      <w:r>
        <w:rPr>
          <w:rFonts w:ascii="Times New Roman" w:hAnsi="Times New Roman" w:cs="Times New Roman" w:hint="eastAsia"/>
          <w:sz w:val="24"/>
          <w:szCs w:val="24"/>
        </w:rPr>
        <w:t xml:space="preserve">, </w:t>
      </w:r>
      <w:r>
        <w:rPr>
          <w:rFonts w:ascii="Times New Roman" w:hAnsi="Times New Roman" w:cs="Times New Roman"/>
          <w:sz w:val="24"/>
          <w:szCs w:val="24"/>
        </w:rPr>
        <w:t>appropriate appraisal tools were strictly selected and applied. The appendix is systematically structured to present the specific appraisal criteria or checklist utilized for each study design, followed immediately by the detailed evaluation results of the corresponding papers based on those designated methods.</w:t>
      </w:r>
    </w:p>
    <w:p w14:paraId="0C3F0792" w14:textId="3E8B8973" w:rsidR="009D4E91" w:rsidRDefault="00000000">
      <w:pPr>
        <w:jc w:val="left"/>
        <w:rPr>
          <w:rFonts w:ascii="Times New Roman" w:hAnsi="Times New Roman" w:cs="Times New Roman"/>
          <w:sz w:val="24"/>
          <w:szCs w:val="24"/>
        </w:rPr>
      </w:pPr>
      <w:r>
        <w:rPr>
          <w:rFonts w:ascii="Times New Roman" w:hAnsi="Times New Roman" w:cs="Times New Roman"/>
          <w:sz w:val="24"/>
          <w:szCs w:val="24"/>
        </w:rPr>
        <w:t xml:space="preserve">Table </w:t>
      </w:r>
      <w:r w:rsidR="00FB6570">
        <w:rPr>
          <w:rFonts w:ascii="Times New Roman" w:hAnsi="Times New Roman" w:cs="Times New Roman" w:hint="eastAsia"/>
          <w:sz w:val="24"/>
          <w:szCs w:val="24"/>
        </w:rPr>
        <w:t>C</w:t>
      </w:r>
      <w:r>
        <w:rPr>
          <w:rFonts w:ascii="Times New Roman" w:hAnsi="Times New Roman" w:cs="Times New Roman"/>
          <w:sz w:val="24"/>
          <w:szCs w:val="24"/>
        </w:rPr>
        <w:t xml:space="preserve">0a maps each study design to the quality appraisal tool that was applied. Table </w:t>
      </w:r>
      <w:r w:rsidR="00FB6570">
        <w:rPr>
          <w:rFonts w:ascii="Times New Roman" w:hAnsi="Times New Roman" w:cs="Times New Roman" w:hint="eastAsia"/>
          <w:sz w:val="24"/>
          <w:szCs w:val="24"/>
        </w:rPr>
        <w:t>C</w:t>
      </w:r>
      <w:r>
        <w:rPr>
          <w:rFonts w:ascii="Times New Roman" w:hAnsi="Times New Roman" w:cs="Times New Roman"/>
          <w:sz w:val="24"/>
          <w:szCs w:val="24"/>
        </w:rPr>
        <w:t>0b summarizes the scoring rule, the cut-off point for inclusion, and the reason for exclusion that correspond to each appraisal tool.</w:t>
      </w:r>
    </w:p>
    <w:p w14:paraId="691214DF" w14:textId="77777777" w:rsidR="009D4E91" w:rsidRDefault="009D4E91">
      <w:pPr>
        <w:rPr>
          <w:rFonts w:ascii="Times New Roman" w:hAnsi="Times New Roman" w:cs="Times New Roman"/>
          <w:sz w:val="24"/>
          <w:szCs w:val="24"/>
        </w:rPr>
      </w:pPr>
    </w:p>
    <w:p w14:paraId="75B7AEFC" w14:textId="31CE5AFF" w:rsidR="009D4E91" w:rsidRDefault="00000000">
      <w:pPr>
        <w:spacing w:line="278" w:lineRule="auto"/>
        <w:jc w:val="center"/>
        <w:rPr>
          <w:rFonts w:ascii="Times New Roman" w:hAnsi="Times New Roman" w:cs="Times New Roman"/>
          <w:sz w:val="24"/>
          <w:szCs w:val="24"/>
        </w:rPr>
      </w:pPr>
      <w:r>
        <w:rPr>
          <w:rFonts w:ascii="Times New Roman" w:hAnsi="Times New Roman" w:cs="Times New Roman"/>
          <w:b/>
          <w:bCs/>
          <w:sz w:val="24"/>
          <w:szCs w:val="24"/>
        </w:rPr>
        <w:t xml:space="preserve">Table </w:t>
      </w:r>
      <w:r w:rsidR="008554EC">
        <w:rPr>
          <w:rFonts w:ascii="Times New Roman" w:hAnsi="Times New Roman" w:cs="Times New Roman" w:hint="eastAsia"/>
          <w:b/>
          <w:bCs/>
          <w:sz w:val="24"/>
          <w:szCs w:val="24"/>
        </w:rPr>
        <w:t>C</w:t>
      </w:r>
      <w:r w:rsidR="00D61CF4">
        <w:rPr>
          <w:rFonts w:ascii="Times New Roman" w:hAnsi="Times New Roman" w:cs="Times New Roman" w:hint="eastAsia"/>
          <w:b/>
          <w:bCs/>
          <w:sz w:val="24"/>
          <w:szCs w:val="24"/>
        </w:rPr>
        <w:t>0</w:t>
      </w:r>
      <w:r>
        <w:rPr>
          <w:rFonts w:ascii="Times New Roman" w:hAnsi="Times New Roman" w:cs="Times New Roman"/>
          <w:b/>
          <w:bCs/>
          <w:sz w:val="24"/>
          <w:szCs w:val="24"/>
        </w:rPr>
        <w:t>a.</w:t>
      </w:r>
      <w:r>
        <w:rPr>
          <w:rFonts w:ascii="Times New Roman" w:hAnsi="Times New Roman" w:cs="Times New Roman"/>
          <w:sz w:val="24"/>
          <w:szCs w:val="24"/>
        </w:rPr>
        <w:t xml:space="preserve"> Quality Appraisal Tools Applied to Each Study Design</w:t>
      </w:r>
    </w:p>
    <w:tbl>
      <w:tblPr>
        <w:tblStyle w:val="af3"/>
        <w:tblW w:w="15398" w:type="dxa"/>
        <w:tblBorders>
          <w:top w:val="single" w:sz="8" w:space="0" w:color="auto"/>
          <w:left w:val="none" w:sz="0" w:space="0" w:color="auto"/>
          <w:bottom w:val="single" w:sz="8" w:space="0" w:color="auto"/>
          <w:right w:val="none" w:sz="0" w:space="0" w:color="auto"/>
          <w:insideH w:val="single" w:sz="8" w:space="0" w:color="auto"/>
          <w:insideV w:val="none" w:sz="0" w:space="0" w:color="auto"/>
        </w:tblBorders>
        <w:tblCellMar>
          <w:top w:w="60" w:type="dxa"/>
          <w:bottom w:w="60" w:type="dxa"/>
        </w:tblCellMar>
        <w:tblLook w:val="0620" w:firstRow="1" w:lastRow="0" w:firstColumn="0" w:lastColumn="0" w:noHBand="1" w:noVBand="1"/>
      </w:tblPr>
      <w:tblGrid>
        <w:gridCol w:w="1300"/>
        <w:gridCol w:w="4796"/>
        <w:gridCol w:w="6704"/>
        <w:gridCol w:w="2598"/>
      </w:tblGrid>
      <w:tr w:rsidR="00861787" w14:paraId="0F816D27" w14:textId="77777777" w:rsidTr="00861787">
        <w:tc>
          <w:tcPr>
            <w:tcW w:w="1300" w:type="dxa"/>
            <w:tcBorders>
              <w:top w:val="single" w:sz="8" w:space="0" w:color="auto"/>
              <w:left w:val="nil"/>
              <w:bottom w:val="single" w:sz="8" w:space="0" w:color="auto"/>
              <w:right w:val="nil"/>
            </w:tcBorders>
            <w:vAlign w:val="center"/>
          </w:tcPr>
          <w:p w14:paraId="7C98517E" w14:textId="77777777" w:rsidR="00861787" w:rsidRPr="00B75975" w:rsidRDefault="00861787" w:rsidP="00666A2F">
            <w:pPr>
              <w:jc w:val="center"/>
              <w:rPr>
                <w:rFonts w:ascii="Times New Roman" w:hAnsi="Times New Roman" w:cs="Times New Roman"/>
                <w:b/>
                <w:bCs/>
                <w:sz w:val="24"/>
                <w:szCs w:val="24"/>
              </w:rPr>
            </w:pPr>
            <w:r>
              <w:rPr>
                <w:rFonts w:ascii="Times New Roman" w:hAnsi="Times New Roman" w:cs="Times New Roman"/>
                <w:b/>
                <w:bCs/>
                <w:sz w:val="24"/>
                <w:szCs w:val="24"/>
              </w:rPr>
              <w:t>Section</w:t>
            </w:r>
          </w:p>
        </w:tc>
        <w:tc>
          <w:tcPr>
            <w:tcW w:w="4796" w:type="dxa"/>
            <w:tcBorders>
              <w:top w:val="single" w:sz="8" w:space="0" w:color="auto"/>
              <w:left w:val="nil"/>
              <w:bottom w:val="single" w:sz="8" w:space="0" w:color="auto"/>
              <w:right w:val="nil"/>
            </w:tcBorders>
            <w:vAlign w:val="center"/>
          </w:tcPr>
          <w:p w14:paraId="7A7B3C17" w14:textId="77777777" w:rsidR="00861787" w:rsidRPr="00B75975" w:rsidRDefault="00861787" w:rsidP="00666A2F">
            <w:pPr>
              <w:jc w:val="center"/>
              <w:rPr>
                <w:rFonts w:ascii="Times New Roman" w:hAnsi="Times New Roman" w:cs="Times New Roman"/>
                <w:b/>
                <w:bCs/>
                <w:sz w:val="24"/>
                <w:szCs w:val="24"/>
              </w:rPr>
            </w:pPr>
            <w:r>
              <w:rPr>
                <w:rFonts w:ascii="Times New Roman" w:hAnsi="Times New Roman" w:cs="Times New Roman"/>
                <w:b/>
                <w:bCs/>
                <w:sz w:val="24"/>
                <w:szCs w:val="24"/>
              </w:rPr>
              <w:t>Study Design</w:t>
            </w:r>
          </w:p>
        </w:tc>
        <w:tc>
          <w:tcPr>
            <w:tcW w:w="6704" w:type="dxa"/>
            <w:tcBorders>
              <w:top w:val="single" w:sz="8" w:space="0" w:color="auto"/>
              <w:left w:val="nil"/>
              <w:bottom w:val="single" w:sz="8" w:space="0" w:color="auto"/>
              <w:right w:val="nil"/>
            </w:tcBorders>
            <w:vAlign w:val="center"/>
          </w:tcPr>
          <w:p w14:paraId="64BD3F28" w14:textId="77777777" w:rsidR="00861787" w:rsidRPr="00B75975" w:rsidRDefault="00861787" w:rsidP="00666A2F">
            <w:pPr>
              <w:jc w:val="center"/>
              <w:rPr>
                <w:rFonts w:ascii="Times New Roman" w:hAnsi="Times New Roman" w:cs="Times New Roman"/>
                <w:b/>
                <w:bCs/>
                <w:sz w:val="24"/>
                <w:szCs w:val="24"/>
              </w:rPr>
            </w:pPr>
            <w:r>
              <w:rPr>
                <w:rFonts w:ascii="Times New Roman" w:hAnsi="Times New Roman" w:cs="Times New Roman"/>
                <w:b/>
                <w:bCs/>
                <w:sz w:val="24"/>
                <w:szCs w:val="24"/>
              </w:rPr>
              <w:t>Quality Appraisal Tool Applied</w:t>
            </w:r>
          </w:p>
        </w:tc>
        <w:tc>
          <w:tcPr>
            <w:tcW w:w="2598" w:type="dxa"/>
            <w:tcBorders>
              <w:top w:val="single" w:sz="8" w:space="0" w:color="auto"/>
              <w:left w:val="nil"/>
              <w:bottom w:val="single" w:sz="8" w:space="0" w:color="auto"/>
              <w:right w:val="nil"/>
            </w:tcBorders>
            <w:vAlign w:val="center"/>
          </w:tcPr>
          <w:p w14:paraId="4B2CC4A9" w14:textId="77777777" w:rsidR="00861787" w:rsidRPr="00B75975" w:rsidRDefault="00861787" w:rsidP="00666A2F">
            <w:pPr>
              <w:jc w:val="center"/>
              <w:rPr>
                <w:rFonts w:ascii="Times New Roman" w:hAnsi="Times New Roman" w:cs="Times New Roman"/>
                <w:b/>
                <w:bCs/>
                <w:sz w:val="24"/>
                <w:szCs w:val="24"/>
              </w:rPr>
            </w:pPr>
            <w:r>
              <w:rPr>
                <w:rFonts w:ascii="Times New Roman" w:hAnsi="Times New Roman" w:cs="Times New Roman"/>
                <w:b/>
                <w:bCs/>
                <w:sz w:val="24"/>
                <w:szCs w:val="24"/>
              </w:rPr>
              <w:t>Source</w:t>
            </w:r>
          </w:p>
        </w:tc>
      </w:tr>
      <w:tr w:rsidR="00861787" w14:paraId="05D697AE" w14:textId="77777777" w:rsidTr="00861787">
        <w:tc>
          <w:tcPr>
            <w:tcW w:w="1300" w:type="dxa"/>
            <w:tcBorders>
              <w:top w:val="single" w:sz="8" w:space="0" w:color="auto"/>
              <w:left w:val="nil"/>
              <w:bottom w:val="nil"/>
              <w:right w:val="nil"/>
            </w:tcBorders>
          </w:tcPr>
          <w:p w14:paraId="734517E7" w14:textId="4A781A44" w:rsidR="00861787" w:rsidRDefault="008554EC" w:rsidP="00666A2F">
            <w:pPr>
              <w:jc w:val="center"/>
              <w:rPr>
                <w:rFonts w:ascii="Times New Roman" w:hAnsi="Times New Roman" w:cs="Times New Roman"/>
                <w:sz w:val="24"/>
                <w:szCs w:val="24"/>
              </w:rPr>
            </w:pPr>
            <w:r>
              <w:rPr>
                <w:rFonts w:ascii="Times New Roman" w:hAnsi="Times New Roman" w:cs="Times New Roman" w:hint="eastAsia"/>
                <w:sz w:val="24"/>
                <w:szCs w:val="24"/>
              </w:rPr>
              <w:t>C1</w:t>
            </w:r>
          </w:p>
        </w:tc>
        <w:tc>
          <w:tcPr>
            <w:tcW w:w="4796" w:type="dxa"/>
            <w:tcBorders>
              <w:top w:val="single" w:sz="8" w:space="0" w:color="auto"/>
              <w:left w:val="nil"/>
              <w:bottom w:val="nil"/>
              <w:right w:val="nil"/>
            </w:tcBorders>
          </w:tcPr>
          <w:p w14:paraId="3CB2F599"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Analytical cross-sectional studies</w:t>
            </w:r>
          </w:p>
        </w:tc>
        <w:tc>
          <w:tcPr>
            <w:tcW w:w="6704" w:type="dxa"/>
            <w:tcBorders>
              <w:top w:val="single" w:sz="8" w:space="0" w:color="auto"/>
              <w:left w:val="nil"/>
              <w:bottom w:val="nil"/>
              <w:right w:val="nil"/>
            </w:tcBorders>
          </w:tcPr>
          <w:p w14:paraId="3884D203"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JBI Critical Appraisal Tool for Analytical Cross-sectional Studies</w:t>
            </w:r>
          </w:p>
        </w:tc>
        <w:tc>
          <w:tcPr>
            <w:tcW w:w="2598" w:type="dxa"/>
            <w:tcBorders>
              <w:top w:val="single" w:sz="8" w:space="0" w:color="auto"/>
              <w:left w:val="nil"/>
              <w:bottom w:val="nil"/>
              <w:right w:val="nil"/>
            </w:tcBorders>
          </w:tcPr>
          <w:p w14:paraId="5A79985A" w14:textId="61A50C62"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Barker et al., 2023</w:t>
            </w:r>
            <w:r>
              <w:rPr>
                <w:rFonts w:ascii="Times New Roman" w:hAnsi="Times New Roman" w:cs="Times New Roman" w:hint="eastAsia"/>
                <w:sz w:val="24"/>
                <w:szCs w:val="24"/>
              </w:rPr>
              <w:t>b</w:t>
            </w:r>
          </w:p>
        </w:tc>
      </w:tr>
      <w:tr w:rsidR="00861787" w14:paraId="0084686D" w14:textId="77777777" w:rsidTr="00861787">
        <w:tc>
          <w:tcPr>
            <w:tcW w:w="1300" w:type="dxa"/>
            <w:tcBorders>
              <w:top w:val="nil"/>
              <w:left w:val="nil"/>
              <w:bottom w:val="nil"/>
              <w:right w:val="nil"/>
            </w:tcBorders>
          </w:tcPr>
          <w:p w14:paraId="14859FAB" w14:textId="244729F2" w:rsidR="00861787" w:rsidRDefault="008554EC" w:rsidP="00666A2F">
            <w:pPr>
              <w:jc w:val="center"/>
              <w:rPr>
                <w:rFonts w:ascii="Times New Roman" w:hAnsi="Times New Roman" w:cs="Times New Roman"/>
                <w:sz w:val="24"/>
                <w:szCs w:val="24"/>
              </w:rPr>
            </w:pPr>
            <w:r>
              <w:rPr>
                <w:rFonts w:ascii="Times New Roman" w:hAnsi="Times New Roman" w:cs="Times New Roman" w:hint="eastAsia"/>
                <w:sz w:val="24"/>
                <w:szCs w:val="24"/>
              </w:rPr>
              <w:t>C</w:t>
            </w:r>
            <w:r w:rsidR="00861787">
              <w:rPr>
                <w:rFonts w:ascii="Times New Roman" w:hAnsi="Times New Roman" w:cs="Times New Roman"/>
                <w:sz w:val="24"/>
                <w:szCs w:val="24"/>
              </w:rPr>
              <w:t>2</w:t>
            </w:r>
          </w:p>
        </w:tc>
        <w:tc>
          <w:tcPr>
            <w:tcW w:w="4796" w:type="dxa"/>
            <w:tcBorders>
              <w:top w:val="nil"/>
              <w:left w:val="nil"/>
              <w:bottom w:val="nil"/>
              <w:right w:val="nil"/>
            </w:tcBorders>
          </w:tcPr>
          <w:p w14:paraId="654B1219"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Cohort studies</w:t>
            </w:r>
          </w:p>
        </w:tc>
        <w:tc>
          <w:tcPr>
            <w:tcW w:w="6704" w:type="dxa"/>
            <w:tcBorders>
              <w:top w:val="nil"/>
              <w:left w:val="nil"/>
              <w:bottom w:val="nil"/>
              <w:right w:val="nil"/>
            </w:tcBorders>
          </w:tcPr>
          <w:p w14:paraId="0C024504"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JBI Critical Appraisal Tool for Cohort Studies</w:t>
            </w:r>
          </w:p>
        </w:tc>
        <w:tc>
          <w:tcPr>
            <w:tcW w:w="2598" w:type="dxa"/>
            <w:tcBorders>
              <w:top w:val="nil"/>
              <w:left w:val="nil"/>
              <w:bottom w:val="nil"/>
              <w:right w:val="nil"/>
            </w:tcBorders>
          </w:tcPr>
          <w:p w14:paraId="4E1E6E90"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Barker et al., 2025</w:t>
            </w:r>
          </w:p>
        </w:tc>
      </w:tr>
      <w:tr w:rsidR="00861787" w14:paraId="001BE9F2" w14:textId="77777777" w:rsidTr="00861787">
        <w:tc>
          <w:tcPr>
            <w:tcW w:w="1300" w:type="dxa"/>
            <w:tcBorders>
              <w:top w:val="nil"/>
              <w:left w:val="nil"/>
              <w:bottom w:val="nil"/>
              <w:right w:val="nil"/>
            </w:tcBorders>
          </w:tcPr>
          <w:p w14:paraId="72A6D677" w14:textId="613A25E1" w:rsidR="00861787" w:rsidRDefault="008554EC" w:rsidP="00666A2F">
            <w:pPr>
              <w:jc w:val="center"/>
              <w:rPr>
                <w:rFonts w:ascii="Times New Roman" w:hAnsi="Times New Roman" w:cs="Times New Roman"/>
                <w:sz w:val="24"/>
                <w:szCs w:val="24"/>
              </w:rPr>
            </w:pPr>
            <w:r>
              <w:rPr>
                <w:rFonts w:ascii="Times New Roman" w:hAnsi="Times New Roman" w:cs="Times New Roman" w:hint="eastAsia"/>
                <w:sz w:val="24"/>
                <w:szCs w:val="24"/>
              </w:rPr>
              <w:t>C</w:t>
            </w:r>
            <w:r w:rsidR="00861787">
              <w:rPr>
                <w:rFonts w:ascii="Times New Roman" w:hAnsi="Times New Roman" w:cs="Times New Roman"/>
                <w:sz w:val="24"/>
                <w:szCs w:val="24"/>
              </w:rPr>
              <w:t>3</w:t>
            </w:r>
          </w:p>
        </w:tc>
        <w:tc>
          <w:tcPr>
            <w:tcW w:w="4796" w:type="dxa"/>
            <w:tcBorders>
              <w:top w:val="nil"/>
              <w:left w:val="nil"/>
              <w:bottom w:val="nil"/>
              <w:right w:val="nil"/>
            </w:tcBorders>
          </w:tcPr>
          <w:p w14:paraId="057E8E45"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Randomized controlled trials (RCTs)</w:t>
            </w:r>
          </w:p>
        </w:tc>
        <w:tc>
          <w:tcPr>
            <w:tcW w:w="6704" w:type="dxa"/>
            <w:tcBorders>
              <w:top w:val="nil"/>
              <w:left w:val="nil"/>
              <w:bottom w:val="nil"/>
              <w:right w:val="nil"/>
            </w:tcBorders>
          </w:tcPr>
          <w:p w14:paraId="63248F75"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JBI Critical Appraisal Tool for Randomized Controlled Trials</w:t>
            </w:r>
          </w:p>
        </w:tc>
        <w:tc>
          <w:tcPr>
            <w:tcW w:w="2598" w:type="dxa"/>
            <w:tcBorders>
              <w:top w:val="nil"/>
              <w:left w:val="nil"/>
              <w:bottom w:val="nil"/>
              <w:right w:val="nil"/>
            </w:tcBorders>
          </w:tcPr>
          <w:p w14:paraId="0CA063A8" w14:textId="0576543D"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Barker et al., 2023</w:t>
            </w:r>
            <w:r>
              <w:rPr>
                <w:rFonts w:ascii="Times New Roman" w:hAnsi="Times New Roman" w:cs="Times New Roman" w:hint="eastAsia"/>
                <w:sz w:val="24"/>
                <w:szCs w:val="24"/>
              </w:rPr>
              <w:t>a</w:t>
            </w:r>
          </w:p>
        </w:tc>
      </w:tr>
      <w:tr w:rsidR="00861787" w14:paraId="2CD5A66D" w14:textId="77777777" w:rsidTr="00861787">
        <w:tc>
          <w:tcPr>
            <w:tcW w:w="1300" w:type="dxa"/>
            <w:tcBorders>
              <w:top w:val="nil"/>
              <w:left w:val="nil"/>
              <w:bottom w:val="nil"/>
              <w:right w:val="nil"/>
            </w:tcBorders>
          </w:tcPr>
          <w:p w14:paraId="49EA8815" w14:textId="478DEB45" w:rsidR="00861787" w:rsidRDefault="008554EC" w:rsidP="00666A2F">
            <w:pPr>
              <w:jc w:val="center"/>
              <w:rPr>
                <w:rFonts w:ascii="Times New Roman" w:hAnsi="Times New Roman" w:cs="Times New Roman"/>
                <w:sz w:val="24"/>
                <w:szCs w:val="24"/>
              </w:rPr>
            </w:pPr>
            <w:r>
              <w:rPr>
                <w:rFonts w:ascii="Times New Roman" w:hAnsi="Times New Roman" w:cs="Times New Roman" w:hint="eastAsia"/>
                <w:sz w:val="24"/>
                <w:szCs w:val="24"/>
              </w:rPr>
              <w:t>C</w:t>
            </w:r>
            <w:r w:rsidR="00861787">
              <w:rPr>
                <w:rFonts w:ascii="Times New Roman" w:hAnsi="Times New Roman" w:cs="Times New Roman"/>
                <w:sz w:val="24"/>
                <w:szCs w:val="24"/>
              </w:rPr>
              <w:t>4</w:t>
            </w:r>
          </w:p>
        </w:tc>
        <w:tc>
          <w:tcPr>
            <w:tcW w:w="4796" w:type="dxa"/>
            <w:tcBorders>
              <w:top w:val="nil"/>
              <w:left w:val="nil"/>
              <w:bottom w:val="nil"/>
              <w:right w:val="nil"/>
            </w:tcBorders>
          </w:tcPr>
          <w:p w14:paraId="45737D0C"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Qualitative research</w:t>
            </w:r>
          </w:p>
        </w:tc>
        <w:tc>
          <w:tcPr>
            <w:tcW w:w="6704" w:type="dxa"/>
            <w:tcBorders>
              <w:top w:val="nil"/>
              <w:left w:val="nil"/>
              <w:bottom w:val="nil"/>
              <w:right w:val="nil"/>
            </w:tcBorders>
          </w:tcPr>
          <w:p w14:paraId="7A912167"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JBI Critical Appraisal Tool for Qualitative Research</w:t>
            </w:r>
          </w:p>
        </w:tc>
        <w:tc>
          <w:tcPr>
            <w:tcW w:w="2598" w:type="dxa"/>
            <w:tcBorders>
              <w:top w:val="nil"/>
              <w:left w:val="nil"/>
              <w:bottom w:val="nil"/>
              <w:right w:val="nil"/>
            </w:tcBorders>
          </w:tcPr>
          <w:p w14:paraId="2CBB69C6"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Lockwood et al., 2015</w:t>
            </w:r>
          </w:p>
        </w:tc>
      </w:tr>
      <w:tr w:rsidR="00861787" w14:paraId="784E90CF" w14:textId="77777777" w:rsidTr="00861787">
        <w:tc>
          <w:tcPr>
            <w:tcW w:w="1300" w:type="dxa"/>
            <w:tcBorders>
              <w:top w:val="nil"/>
              <w:left w:val="nil"/>
              <w:bottom w:val="nil"/>
              <w:right w:val="nil"/>
            </w:tcBorders>
          </w:tcPr>
          <w:p w14:paraId="1B5E60BE" w14:textId="2B94C0E1" w:rsidR="00861787" w:rsidRDefault="008554EC" w:rsidP="00666A2F">
            <w:pPr>
              <w:jc w:val="center"/>
              <w:rPr>
                <w:rFonts w:ascii="Times New Roman" w:hAnsi="Times New Roman" w:cs="Times New Roman"/>
                <w:sz w:val="24"/>
                <w:szCs w:val="24"/>
              </w:rPr>
            </w:pPr>
            <w:r>
              <w:rPr>
                <w:rFonts w:ascii="Times New Roman" w:hAnsi="Times New Roman" w:cs="Times New Roman" w:hint="eastAsia"/>
                <w:sz w:val="24"/>
                <w:szCs w:val="24"/>
              </w:rPr>
              <w:t>C</w:t>
            </w:r>
            <w:r w:rsidR="00861787">
              <w:rPr>
                <w:rFonts w:ascii="Times New Roman" w:hAnsi="Times New Roman" w:cs="Times New Roman"/>
                <w:sz w:val="24"/>
                <w:szCs w:val="24"/>
              </w:rPr>
              <w:t>5</w:t>
            </w:r>
          </w:p>
        </w:tc>
        <w:tc>
          <w:tcPr>
            <w:tcW w:w="4796" w:type="dxa"/>
            <w:tcBorders>
              <w:top w:val="nil"/>
              <w:left w:val="nil"/>
              <w:bottom w:val="nil"/>
              <w:right w:val="nil"/>
            </w:tcBorders>
          </w:tcPr>
          <w:p w14:paraId="0EB214E5"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Quasi-experimental studies</w:t>
            </w:r>
          </w:p>
        </w:tc>
        <w:tc>
          <w:tcPr>
            <w:tcW w:w="6704" w:type="dxa"/>
            <w:tcBorders>
              <w:top w:val="nil"/>
              <w:left w:val="nil"/>
              <w:bottom w:val="nil"/>
              <w:right w:val="nil"/>
            </w:tcBorders>
          </w:tcPr>
          <w:p w14:paraId="60D84DB0"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JBI Critical Appraisal Tool for Quasi-experimental Studies</w:t>
            </w:r>
          </w:p>
        </w:tc>
        <w:tc>
          <w:tcPr>
            <w:tcW w:w="2598" w:type="dxa"/>
            <w:tcBorders>
              <w:top w:val="nil"/>
              <w:left w:val="nil"/>
              <w:bottom w:val="nil"/>
              <w:right w:val="nil"/>
            </w:tcBorders>
          </w:tcPr>
          <w:p w14:paraId="65293120"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Barker et al., 2024</w:t>
            </w:r>
          </w:p>
        </w:tc>
      </w:tr>
      <w:tr w:rsidR="00861787" w14:paraId="5947E460" w14:textId="77777777" w:rsidTr="00861787">
        <w:tc>
          <w:tcPr>
            <w:tcW w:w="1300" w:type="dxa"/>
            <w:tcBorders>
              <w:top w:val="nil"/>
              <w:left w:val="nil"/>
              <w:bottom w:val="nil"/>
              <w:right w:val="nil"/>
            </w:tcBorders>
          </w:tcPr>
          <w:p w14:paraId="79163C86" w14:textId="2D52559F" w:rsidR="00861787" w:rsidRDefault="008554EC" w:rsidP="00666A2F">
            <w:pPr>
              <w:jc w:val="center"/>
              <w:rPr>
                <w:rFonts w:ascii="Times New Roman" w:hAnsi="Times New Roman" w:cs="Times New Roman"/>
                <w:sz w:val="24"/>
                <w:szCs w:val="24"/>
              </w:rPr>
            </w:pPr>
            <w:r>
              <w:rPr>
                <w:rFonts w:ascii="Times New Roman" w:hAnsi="Times New Roman" w:cs="Times New Roman" w:hint="eastAsia"/>
                <w:sz w:val="24"/>
                <w:szCs w:val="24"/>
              </w:rPr>
              <w:t>C</w:t>
            </w:r>
            <w:r w:rsidR="00861787">
              <w:rPr>
                <w:rFonts w:ascii="Times New Roman" w:hAnsi="Times New Roman" w:cs="Times New Roman"/>
                <w:sz w:val="24"/>
                <w:szCs w:val="24"/>
              </w:rPr>
              <w:t>6</w:t>
            </w:r>
          </w:p>
        </w:tc>
        <w:tc>
          <w:tcPr>
            <w:tcW w:w="4796" w:type="dxa"/>
            <w:tcBorders>
              <w:top w:val="nil"/>
              <w:left w:val="nil"/>
              <w:bottom w:val="nil"/>
              <w:right w:val="nil"/>
            </w:tcBorders>
          </w:tcPr>
          <w:p w14:paraId="651CCD19"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Theoretical research (expert opinion)</w:t>
            </w:r>
          </w:p>
        </w:tc>
        <w:tc>
          <w:tcPr>
            <w:tcW w:w="6704" w:type="dxa"/>
            <w:tcBorders>
              <w:top w:val="nil"/>
              <w:left w:val="nil"/>
              <w:bottom w:val="nil"/>
              <w:right w:val="nil"/>
            </w:tcBorders>
          </w:tcPr>
          <w:p w14:paraId="1CF531FE"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JBI Critical Appraisal Tool for Narrative, Opinion, and Policy</w:t>
            </w:r>
          </w:p>
        </w:tc>
        <w:tc>
          <w:tcPr>
            <w:tcW w:w="2598" w:type="dxa"/>
            <w:tcBorders>
              <w:top w:val="nil"/>
              <w:left w:val="nil"/>
              <w:bottom w:val="nil"/>
              <w:right w:val="nil"/>
            </w:tcBorders>
          </w:tcPr>
          <w:p w14:paraId="058BA50F"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McArthur et al., 2025</w:t>
            </w:r>
          </w:p>
        </w:tc>
      </w:tr>
      <w:tr w:rsidR="00861787" w14:paraId="1AC794DB" w14:textId="77777777" w:rsidTr="00861787">
        <w:tc>
          <w:tcPr>
            <w:tcW w:w="1300" w:type="dxa"/>
            <w:tcBorders>
              <w:top w:val="nil"/>
              <w:left w:val="nil"/>
              <w:bottom w:val="nil"/>
              <w:right w:val="nil"/>
            </w:tcBorders>
          </w:tcPr>
          <w:p w14:paraId="36110BFF" w14:textId="30543518" w:rsidR="00861787" w:rsidRDefault="008554EC" w:rsidP="00666A2F">
            <w:pPr>
              <w:jc w:val="center"/>
              <w:rPr>
                <w:rFonts w:ascii="Times New Roman" w:hAnsi="Times New Roman" w:cs="Times New Roman"/>
                <w:sz w:val="24"/>
                <w:szCs w:val="24"/>
              </w:rPr>
            </w:pPr>
            <w:r>
              <w:rPr>
                <w:rFonts w:ascii="Times New Roman" w:hAnsi="Times New Roman" w:cs="Times New Roman" w:hint="eastAsia"/>
                <w:sz w:val="24"/>
                <w:szCs w:val="24"/>
              </w:rPr>
              <w:t>C</w:t>
            </w:r>
            <w:r w:rsidR="00861787">
              <w:rPr>
                <w:rFonts w:ascii="Times New Roman" w:hAnsi="Times New Roman" w:cs="Times New Roman"/>
                <w:sz w:val="24"/>
                <w:szCs w:val="24"/>
              </w:rPr>
              <w:t>7</w:t>
            </w:r>
          </w:p>
        </w:tc>
        <w:tc>
          <w:tcPr>
            <w:tcW w:w="4796" w:type="dxa"/>
            <w:tcBorders>
              <w:top w:val="nil"/>
              <w:left w:val="nil"/>
              <w:bottom w:val="nil"/>
              <w:right w:val="nil"/>
            </w:tcBorders>
          </w:tcPr>
          <w:p w14:paraId="4705F64D"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Mixed-methods research</w:t>
            </w:r>
          </w:p>
        </w:tc>
        <w:tc>
          <w:tcPr>
            <w:tcW w:w="6704" w:type="dxa"/>
            <w:tcBorders>
              <w:top w:val="nil"/>
              <w:left w:val="nil"/>
              <w:bottom w:val="nil"/>
              <w:right w:val="nil"/>
            </w:tcBorders>
          </w:tcPr>
          <w:p w14:paraId="4AC6B872"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Mixed Methods Appraisal Tool (MMAT) version 2018</w:t>
            </w:r>
          </w:p>
        </w:tc>
        <w:tc>
          <w:tcPr>
            <w:tcW w:w="2598" w:type="dxa"/>
            <w:tcBorders>
              <w:top w:val="nil"/>
              <w:left w:val="nil"/>
              <w:bottom w:val="nil"/>
              <w:right w:val="nil"/>
            </w:tcBorders>
          </w:tcPr>
          <w:p w14:paraId="449ECA66"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Hong et al., 2018</w:t>
            </w:r>
          </w:p>
        </w:tc>
      </w:tr>
      <w:tr w:rsidR="00861787" w14:paraId="3FF2A7DD" w14:textId="77777777" w:rsidTr="00861787">
        <w:tc>
          <w:tcPr>
            <w:tcW w:w="1300" w:type="dxa"/>
            <w:tcBorders>
              <w:top w:val="nil"/>
              <w:left w:val="nil"/>
              <w:bottom w:val="single" w:sz="8" w:space="0" w:color="auto"/>
              <w:right w:val="nil"/>
            </w:tcBorders>
          </w:tcPr>
          <w:p w14:paraId="75A65B50" w14:textId="0A239CAB" w:rsidR="00861787" w:rsidRDefault="008554EC" w:rsidP="00666A2F">
            <w:pPr>
              <w:jc w:val="center"/>
              <w:rPr>
                <w:rFonts w:ascii="Times New Roman" w:hAnsi="Times New Roman" w:cs="Times New Roman"/>
                <w:sz w:val="24"/>
                <w:szCs w:val="24"/>
              </w:rPr>
            </w:pPr>
            <w:r>
              <w:rPr>
                <w:rFonts w:ascii="Times New Roman" w:hAnsi="Times New Roman" w:cs="Times New Roman" w:hint="eastAsia"/>
                <w:sz w:val="24"/>
                <w:szCs w:val="24"/>
              </w:rPr>
              <w:t>C</w:t>
            </w:r>
            <w:r w:rsidR="00861787">
              <w:rPr>
                <w:rFonts w:ascii="Times New Roman" w:hAnsi="Times New Roman" w:cs="Times New Roman"/>
                <w:sz w:val="24"/>
                <w:szCs w:val="24"/>
              </w:rPr>
              <w:t>8</w:t>
            </w:r>
          </w:p>
        </w:tc>
        <w:tc>
          <w:tcPr>
            <w:tcW w:w="4796" w:type="dxa"/>
            <w:tcBorders>
              <w:top w:val="nil"/>
              <w:left w:val="nil"/>
              <w:bottom w:val="single" w:sz="8" w:space="0" w:color="auto"/>
              <w:right w:val="nil"/>
            </w:tcBorders>
          </w:tcPr>
          <w:p w14:paraId="0A0A1064"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Prediction models using artificial intelligence</w:t>
            </w:r>
          </w:p>
        </w:tc>
        <w:tc>
          <w:tcPr>
            <w:tcW w:w="6704" w:type="dxa"/>
            <w:tcBorders>
              <w:top w:val="nil"/>
              <w:left w:val="nil"/>
              <w:bottom w:val="single" w:sz="8" w:space="0" w:color="auto"/>
              <w:right w:val="nil"/>
            </w:tcBorders>
          </w:tcPr>
          <w:p w14:paraId="3F23776A"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PROBAST+AI</w:t>
            </w:r>
          </w:p>
        </w:tc>
        <w:tc>
          <w:tcPr>
            <w:tcW w:w="2598" w:type="dxa"/>
            <w:tcBorders>
              <w:top w:val="nil"/>
              <w:left w:val="nil"/>
              <w:bottom w:val="single" w:sz="8" w:space="0" w:color="auto"/>
              <w:right w:val="nil"/>
            </w:tcBorders>
          </w:tcPr>
          <w:p w14:paraId="4EA8E1FE" w14:textId="77777777" w:rsidR="00861787" w:rsidRDefault="00861787" w:rsidP="00666A2F">
            <w:pPr>
              <w:jc w:val="left"/>
              <w:rPr>
                <w:rFonts w:ascii="Times New Roman" w:hAnsi="Times New Roman" w:cs="Times New Roman"/>
                <w:sz w:val="24"/>
                <w:szCs w:val="24"/>
              </w:rPr>
            </w:pPr>
            <w:r>
              <w:rPr>
                <w:rFonts w:ascii="Times New Roman" w:hAnsi="Times New Roman" w:cs="Times New Roman"/>
                <w:sz w:val="24"/>
                <w:szCs w:val="24"/>
              </w:rPr>
              <w:t>Moons et al., 2025</w:t>
            </w:r>
          </w:p>
        </w:tc>
      </w:tr>
    </w:tbl>
    <w:p w14:paraId="2CE087C7" w14:textId="77777777" w:rsidR="009D4E91" w:rsidRDefault="009D4E91">
      <w:pPr>
        <w:rPr>
          <w:rFonts w:ascii="Times New Roman" w:hAnsi="Times New Roman" w:cs="Times New Roman"/>
          <w:sz w:val="24"/>
          <w:szCs w:val="24"/>
        </w:rPr>
      </w:pPr>
    </w:p>
    <w:p w14:paraId="3CC597E3" w14:textId="2A96B317" w:rsidR="009D4E91" w:rsidRDefault="00000000">
      <w:pPr>
        <w:spacing w:line="278" w:lineRule="auto"/>
        <w:jc w:val="center"/>
        <w:rPr>
          <w:rFonts w:ascii="Times New Roman" w:hAnsi="Times New Roman" w:cs="Times New Roman"/>
          <w:sz w:val="24"/>
          <w:szCs w:val="24"/>
        </w:rPr>
      </w:pPr>
      <w:r>
        <w:rPr>
          <w:rFonts w:ascii="Times New Roman" w:hAnsi="Times New Roman" w:cs="Times New Roman"/>
          <w:b/>
          <w:bCs/>
          <w:sz w:val="24"/>
          <w:szCs w:val="24"/>
        </w:rPr>
        <w:t xml:space="preserve">Table </w:t>
      </w:r>
      <w:r w:rsidR="008554EC">
        <w:rPr>
          <w:rFonts w:ascii="Times New Roman" w:hAnsi="Times New Roman" w:cs="Times New Roman" w:hint="eastAsia"/>
          <w:b/>
          <w:bCs/>
          <w:sz w:val="24"/>
          <w:szCs w:val="24"/>
        </w:rPr>
        <w:t>C</w:t>
      </w:r>
      <w:r w:rsidR="00D61CF4">
        <w:rPr>
          <w:rFonts w:ascii="Times New Roman" w:hAnsi="Times New Roman" w:cs="Times New Roman" w:hint="eastAsia"/>
          <w:b/>
          <w:bCs/>
          <w:sz w:val="24"/>
          <w:szCs w:val="24"/>
        </w:rPr>
        <w:t>0</w:t>
      </w:r>
      <w:r>
        <w:rPr>
          <w:rFonts w:ascii="Times New Roman" w:hAnsi="Times New Roman" w:cs="Times New Roman"/>
          <w:b/>
          <w:bCs/>
          <w:sz w:val="24"/>
          <w:szCs w:val="24"/>
        </w:rPr>
        <w:t>b.</w:t>
      </w:r>
      <w:r>
        <w:rPr>
          <w:rFonts w:ascii="Times New Roman" w:hAnsi="Times New Roman" w:cs="Times New Roman"/>
          <w:sz w:val="24"/>
          <w:szCs w:val="24"/>
        </w:rPr>
        <w:t xml:space="preserve"> Scoring Rule, Cut-off Point, and Reason for Exclusion for Each Quality Appraisal Tool</w:t>
      </w:r>
    </w:p>
    <w:tbl>
      <w:tblPr>
        <w:tblStyle w:val="af3"/>
        <w:tblW w:w="0" w:type="auto"/>
        <w:tblBorders>
          <w:top w:val="single" w:sz="8" w:space="0" w:color="auto"/>
          <w:left w:val="none" w:sz="0" w:space="0" w:color="auto"/>
          <w:bottom w:val="single" w:sz="8" w:space="0" w:color="auto"/>
          <w:right w:val="none" w:sz="0" w:space="0" w:color="auto"/>
          <w:insideH w:val="single" w:sz="8" w:space="0" w:color="auto"/>
          <w:insideV w:val="none" w:sz="0" w:space="0" w:color="auto"/>
        </w:tblBorders>
        <w:tblCellMar>
          <w:top w:w="60" w:type="dxa"/>
          <w:bottom w:w="60" w:type="dxa"/>
        </w:tblCellMar>
        <w:tblLook w:val="0620" w:firstRow="1" w:lastRow="0" w:firstColumn="0" w:lastColumn="0" w:noHBand="1" w:noVBand="1"/>
      </w:tblPr>
      <w:tblGrid>
        <w:gridCol w:w="2871"/>
        <w:gridCol w:w="3948"/>
        <w:gridCol w:w="4305"/>
        <w:gridCol w:w="4274"/>
      </w:tblGrid>
      <w:tr w:rsidR="009D4E91" w:rsidRPr="00EB7EA2" w14:paraId="7F6C7B7E" w14:textId="77777777" w:rsidTr="002E37FE">
        <w:trPr>
          <w:tblHeader/>
        </w:trPr>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0360BAF5" w14:textId="77777777" w:rsidR="009D4E91" w:rsidRPr="002661AA" w:rsidRDefault="00000000">
            <w:pPr>
              <w:jc w:val="center"/>
              <w:rPr>
                <w:rFonts w:ascii="Times New Roman" w:hAnsi="Times New Roman" w:cs="Times New Roman"/>
                <w:b/>
                <w:bCs/>
                <w:sz w:val="24"/>
                <w:szCs w:val="24"/>
              </w:rPr>
            </w:pPr>
            <w:r>
              <w:rPr>
                <w:rFonts w:ascii="Times New Roman" w:hAnsi="Times New Roman" w:cs="Times New Roman"/>
                <w:b/>
                <w:bCs/>
                <w:sz w:val="24"/>
                <w:szCs w:val="24"/>
              </w:rPr>
              <w:t>Quality Appraisal Tool</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30F0F42A" w14:textId="77777777" w:rsidR="009D4E91" w:rsidRPr="002661AA" w:rsidRDefault="00000000">
            <w:pPr>
              <w:jc w:val="center"/>
              <w:rPr>
                <w:rFonts w:ascii="Times New Roman" w:hAnsi="Times New Roman" w:cs="Times New Roman"/>
                <w:b/>
                <w:bCs/>
                <w:sz w:val="24"/>
                <w:szCs w:val="24"/>
              </w:rPr>
            </w:pPr>
            <w:r>
              <w:rPr>
                <w:rFonts w:ascii="Times New Roman" w:hAnsi="Times New Roman" w:cs="Times New Roman"/>
                <w:b/>
                <w:bCs/>
                <w:sz w:val="24"/>
                <w:szCs w:val="24"/>
              </w:rPr>
              <w:t>Scoring Rule</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26D3BAB6" w14:textId="77777777" w:rsidR="009D4E91" w:rsidRPr="002661AA" w:rsidRDefault="00000000">
            <w:pPr>
              <w:jc w:val="center"/>
              <w:rPr>
                <w:rFonts w:ascii="Times New Roman" w:hAnsi="Times New Roman" w:cs="Times New Roman"/>
                <w:b/>
                <w:bCs/>
                <w:sz w:val="24"/>
                <w:szCs w:val="24"/>
              </w:rPr>
            </w:pPr>
            <w:r>
              <w:rPr>
                <w:rFonts w:ascii="Times New Roman" w:hAnsi="Times New Roman" w:cs="Times New Roman"/>
                <w:b/>
                <w:bCs/>
                <w:sz w:val="24"/>
                <w:szCs w:val="24"/>
              </w:rPr>
              <w:t>Cut-off Point for Inclusion</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23AEAE96" w14:textId="77777777" w:rsidR="009D4E91" w:rsidRPr="002661AA" w:rsidRDefault="00000000">
            <w:pPr>
              <w:jc w:val="center"/>
              <w:rPr>
                <w:rFonts w:ascii="Times New Roman" w:hAnsi="Times New Roman" w:cs="Times New Roman"/>
                <w:b/>
                <w:bCs/>
                <w:sz w:val="24"/>
                <w:szCs w:val="24"/>
              </w:rPr>
            </w:pPr>
            <w:r>
              <w:rPr>
                <w:rFonts w:ascii="Times New Roman" w:hAnsi="Times New Roman" w:cs="Times New Roman"/>
                <w:b/>
                <w:bCs/>
                <w:sz w:val="24"/>
                <w:szCs w:val="24"/>
              </w:rPr>
              <w:t>Reason for Exclusion</w:t>
            </w:r>
          </w:p>
        </w:tc>
      </w:tr>
      <w:tr w:rsidR="009D4E91" w:rsidRPr="00EB7EA2" w14:paraId="14631C1D" w14:textId="77777777" w:rsidTr="002E37FE">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7FCA8A27" w14:textId="77777777" w:rsidR="009D4E91" w:rsidRPr="002661AA" w:rsidRDefault="00000000">
            <w:pPr>
              <w:jc w:val="center"/>
              <w:rPr>
                <w:rFonts w:ascii="Times New Roman" w:hAnsi="Times New Roman" w:cs="Times New Roman"/>
                <w:b/>
                <w:bCs/>
                <w:sz w:val="24"/>
                <w:szCs w:val="52"/>
              </w:rPr>
            </w:pPr>
            <w:r>
              <w:rPr>
                <w:rFonts w:ascii="Times New Roman" w:hAnsi="Times New Roman" w:cs="Times New Roman"/>
                <w:bCs/>
                <w:sz w:val="24"/>
                <w:szCs w:val="52"/>
              </w:rPr>
              <w:t xml:space="preserve">JBI Critical Appraisal Tools (applied to analytical cross-sectional, cohort, randomized controlled trial, qualitative, quasi-experimental, and expert </w:t>
            </w:r>
            <w:r>
              <w:rPr>
                <w:rFonts w:ascii="Times New Roman" w:hAnsi="Times New Roman" w:cs="Times New Roman"/>
                <w:bCs/>
                <w:sz w:val="24"/>
                <w:szCs w:val="52"/>
              </w:rPr>
              <w:lastRenderedPageBreak/>
              <w:t>opinion studies)</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18230443" w14:textId="77777777" w:rsidR="009D4E91" w:rsidRPr="002661AA" w:rsidRDefault="00000000">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Every checklist item is judged as Yes, No, Unclear, or Not applicable. One point is awarded for each item answered Yes, and items judged Not applicable are removed from the denominator so that they neither raise </w:t>
            </w:r>
            <w:r>
              <w:rPr>
                <w:rFonts w:ascii="Times New Roman" w:hAnsi="Times New Roman" w:cs="Times New Roman"/>
                <w:sz w:val="24"/>
                <w:szCs w:val="24"/>
              </w:rPr>
              <w:lastRenderedPageBreak/>
              <w:t>nor lower the final proportion of Yes responses.</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12674F31" w14:textId="158BFAE6" w:rsidR="00FB6B47" w:rsidRPr="002661AA" w:rsidRDefault="00000000">
            <w:pPr>
              <w:jc w:val="left"/>
              <w:rPr>
                <w:rFonts w:ascii="Times New Roman" w:hAnsi="Times New Roman" w:cs="Times New Roman"/>
                <w:sz w:val="24"/>
                <w:szCs w:val="24"/>
              </w:rPr>
            </w:pPr>
            <w:r>
              <w:rPr>
                <w:rFonts w:ascii="Times New Roman" w:hAnsi="Times New Roman" w:cs="Times New Roman"/>
                <w:sz w:val="24"/>
                <w:szCs w:val="24"/>
              </w:rPr>
              <w:lastRenderedPageBreak/>
              <w:t xml:space="preserve">A study is retained when the large majority of applicable items are judged Yes and no item that is critical to the study design is judged No. Critical items comprise sample selection, valid and reliable measurement of exposures and outcomes, identification </w:t>
            </w:r>
            <w:r>
              <w:rPr>
                <w:rFonts w:ascii="Times New Roman" w:hAnsi="Times New Roman" w:cs="Times New Roman"/>
                <w:sz w:val="24"/>
                <w:szCs w:val="24"/>
              </w:rPr>
              <w:lastRenderedPageBreak/>
              <w:t>and control of confounding, completeness and handling of follow up where relevant, methodological congruence, and appropriate statistical analysis. Isolated Unclear ratings on an otherwise sound study do not prevent inclusion.</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2055BDE7" w14:textId="1BFC4854" w:rsidR="00FB6B47" w:rsidRPr="002661AA" w:rsidRDefault="00000000">
            <w:pPr>
              <w:jc w:val="left"/>
              <w:rPr>
                <w:rFonts w:ascii="Times New Roman" w:hAnsi="Times New Roman" w:cs="Times New Roman"/>
                <w:sz w:val="24"/>
                <w:szCs w:val="24"/>
              </w:rPr>
            </w:pPr>
            <w:r>
              <w:rPr>
                <w:rFonts w:ascii="Times New Roman" w:hAnsi="Times New Roman" w:cs="Times New Roman"/>
                <w:sz w:val="24"/>
                <w:szCs w:val="24"/>
              </w:rPr>
              <w:lastRenderedPageBreak/>
              <w:t xml:space="preserve">A study is excluded when </w:t>
            </w:r>
            <w:r w:rsidR="00FE2CE8">
              <w:rPr>
                <w:rFonts w:ascii="Times New Roman" w:hAnsi="Times New Roman" w:cs="Times New Roman" w:hint="eastAsia"/>
                <w:sz w:val="24"/>
                <w:szCs w:val="24"/>
              </w:rPr>
              <w:t>one</w:t>
            </w:r>
            <w:r>
              <w:rPr>
                <w:rFonts w:ascii="Times New Roman" w:hAnsi="Times New Roman" w:cs="Times New Roman"/>
                <w:sz w:val="24"/>
                <w:szCs w:val="24"/>
              </w:rPr>
              <w:t xml:space="preserve"> or more items critical to the design are judged No, indicating a methodological flaw that undermines validity, or when the unmet items together leave the overall methodological quality insufficient to </w:t>
            </w:r>
            <w:r>
              <w:rPr>
                <w:rFonts w:ascii="Times New Roman" w:hAnsi="Times New Roman" w:cs="Times New Roman"/>
                <w:sz w:val="24"/>
                <w:szCs w:val="24"/>
              </w:rPr>
              <w:lastRenderedPageBreak/>
              <w:t>support reliable findings. An Unclear rating on its own is not treated as a ground for exclusion.</w:t>
            </w:r>
          </w:p>
        </w:tc>
      </w:tr>
      <w:tr w:rsidR="009D4E91" w:rsidRPr="00EB7EA2" w14:paraId="06478C7C" w14:textId="77777777" w:rsidTr="002E37FE">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393A4C2B" w14:textId="77777777" w:rsidR="009D4E91" w:rsidRPr="002661AA" w:rsidRDefault="00000000">
            <w:pPr>
              <w:jc w:val="center"/>
              <w:rPr>
                <w:rFonts w:ascii="Times New Roman" w:hAnsi="Times New Roman" w:cs="Times New Roman"/>
                <w:b/>
                <w:bCs/>
                <w:sz w:val="24"/>
                <w:szCs w:val="52"/>
              </w:rPr>
            </w:pPr>
            <w:r>
              <w:rPr>
                <w:rFonts w:ascii="Times New Roman" w:hAnsi="Times New Roman" w:cs="Times New Roman"/>
                <w:bCs/>
                <w:sz w:val="24"/>
                <w:szCs w:val="52"/>
              </w:rPr>
              <w:lastRenderedPageBreak/>
              <w:t>Mixed Methods Appraisal Tool (MMAT) version 2018 (applied to mixed-methods research)</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0C88D9FA" w14:textId="77777777" w:rsidR="009D4E91" w:rsidRPr="002661AA" w:rsidRDefault="00000000">
            <w:pPr>
              <w:jc w:val="center"/>
              <w:rPr>
                <w:rFonts w:ascii="Times New Roman" w:hAnsi="Times New Roman" w:cs="Times New Roman"/>
                <w:sz w:val="24"/>
                <w:szCs w:val="24"/>
              </w:rPr>
            </w:pPr>
            <w:r>
              <w:rPr>
                <w:rFonts w:ascii="Times New Roman" w:hAnsi="Times New Roman" w:cs="Times New Roman"/>
                <w:sz w:val="24"/>
                <w:szCs w:val="24"/>
              </w:rPr>
              <w:t>Two screening questions are answered first, and they are followed by five category-specific criteria for each methodological strand that the study contains. Each criterion is rated Yes, No, or Can’t tell, and a descriptive profile of the ratings is reported rather than a single converted score.</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791F02D1" w14:textId="4E8EB0C4" w:rsidR="00FB6B47" w:rsidRPr="002661AA" w:rsidRDefault="00000000">
            <w:pPr>
              <w:jc w:val="left"/>
              <w:rPr>
                <w:rFonts w:ascii="Times New Roman" w:hAnsi="Times New Roman" w:cs="Times New Roman"/>
                <w:sz w:val="24"/>
                <w:szCs w:val="24"/>
              </w:rPr>
            </w:pPr>
            <w:r>
              <w:rPr>
                <w:rFonts w:ascii="Times New Roman" w:hAnsi="Times New Roman" w:cs="Times New Roman"/>
                <w:sz w:val="24"/>
                <w:szCs w:val="24"/>
              </w:rPr>
              <w:t>A study is retained when both screening questions are judged Yes and when each applicable category, namely the qualitative, the quantitative, and the mixed methods category, meets the majority of its criteria, provided that the mixed methods category shows an adequate rationale for the design, effective integration of the components, and a coherent interpretation of the combined findings. A small number of criteria rated No or Can’t tell within a category does not prevent inclusion when the integration of the study remains sound.</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35BBF234" w14:textId="1E39D6FF" w:rsidR="00FB6B47" w:rsidRPr="002661AA" w:rsidRDefault="00000000">
            <w:pPr>
              <w:jc w:val="left"/>
              <w:rPr>
                <w:rFonts w:ascii="Times New Roman" w:hAnsi="Times New Roman" w:cs="Times New Roman"/>
                <w:sz w:val="24"/>
                <w:szCs w:val="24"/>
              </w:rPr>
            </w:pPr>
            <w:r>
              <w:rPr>
                <w:rFonts w:ascii="Times New Roman" w:hAnsi="Times New Roman" w:cs="Times New Roman"/>
                <w:sz w:val="24"/>
                <w:szCs w:val="24"/>
              </w:rPr>
              <w:t>A study is excluded when either screening question is not satisfied, when an applicable category fails the majority of its criteria, or when the mixed methods category does not demonstrate an adequate rationale, effective integration, and a coherent interpretation of the combined data.</w:t>
            </w:r>
          </w:p>
        </w:tc>
      </w:tr>
      <w:tr w:rsidR="009D4E91" w:rsidRPr="00EB7EA2" w14:paraId="3FFD0D3B" w14:textId="77777777" w:rsidTr="002E37FE">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01E5317D" w14:textId="77777777" w:rsidR="009D4E91" w:rsidRPr="002661AA" w:rsidRDefault="00000000">
            <w:pPr>
              <w:jc w:val="center"/>
              <w:rPr>
                <w:rFonts w:ascii="Times New Roman" w:hAnsi="Times New Roman" w:cs="Times New Roman"/>
                <w:b/>
                <w:bCs/>
                <w:sz w:val="24"/>
                <w:szCs w:val="52"/>
              </w:rPr>
            </w:pPr>
            <w:r>
              <w:rPr>
                <w:rFonts w:ascii="Times New Roman" w:hAnsi="Times New Roman" w:cs="Times New Roman"/>
                <w:bCs/>
                <w:sz w:val="24"/>
                <w:szCs w:val="52"/>
              </w:rPr>
              <w:t>PROBAST+AI (applied to prediction models using artificial intelligence)</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50A843FA" w14:textId="77777777" w:rsidR="009D4E91" w:rsidRPr="002661AA" w:rsidRDefault="00000000">
            <w:pPr>
              <w:jc w:val="center"/>
              <w:rPr>
                <w:rFonts w:ascii="Times New Roman" w:hAnsi="Times New Roman" w:cs="Times New Roman"/>
                <w:sz w:val="24"/>
                <w:szCs w:val="24"/>
              </w:rPr>
            </w:pPr>
            <w:r>
              <w:rPr>
                <w:rFonts w:ascii="Times New Roman" w:hAnsi="Times New Roman" w:cs="Times New Roman"/>
                <w:sz w:val="24"/>
                <w:szCs w:val="24"/>
              </w:rPr>
              <w:t>Risk of bias is appraised across four domains, namely participants, predictors, outcomes, and analysis. Each domain is judged as Low, High, or Unclear risk of bias through its signaling questions, and applicability is judged separately as Low, High, or Unclear concern.</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6244B72C" w14:textId="1C0E3C2A" w:rsidR="00FB6B47" w:rsidRPr="002661AA" w:rsidRDefault="00000000">
            <w:pPr>
              <w:jc w:val="left"/>
              <w:rPr>
                <w:rFonts w:ascii="Times New Roman" w:hAnsi="Times New Roman" w:cs="Times New Roman"/>
                <w:sz w:val="24"/>
                <w:szCs w:val="24"/>
              </w:rPr>
            </w:pPr>
            <w:r>
              <w:rPr>
                <w:rFonts w:ascii="Times New Roman" w:hAnsi="Times New Roman" w:cs="Times New Roman"/>
                <w:sz w:val="24"/>
                <w:szCs w:val="24"/>
              </w:rPr>
              <w:t>A study is retained only when the overall risk of bias is Low and the concern for applicability is Low. The overall risk of bias is rated Low only when all four domains are rated Low, so a Low overall judgement cannot coexist with any domain rated High.</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tcPr>
          <w:p w14:paraId="0133EC4E" w14:textId="77777777" w:rsidR="00FB6B47" w:rsidRPr="002661AA" w:rsidRDefault="00000000">
            <w:pPr>
              <w:jc w:val="left"/>
              <w:rPr>
                <w:rFonts w:ascii="Times New Roman" w:hAnsi="Times New Roman" w:cs="Times New Roman"/>
                <w:sz w:val="24"/>
                <w:szCs w:val="24"/>
              </w:rPr>
            </w:pPr>
            <w:r>
              <w:rPr>
                <w:rFonts w:ascii="Times New Roman" w:hAnsi="Times New Roman" w:cs="Times New Roman"/>
                <w:sz w:val="24"/>
                <w:szCs w:val="24"/>
              </w:rPr>
              <w:t>A study is excluded when any PROBAST+AI domain shows high risk of bias or when applicability is of high concern for aging in place.</w:t>
            </w:r>
          </w:p>
        </w:tc>
      </w:tr>
    </w:tbl>
    <w:p w14:paraId="69F1604E" w14:textId="77777777" w:rsidR="001C49F1" w:rsidRDefault="001C49F1" w:rsidP="0028138A">
      <w:pPr>
        <w:rPr>
          <w:rFonts w:ascii="Times New Roman" w:hAnsi="Times New Roman" w:cs="Times New Roman"/>
          <w:sz w:val="24"/>
          <w:szCs w:val="24"/>
        </w:rPr>
      </w:pPr>
    </w:p>
    <w:p w14:paraId="6C088DC3" w14:textId="79441BBB" w:rsidR="001C49F1" w:rsidRPr="001C49F1" w:rsidRDefault="00D61CF4" w:rsidP="001C49F1">
      <w:pPr>
        <w:rPr>
          <w:rFonts w:ascii="Times New Roman" w:hAnsi="Times New Roman" w:cs="Times New Roman"/>
          <w:b/>
          <w:bCs/>
          <w:sz w:val="24"/>
          <w:szCs w:val="24"/>
        </w:rPr>
      </w:pPr>
      <w:r>
        <w:rPr>
          <w:rFonts w:ascii="Times New Roman" w:eastAsia="等线" w:hAnsi="Times New Roman" w:cs="Times New Roman" w:hint="eastAsia"/>
          <w:b/>
          <w:bCs/>
          <w:color w:val="1F1F1F"/>
          <w:kern w:val="0"/>
          <w:sz w:val="24"/>
          <w:szCs w:val="24"/>
          <w14:ligatures w14:val="none"/>
        </w:rPr>
        <w:t>C</w:t>
      </w:r>
      <w:r w:rsidR="001C49F1">
        <w:rPr>
          <w:rFonts w:ascii="Times New Roman" w:hAnsi="Times New Roman" w:cs="Times New Roman"/>
          <w:b/>
          <w:bCs/>
          <w:sz w:val="24"/>
          <w:szCs w:val="24"/>
        </w:rPr>
        <w:t>1. Analytical Cross-sectional Studies</w:t>
      </w:r>
      <w:r w:rsidR="001C49F1">
        <w:rPr>
          <w:rFonts w:ascii="Times New Roman" w:hAnsi="Times New Roman" w:cs="Times New Roman" w:hint="eastAsia"/>
          <w:b/>
          <w:bCs/>
          <w:sz w:val="24"/>
          <w:szCs w:val="24"/>
        </w:rPr>
        <w:t xml:space="preserve"> </w:t>
      </w:r>
    </w:p>
    <w:p w14:paraId="1F337498" w14:textId="309A76DA" w:rsidR="00CE5463" w:rsidRDefault="001C49F1" w:rsidP="00080496">
      <w:pPr>
        <w:rPr>
          <w:rFonts w:ascii="Times New Roman" w:hAnsi="Times New Roman" w:cs="Times New Roman"/>
          <w:sz w:val="24"/>
          <w:szCs w:val="24"/>
        </w:rPr>
      </w:pPr>
      <w:r>
        <w:rPr>
          <w:rFonts w:ascii="Times New Roman" w:hAnsi="Times New Roman" w:cs="Times New Roman"/>
          <w:sz w:val="24"/>
          <w:szCs w:val="24"/>
        </w:rPr>
        <w:t xml:space="preserve">The methodological quality of the analytical cross-sectional studies was evaluated using the JBI critical appraisal tool, guided by the overarching methodology </w:t>
      </w:r>
      <w:r>
        <w:rPr>
          <w:rFonts w:ascii="Times New Roman" w:hAnsi="Times New Roman" w:cs="Times New Roman"/>
          <w:sz w:val="24"/>
          <w:szCs w:val="24"/>
        </w:rPr>
        <w:lastRenderedPageBreak/>
        <w:t>and development process for quantitative appraisal tools (Barker et al., 2023</w:t>
      </w:r>
      <w:r>
        <w:rPr>
          <w:rFonts w:ascii="Times New Roman" w:hAnsi="Times New Roman" w:cs="Times New Roman" w:hint="eastAsia"/>
          <w:sz w:val="24"/>
          <w:szCs w:val="24"/>
        </w:rPr>
        <w:t>b</w:t>
      </w:r>
      <w:r>
        <w:rPr>
          <w:rFonts w:ascii="Times New Roman" w:hAnsi="Times New Roman" w:cs="Times New Roman"/>
          <w:sz w:val="24"/>
          <w:szCs w:val="24"/>
        </w:rPr>
        <w:t xml:space="preserve">). </w:t>
      </w:r>
      <w:r>
        <w:rPr>
          <w:rFonts w:ascii="Times New Roman" w:hAnsi="Times New Roman" w:cs="Times New Roman"/>
          <w:b/>
          <w:bCs/>
          <w:sz w:val="24"/>
          <w:szCs w:val="24"/>
        </w:rPr>
        <w:t xml:space="preserve">Table </w:t>
      </w:r>
      <w:r w:rsidR="00D61CF4">
        <w:rPr>
          <w:rFonts w:ascii="Times New Roman" w:eastAsia="等线" w:hAnsi="Times New Roman" w:cs="Times New Roman" w:hint="eastAsia"/>
          <w:b/>
          <w:bCs/>
          <w:color w:val="1F1F1F"/>
          <w:kern w:val="0"/>
          <w:sz w:val="24"/>
          <w:szCs w:val="24"/>
          <w14:ligatures w14:val="none"/>
        </w:rPr>
        <w:t>C</w:t>
      </w:r>
      <w:r>
        <w:rPr>
          <w:rFonts w:ascii="Times New Roman" w:hAnsi="Times New Roman" w:cs="Times New Roman"/>
          <w:b/>
          <w:bCs/>
          <w:sz w:val="24"/>
          <w:szCs w:val="24"/>
        </w:rPr>
        <w:t>1b</w:t>
      </w:r>
      <w:r>
        <w:rPr>
          <w:rFonts w:ascii="Times New Roman" w:hAnsi="Times New Roman" w:cs="Times New Roman"/>
          <w:sz w:val="24"/>
          <w:szCs w:val="24"/>
        </w:rPr>
        <w:t xml:space="preserve"> presents the assessment results based on these corresponding criteria.</w:t>
      </w:r>
    </w:p>
    <w:p w14:paraId="140C9D59" w14:textId="77777777" w:rsidR="001C49F1" w:rsidRPr="001C49F1" w:rsidRDefault="001C49F1" w:rsidP="00080496">
      <w:pPr>
        <w:rPr>
          <w:rFonts w:ascii="Times New Roman" w:hAnsi="Times New Roman" w:cs="Times New Roman"/>
          <w:sz w:val="24"/>
          <w:szCs w:val="24"/>
        </w:rPr>
      </w:pPr>
    </w:p>
    <w:p w14:paraId="488F7522" w14:textId="165D8968" w:rsidR="002661AA" w:rsidRPr="001C49F1" w:rsidRDefault="002661AA" w:rsidP="002661AA">
      <w:pPr>
        <w:widowControl/>
        <w:spacing w:line="278" w:lineRule="auto"/>
        <w:jc w:val="center"/>
        <w:rPr>
          <w:rFonts w:ascii="Times New Roman" w:hAnsi="Times New Roman" w:cs="Times New Roman"/>
          <w:b/>
          <w:bCs/>
          <w:sz w:val="24"/>
          <w:szCs w:val="24"/>
        </w:rPr>
      </w:pPr>
      <w:r>
        <w:rPr>
          <w:rFonts w:ascii="Times New Roman" w:hAnsi="Times New Roman" w:cs="Times New Roman" w:hint="eastAsia"/>
          <w:b/>
          <w:bCs/>
          <w:sz w:val="24"/>
          <w:szCs w:val="24"/>
        </w:rPr>
        <w:t xml:space="preserve">Table </w:t>
      </w:r>
      <w:r w:rsidR="008554EC">
        <w:rPr>
          <w:rFonts w:ascii="Times New Roman" w:hAnsi="Times New Roman" w:cs="Times New Roman" w:hint="eastAsia"/>
          <w:b/>
          <w:bCs/>
          <w:sz w:val="24"/>
          <w:szCs w:val="24"/>
        </w:rPr>
        <w:t>C</w:t>
      </w:r>
      <w:r w:rsidR="00D61CF4">
        <w:rPr>
          <w:rFonts w:ascii="Times New Roman" w:hAnsi="Times New Roman" w:cs="Times New Roman" w:hint="eastAsia"/>
          <w:b/>
          <w:bCs/>
          <w:sz w:val="24"/>
          <w:szCs w:val="24"/>
        </w:rPr>
        <w:t>1</w:t>
      </w:r>
      <w:r>
        <w:rPr>
          <w:rFonts w:ascii="Times New Roman" w:hAnsi="Times New Roman" w:cs="Times New Roman" w:hint="eastAsia"/>
          <w:b/>
          <w:bCs/>
          <w:sz w:val="24"/>
          <w:szCs w:val="24"/>
        </w:rPr>
        <w:t>a.</w:t>
      </w:r>
      <w:r>
        <w:rPr>
          <w:rFonts w:ascii="Times New Roman" w:hAnsi="Times New Roman" w:cs="Times New Roman"/>
          <w:b/>
          <w:bCs/>
          <w:sz w:val="24"/>
          <w:szCs w:val="24"/>
        </w:rPr>
        <w:t xml:space="preserve"> </w:t>
      </w:r>
      <w:r>
        <w:rPr>
          <w:rFonts w:ascii="Times New Roman" w:hAnsi="Times New Roman" w:cs="Times New Roman"/>
          <w:sz w:val="24"/>
          <w:szCs w:val="24"/>
        </w:rPr>
        <w:t>JBI Critical Appraisal Tool</w:t>
      </w:r>
      <w:r>
        <w:rPr>
          <w:rFonts w:ascii="Times New Roman" w:hAnsi="Times New Roman" w:cs="Times New Roman" w:hint="eastAsia"/>
          <w:sz w:val="24"/>
          <w:szCs w:val="24"/>
        </w:rPr>
        <w:t xml:space="preserve"> Question</w:t>
      </w:r>
      <w:r>
        <w:rPr>
          <w:rFonts w:ascii="Times New Roman" w:hAnsi="Times New Roman" w:cs="Times New Roman"/>
          <w:sz w:val="24"/>
          <w:szCs w:val="24"/>
        </w:rPr>
        <w:t xml:space="preserve"> </w:t>
      </w:r>
      <w:r>
        <w:rPr>
          <w:rFonts w:ascii="Times New Roman" w:hAnsi="Times New Roman" w:cs="Times New Roman" w:hint="eastAsia"/>
          <w:sz w:val="24"/>
          <w:szCs w:val="24"/>
        </w:rPr>
        <w:t>f</w:t>
      </w:r>
      <w:r>
        <w:rPr>
          <w:rFonts w:ascii="Times New Roman" w:hAnsi="Times New Roman" w:cs="Times New Roman"/>
          <w:sz w:val="24"/>
          <w:szCs w:val="24"/>
        </w:rPr>
        <w:t>or Analytical Cross-</w:t>
      </w:r>
      <w:r>
        <w:rPr>
          <w:rFonts w:ascii="Times New Roman" w:hAnsi="Times New Roman" w:cs="Times New Roman" w:hint="eastAsia"/>
          <w:sz w:val="24"/>
          <w:szCs w:val="24"/>
        </w:rPr>
        <w:t>s</w:t>
      </w:r>
      <w:r>
        <w:rPr>
          <w:rFonts w:ascii="Times New Roman" w:hAnsi="Times New Roman" w:cs="Times New Roman"/>
          <w:sz w:val="24"/>
          <w:szCs w:val="24"/>
        </w:rPr>
        <w:t>ectional Studies</w:t>
      </w:r>
    </w:p>
    <w:tbl>
      <w:tblPr>
        <w:tblStyle w:val="21"/>
        <w:tblW w:w="0" w:type="auto"/>
        <w:jc w:val="center"/>
        <w:tblLook w:val="04A0" w:firstRow="1" w:lastRow="0" w:firstColumn="1" w:lastColumn="0" w:noHBand="0" w:noVBand="1"/>
      </w:tblPr>
      <w:tblGrid>
        <w:gridCol w:w="1070"/>
        <w:gridCol w:w="7194"/>
      </w:tblGrid>
      <w:tr w:rsidR="002661AA" w:rsidRPr="00D92F0F" w14:paraId="12BF1FB2" w14:textId="77777777" w:rsidTr="00666A2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hideMark/>
          </w:tcPr>
          <w:p w14:paraId="428D7870" w14:textId="77777777" w:rsidR="002661AA" w:rsidRPr="00D92F0F" w:rsidRDefault="002661AA" w:rsidP="00666A2F">
            <w:pPr>
              <w:jc w:val="lef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Number</w:t>
            </w:r>
          </w:p>
        </w:tc>
        <w:tc>
          <w:tcPr>
            <w:tcW w:w="0" w:type="auto"/>
            <w:tcBorders>
              <w:top w:val="single" w:sz="8" w:space="0" w:color="auto"/>
              <w:bottom w:val="single" w:sz="8" w:space="0" w:color="auto"/>
            </w:tcBorders>
            <w:hideMark/>
          </w:tcPr>
          <w:p w14:paraId="4852276B" w14:textId="77777777" w:rsidR="002661AA" w:rsidRPr="00D92F0F" w:rsidRDefault="002661AA" w:rsidP="00666A2F">
            <w:pPr>
              <w:jc w:val="left"/>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Question</w:t>
            </w:r>
          </w:p>
        </w:tc>
      </w:tr>
      <w:tr w:rsidR="002661AA" w:rsidRPr="00D92F0F" w14:paraId="632BE0D1"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nil"/>
            </w:tcBorders>
            <w:hideMark/>
          </w:tcPr>
          <w:p w14:paraId="492FB1C0"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1</w:t>
            </w:r>
          </w:p>
        </w:tc>
        <w:tc>
          <w:tcPr>
            <w:tcW w:w="0" w:type="auto"/>
            <w:tcBorders>
              <w:top w:val="single" w:sz="8" w:space="0" w:color="auto"/>
              <w:bottom w:val="nil"/>
            </w:tcBorders>
            <w:hideMark/>
          </w:tcPr>
          <w:p w14:paraId="45C2F488" w14:textId="77777777" w:rsidR="002661AA" w:rsidRPr="00CE5463"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hAnsi="Times New Roman" w:cs="Times New Roman"/>
                <w:sz w:val="24"/>
                <w:szCs w:val="24"/>
              </w:rPr>
              <w:t>Were the criteria for inclusion in the sample clearly defined?</w:t>
            </w:r>
          </w:p>
        </w:tc>
      </w:tr>
      <w:tr w:rsidR="002661AA" w:rsidRPr="00D92F0F" w14:paraId="46A16417"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55CA2D8"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2</w:t>
            </w:r>
          </w:p>
        </w:tc>
        <w:tc>
          <w:tcPr>
            <w:tcW w:w="0" w:type="auto"/>
            <w:tcBorders>
              <w:top w:val="nil"/>
              <w:bottom w:val="nil"/>
            </w:tcBorders>
            <w:hideMark/>
          </w:tcPr>
          <w:p w14:paraId="6DE0080A" w14:textId="77777777" w:rsidR="002661AA" w:rsidRPr="00CE5463"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hAnsi="Times New Roman" w:cs="Times New Roman"/>
                <w:sz w:val="24"/>
                <w:szCs w:val="24"/>
              </w:rPr>
              <w:t>Were the study subjects and the setting described indetail?</w:t>
            </w:r>
          </w:p>
        </w:tc>
      </w:tr>
      <w:tr w:rsidR="002661AA" w:rsidRPr="00D92F0F" w14:paraId="37343288"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388994F5"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3</w:t>
            </w:r>
          </w:p>
        </w:tc>
        <w:tc>
          <w:tcPr>
            <w:tcW w:w="0" w:type="auto"/>
            <w:tcBorders>
              <w:top w:val="nil"/>
              <w:bottom w:val="nil"/>
            </w:tcBorders>
            <w:hideMark/>
          </w:tcPr>
          <w:p w14:paraId="1124433D" w14:textId="77777777" w:rsidR="002661AA" w:rsidRPr="00CE5463"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hAnsi="Times New Roman" w:cs="Times New Roman"/>
                <w:sz w:val="24"/>
                <w:szCs w:val="24"/>
              </w:rPr>
              <w:t>Was the exposure measured in a valid and reliable way?</w:t>
            </w:r>
          </w:p>
        </w:tc>
      </w:tr>
      <w:tr w:rsidR="002661AA" w:rsidRPr="00D92F0F" w14:paraId="6E7AC753"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8836E29"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4</w:t>
            </w:r>
          </w:p>
        </w:tc>
        <w:tc>
          <w:tcPr>
            <w:tcW w:w="0" w:type="auto"/>
            <w:tcBorders>
              <w:top w:val="nil"/>
              <w:bottom w:val="nil"/>
            </w:tcBorders>
            <w:hideMark/>
          </w:tcPr>
          <w:p w14:paraId="1526042C" w14:textId="77777777" w:rsidR="002661AA" w:rsidRPr="00CE5463"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hAnsi="Times New Roman" w:cs="Times New Roman"/>
                <w:sz w:val="24"/>
                <w:szCs w:val="24"/>
              </w:rPr>
              <w:t>Were objective, standard criteria used for measurement of the condition?</w:t>
            </w:r>
          </w:p>
        </w:tc>
      </w:tr>
      <w:tr w:rsidR="002661AA" w:rsidRPr="00D92F0F" w14:paraId="14B8EE25"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73DB5F5"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5</w:t>
            </w:r>
          </w:p>
        </w:tc>
        <w:tc>
          <w:tcPr>
            <w:tcW w:w="0" w:type="auto"/>
            <w:tcBorders>
              <w:top w:val="nil"/>
              <w:bottom w:val="nil"/>
            </w:tcBorders>
            <w:hideMark/>
          </w:tcPr>
          <w:p w14:paraId="157A6D1F" w14:textId="77777777" w:rsidR="002661AA" w:rsidRPr="00CE5463"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hAnsi="Times New Roman" w:cs="Times New Roman"/>
                <w:sz w:val="24"/>
                <w:szCs w:val="24"/>
              </w:rPr>
              <w:t>Were confounding factors identified?</w:t>
            </w:r>
          </w:p>
        </w:tc>
      </w:tr>
      <w:tr w:rsidR="002661AA" w:rsidRPr="00D92F0F" w14:paraId="371D928F"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1594B78B"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6</w:t>
            </w:r>
          </w:p>
        </w:tc>
        <w:tc>
          <w:tcPr>
            <w:tcW w:w="0" w:type="auto"/>
            <w:tcBorders>
              <w:top w:val="nil"/>
              <w:bottom w:val="nil"/>
            </w:tcBorders>
            <w:hideMark/>
          </w:tcPr>
          <w:p w14:paraId="05520885" w14:textId="77777777" w:rsidR="002661AA" w:rsidRPr="00CE5463"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hAnsi="Times New Roman" w:cs="Times New Roman"/>
                <w:sz w:val="24"/>
                <w:szCs w:val="24"/>
              </w:rPr>
              <w:t>Were strategies to deal with confounding factors stated?</w:t>
            </w:r>
          </w:p>
        </w:tc>
      </w:tr>
      <w:tr w:rsidR="002661AA" w:rsidRPr="00D92F0F" w14:paraId="15992C4B"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048C534A"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7</w:t>
            </w:r>
          </w:p>
        </w:tc>
        <w:tc>
          <w:tcPr>
            <w:tcW w:w="0" w:type="auto"/>
            <w:tcBorders>
              <w:top w:val="nil"/>
              <w:bottom w:val="nil"/>
            </w:tcBorders>
            <w:hideMark/>
          </w:tcPr>
          <w:p w14:paraId="16640179" w14:textId="77777777" w:rsidR="002661AA" w:rsidRPr="00CE5463"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hAnsi="Times New Roman" w:cs="Times New Roman"/>
                <w:sz w:val="24"/>
                <w:szCs w:val="24"/>
              </w:rPr>
              <w:t>Were the outcomes measured in a valid and reliable way?</w:t>
            </w:r>
          </w:p>
        </w:tc>
      </w:tr>
      <w:tr w:rsidR="002661AA" w:rsidRPr="00D92F0F" w14:paraId="289D3F25"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8" w:space="0" w:color="auto"/>
            </w:tcBorders>
            <w:hideMark/>
          </w:tcPr>
          <w:p w14:paraId="3044E89A"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8</w:t>
            </w:r>
          </w:p>
        </w:tc>
        <w:tc>
          <w:tcPr>
            <w:tcW w:w="0" w:type="auto"/>
            <w:tcBorders>
              <w:top w:val="nil"/>
              <w:bottom w:val="single" w:sz="8" w:space="0" w:color="auto"/>
            </w:tcBorders>
            <w:hideMark/>
          </w:tcPr>
          <w:p w14:paraId="5E9C2DFE" w14:textId="77777777" w:rsidR="002661AA" w:rsidRPr="00CE5463"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hAnsi="Times New Roman" w:cs="Times New Roman"/>
                <w:sz w:val="24"/>
                <w:szCs w:val="24"/>
              </w:rPr>
              <w:t>Was appropriate statistical analysis used?</w:t>
            </w:r>
          </w:p>
        </w:tc>
      </w:tr>
    </w:tbl>
    <w:p w14:paraId="3FB20F3C" w14:textId="7BBD4C2A" w:rsidR="00281291" w:rsidRPr="005E73D2" w:rsidRDefault="00877029" w:rsidP="00E41B70">
      <w:pPr>
        <w:jc w:val="center"/>
        <w:rPr>
          <w:rFonts w:ascii="Times New Roman" w:hAnsi="Times New Roman" w:cs="Times New Roman"/>
          <w:sz w:val="24"/>
          <w:szCs w:val="24"/>
        </w:rPr>
      </w:pPr>
      <w:r>
        <w:rPr>
          <w:rFonts w:ascii="Times New Roman" w:hAnsi="Times New Roman" w:cs="Times New Roman"/>
        </w:rPr>
        <w:br/>
      </w:r>
      <w:r>
        <w:rPr>
          <w:rFonts w:ascii="Times New Roman" w:hAnsi="Times New Roman" w:cs="Times New Roman" w:hint="eastAsia"/>
          <w:b/>
          <w:bCs/>
          <w:sz w:val="24"/>
          <w:szCs w:val="24"/>
        </w:rPr>
        <w:t xml:space="preserve">Table </w:t>
      </w:r>
      <w:r w:rsidR="008554EC">
        <w:rPr>
          <w:rFonts w:ascii="Times New Roman" w:hAnsi="Times New Roman" w:cs="Times New Roman" w:hint="eastAsia"/>
          <w:b/>
          <w:bCs/>
          <w:sz w:val="24"/>
          <w:szCs w:val="24"/>
        </w:rPr>
        <w:t>C</w:t>
      </w:r>
      <w:r w:rsidR="00D61CF4">
        <w:rPr>
          <w:rFonts w:ascii="Times New Roman" w:hAnsi="Times New Roman" w:cs="Times New Roman" w:hint="eastAsia"/>
          <w:b/>
          <w:bCs/>
          <w:sz w:val="24"/>
          <w:szCs w:val="24"/>
        </w:rPr>
        <w:t>1</w:t>
      </w:r>
      <w:r>
        <w:rPr>
          <w:rFonts w:ascii="Times New Roman" w:hAnsi="Times New Roman" w:cs="Times New Roman" w:hint="eastAsia"/>
          <w:b/>
          <w:bCs/>
          <w:sz w:val="24"/>
          <w:szCs w:val="24"/>
        </w:rPr>
        <w:t xml:space="preserve">b. </w:t>
      </w:r>
      <w:r>
        <w:rPr>
          <w:rFonts w:ascii="Times New Roman" w:hAnsi="Times New Roman" w:cs="Times New Roman" w:hint="eastAsia"/>
          <w:sz w:val="24"/>
          <w:szCs w:val="24"/>
        </w:rPr>
        <w:t>JBI Guidelines on the Assessment of Risk of Bias in Analytical Cross-sectional Studies Papers</w:t>
      </w:r>
    </w:p>
    <w:tbl>
      <w:tblPr>
        <w:tblStyle w:val="af3"/>
        <w:tblW w:w="0" w:type="auto"/>
        <w:tblLook w:val="04A0" w:firstRow="1" w:lastRow="0" w:firstColumn="1" w:lastColumn="0" w:noHBand="0" w:noVBand="1"/>
      </w:tblPr>
      <w:tblGrid>
        <w:gridCol w:w="1236"/>
        <w:gridCol w:w="513"/>
        <w:gridCol w:w="494"/>
        <w:gridCol w:w="1300"/>
        <w:gridCol w:w="730"/>
        <w:gridCol w:w="1264"/>
        <w:gridCol w:w="494"/>
        <w:gridCol w:w="1264"/>
        <w:gridCol w:w="1535"/>
        <w:gridCol w:w="494"/>
        <w:gridCol w:w="756"/>
        <w:gridCol w:w="5318"/>
      </w:tblGrid>
      <w:tr w:rsidR="00281291" w:rsidRPr="00080496" w14:paraId="5DCA3099" w14:textId="77777777" w:rsidTr="007F435E">
        <w:trPr>
          <w:trHeight w:val="102"/>
          <w:tblHeader/>
        </w:trPr>
        <w:tc>
          <w:tcPr>
            <w:tcW w:w="0" w:type="auto"/>
            <w:tcBorders>
              <w:top w:val="single" w:sz="8" w:space="0" w:color="auto"/>
              <w:left w:val="nil"/>
              <w:bottom w:val="single" w:sz="8" w:space="0" w:color="auto"/>
              <w:right w:val="nil"/>
            </w:tcBorders>
            <w:noWrap/>
            <w:tcMar>
              <w:top w:w="80" w:type="dxa"/>
              <w:left w:w="80" w:type="dxa"/>
              <w:bottom w:w="80" w:type="dxa"/>
              <w:right w:w="80" w:type="dxa"/>
            </w:tcMar>
            <w:vAlign w:val="center"/>
            <w:hideMark/>
          </w:tcPr>
          <w:p w14:paraId="2CFF3AFA" w14:textId="77777777" w:rsidR="00281291" w:rsidRPr="00281291" w:rsidRDefault="00281291" w:rsidP="00080496">
            <w:pPr>
              <w:widowControl/>
              <w:jc w:val="center"/>
              <w:rPr>
                <w:rFonts w:ascii="宋体" w:eastAsia="宋体" w:hAnsi="宋体" w:cs="宋体" w:hint="eastAsia"/>
                <w:kern w:val="0"/>
                <w:sz w:val="18"/>
                <w:szCs w:val="18"/>
                <w14:ligatures w14:val="none"/>
              </w:rPr>
            </w:pP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56865BEA" w14:textId="77777777" w:rsidR="00281291" w:rsidRPr="00281291" w:rsidRDefault="00281291" w:rsidP="00080496">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Rev</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7B810AB4" w14:textId="77777777" w:rsidR="00281291" w:rsidRPr="00281291" w:rsidRDefault="00281291" w:rsidP="00080496">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20848E68" w14:textId="77777777" w:rsidR="00281291" w:rsidRPr="00281291" w:rsidRDefault="00281291" w:rsidP="00080496">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2</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1857FEBB" w14:textId="77777777" w:rsidR="00281291" w:rsidRPr="00281291" w:rsidRDefault="00281291" w:rsidP="00080496">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3</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02D40256" w14:textId="77777777" w:rsidR="00281291" w:rsidRPr="00281291" w:rsidRDefault="00281291" w:rsidP="00080496">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4</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1A6A4BC6" w14:textId="77777777" w:rsidR="00281291" w:rsidRPr="00281291" w:rsidRDefault="00281291" w:rsidP="00080496">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5</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7AE9BD0D" w14:textId="77777777" w:rsidR="00281291" w:rsidRPr="00281291" w:rsidRDefault="00281291" w:rsidP="00080496">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6</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74068F8F" w14:textId="77777777" w:rsidR="00281291" w:rsidRPr="00281291" w:rsidRDefault="00281291" w:rsidP="00080496">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7</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3ABE5A42" w14:textId="77777777" w:rsidR="00281291" w:rsidRPr="00281291" w:rsidRDefault="00281291" w:rsidP="00080496">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8</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339972D0" w14:textId="77777777" w:rsidR="00281291" w:rsidRPr="00281291" w:rsidRDefault="00281291" w:rsidP="00080496">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
                <w:bCs/>
                <w:color w:val="1F1F1F"/>
                <w:kern w:val="0"/>
                <w:sz w:val="18"/>
                <w:szCs w:val="18"/>
                <w14:ligatures w14:val="none"/>
              </w:rPr>
              <w:t>OA</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20D6716D" w14:textId="77777777" w:rsidR="00281291" w:rsidRPr="00281291" w:rsidRDefault="00281291" w:rsidP="00080496">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Comments</w:t>
            </w:r>
          </w:p>
        </w:tc>
      </w:tr>
      <w:tr w:rsidR="00820880" w:rsidRPr="00080496" w14:paraId="71F9F620" w14:textId="77777777" w:rsidTr="007F435E">
        <w:trPr>
          <w:trHeight w:val="1124"/>
        </w:trPr>
        <w:tc>
          <w:tcPr>
            <w:tcW w:w="0" w:type="auto"/>
            <w:vMerge w:val="restart"/>
            <w:tcBorders>
              <w:left w:val="nil"/>
            </w:tcBorders>
            <w:tcMar>
              <w:top w:w="80" w:type="dxa"/>
              <w:left w:w="80" w:type="dxa"/>
              <w:bottom w:w="80" w:type="dxa"/>
              <w:right w:w="80" w:type="dxa"/>
            </w:tcMar>
            <w:vAlign w:val="center"/>
            <w:hideMark/>
          </w:tcPr>
          <w:p w14:paraId="30B73ACB" w14:textId="77777777" w:rsidR="00820880" w:rsidRPr="00080496" w:rsidRDefault="00820880" w:rsidP="00204309">
            <w:pPr>
              <w:widowControl/>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(Lathouwers et al., 2022)</w:t>
            </w:r>
          </w:p>
          <w:p w14:paraId="00575617" w14:textId="77777777" w:rsidR="00820880" w:rsidRPr="00281291" w:rsidRDefault="00820880" w:rsidP="00204309">
            <w:pPr>
              <w:widowControl/>
              <w:jc w:val="center"/>
              <w:rPr>
                <w:rFonts w:ascii="Times New Roman" w:eastAsia="等线" w:hAnsi="Times New Roman" w:cs="Times New Roman"/>
                <w:color w:val="000000"/>
                <w:kern w:val="0"/>
                <w:sz w:val="18"/>
                <w:szCs w:val="18"/>
                <w14:ligatures w14:val="none"/>
              </w:rPr>
            </w:pPr>
          </w:p>
        </w:tc>
        <w:tc>
          <w:tcPr>
            <w:tcW w:w="0" w:type="auto"/>
            <w:vMerge w:val="restart"/>
            <w:tcMar>
              <w:top w:w="80" w:type="dxa"/>
              <w:left w:w="80" w:type="dxa"/>
              <w:bottom w:w="80" w:type="dxa"/>
              <w:right w:w="80" w:type="dxa"/>
            </w:tcMar>
            <w:vAlign w:val="center"/>
            <w:hideMark/>
          </w:tcPr>
          <w:p w14:paraId="318E69C0"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0" w:type="auto"/>
            <w:vMerge w:val="restart"/>
            <w:tcMar>
              <w:top w:w="80" w:type="dxa"/>
              <w:left w:w="80" w:type="dxa"/>
              <w:bottom w:w="80" w:type="dxa"/>
              <w:right w:w="80" w:type="dxa"/>
            </w:tcMar>
            <w:vAlign w:val="center"/>
            <w:hideMark/>
          </w:tcPr>
          <w:p w14:paraId="3F7BC9D6"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Mar>
              <w:top w:w="80" w:type="dxa"/>
              <w:left w:w="80" w:type="dxa"/>
              <w:bottom w:w="80" w:type="dxa"/>
              <w:right w:w="80" w:type="dxa"/>
            </w:tcMar>
            <w:vAlign w:val="center"/>
            <w:hideMark/>
          </w:tcPr>
          <w:p w14:paraId="0AFAEBDD"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(Fall Incidence): Yes</w:t>
            </w:r>
          </w:p>
        </w:tc>
        <w:tc>
          <w:tcPr>
            <w:tcW w:w="0" w:type="auto"/>
            <w:vMerge w:val="restart"/>
            <w:tcMar>
              <w:top w:w="80" w:type="dxa"/>
              <w:left w:w="80" w:type="dxa"/>
              <w:bottom w:w="80" w:type="dxa"/>
              <w:right w:w="80" w:type="dxa"/>
            </w:tcMar>
            <w:vAlign w:val="center"/>
            <w:hideMark/>
          </w:tcPr>
          <w:p w14:paraId="57373DF2"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Mar>
              <w:top w:w="80" w:type="dxa"/>
              <w:left w:w="80" w:type="dxa"/>
              <w:bottom w:w="80" w:type="dxa"/>
              <w:right w:w="80" w:type="dxa"/>
            </w:tcMar>
            <w:vAlign w:val="center"/>
            <w:hideMark/>
          </w:tcPr>
          <w:p w14:paraId="7D5063BF"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(Fall Incidence): Yes</w:t>
            </w:r>
          </w:p>
        </w:tc>
        <w:tc>
          <w:tcPr>
            <w:tcW w:w="0" w:type="auto"/>
            <w:vMerge w:val="restart"/>
            <w:tcMar>
              <w:top w:w="80" w:type="dxa"/>
              <w:left w:w="80" w:type="dxa"/>
              <w:bottom w:w="80" w:type="dxa"/>
              <w:right w:w="80" w:type="dxa"/>
            </w:tcMar>
            <w:vAlign w:val="center"/>
            <w:hideMark/>
          </w:tcPr>
          <w:p w14:paraId="100F99BD"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Mar>
              <w:top w:w="80" w:type="dxa"/>
              <w:left w:w="80" w:type="dxa"/>
              <w:bottom w:w="80" w:type="dxa"/>
              <w:right w:w="80" w:type="dxa"/>
            </w:tcMar>
            <w:vAlign w:val="center"/>
            <w:hideMark/>
          </w:tcPr>
          <w:p w14:paraId="4189AB2C"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(Fall Incidence): Yes</w:t>
            </w:r>
          </w:p>
        </w:tc>
        <w:tc>
          <w:tcPr>
            <w:tcW w:w="0" w:type="auto"/>
            <w:tcMar>
              <w:top w:w="80" w:type="dxa"/>
              <w:left w:w="80" w:type="dxa"/>
              <w:bottom w:w="80" w:type="dxa"/>
              <w:right w:w="80" w:type="dxa"/>
            </w:tcMar>
            <w:vAlign w:val="center"/>
            <w:hideMark/>
          </w:tcPr>
          <w:p w14:paraId="597883B6"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 Result 1 (Random Forest Classifier): Yes</w:t>
            </w:r>
          </w:p>
        </w:tc>
        <w:tc>
          <w:tcPr>
            <w:tcW w:w="0" w:type="auto"/>
            <w:vMerge w:val="restart"/>
            <w:tcMar>
              <w:top w:w="80" w:type="dxa"/>
              <w:left w:w="80" w:type="dxa"/>
              <w:bottom w:w="80" w:type="dxa"/>
              <w:right w:w="80" w:type="dxa"/>
            </w:tcMar>
            <w:vAlign w:val="center"/>
            <w:hideMark/>
          </w:tcPr>
          <w:p w14:paraId="7F61B6F4"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Mar>
              <w:top w:w="80" w:type="dxa"/>
              <w:left w:w="80" w:type="dxa"/>
              <w:bottom w:w="80" w:type="dxa"/>
              <w:right w:w="80" w:type="dxa"/>
            </w:tcMar>
            <w:vAlign w:val="center"/>
            <w:hideMark/>
          </w:tcPr>
          <w:p w14:paraId="62B4A6AD"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vMerge w:val="restart"/>
            <w:tcBorders>
              <w:right w:val="nil"/>
            </w:tcBorders>
            <w:tcMar>
              <w:top w:w="80" w:type="dxa"/>
              <w:left w:w="80" w:type="dxa"/>
              <w:bottom w:w="80" w:type="dxa"/>
              <w:right w:w="80" w:type="dxa"/>
            </w:tcMar>
            <w:vAlign w:val="center"/>
            <w:hideMark/>
          </w:tcPr>
          <w:p w14:paraId="476B1463"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sample was rigorously defined using stratified random sampling of Belgian older adults aged 60 and over. The study excellently handled confounding variables (multicollinearity) through distance matrix clustering and the inherent capabilities of the extremely randomized trees algorithm. The statistical approach (10-fold cross-validation repeated 100 times) is highly robust.</w:t>
            </w:r>
          </w:p>
        </w:tc>
      </w:tr>
      <w:tr w:rsidR="00820880" w:rsidRPr="00080496" w14:paraId="764CAAB8" w14:textId="77777777" w:rsidTr="007F435E">
        <w:trPr>
          <w:trHeight w:val="849"/>
        </w:trPr>
        <w:tc>
          <w:tcPr>
            <w:tcW w:w="0" w:type="auto"/>
            <w:vMerge/>
            <w:tcBorders>
              <w:left w:val="nil"/>
            </w:tcBorders>
            <w:noWrap/>
            <w:hideMark/>
          </w:tcPr>
          <w:p w14:paraId="1D641380" w14:textId="77777777" w:rsidR="00820880" w:rsidRPr="002D65A2" w:rsidRDefault="00820880" w:rsidP="00204309">
            <w:pPr>
              <w:widowControl/>
              <w:jc w:val="left"/>
              <w:rPr>
                <w:rFonts w:ascii="Times New Roman" w:hAnsi="Times New Roman" w:cs="Times New Roman"/>
                <w:kern w:val="0"/>
                <w:sz w:val="18"/>
                <w:szCs w:val="18"/>
                <w14:ligatures w14:val="none"/>
              </w:rPr>
            </w:pPr>
          </w:p>
        </w:tc>
        <w:tc>
          <w:tcPr>
            <w:tcW w:w="0" w:type="auto"/>
            <w:vMerge/>
            <w:hideMark/>
          </w:tcPr>
          <w:p w14:paraId="234CE24E"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579284C7"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2AFCBA35"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3C805D05"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237D5386"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19F9F2D4"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24E57CDE"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tcMar>
              <w:top w:w="80" w:type="dxa"/>
              <w:left w:w="80" w:type="dxa"/>
              <w:bottom w:w="80" w:type="dxa"/>
              <w:right w:w="80" w:type="dxa"/>
            </w:tcMar>
            <w:vAlign w:val="center"/>
            <w:hideMark/>
          </w:tcPr>
          <w:p w14:paraId="12F41FED"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 Result 2 (Feature Importance): Yes</w:t>
            </w:r>
          </w:p>
        </w:tc>
        <w:tc>
          <w:tcPr>
            <w:tcW w:w="0" w:type="auto"/>
            <w:vMerge/>
            <w:hideMark/>
          </w:tcPr>
          <w:p w14:paraId="3A798151"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tcBorders>
              <w:bottom w:val="single" w:sz="4" w:space="0" w:color="BFBFBF" w:themeColor="background1" w:themeShade="BF"/>
            </w:tcBorders>
            <w:hideMark/>
          </w:tcPr>
          <w:p w14:paraId="6262DF6F"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tcBorders>
              <w:bottom w:val="single" w:sz="4" w:space="0" w:color="BFBFBF" w:themeColor="background1" w:themeShade="BF"/>
              <w:right w:val="nil"/>
            </w:tcBorders>
            <w:hideMark/>
          </w:tcPr>
          <w:p w14:paraId="06228B75"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r>
      <w:tr w:rsidR="00820880" w:rsidRPr="00080496" w14:paraId="518074ED" w14:textId="77777777" w:rsidTr="007F435E">
        <w:trPr>
          <w:trHeight w:val="1132"/>
        </w:trPr>
        <w:tc>
          <w:tcPr>
            <w:tcW w:w="0" w:type="auto"/>
            <w:vMerge/>
            <w:tcBorders>
              <w:left w:val="nil"/>
            </w:tcBorders>
            <w:noWrap/>
            <w:hideMark/>
          </w:tcPr>
          <w:p w14:paraId="763E3CEB"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val="restart"/>
            <w:tcMar>
              <w:top w:w="80" w:type="dxa"/>
              <w:left w:w="80" w:type="dxa"/>
              <w:bottom w:w="80" w:type="dxa"/>
              <w:right w:w="80" w:type="dxa"/>
            </w:tcMar>
            <w:vAlign w:val="center"/>
            <w:hideMark/>
          </w:tcPr>
          <w:p w14:paraId="4CB3E8C0"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0" w:type="auto"/>
            <w:vMerge w:val="restart"/>
            <w:tcMar>
              <w:top w:w="80" w:type="dxa"/>
              <w:left w:w="80" w:type="dxa"/>
              <w:bottom w:w="80" w:type="dxa"/>
              <w:right w:w="80" w:type="dxa"/>
            </w:tcMar>
            <w:vAlign w:val="center"/>
            <w:hideMark/>
          </w:tcPr>
          <w:p w14:paraId="2CF4DE73"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Mar>
              <w:top w:w="80" w:type="dxa"/>
              <w:left w:w="80" w:type="dxa"/>
              <w:bottom w:w="80" w:type="dxa"/>
              <w:right w:w="80" w:type="dxa"/>
            </w:tcMar>
            <w:vAlign w:val="center"/>
            <w:hideMark/>
          </w:tcPr>
          <w:p w14:paraId="4906AD4E"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(Fall Incidence): Unclear</w:t>
            </w:r>
          </w:p>
        </w:tc>
        <w:tc>
          <w:tcPr>
            <w:tcW w:w="0" w:type="auto"/>
            <w:vMerge w:val="restart"/>
            <w:tcMar>
              <w:top w:w="80" w:type="dxa"/>
              <w:left w:w="80" w:type="dxa"/>
              <w:bottom w:w="80" w:type="dxa"/>
              <w:right w:w="80" w:type="dxa"/>
            </w:tcMar>
            <w:vAlign w:val="center"/>
            <w:hideMark/>
          </w:tcPr>
          <w:p w14:paraId="203366C6"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Mar>
              <w:top w:w="80" w:type="dxa"/>
              <w:left w:w="80" w:type="dxa"/>
              <w:bottom w:w="80" w:type="dxa"/>
              <w:right w:w="80" w:type="dxa"/>
            </w:tcMar>
            <w:vAlign w:val="center"/>
            <w:hideMark/>
          </w:tcPr>
          <w:p w14:paraId="6EFA80CF"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(Fall Incidence): Yes</w:t>
            </w:r>
          </w:p>
        </w:tc>
        <w:tc>
          <w:tcPr>
            <w:tcW w:w="0" w:type="auto"/>
            <w:vMerge w:val="restart"/>
            <w:tcMar>
              <w:top w:w="80" w:type="dxa"/>
              <w:left w:w="80" w:type="dxa"/>
              <w:bottom w:w="80" w:type="dxa"/>
              <w:right w:w="80" w:type="dxa"/>
            </w:tcMar>
            <w:vAlign w:val="center"/>
            <w:hideMark/>
          </w:tcPr>
          <w:p w14:paraId="1B2C7EF6"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Mar>
              <w:top w:w="80" w:type="dxa"/>
              <w:left w:w="80" w:type="dxa"/>
              <w:bottom w:w="80" w:type="dxa"/>
              <w:right w:w="80" w:type="dxa"/>
            </w:tcMar>
            <w:vAlign w:val="center"/>
            <w:hideMark/>
          </w:tcPr>
          <w:p w14:paraId="150F5D4A"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(Fall Incidence): Yes</w:t>
            </w:r>
          </w:p>
        </w:tc>
        <w:tc>
          <w:tcPr>
            <w:tcW w:w="0" w:type="auto"/>
            <w:tcMar>
              <w:top w:w="80" w:type="dxa"/>
              <w:left w:w="80" w:type="dxa"/>
              <w:bottom w:w="80" w:type="dxa"/>
              <w:right w:w="80" w:type="dxa"/>
            </w:tcMar>
            <w:vAlign w:val="center"/>
            <w:hideMark/>
          </w:tcPr>
          <w:p w14:paraId="097AA306"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 Result 1 (Random Forest Classifier): Yes</w:t>
            </w:r>
          </w:p>
        </w:tc>
        <w:tc>
          <w:tcPr>
            <w:tcW w:w="0" w:type="auto"/>
            <w:vMerge w:val="restart"/>
            <w:tcMar>
              <w:top w:w="80" w:type="dxa"/>
              <w:left w:w="80" w:type="dxa"/>
              <w:bottom w:w="80" w:type="dxa"/>
              <w:right w:w="80" w:type="dxa"/>
            </w:tcMar>
            <w:vAlign w:val="center"/>
            <w:hideMark/>
          </w:tcPr>
          <w:p w14:paraId="40CCC711"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Borders>
              <w:bottom w:val="single" w:sz="8" w:space="0" w:color="auto"/>
            </w:tcBorders>
            <w:tcMar>
              <w:top w:w="80" w:type="dxa"/>
              <w:left w:w="80" w:type="dxa"/>
              <w:bottom w:w="80" w:type="dxa"/>
              <w:right w:w="80" w:type="dxa"/>
            </w:tcMar>
            <w:vAlign w:val="center"/>
            <w:hideMark/>
          </w:tcPr>
          <w:p w14:paraId="0AFD9F43"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vMerge w:val="restart"/>
            <w:tcBorders>
              <w:bottom w:val="single" w:sz="8" w:space="0" w:color="auto"/>
              <w:right w:val="nil"/>
            </w:tcBorders>
            <w:tcMar>
              <w:top w:w="80" w:type="dxa"/>
              <w:left w:w="80" w:type="dxa"/>
              <w:bottom w:w="80" w:type="dxa"/>
              <w:right w:w="80" w:type="dxa"/>
            </w:tcMar>
            <w:vAlign w:val="center"/>
            <w:hideMark/>
          </w:tcPr>
          <w:p w14:paraId="3ED376C7"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methodology applying Machine Learning to epidemiological survey data is sound. Regarding Q2, fall incidence was captured via self-reported questionnaire data rather than clinically observed standard criteria, which inherently carries some recall bias, rendering it slightly “Unclear” for strict objectivity. However, the rigorous data pre-processing, which excluded variables with more than 30% missing data, strengthens the study’s validity.</w:t>
            </w:r>
          </w:p>
        </w:tc>
      </w:tr>
      <w:tr w:rsidR="00820880" w:rsidRPr="00281291" w14:paraId="4A723EBF" w14:textId="77777777" w:rsidTr="007F435E">
        <w:trPr>
          <w:trHeight w:val="849"/>
        </w:trPr>
        <w:tc>
          <w:tcPr>
            <w:tcW w:w="0" w:type="auto"/>
            <w:vMerge/>
            <w:tcBorders>
              <w:left w:val="nil"/>
              <w:bottom w:val="single" w:sz="8" w:space="0" w:color="auto"/>
            </w:tcBorders>
            <w:noWrap/>
            <w:hideMark/>
          </w:tcPr>
          <w:p w14:paraId="4812909F" w14:textId="77777777" w:rsidR="00820880" w:rsidRPr="00281291" w:rsidRDefault="00820880" w:rsidP="00204309">
            <w:pPr>
              <w:widowControl/>
              <w:jc w:val="left"/>
              <w:rPr>
                <w:rFonts w:ascii="Times New Roman" w:eastAsia="Times New Roman" w:hAnsi="Times New Roman" w:cs="Times New Roman"/>
                <w:kern w:val="0"/>
                <w:sz w:val="20"/>
                <w:szCs w:val="20"/>
                <w14:ligatures w14:val="none"/>
              </w:rPr>
            </w:pPr>
          </w:p>
        </w:tc>
        <w:tc>
          <w:tcPr>
            <w:tcW w:w="0" w:type="auto"/>
            <w:vMerge/>
            <w:tcBorders>
              <w:bottom w:val="single" w:sz="8" w:space="0" w:color="auto"/>
            </w:tcBorders>
            <w:hideMark/>
          </w:tcPr>
          <w:p w14:paraId="0B430C84" w14:textId="77777777" w:rsidR="00820880" w:rsidRPr="00281291" w:rsidRDefault="00820880" w:rsidP="00204309">
            <w:pPr>
              <w:widowControl/>
              <w:jc w:val="left"/>
              <w:rPr>
                <w:rFonts w:ascii="Times New Roman" w:eastAsia="等线" w:hAnsi="Times New Roman" w:cs="Times New Roman"/>
                <w:b/>
                <w:bCs/>
                <w:color w:val="1F1F1F"/>
                <w:kern w:val="0"/>
                <w:sz w:val="22"/>
                <w14:ligatures w14:val="none"/>
              </w:rPr>
            </w:pPr>
          </w:p>
        </w:tc>
        <w:tc>
          <w:tcPr>
            <w:tcW w:w="0" w:type="auto"/>
            <w:vMerge/>
            <w:tcBorders>
              <w:bottom w:val="single" w:sz="8" w:space="0" w:color="auto"/>
            </w:tcBorders>
            <w:hideMark/>
          </w:tcPr>
          <w:p w14:paraId="2643D4E2" w14:textId="77777777" w:rsidR="00820880" w:rsidRPr="00281291" w:rsidRDefault="00820880" w:rsidP="00204309">
            <w:pPr>
              <w:widowControl/>
              <w:jc w:val="left"/>
              <w:rPr>
                <w:rFonts w:ascii="Times New Roman" w:eastAsia="等线" w:hAnsi="Times New Roman" w:cs="Times New Roman"/>
                <w:color w:val="1F1F1F"/>
                <w:kern w:val="0"/>
                <w:sz w:val="22"/>
                <w14:ligatures w14:val="none"/>
              </w:rPr>
            </w:pPr>
          </w:p>
        </w:tc>
        <w:tc>
          <w:tcPr>
            <w:tcW w:w="0" w:type="auto"/>
            <w:vMerge/>
            <w:tcBorders>
              <w:bottom w:val="single" w:sz="8" w:space="0" w:color="auto"/>
            </w:tcBorders>
            <w:hideMark/>
          </w:tcPr>
          <w:p w14:paraId="134AAD08" w14:textId="77777777" w:rsidR="00820880" w:rsidRPr="00281291" w:rsidRDefault="00820880" w:rsidP="00204309">
            <w:pPr>
              <w:widowControl/>
              <w:jc w:val="left"/>
              <w:rPr>
                <w:rFonts w:ascii="Times New Roman" w:eastAsia="等线" w:hAnsi="Times New Roman" w:cs="Times New Roman"/>
                <w:color w:val="1F1F1F"/>
                <w:kern w:val="0"/>
                <w:sz w:val="22"/>
                <w14:ligatures w14:val="none"/>
              </w:rPr>
            </w:pPr>
          </w:p>
        </w:tc>
        <w:tc>
          <w:tcPr>
            <w:tcW w:w="0" w:type="auto"/>
            <w:vMerge/>
            <w:tcBorders>
              <w:bottom w:val="single" w:sz="8" w:space="0" w:color="auto"/>
            </w:tcBorders>
            <w:hideMark/>
          </w:tcPr>
          <w:p w14:paraId="32DCD7F6" w14:textId="77777777" w:rsidR="00820880" w:rsidRPr="00281291" w:rsidRDefault="00820880" w:rsidP="00204309">
            <w:pPr>
              <w:widowControl/>
              <w:jc w:val="left"/>
              <w:rPr>
                <w:rFonts w:ascii="Times New Roman" w:eastAsia="等线" w:hAnsi="Times New Roman" w:cs="Times New Roman"/>
                <w:color w:val="1F1F1F"/>
                <w:kern w:val="0"/>
                <w:sz w:val="22"/>
                <w14:ligatures w14:val="none"/>
              </w:rPr>
            </w:pPr>
          </w:p>
        </w:tc>
        <w:tc>
          <w:tcPr>
            <w:tcW w:w="0" w:type="auto"/>
            <w:vMerge/>
            <w:tcBorders>
              <w:bottom w:val="single" w:sz="8" w:space="0" w:color="auto"/>
            </w:tcBorders>
            <w:hideMark/>
          </w:tcPr>
          <w:p w14:paraId="5D55B9DA" w14:textId="77777777" w:rsidR="00820880" w:rsidRPr="00281291" w:rsidRDefault="00820880" w:rsidP="00204309">
            <w:pPr>
              <w:widowControl/>
              <w:jc w:val="left"/>
              <w:rPr>
                <w:rFonts w:ascii="Times New Roman" w:eastAsia="等线" w:hAnsi="Times New Roman" w:cs="Times New Roman"/>
                <w:color w:val="1F1F1F"/>
                <w:kern w:val="0"/>
                <w:sz w:val="22"/>
                <w14:ligatures w14:val="none"/>
              </w:rPr>
            </w:pPr>
          </w:p>
        </w:tc>
        <w:tc>
          <w:tcPr>
            <w:tcW w:w="0" w:type="auto"/>
            <w:vMerge/>
            <w:tcBorders>
              <w:bottom w:val="single" w:sz="8" w:space="0" w:color="auto"/>
            </w:tcBorders>
            <w:hideMark/>
          </w:tcPr>
          <w:p w14:paraId="3CC7D6F5" w14:textId="77777777" w:rsidR="00820880" w:rsidRPr="00281291" w:rsidRDefault="00820880" w:rsidP="00204309">
            <w:pPr>
              <w:widowControl/>
              <w:jc w:val="left"/>
              <w:rPr>
                <w:rFonts w:ascii="Times New Roman" w:eastAsia="等线" w:hAnsi="Times New Roman" w:cs="Times New Roman"/>
                <w:color w:val="1F1F1F"/>
                <w:kern w:val="0"/>
                <w:sz w:val="22"/>
                <w14:ligatures w14:val="none"/>
              </w:rPr>
            </w:pPr>
          </w:p>
        </w:tc>
        <w:tc>
          <w:tcPr>
            <w:tcW w:w="0" w:type="auto"/>
            <w:vMerge/>
            <w:tcBorders>
              <w:bottom w:val="single" w:sz="8" w:space="0" w:color="auto"/>
            </w:tcBorders>
            <w:hideMark/>
          </w:tcPr>
          <w:p w14:paraId="598E4B05"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tcBorders>
              <w:bottom w:val="single" w:sz="8" w:space="0" w:color="auto"/>
            </w:tcBorders>
            <w:tcMar>
              <w:top w:w="80" w:type="dxa"/>
              <w:left w:w="80" w:type="dxa"/>
              <w:bottom w:w="80" w:type="dxa"/>
              <w:right w:w="80" w:type="dxa"/>
            </w:tcMar>
            <w:vAlign w:val="center"/>
            <w:hideMark/>
          </w:tcPr>
          <w:p w14:paraId="42E0ECBD"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 Result 2 (Feature Importance): Yes</w:t>
            </w:r>
          </w:p>
        </w:tc>
        <w:tc>
          <w:tcPr>
            <w:tcW w:w="0" w:type="auto"/>
            <w:vMerge/>
            <w:tcBorders>
              <w:bottom w:val="single" w:sz="8" w:space="0" w:color="auto"/>
            </w:tcBorders>
            <w:hideMark/>
          </w:tcPr>
          <w:p w14:paraId="49E6D40B" w14:textId="77777777" w:rsidR="00820880" w:rsidRPr="00281291" w:rsidRDefault="00820880" w:rsidP="00204309">
            <w:pPr>
              <w:widowControl/>
              <w:jc w:val="left"/>
              <w:rPr>
                <w:rFonts w:ascii="Times New Roman" w:eastAsia="等线" w:hAnsi="Times New Roman" w:cs="Times New Roman"/>
                <w:color w:val="1F1F1F"/>
                <w:kern w:val="0"/>
                <w:sz w:val="22"/>
                <w14:ligatures w14:val="none"/>
              </w:rPr>
            </w:pPr>
          </w:p>
        </w:tc>
        <w:tc>
          <w:tcPr>
            <w:tcW w:w="0" w:type="auto"/>
            <w:vMerge/>
            <w:tcBorders>
              <w:bottom w:val="single" w:sz="8" w:space="0" w:color="auto"/>
            </w:tcBorders>
            <w:hideMark/>
          </w:tcPr>
          <w:p w14:paraId="37618B7B" w14:textId="77777777" w:rsidR="00820880" w:rsidRPr="00281291" w:rsidRDefault="00820880" w:rsidP="00204309">
            <w:pPr>
              <w:widowControl/>
              <w:jc w:val="left"/>
              <w:rPr>
                <w:rFonts w:ascii="Times New Roman" w:eastAsia="等线" w:hAnsi="Times New Roman" w:cs="Times New Roman"/>
                <w:b/>
                <w:bCs/>
                <w:color w:val="1F1F1F"/>
                <w:kern w:val="0"/>
                <w:sz w:val="22"/>
                <w14:ligatures w14:val="none"/>
              </w:rPr>
            </w:pPr>
          </w:p>
        </w:tc>
        <w:tc>
          <w:tcPr>
            <w:tcW w:w="0" w:type="auto"/>
            <w:vMerge/>
            <w:tcBorders>
              <w:bottom w:val="single" w:sz="8" w:space="0" w:color="auto"/>
              <w:right w:val="nil"/>
            </w:tcBorders>
            <w:hideMark/>
          </w:tcPr>
          <w:p w14:paraId="3430AD39" w14:textId="77777777" w:rsidR="00820880" w:rsidRPr="00281291" w:rsidRDefault="00820880" w:rsidP="00204309">
            <w:pPr>
              <w:widowControl/>
              <w:jc w:val="left"/>
              <w:rPr>
                <w:rFonts w:ascii="Times New Roman" w:eastAsia="等线" w:hAnsi="Times New Roman" w:cs="Times New Roman"/>
                <w:color w:val="1F1F1F"/>
                <w:kern w:val="0"/>
                <w:sz w:val="22"/>
                <w14:ligatures w14:val="none"/>
              </w:rPr>
            </w:pPr>
          </w:p>
        </w:tc>
      </w:tr>
      <w:tr w:rsidR="00820880" w:rsidRPr="00080496" w14:paraId="3E3706EB" w14:textId="77777777" w:rsidTr="007F435E">
        <w:trPr>
          <w:trHeight w:val="1463"/>
        </w:trPr>
        <w:tc>
          <w:tcPr>
            <w:tcW w:w="0" w:type="auto"/>
            <w:vMerge w:val="restart"/>
            <w:tcBorders>
              <w:left w:val="nil"/>
            </w:tcBorders>
            <w:tcMar>
              <w:top w:w="80" w:type="dxa"/>
              <w:left w:w="80" w:type="dxa"/>
              <w:bottom w:w="80" w:type="dxa"/>
              <w:right w:w="80" w:type="dxa"/>
            </w:tcMar>
            <w:vAlign w:val="center"/>
            <w:hideMark/>
          </w:tcPr>
          <w:p w14:paraId="1BDDF377" w14:textId="77777777" w:rsidR="00820880" w:rsidRPr="00080496" w:rsidRDefault="00820880" w:rsidP="00204309">
            <w:pPr>
              <w:widowControl/>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lastRenderedPageBreak/>
              <w:t>(Luo &amp; Meng, 2022)</w:t>
            </w:r>
          </w:p>
          <w:p w14:paraId="2CD1DA0C" w14:textId="77777777" w:rsidR="00820880" w:rsidRPr="00281291" w:rsidRDefault="00820880" w:rsidP="00204309">
            <w:pPr>
              <w:widowControl/>
              <w:jc w:val="center"/>
              <w:rPr>
                <w:rFonts w:ascii="Times New Roman" w:eastAsia="等线" w:hAnsi="Times New Roman" w:cs="Times New Roman"/>
                <w:color w:val="000000"/>
                <w:kern w:val="0"/>
                <w:sz w:val="18"/>
                <w:szCs w:val="18"/>
                <w14:ligatures w14:val="none"/>
              </w:rPr>
            </w:pPr>
          </w:p>
        </w:tc>
        <w:tc>
          <w:tcPr>
            <w:tcW w:w="0" w:type="auto"/>
            <w:tcMar>
              <w:top w:w="80" w:type="dxa"/>
              <w:left w:w="80" w:type="dxa"/>
              <w:bottom w:w="80" w:type="dxa"/>
              <w:right w:w="80" w:type="dxa"/>
            </w:tcMar>
            <w:vAlign w:val="center"/>
            <w:hideMark/>
          </w:tcPr>
          <w:p w14:paraId="09A6D295"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5FE957E6"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15DDEE1F"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(Adoption Behavior): 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7E04CD63"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19483CAA"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(Adoption Behavior): 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034BF63E"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143249A5"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(Adoption Behavior): 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683FFD5B"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 Result 1 (Logistic Regression): 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79E788A9"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4272BE38"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bottom w:val="single" w:sz="4" w:space="0" w:color="BFBFBF" w:themeColor="background1" w:themeShade="BF"/>
              <w:right w:val="nil"/>
            </w:tcBorders>
            <w:tcMar>
              <w:top w:w="80" w:type="dxa"/>
              <w:left w:w="80" w:type="dxa"/>
              <w:bottom w:w="80" w:type="dxa"/>
              <w:right w:w="80" w:type="dxa"/>
            </w:tcMar>
            <w:vAlign w:val="center"/>
            <w:hideMark/>
          </w:tcPr>
          <w:p w14:paraId="46F849E1"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sample was clearly defined (adults &gt;60 in Shanghai smart pension communities). Confounding factors like age, income, and living conditions were identified and appropriately dealt with using a multivariate unconditional logistic regression model. The setting and subject characteristics were described in excellent detail.</w:t>
            </w:r>
          </w:p>
        </w:tc>
      </w:tr>
      <w:tr w:rsidR="00820880" w:rsidRPr="00080496" w14:paraId="3D4DA2F4" w14:textId="77777777" w:rsidTr="007F435E">
        <w:trPr>
          <w:trHeight w:val="1980"/>
        </w:trPr>
        <w:tc>
          <w:tcPr>
            <w:tcW w:w="0" w:type="auto"/>
            <w:vMerge/>
            <w:tcBorders>
              <w:left w:val="nil"/>
            </w:tcBorders>
            <w:noWrap/>
            <w:hideMark/>
          </w:tcPr>
          <w:p w14:paraId="60113877" w14:textId="77777777" w:rsidR="00820880" w:rsidRPr="00281291" w:rsidRDefault="00820880" w:rsidP="00204309">
            <w:pPr>
              <w:widowControl/>
              <w:jc w:val="right"/>
              <w:rPr>
                <w:rFonts w:ascii="Times New Roman" w:eastAsia="等线" w:hAnsi="Times New Roman" w:cs="Times New Roman"/>
                <w:color w:val="000000"/>
                <w:kern w:val="0"/>
                <w:sz w:val="18"/>
                <w:szCs w:val="18"/>
                <w14:ligatures w14:val="none"/>
              </w:rPr>
            </w:pPr>
          </w:p>
        </w:tc>
        <w:tc>
          <w:tcPr>
            <w:tcW w:w="0" w:type="auto"/>
            <w:tcMar>
              <w:top w:w="80" w:type="dxa"/>
              <w:left w:w="80" w:type="dxa"/>
              <w:bottom w:w="80" w:type="dxa"/>
              <w:right w:w="80" w:type="dxa"/>
            </w:tcMar>
            <w:vAlign w:val="center"/>
            <w:hideMark/>
          </w:tcPr>
          <w:p w14:paraId="0FB017EE"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0" w:type="auto"/>
            <w:tcMar>
              <w:top w:w="80" w:type="dxa"/>
              <w:left w:w="80" w:type="dxa"/>
              <w:bottom w:w="80" w:type="dxa"/>
              <w:right w:w="80" w:type="dxa"/>
            </w:tcMar>
            <w:vAlign w:val="center"/>
            <w:hideMark/>
          </w:tcPr>
          <w:p w14:paraId="7192D21C"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8937568"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(Adoption Behavior): Unclear</w:t>
            </w:r>
          </w:p>
        </w:tc>
        <w:tc>
          <w:tcPr>
            <w:tcW w:w="0" w:type="auto"/>
            <w:tcMar>
              <w:top w:w="80" w:type="dxa"/>
              <w:left w:w="80" w:type="dxa"/>
              <w:bottom w:w="80" w:type="dxa"/>
              <w:right w:w="80" w:type="dxa"/>
            </w:tcMar>
            <w:vAlign w:val="center"/>
            <w:hideMark/>
          </w:tcPr>
          <w:p w14:paraId="3C0BECB9"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0855C29"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(Adoption Behavior): Yes</w:t>
            </w:r>
          </w:p>
        </w:tc>
        <w:tc>
          <w:tcPr>
            <w:tcW w:w="0" w:type="auto"/>
            <w:tcMar>
              <w:top w:w="80" w:type="dxa"/>
              <w:left w:w="80" w:type="dxa"/>
              <w:bottom w:w="80" w:type="dxa"/>
              <w:right w:w="80" w:type="dxa"/>
            </w:tcMar>
            <w:vAlign w:val="center"/>
            <w:hideMark/>
          </w:tcPr>
          <w:p w14:paraId="072D5A67"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1F1DC29"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(Adoption Behavior): Yes</w:t>
            </w:r>
          </w:p>
        </w:tc>
        <w:tc>
          <w:tcPr>
            <w:tcW w:w="0" w:type="auto"/>
            <w:tcMar>
              <w:top w:w="80" w:type="dxa"/>
              <w:left w:w="80" w:type="dxa"/>
              <w:bottom w:w="80" w:type="dxa"/>
              <w:right w:w="80" w:type="dxa"/>
            </w:tcMar>
            <w:vAlign w:val="center"/>
            <w:hideMark/>
          </w:tcPr>
          <w:p w14:paraId="6697FA51"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 Result 1 (Logistic Regression): Yes</w:t>
            </w:r>
          </w:p>
        </w:tc>
        <w:tc>
          <w:tcPr>
            <w:tcW w:w="0" w:type="auto"/>
            <w:tcMar>
              <w:top w:w="80" w:type="dxa"/>
              <w:left w:w="80" w:type="dxa"/>
              <w:bottom w:w="80" w:type="dxa"/>
              <w:right w:w="80" w:type="dxa"/>
            </w:tcMar>
            <w:vAlign w:val="center"/>
            <w:hideMark/>
          </w:tcPr>
          <w:p w14:paraId="6F6AE524"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2E58F9C"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6BC3457C"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robustly analyzed the demand and adoption behavior of smart pension services using appropriate statistical methods. However, for Q2, the questionnaire was “self-designed” and the paper does not explicitly report reliability coefficients (like Cronbach’s alpha) or specific standard criteria for the measurement tool itself. Despite this minor reporting gap, the overall methodological quality is sufficient for inclusion.</w:t>
            </w:r>
          </w:p>
        </w:tc>
      </w:tr>
      <w:tr w:rsidR="00820880" w:rsidRPr="00080496" w14:paraId="090CE238" w14:textId="77777777" w:rsidTr="007F435E">
        <w:trPr>
          <w:trHeight w:val="1253"/>
        </w:trPr>
        <w:tc>
          <w:tcPr>
            <w:tcW w:w="0" w:type="auto"/>
            <w:vMerge w:val="restart"/>
            <w:tcBorders>
              <w:top w:val="single" w:sz="4" w:space="0" w:color="BFBFBF"/>
              <w:left w:val="nil"/>
            </w:tcBorders>
            <w:tcMar>
              <w:top w:w="80" w:type="dxa"/>
              <w:left w:w="80" w:type="dxa"/>
              <w:bottom w:w="80" w:type="dxa"/>
              <w:right w:w="80" w:type="dxa"/>
            </w:tcMar>
            <w:vAlign w:val="center"/>
            <w:hideMark/>
          </w:tcPr>
          <w:p w14:paraId="66713CAF" w14:textId="77777777" w:rsidR="00820880" w:rsidRPr="00080496" w:rsidRDefault="00820880" w:rsidP="00204309">
            <w:pPr>
              <w:widowControl/>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(Ma &amp; Xu, 2023)</w:t>
            </w:r>
          </w:p>
          <w:p w14:paraId="213201CF" w14:textId="77777777" w:rsidR="00820880" w:rsidRPr="00281291" w:rsidRDefault="00820880" w:rsidP="00204309">
            <w:pPr>
              <w:widowControl/>
              <w:jc w:val="center"/>
              <w:rPr>
                <w:rFonts w:ascii="Times New Roman" w:eastAsia="等线" w:hAnsi="Times New Roman" w:cs="Times New Roman"/>
                <w:color w:val="000000"/>
                <w:kern w:val="0"/>
                <w:sz w:val="18"/>
                <w:szCs w:val="18"/>
                <w14:ligatures w14:val="none"/>
              </w:rPr>
            </w:pPr>
          </w:p>
        </w:tc>
        <w:tc>
          <w:tcPr>
            <w:tcW w:w="0" w:type="auto"/>
            <w:vMerge w:val="restart"/>
            <w:tcBorders>
              <w:top w:val="single" w:sz="4" w:space="0" w:color="BFBFBF"/>
            </w:tcBorders>
            <w:tcMar>
              <w:top w:w="80" w:type="dxa"/>
              <w:left w:w="80" w:type="dxa"/>
              <w:bottom w:w="80" w:type="dxa"/>
              <w:right w:w="80" w:type="dxa"/>
            </w:tcMar>
            <w:vAlign w:val="center"/>
            <w:hideMark/>
          </w:tcPr>
          <w:p w14:paraId="167C1BD2"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0" w:type="auto"/>
            <w:vMerge w:val="restart"/>
            <w:tcBorders>
              <w:top w:val="single" w:sz="4" w:space="0" w:color="BFBFBF"/>
            </w:tcBorders>
            <w:tcMar>
              <w:top w:w="80" w:type="dxa"/>
              <w:left w:w="80" w:type="dxa"/>
              <w:bottom w:w="80" w:type="dxa"/>
              <w:right w:w="80" w:type="dxa"/>
            </w:tcMar>
            <w:vAlign w:val="center"/>
            <w:hideMark/>
          </w:tcPr>
          <w:p w14:paraId="324414EA"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Borders>
              <w:top w:val="single" w:sz="4" w:space="0" w:color="BFBFBF"/>
            </w:tcBorders>
            <w:tcMar>
              <w:top w:w="80" w:type="dxa"/>
              <w:left w:w="80" w:type="dxa"/>
              <w:bottom w:w="80" w:type="dxa"/>
              <w:right w:w="80" w:type="dxa"/>
            </w:tcMar>
            <w:vAlign w:val="center"/>
            <w:hideMark/>
          </w:tcPr>
          <w:p w14:paraId="78E335BD"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(Sense of Security): Yes</w:t>
            </w:r>
          </w:p>
        </w:tc>
        <w:tc>
          <w:tcPr>
            <w:tcW w:w="0" w:type="auto"/>
            <w:vMerge w:val="restart"/>
            <w:tcBorders>
              <w:top w:val="single" w:sz="4" w:space="0" w:color="BFBFBF"/>
            </w:tcBorders>
            <w:tcMar>
              <w:top w:w="80" w:type="dxa"/>
              <w:left w:w="80" w:type="dxa"/>
              <w:bottom w:w="80" w:type="dxa"/>
              <w:right w:w="80" w:type="dxa"/>
            </w:tcMar>
            <w:vAlign w:val="center"/>
            <w:hideMark/>
          </w:tcPr>
          <w:p w14:paraId="3F91809B"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Borders>
              <w:top w:val="single" w:sz="4" w:space="0" w:color="BFBFBF"/>
            </w:tcBorders>
            <w:tcMar>
              <w:top w:w="80" w:type="dxa"/>
              <w:left w:w="80" w:type="dxa"/>
              <w:bottom w:w="80" w:type="dxa"/>
              <w:right w:w="80" w:type="dxa"/>
            </w:tcMar>
            <w:vAlign w:val="center"/>
            <w:hideMark/>
          </w:tcPr>
          <w:p w14:paraId="4BFF9858"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(Sense of Security): Yes</w:t>
            </w:r>
          </w:p>
        </w:tc>
        <w:tc>
          <w:tcPr>
            <w:tcW w:w="0" w:type="auto"/>
            <w:vMerge w:val="restart"/>
            <w:tcBorders>
              <w:top w:val="single" w:sz="4" w:space="0" w:color="BFBFBF"/>
            </w:tcBorders>
            <w:tcMar>
              <w:top w:w="80" w:type="dxa"/>
              <w:left w:w="80" w:type="dxa"/>
              <w:bottom w:w="80" w:type="dxa"/>
              <w:right w:w="80" w:type="dxa"/>
            </w:tcMar>
            <w:vAlign w:val="center"/>
            <w:hideMark/>
          </w:tcPr>
          <w:p w14:paraId="2784403C"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Borders>
              <w:top w:val="single" w:sz="4" w:space="0" w:color="BFBFBF"/>
            </w:tcBorders>
            <w:tcMar>
              <w:top w:w="80" w:type="dxa"/>
              <w:left w:w="80" w:type="dxa"/>
              <w:bottom w:w="80" w:type="dxa"/>
              <w:right w:w="80" w:type="dxa"/>
            </w:tcMar>
            <w:vAlign w:val="center"/>
            <w:hideMark/>
          </w:tcPr>
          <w:p w14:paraId="17A11697"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(Sense of Security): Yes</w:t>
            </w:r>
          </w:p>
        </w:tc>
        <w:tc>
          <w:tcPr>
            <w:tcW w:w="0" w:type="auto"/>
            <w:tcBorders>
              <w:top w:val="single" w:sz="4" w:space="0" w:color="BFBFBF"/>
            </w:tcBorders>
            <w:tcMar>
              <w:top w:w="80" w:type="dxa"/>
              <w:left w:w="80" w:type="dxa"/>
              <w:bottom w:w="80" w:type="dxa"/>
              <w:right w:w="80" w:type="dxa"/>
            </w:tcMar>
            <w:vAlign w:val="center"/>
            <w:hideMark/>
          </w:tcPr>
          <w:p w14:paraId="19EC5BB3"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 Result 1 (Hierarchical Regression): Yes</w:t>
            </w:r>
          </w:p>
        </w:tc>
        <w:tc>
          <w:tcPr>
            <w:tcW w:w="0" w:type="auto"/>
            <w:vMerge w:val="restart"/>
            <w:tcBorders>
              <w:top w:val="single" w:sz="4" w:space="0" w:color="BFBFBF"/>
            </w:tcBorders>
            <w:tcMar>
              <w:top w:w="80" w:type="dxa"/>
              <w:left w:w="80" w:type="dxa"/>
              <w:bottom w:w="80" w:type="dxa"/>
              <w:right w:w="80" w:type="dxa"/>
            </w:tcMar>
            <w:vAlign w:val="center"/>
            <w:hideMark/>
          </w:tcPr>
          <w:p w14:paraId="1B86A863"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Borders>
              <w:top w:val="single" w:sz="4" w:space="0" w:color="BFBFBF"/>
            </w:tcBorders>
            <w:tcMar>
              <w:top w:w="80" w:type="dxa"/>
              <w:left w:w="80" w:type="dxa"/>
              <w:bottom w:w="80" w:type="dxa"/>
              <w:right w:w="80" w:type="dxa"/>
            </w:tcMar>
            <w:vAlign w:val="center"/>
            <w:hideMark/>
          </w:tcPr>
          <w:p w14:paraId="17F6A6F3"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vMerge w:val="restart"/>
            <w:tcBorders>
              <w:top w:val="single" w:sz="4" w:space="0" w:color="BFBFBF"/>
              <w:right w:val="nil"/>
            </w:tcBorders>
            <w:tcMar>
              <w:top w:w="80" w:type="dxa"/>
              <w:left w:w="80" w:type="dxa"/>
              <w:bottom w:w="80" w:type="dxa"/>
              <w:right w:w="80" w:type="dxa"/>
            </w:tcMar>
            <w:vAlign w:val="center"/>
            <w:hideMark/>
          </w:tcPr>
          <w:p w14:paraId="6C6F689B"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clearly defined its sample based on age and community residence. Confounding factors like individual health, family care, and social support were comprehensively identified and statistically controlled for using structural equation modeling and hierarchical regression. Reliability for the outcome measurement was statistically validated (Cronbach’s α = 0.775).</w:t>
            </w:r>
          </w:p>
        </w:tc>
      </w:tr>
      <w:tr w:rsidR="00820880" w:rsidRPr="00080496" w14:paraId="39F43F5B" w14:textId="77777777" w:rsidTr="007F435E">
        <w:trPr>
          <w:trHeight w:val="283"/>
        </w:trPr>
        <w:tc>
          <w:tcPr>
            <w:tcW w:w="0" w:type="auto"/>
            <w:vMerge/>
            <w:tcBorders>
              <w:left w:val="nil"/>
            </w:tcBorders>
            <w:noWrap/>
            <w:hideMark/>
          </w:tcPr>
          <w:p w14:paraId="4E4F4500" w14:textId="77777777" w:rsidR="00820880" w:rsidRPr="00281291" w:rsidRDefault="00820880" w:rsidP="00204309">
            <w:pPr>
              <w:widowControl/>
              <w:jc w:val="right"/>
              <w:rPr>
                <w:rFonts w:ascii="Times New Roman" w:eastAsia="等线" w:hAnsi="Times New Roman" w:cs="Times New Roman"/>
                <w:color w:val="000000"/>
                <w:kern w:val="0"/>
                <w:sz w:val="18"/>
                <w:szCs w:val="18"/>
                <w14:ligatures w14:val="none"/>
              </w:rPr>
            </w:pPr>
          </w:p>
        </w:tc>
        <w:tc>
          <w:tcPr>
            <w:tcW w:w="0" w:type="auto"/>
            <w:vMerge/>
            <w:hideMark/>
          </w:tcPr>
          <w:p w14:paraId="5216F5DA"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55E298C4"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710B789B"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601ED79B"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1A42348C"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78E68D29"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3FC267D6"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tcMar>
              <w:top w:w="80" w:type="dxa"/>
              <w:left w:w="80" w:type="dxa"/>
              <w:bottom w:w="80" w:type="dxa"/>
              <w:right w:w="80" w:type="dxa"/>
            </w:tcMar>
            <w:vAlign w:val="center"/>
            <w:hideMark/>
          </w:tcPr>
          <w:p w14:paraId="20166605" w14:textId="77777777" w:rsidR="00820880" w:rsidRPr="00281291" w:rsidRDefault="00820880" w:rsidP="00204309">
            <w:pPr>
              <w:widowControl/>
              <w:jc w:val="left"/>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1F1F1F"/>
                <w:kern w:val="0"/>
                <w:sz w:val="18"/>
                <w:szCs w:val="18"/>
                <w14:ligatures w14:val="none"/>
              </w:rPr>
              <w:t>Outcome 1 / Result 2 (SEM): Yes</w:t>
            </w:r>
          </w:p>
        </w:tc>
        <w:tc>
          <w:tcPr>
            <w:tcW w:w="0" w:type="auto"/>
            <w:vMerge/>
            <w:hideMark/>
          </w:tcPr>
          <w:p w14:paraId="1654892A"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441EBE57"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tcBorders>
              <w:right w:val="nil"/>
            </w:tcBorders>
            <w:hideMark/>
          </w:tcPr>
          <w:p w14:paraId="6A78DE47"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r>
      <w:tr w:rsidR="00820880" w:rsidRPr="00080496" w14:paraId="765D307C" w14:textId="77777777" w:rsidTr="007F435E">
        <w:trPr>
          <w:trHeight w:val="1132"/>
        </w:trPr>
        <w:tc>
          <w:tcPr>
            <w:tcW w:w="0" w:type="auto"/>
            <w:vMerge/>
            <w:tcBorders>
              <w:left w:val="nil"/>
            </w:tcBorders>
            <w:noWrap/>
            <w:hideMark/>
          </w:tcPr>
          <w:p w14:paraId="6A2F5FAC"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val="restart"/>
            <w:tcMar>
              <w:top w:w="80" w:type="dxa"/>
              <w:left w:w="80" w:type="dxa"/>
              <w:bottom w:w="80" w:type="dxa"/>
              <w:right w:w="80" w:type="dxa"/>
            </w:tcMar>
            <w:vAlign w:val="center"/>
            <w:hideMark/>
          </w:tcPr>
          <w:p w14:paraId="36762C9E"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0" w:type="auto"/>
            <w:vMerge w:val="restart"/>
            <w:tcMar>
              <w:top w:w="80" w:type="dxa"/>
              <w:left w:w="80" w:type="dxa"/>
              <w:bottom w:w="80" w:type="dxa"/>
              <w:right w:w="80" w:type="dxa"/>
            </w:tcMar>
            <w:vAlign w:val="center"/>
            <w:hideMark/>
          </w:tcPr>
          <w:p w14:paraId="6E9A68C9"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Mar>
              <w:top w:w="80" w:type="dxa"/>
              <w:left w:w="80" w:type="dxa"/>
              <w:bottom w:w="80" w:type="dxa"/>
              <w:right w:w="80" w:type="dxa"/>
            </w:tcMar>
            <w:vAlign w:val="center"/>
            <w:hideMark/>
          </w:tcPr>
          <w:p w14:paraId="34B2DA7C"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(Sense of Security): Unclear</w:t>
            </w:r>
          </w:p>
        </w:tc>
        <w:tc>
          <w:tcPr>
            <w:tcW w:w="0" w:type="auto"/>
            <w:vMerge w:val="restart"/>
            <w:tcMar>
              <w:top w:w="80" w:type="dxa"/>
              <w:left w:w="80" w:type="dxa"/>
              <w:bottom w:w="80" w:type="dxa"/>
              <w:right w:w="80" w:type="dxa"/>
            </w:tcMar>
            <w:vAlign w:val="center"/>
            <w:hideMark/>
          </w:tcPr>
          <w:p w14:paraId="4C749D70"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Mar>
              <w:top w:w="80" w:type="dxa"/>
              <w:left w:w="80" w:type="dxa"/>
              <w:bottom w:w="80" w:type="dxa"/>
              <w:right w:w="80" w:type="dxa"/>
            </w:tcMar>
            <w:vAlign w:val="center"/>
            <w:hideMark/>
          </w:tcPr>
          <w:p w14:paraId="30C8BC16"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(Sense of Security): Yes</w:t>
            </w:r>
          </w:p>
        </w:tc>
        <w:tc>
          <w:tcPr>
            <w:tcW w:w="0" w:type="auto"/>
            <w:vMerge w:val="restart"/>
            <w:tcMar>
              <w:top w:w="80" w:type="dxa"/>
              <w:left w:w="80" w:type="dxa"/>
              <w:bottom w:w="80" w:type="dxa"/>
              <w:right w:w="80" w:type="dxa"/>
            </w:tcMar>
            <w:vAlign w:val="center"/>
            <w:hideMark/>
          </w:tcPr>
          <w:p w14:paraId="1FE46F23"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Mar>
              <w:top w:w="80" w:type="dxa"/>
              <w:left w:w="80" w:type="dxa"/>
              <w:bottom w:w="80" w:type="dxa"/>
              <w:right w:w="80" w:type="dxa"/>
            </w:tcMar>
            <w:vAlign w:val="center"/>
            <w:hideMark/>
          </w:tcPr>
          <w:p w14:paraId="19884EB6"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(Sense of Security): Yes</w:t>
            </w:r>
          </w:p>
        </w:tc>
        <w:tc>
          <w:tcPr>
            <w:tcW w:w="0" w:type="auto"/>
            <w:tcMar>
              <w:top w:w="80" w:type="dxa"/>
              <w:left w:w="80" w:type="dxa"/>
              <w:bottom w:w="80" w:type="dxa"/>
              <w:right w:w="80" w:type="dxa"/>
            </w:tcMar>
            <w:vAlign w:val="center"/>
            <w:hideMark/>
          </w:tcPr>
          <w:p w14:paraId="1D404A0D"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 Result 1 (Hierarchical Regression): Yes</w:t>
            </w:r>
          </w:p>
        </w:tc>
        <w:tc>
          <w:tcPr>
            <w:tcW w:w="0" w:type="auto"/>
            <w:vMerge w:val="restart"/>
            <w:tcMar>
              <w:top w:w="80" w:type="dxa"/>
              <w:left w:w="80" w:type="dxa"/>
              <w:bottom w:w="80" w:type="dxa"/>
              <w:right w:w="80" w:type="dxa"/>
            </w:tcMar>
            <w:vAlign w:val="center"/>
            <w:hideMark/>
          </w:tcPr>
          <w:p w14:paraId="46659576"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vMerge w:val="restart"/>
            <w:tcMar>
              <w:top w:w="80" w:type="dxa"/>
              <w:left w:w="80" w:type="dxa"/>
              <w:bottom w:w="80" w:type="dxa"/>
              <w:right w:w="80" w:type="dxa"/>
            </w:tcMar>
            <w:vAlign w:val="center"/>
            <w:hideMark/>
          </w:tcPr>
          <w:p w14:paraId="4223A74F" w14:textId="77777777" w:rsidR="00820880" w:rsidRPr="00281291" w:rsidRDefault="00820880" w:rsidP="00204309">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vMerge w:val="restart"/>
            <w:tcBorders>
              <w:right w:val="nil"/>
            </w:tcBorders>
            <w:tcMar>
              <w:top w:w="80" w:type="dxa"/>
              <w:left w:w="80" w:type="dxa"/>
              <w:bottom w:w="80" w:type="dxa"/>
              <w:right w:w="80" w:type="dxa"/>
            </w:tcMar>
            <w:vAlign w:val="center"/>
            <w:hideMark/>
          </w:tcPr>
          <w:p w14:paraId="6CD65A90"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robustly handled statistical analysis and clearly detailed the study setting (Hubin community). However, regarding Q2, “sense of security” is an inherently subjective psychological feeling , making it slightly unclear if strictly “objective, standard criteria” can be applied to its initial measurement, though the scale’s internal consistency was proven high. Regardless, the methodological quality is strong.</w:t>
            </w:r>
          </w:p>
        </w:tc>
      </w:tr>
      <w:tr w:rsidR="00820880" w:rsidRPr="00080496" w14:paraId="3BFAA81E" w14:textId="77777777" w:rsidTr="007F435E">
        <w:trPr>
          <w:trHeight w:val="849"/>
        </w:trPr>
        <w:tc>
          <w:tcPr>
            <w:tcW w:w="0" w:type="auto"/>
            <w:vMerge/>
            <w:tcBorders>
              <w:left w:val="nil"/>
            </w:tcBorders>
            <w:noWrap/>
            <w:hideMark/>
          </w:tcPr>
          <w:p w14:paraId="7019EDB8" w14:textId="77777777" w:rsidR="00820880" w:rsidRPr="00281291" w:rsidRDefault="00820880" w:rsidP="00204309">
            <w:pPr>
              <w:widowControl/>
              <w:jc w:val="left"/>
              <w:rPr>
                <w:rFonts w:ascii="Times New Roman" w:eastAsia="Times New Roman" w:hAnsi="Times New Roman" w:cs="Times New Roman"/>
                <w:kern w:val="0"/>
                <w:sz w:val="18"/>
                <w:szCs w:val="18"/>
                <w14:ligatures w14:val="none"/>
              </w:rPr>
            </w:pPr>
          </w:p>
        </w:tc>
        <w:tc>
          <w:tcPr>
            <w:tcW w:w="0" w:type="auto"/>
            <w:vMerge/>
            <w:hideMark/>
          </w:tcPr>
          <w:p w14:paraId="2DC1A29B"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7887EA66"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11383FF2"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35F9E82D"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4F4CE834"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5474F545"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25F244DD"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tcMar>
              <w:top w:w="80" w:type="dxa"/>
              <w:left w:w="80" w:type="dxa"/>
              <w:bottom w:w="80" w:type="dxa"/>
              <w:right w:w="80" w:type="dxa"/>
            </w:tcMar>
            <w:vAlign w:val="center"/>
            <w:hideMark/>
          </w:tcPr>
          <w:p w14:paraId="5A48A23B"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1 / Result 2 (SEM): Yes</w:t>
            </w:r>
          </w:p>
        </w:tc>
        <w:tc>
          <w:tcPr>
            <w:tcW w:w="0" w:type="auto"/>
            <w:vMerge/>
            <w:hideMark/>
          </w:tcPr>
          <w:p w14:paraId="2F84AA5F"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hideMark/>
          </w:tcPr>
          <w:p w14:paraId="0F88B86F"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c>
          <w:tcPr>
            <w:tcW w:w="0" w:type="auto"/>
            <w:vMerge/>
            <w:tcBorders>
              <w:right w:val="nil"/>
            </w:tcBorders>
            <w:hideMark/>
          </w:tcPr>
          <w:p w14:paraId="0B183D77" w14:textId="77777777" w:rsidR="00820880" w:rsidRPr="00281291" w:rsidRDefault="00820880" w:rsidP="00204309">
            <w:pPr>
              <w:widowControl/>
              <w:jc w:val="left"/>
              <w:rPr>
                <w:rFonts w:ascii="Times New Roman" w:eastAsia="等线" w:hAnsi="Times New Roman" w:cs="Times New Roman"/>
                <w:color w:val="1F1F1F"/>
                <w:kern w:val="0"/>
                <w:sz w:val="18"/>
                <w:szCs w:val="18"/>
                <w14:ligatures w14:val="none"/>
              </w:rPr>
            </w:pPr>
          </w:p>
        </w:tc>
      </w:tr>
      <w:tr w:rsidR="00FB6B47" w14:paraId="448C4E13" w14:textId="77777777" w:rsidTr="007F435E">
        <w:tc>
          <w:tcPr>
            <w:tcW w:w="1244" w:type="dxa"/>
            <w:tcBorders>
              <w:left w:val="nil"/>
            </w:tcBorders>
            <w:tcMar>
              <w:top w:w="80" w:type="dxa"/>
              <w:left w:w="80" w:type="dxa"/>
              <w:bottom w:w="80" w:type="dxa"/>
              <w:right w:w="80" w:type="dxa"/>
            </w:tcMar>
            <w:vAlign w:val="center"/>
          </w:tcPr>
          <w:p w14:paraId="1A104EFB" w14:textId="77777777" w:rsidR="00FB6B47" w:rsidRDefault="00000000">
            <w:pPr>
              <w:jc w:val="center"/>
              <w:rPr>
                <w:rFonts w:hint="eastAsia"/>
              </w:rPr>
            </w:pPr>
            <w:r>
              <w:rPr>
                <w:rFonts w:ascii="Times New Roman" w:hAnsi="Times New Roman" w:cs="Times New Roman"/>
                <w:sz w:val="18"/>
              </w:rPr>
              <w:t>(Wang et al., 2020)</w:t>
            </w:r>
          </w:p>
        </w:tc>
        <w:tc>
          <w:tcPr>
            <w:tcW w:w="516" w:type="dxa"/>
            <w:tcMar>
              <w:top w:w="80" w:type="dxa"/>
              <w:left w:w="80" w:type="dxa"/>
              <w:bottom w:w="80" w:type="dxa"/>
              <w:right w:w="80" w:type="dxa"/>
            </w:tcMar>
            <w:vAlign w:val="center"/>
          </w:tcPr>
          <w:p w14:paraId="7EB2C2FB" w14:textId="77777777" w:rsidR="00FB6B47" w:rsidRDefault="00000000">
            <w:pPr>
              <w:jc w:val="center"/>
              <w:rPr>
                <w:rFonts w:hint="eastAsia"/>
              </w:rPr>
            </w:pPr>
            <w:r>
              <w:rPr>
                <w:rFonts w:ascii="Times New Roman" w:hAnsi="Times New Roman" w:cs="Times New Roman"/>
                <w:sz w:val="18"/>
              </w:rPr>
              <w:t>R1</w:t>
            </w:r>
          </w:p>
        </w:tc>
        <w:tc>
          <w:tcPr>
            <w:tcW w:w="496" w:type="dxa"/>
            <w:tcMar>
              <w:top w:w="80" w:type="dxa"/>
              <w:left w:w="80" w:type="dxa"/>
              <w:bottom w:w="80" w:type="dxa"/>
              <w:right w:w="80" w:type="dxa"/>
            </w:tcMar>
            <w:vAlign w:val="center"/>
          </w:tcPr>
          <w:p w14:paraId="2AEF022F" w14:textId="77777777" w:rsidR="00FB6B47" w:rsidRDefault="00000000">
            <w:pPr>
              <w:jc w:val="center"/>
              <w:rPr>
                <w:rFonts w:hint="eastAsia"/>
              </w:rPr>
            </w:pPr>
            <w:r>
              <w:rPr>
                <w:rFonts w:ascii="Times New Roman" w:hAnsi="Times New Roman" w:cs="Times New Roman"/>
                <w:sz w:val="18"/>
              </w:rPr>
              <w:t>Yes</w:t>
            </w:r>
          </w:p>
        </w:tc>
        <w:tc>
          <w:tcPr>
            <w:tcW w:w="1314" w:type="dxa"/>
            <w:tcMar>
              <w:top w:w="80" w:type="dxa"/>
              <w:left w:w="80" w:type="dxa"/>
              <w:bottom w:w="80" w:type="dxa"/>
              <w:right w:w="80" w:type="dxa"/>
            </w:tcMar>
            <w:vAlign w:val="center"/>
          </w:tcPr>
          <w:p w14:paraId="2E33873D" w14:textId="77777777" w:rsidR="00FB6B47" w:rsidRDefault="00000000">
            <w:pPr>
              <w:jc w:val="center"/>
              <w:rPr>
                <w:rFonts w:hint="eastAsia"/>
              </w:rPr>
            </w:pPr>
            <w:r>
              <w:rPr>
                <w:rFonts w:ascii="Times New Roman" w:hAnsi="Times New Roman" w:cs="Times New Roman"/>
                <w:sz w:val="18"/>
              </w:rPr>
              <w:t>Yes</w:t>
            </w:r>
          </w:p>
        </w:tc>
        <w:tc>
          <w:tcPr>
            <w:tcW w:w="496" w:type="dxa"/>
            <w:tcMar>
              <w:top w:w="80" w:type="dxa"/>
              <w:left w:w="80" w:type="dxa"/>
              <w:bottom w:w="80" w:type="dxa"/>
              <w:right w:w="80" w:type="dxa"/>
            </w:tcMar>
            <w:vAlign w:val="center"/>
          </w:tcPr>
          <w:p w14:paraId="09D7F18D" w14:textId="77777777" w:rsidR="00FB6B47" w:rsidRDefault="00000000">
            <w:pPr>
              <w:jc w:val="center"/>
              <w:rPr>
                <w:rFonts w:hint="eastAsia"/>
              </w:rPr>
            </w:pPr>
            <w:r>
              <w:rPr>
                <w:rFonts w:ascii="Times New Roman" w:hAnsi="Times New Roman" w:cs="Times New Roman"/>
                <w:sz w:val="18"/>
              </w:rPr>
              <w:t>Unclear</w:t>
            </w:r>
          </w:p>
        </w:tc>
        <w:tc>
          <w:tcPr>
            <w:tcW w:w="1276" w:type="dxa"/>
            <w:tcMar>
              <w:top w:w="80" w:type="dxa"/>
              <w:left w:w="80" w:type="dxa"/>
              <w:bottom w:w="80" w:type="dxa"/>
              <w:right w:w="80" w:type="dxa"/>
            </w:tcMar>
            <w:vAlign w:val="center"/>
          </w:tcPr>
          <w:p w14:paraId="3C5A5F27" w14:textId="77777777" w:rsidR="00FB6B47" w:rsidRDefault="00000000">
            <w:pPr>
              <w:jc w:val="center"/>
              <w:rPr>
                <w:rFonts w:hint="eastAsia"/>
              </w:rPr>
            </w:pPr>
            <w:r>
              <w:rPr>
                <w:rFonts w:ascii="Times New Roman" w:hAnsi="Times New Roman" w:cs="Times New Roman"/>
                <w:sz w:val="18"/>
              </w:rPr>
              <w:t>Yes</w:t>
            </w:r>
          </w:p>
        </w:tc>
        <w:tc>
          <w:tcPr>
            <w:tcW w:w="496" w:type="dxa"/>
            <w:tcMar>
              <w:top w:w="80" w:type="dxa"/>
              <w:left w:w="80" w:type="dxa"/>
              <w:bottom w:w="80" w:type="dxa"/>
              <w:right w:w="80" w:type="dxa"/>
            </w:tcMar>
            <w:vAlign w:val="center"/>
          </w:tcPr>
          <w:p w14:paraId="72012618" w14:textId="77777777" w:rsidR="00FB6B47" w:rsidRDefault="00000000">
            <w:pPr>
              <w:jc w:val="center"/>
              <w:rPr>
                <w:rFonts w:hint="eastAsia"/>
              </w:rPr>
            </w:pPr>
            <w:r>
              <w:rPr>
                <w:rFonts w:ascii="Times New Roman" w:hAnsi="Times New Roman" w:cs="Times New Roman"/>
                <w:sz w:val="18"/>
              </w:rPr>
              <w:t>Yes</w:t>
            </w:r>
          </w:p>
        </w:tc>
        <w:tc>
          <w:tcPr>
            <w:tcW w:w="1276" w:type="dxa"/>
            <w:tcMar>
              <w:top w:w="80" w:type="dxa"/>
              <w:left w:w="80" w:type="dxa"/>
              <w:bottom w:w="80" w:type="dxa"/>
              <w:right w:w="80" w:type="dxa"/>
            </w:tcMar>
            <w:vAlign w:val="center"/>
          </w:tcPr>
          <w:p w14:paraId="311F5923" w14:textId="77777777" w:rsidR="00FB6B47" w:rsidRDefault="00000000">
            <w:pPr>
              <w:jc w:val="center"/>
              <w:rPr>
                <w:rFonts w:hint="eastAsia"/>
              </w:rPr>
            </w:pPr>
            <w:r>
              <w:rPr>
                <w:rFonts w:ascii="Times New Roman" w:hAnsi="Times New Roman" w:cs="Times New Roman"/>
                <w:sz w:val="18"/>
              </w:rPr>
              <w:t>No</w:t>
            </w:r>
          </w:p>
        </w:tc>
        <w:tc>
          <w:tcPr>
            <w:tcW w:w="1553" w:type="dxa"/>
            <w:tcMar>
              <w:top w:w="80" w:type="dxa"/>
              <w:left w:w="80" w:type="dxa"/>
              <w:bottom w:w="80" w:type="dxa"/>
              <w:right w:w="80" w:type="dxa"/>
            </w:tcMar>
            <w:vAlign w:val="center"/>
          </w:tcPr>
          <w:p w14:paraId="1AAB5548" w14:textId="77777777" w:rsidR="00FB6B47" w:rsidRDefault="00000000">
            <w:pPr>
              <w:jc w:val="center"/>
              <w:rPr>
                <w:rFonts w:hint="eastAsia"/>
              </w:rPr>
            </w:pPr>
            <w:r>
              <w:rPr>
                <w:rFonts w:ascii="Times New Roman" w:hAnsi="Times New Roman" w:cs="Times New Roman"/>
                <w:sz w:val="18"/>
              </w:rPr>
              <w:t>Yes</w:t>
            </w:r>
          </w:p>
        </w:tc>
        <w:tc>
          <w:tcPr>
            <w:tcW w:w="496" w:type="dxa"/>
            <w:tcMar>
              <w:top w:w="80" w:type="dxa"/>
              <w:left w:w="80" w:type="dxa"/>
              <w:bottom w:w="80" w:type="dxa"/>
              <w:right w:w="80" w:type="dxa"/>
            </w:tcMar>
            <w:vAlign w:val="center"/>
          </w:tcPr>
          <w:p w14:paraId="39F35C29" w14:textId="77777777" w:rsidR="00FB6B47" w:rsidRDefault="00000000">
            <w:pPr>
              <w:jc w:val="center"/>
              <w:rPr>
                <w:rFonts w:hint="eastAsia"/>
              </w:rPr>
            </w:pPr>
            <w:r>
              <w:rPr>
                <w:rFonts w:ascii="Times New Roman" w:hAnsi="Times New Roman" w:cs="Times New Roman"/>
                <w:sz w:val="18"/>
              </w:rPr>
              <w:t>Yes</w:t>
            </w:r>
          </w:p>
        </w:tc>
        <w:tc>
          <w:tcPr>
            <w:tcW w:w="756" w:type="dxa"/>
            <w:tcMar>
              <w:top w:w="80" w:type="dxa"/>
              <w:left w:w="80" w:type="dxa"/>
              <w:bottom w:w="80" w:type="dxa"/>
              <w:right w:w="80" w:type="dxa"/>
            </w:tcMar>
            <w:vAlign w:val="center"/>
          </w:tcPr>
          <w:p w14:paraId="482362CA" w14:textId="77777777" w:rsidR="00FB6B47" w:rsidRDefault="00000000">
            <w:pPr>
              <w:jc w:val="center"/>
              <w:rPr>
                <w:rFonts w:hint="eastAsia"/>
              </w:rPr>
            </w:pPr>
            <w:r>
              <w:rPr>
                <w:rFonts w:ascii="Times New Roman" w:hAnsi="Times New Roman" w:cs="Times New Roman"/>
                <w:sz w:val="18"/>
              </w:rPr>
              <w:t>Exclude</w:t>
            </w:r>
          </w:p>
        </w:tc>
        <w:tc>
          <w:tcPr>
            <w:tcW w:w="5479" w:type="dxa"/>
            <w:tcBorders>
              <w:right w:val="nil"/>
            </w:tcBorders>
            <w:tcMar>
              <w:top w:w="80" w:type="dxa"/>
              <w:left w:w="80" w:type="dxa"/>
              <w:bottom w:w="80" w:type="dxa"/>
              <w:right w:w="80" w:type="dxa"/>
            </w:tcMar>
            <w:vAlign w:val="center"/>
          </w:tcPr>
          <w:p w14:paraId="1091CDAE" w14:textId="77777777" w:rsidR="00FB6B47" w:rsidRDefault="00000000">
            <w:pPr>
              <w:jc w:val="left"/>
              <w:rPr>
                <w:rFonts w:hint="eastAsia"/>
              </w:rPr>
            </w:pPr>
            <w:r>
              <w:rPr>
                <w:rFonts w:ascii="Times New Roman" w:hAnsi="Times New Roman" w:cs="Times New Roman"/>
                <w:sz w:val="18"/>
              </w:rPr>
              <w:t xml:space="preserve">The system was implemented with 45 older adults across three Hong Kong care centers and the sample/setting were adequately described. </w:t>
            </w:r>
            <w:r>
              <w:rPr>
                <w:rFonts w:ascii="Times New Roman" w:hAnsi="Times New Roman" w:cs="Times New Roman"/>
                <w:sz w:val="18"/>
              </w:rPr>
              <w:lastRenderedPageBreak/>
              <w:t>Exclusion is retained because Q6 is No: the evaluation reports site differences and user-acceptance outcomes but does not state a clear strategy for handling confounding from center, baseline health, or technology familiarity.</w:t>
            </w:r>
          </w:p>
        </w:tc>
      </w:tr>
      <w:tr w:rsidR="00FB6B47" w14:paraId="4B40D13B" w14:textId="77777777" w:rsidTr="007F435E">
        <w:tc>
          <w:tcPr>
            <w:tcW w:w="1244" w:type="dxa"/>
            <w:tcBorders>
              <w:left w:val="nil"/>
            </w:tcBorders>
            <w:tcMar>
              <w:top w:w="80" w:type="dxa"/>
              <w:left w:w="80" w:type="dxa"/>
              <w:bottom w:w="80" w:type="dxa"/>
              <w:right w:w="80" w:type="dxa"/>
            </w:tcMar>
            <w:vAlign w:val="center"/>
          </w:tcPr>
          <w:p w14:paraId="559BFBC7" w14:textId="77777777" w:rsidR="00FB6B47" w:rsidRDefault="00FB6B47">
            <w:pPr>
              <w:jc w:val="center"/>
              <w:rPr>
                <w:rFonts w:hint="eastAsia"/>
              </w:rPr>
            </w:pPr>
          </w:p>
        </w:tc>
        <w:tc>
          <w:tcPr>
            <w:tcW w:w="516" w:type="dxa"/>
            <w:tcMar>
              <w:top w:w="80" w:type="dxa"/>
              <w:left w:w="80" w:type="dxa"/>
              <w:bottom w:w="80" w:type="dxa"/>
              <w:right w:w="80" w:type="dxa"/>
            </w:tcMar>
            <w:vAlign w:val="center"/>
          </w:tcPr>
          <w:p w14:paraId="5C16E911" w14:textId="77777777" w:rsidR="00FB6B47" w:rsidRDefault="00000000">
            <w:pPr>
              <w:jc w:val="center"/>
              <w:rPr>
                <w:rFonts w:hint="eastAsia"/>
              </w:rPr>
            </w:pPr>
            <w:r>
              <w:rPr>
                <w:rFonts w:ascii="Times New Roman" w:hAnsi="Times New Roman" w:cs="Times New Roman"/>
                <w:sz w:val="18"/>
              </w:rPr>
              <w:t>R2</w:t>
            </w:r>
          </w:p>
        </w:tc>
        <w:tc>
          <w:tcPr>
            <w:tcW w:w="496" w:type="dxa"/>
            <w:tcMar>
              <w:top w:w="80" w:type="dxa"/>
              <w:left w:w="80" w:type="dxa"/>
              <w:bottom w:w="80" w:type="dxa"/>
              <w:right w:w="80" w:type="dxa"/>
            </w:tcMar>
            <w:vAlign w:val="center"/>
          </w:tcPr>
          <w:p w14:paraId="75F820F7" w14:textId="77777777" w:rsidR="00FB6B47" w:rsidRDefault="00000000">
            <w:pPr>
              <w:jc w:val="center"/>
              <w:rPr>
                <w:rFonts w:hint="eastAsia"/>
              </w:rPr>
            </w:pPr>
            <w:r>
              <w:rPr>
                <w:rFonts w:ascii="Times New Roman" w:hAnsi="Times New Roman" w:cs="Times New Roman"/>
                <w:sz w:val="18"/>
              </w:rPr>
              <w:t>Yes</w:t>
            </w:r>
          </w:p>
        </w:tc>
        <w:tc>
          <w:tcPr>
            <w:tcW w:w="1314" w:type="dxa"/>
            <w:tcMar>
              <w:top w:w="80" w:type="dxa"/>
              <w:left w:w="80" w:type="dxa"/>
              <w:bottom w:w="80" w:type="dxa"/>
              <w:right w:w="80" w:type="dxa"/>
            </w:tcMar>
            <w:vAlign w:val="center"/>
          </w:tcPr>
          <w:p w14:paraId="4B15A43B" w14:textId="77777777" w:rsidR="00FB6B47" w:rsidRDefault="00000000">
            <w:pPr>
              <w:jc w:val="center"/>
              <w:rPr>
                <w:rFonts w:hint="eastAsia"/>
              </w:rPr>
            </w:pPr>
            <w:r>
              <w:rPr>
                <w:rFonts w:ascii="Times New Roman" w:hAnsi="Times New Roman" w:cs="Times New Roman"/>
                <w:sz w:val="18"/>
              </w:rPr>
              <w:t>Yes</w:t>
            </w:r>
          </w:p>
        </w:tc>
        <w:tc>
          <w:tcPr>
            <w:tcW w:w="496" w:type="dxa"/>
            <w:tcMar>
              <w:top w:w="80" w:type="dxa"/>
              <w:left w:w="80" w:type="dxa"/>
              <w:bottom w:w="80" w:type="dxa"/>
              <w:right w:w="80" w:type="dxa"/>
            </w:tcMar>
            <w:vAlign w:val="center"/>
          </w:tcPr>
          <w:p w14:paraId="184A590E" w14:textId="77777777" w:rsidR="00FB6B47" w:rsidRDefault="00000000">
            <w:pPr>
              <w:jc w:val="center"/>
              <w:rPr>
                <w:rFonts w:hint="eastAsia"/>
              </w:rPr>
            </w:pPr>
            <w:r>
              <w:rPr>
                <w:rFonts w:ascii="Times New Roman" w:hAnsi="Times New Roman" w:cs="Times New Roman"/>
                <w:sz w:val="18"/>
              </w:rPr>
              <w:t>Yes</w:t>
            </w:r>
          </w:p>
        </w:tc>
        <w:tc>
          <w:tcPr>
            <w:tcW w:w="1276" w:type="dxa"/>
            <w:tcMar>
              <w:top w:w="80" w:type="dxa"/>
              <w:left w:w="80" w:type="dxa"/>
              <w:bottom w:w="80" w:type="dxa"/>
              <w:right w:w="80" w:type="dxa"/>
            </w:tcMar>
            <w:vAlign w:val="center"/>
          </w:tcPr>
          <w:p w14:paraId="77473DF5" w14:textId="77777777" w:rsidR="00FB6B47" w:rsidRDefault="00000000">
            <w:pPr>
              <w:jc w:val="center"/>
              <w:rPr>
                <w:rFonts w:hint="eastAsia"/>
              </w:rPr>
            </w:pPr>
            <w:r>
              <w:rPr>
                <w:rFonts w:ascii="Times New Roman" w:hAnsi="Times New Roman" w:cs="Times New Roman"/>
                <w:sz w:val="18"/>
              </w:rPr>
              <w:t>Yes</w:t>
            </w:r>
          </w:p>
        </w:tc>
        <w:tc>
          <w:tcPr>
            <w:tcW w:w="496" w:type="dxa"/>
            <w:tcMar>
              <w:top w:w="80" w:type="dxa"/>
              <w:left w:w="80" w:type="dxa"/>
              <w:bottom w:w="80" w:type="dxa"/>
              <w:right w:w="80" w:type="dxa"/>
            </w:tcMar>
            <w:vAlign w:val="center"/>
          </w:tcPr>
          <w:p w14:paraId="0320D1F9" w14:textId="77777777" w:rsidR="00FB6B47" w:rsidRDefault="00000000">
            <w:pPr>
              <w:jc w:val="center"/>
              <w:rPr>
                <w:rFonts w:hint="eastAsia"/>
              </w:rPr>
            </w:pPr>
            <w:r>
              <w:rPr>
                <w:rFonts w:ascii="Times New Roman" w:hAnsi="Times New Roman" w:cs="Times New Roman"/>
                <w:sz w:val="18"/>
              </w:rPr>
              <w:t>Yes</w:t>
            </w:r>
          </w:p>
        </w:tc>
        <w:tc>
          <w:tcPr>
            <w:tcW w:w="1276" w:type="dxa"/>
            <w:tcMar>
              <w:top w:w="80" w:type="dxa"/>
              <w:left w:w="80" w:type="dxa"/>
              <w:bottom w:w="80" w:type="dxa"/>
              <w:right w:w="80" w:type="dxa"/>
            </w:tcMar>
            <w:vAlign w:val="center"/>
          </w:tcPr>
          <w:p w14:paraId="1D23FB93" w14:textId="77777777" w:rsidR="00FB6B47" w:rsidRDefault="00000000">
            <w:pPr>
              <w:jc w:val="center"/>
              <w:rPr>
                <w:rFonts w:hint="eastAsia"/>
              </w:rPr>
            </w:pPr>
            <w:r>
              <w:rPr>
                <w:rFonts w:ascii="Times New Roman" w:hAnsi="Times New Roman" w:cs="Times New Roman"/>
                <w:sz w:val="18"/>
              </w:rPr>
              <w:t>No</w:t>
            </w:r>
          </w:p>
        </w:tc>
        <w:tc>
          <w:tcPr>
            <w:tcW w:w="1553" w:type="dxa"/>
            <w:tcMar>
              <w:top w:w="80" w:type="dxa"/>
              <w:left w:w="80" w:type="dxa"/>
              <w:bottom w:w="80" w:type="dxa"/>
              <w:right w:w="80" w:type="dxa"/>
            </w:tcMar>
            <w:vAlign w:val="center"/>
          </w:tcPr>
          <w:p w14:paraId="08770023" w14:textId="77777777" w:rsidR="00FB6B47" w:rsidRDefault="00000000">
            <w:pPr>
              <w:jc w:val="center"/>
              <w:rPr>
                <w:rFonts w:hint="eastAsia"/>
              </w:rPr>
            </w:pPr>
            <w:r>
              <w:rPr>
                <w:rFonts w:ascii="Times New Roman" w:hAnsi="Times New Roman" w:cs="Times New Roman"/>
                <w:sz w:val="18"/>
              </w:rPr>
              <w:t>Yes</w:t>
            </w:r>
          </w:p>
        </w:tc>
        <w:tc>
          <w:tcPr>
            <w:tcW w:w="496" w:type="dxa"/>
            <w:tcMar>
              <w:top w:w="80" w:type="dxa"/>
              <w:left w:w="80" w:type="dxa"/>
              <w:bottom w:w="80" w:type="dxa"/>
              <w:right w:w="80" w:type="dxa"/>
            </w:tcMar>
            <w:vAlign w:val="center"/>
          </w:tcPr>
          <w:p w14:paraId="584CFF01" w14:textId="77777777" w:rsidR="00FB6B47" w:rsidRDefault="00000000">
            <w:pPr>
              <w:jc w:val="center"/>
              <w:rPr>
                <w:rFonts w:hint="eastAsia"/>
              </w:rPr>
            </w:pPr>
            <w:r>
              <w:rPr>
                <w:rFonts w:ascii="Times New Roman" w:hAnsi="Times New Roman" w:cs="Times New Roman"/>
                <w:sz w:val="18"/>
              </w:rPr>
              <w:t>Yes</w:t>
            </w:r>
          </w:p>
        </w:tc>
        <w:tc>
          <w:tcPr>
            <w:tcW w:w="756" w:type="dxa"/>
            <w:tcMar>
              <w:top w:w="80" w:type="dxa"/>
              <w:left w:w="80" w:type="dxa"/>
              <w:bottom w:w="80" w:type="dxa"/>
              <w:right w:w="80" w:type="dxa"/>
            </w:tcMar>
            <w:vAlign w:val="center"/>
          </w:tcPr>
          <w:p w14:paraId="1CDF9D5C" w14:textId="77777777" w:rsidR="00FB6B47" w:rsidRDefault="00000000">
            <w:pPr>
              <w:jc w:val="center"/>
              <w:rPr>
                <w:rFonts w:hint="eastAsia"/>
              </w:rPr>
            </w:pPr>
            <w:r>
              <w:rPr>
                <w:rFonts w:ascii="Times New Roman" w:hAnsi="Times New Roman" w:cs="Times New Roman"/>
                <w:sz w:val="18"/>
              </w:rPr>
              <w:t>Exclude</w:t>
            </w:r>
          </w:p>
        </w:tc>
        <w:tc>
          <w:tcPr>
            <w:tcW w:w="5479" w:type="dxa"/>
            <w:tcBorders>
              <w:right w:val="nil"/>
            </w:tcBorders>
            <w:tcMar>
              <w:top w:w="80" w:type="dxa"/>
              <w:left w:w="80" w:type="dxa"/>
              <w:bottom w:w="80" w:type="dxa"/>
              <w:right w:w="80" w:type="dxa"/>
            </w:tcMar>
            <w:vAlign w:val="center"/>
          </w:tcPr>
          <w:p w14:paraId="49A49DA6" w14:textId="77777777" w:rsidR="00FB6B47" w:rsidRDefault="00000000">
            <w:pPr>
              <w:jc w:val="left"/>
              <w:rPr>
                <w:rFonts w:hint="eastAsia"/>
              </w:rPr>
            </w:pPr>
            <w:r>
              <w:rPr>
                <w:rFonts w:ascii="Times New Roman" w:hAnsi="Times New Roman" w:cs="Times New Roman"/>
                <w:sz w:val="18"/>
              </w:rPr>
              <w:t>Although the integrated monitoring platform and 3-month field use are relevant, the cross-sectional evaluation relies heavily on exploratory summaries and a customized acceptance questionnaire. Q6 is No because confounding by care center and participant characteristics is not adequately controlled, leaving the health-monitoring findings insufficiently robust.</w:t>
            </w:r>
          </w:p>
        </w:tc>
      </w:tr>
    </w:tbl>
    <w:p w14:paraId="10A79BCE" w14:textId="77777777" w:rsidR="0047012C" w:rsidRDefault="0047012C" w:rsidP="00360EA1">
      <w:pPr>
        <w:jc w:val="left"/>
        <w:rPr>
          <w:rFonts w:ascii="Times New Roman" w:eastAsia="等线" w:hAnsi="Times New Roman" w:cs="Times New Roman"/>
          <w:color w:val="1F1F1F"/>
          <w:kern w:val="0"/>
          <w:sz w:val="18"/>
          <w:szCs w:val="18"/>
          <w14:ligatures w14:val="none"/>
        </w:rPr>
      </w:pPr>
    </w:p>
    <w:p w14:paraId="0910D95F" w14:textId="308D08EA" w:rsidR="00897846" w:rsidRPr="00897846" w:rsidRDefault="00D61CF4" w:rsidP="00897846">
      <w:pPr>
        <w:widowControl/>
        <w:spacing w:line="278" w:lineRule="auto"/>
        <w:rPr>
          <w:rFonts w:ascii="Times New Roman" w:eastAsia="等线" w:hAnsi="Times New Roman" w:cs="Times New Roman"/>
          <w:b/>
          <w:bCs/>
          <w:color w:val="1F1F1F"/>
          <w:kern w:val="0"/>
          <w:sz w:val="24"/>
          <w:szCs w:val="24"/>
          <w14:ligatures w14:val="none"/>
        </w:rPr>
      </w:pPr>
      <w:r>
        <w:rPr>
          <w:rFonts w:ascii="Times New Roman" w:eastAsia="等线" w:hAnsi="Times New Roman" w:cs="Times New Roman" w:hint="eastAsia"/>
          <w:b/>
          <w:bCs/>
          <w:color w:val="1F1F1F"/>
          <w:kern w:val="0"/>
          <w:sz w:val="24"/>
          <w:szCs w:val="24"/>
          <w14:ligatures w14:val="none"/>
        </w:rPr>
        <w:t>C</w:t>
      </w:r>
      <w:r w:rsidR="00897846">
        <w:rPr>
          <w:rFonts w:ascii="Times New Roman" w:eastAsia="等线" w:hAnsi="Times New Roman" w:cs="Times New Roman"/>
          <w:b/>
          <w:bCs/>
          <w:color w:val="1F1F1F"/>
          <w:kern w:val="0"/>
          <w:sz w:val="24"/>
          <w:szCs w:val="24"/>
          <w14:ligatures w14:val="none"/>
        </w:rPr>
        <w:t>2. Cohort Studies</w:t>
      </w:r>
    </w:p>
    <w:p w14:paraId="666FD971" w14:textId="4B933BEC" w:rsidR="00897846" w:rsidRPr="00897846" w:rsidRDefault="00897846" w:rsidP="00897846">
      <w:pPr>
        <w:widowControl/>
        <w:spacing w:line="278" w:lineRule="auto"/>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To assess the risk of bias in cohort studies, the revised JBI critical appraisal tool specifically designed for this study type was applied (Barker et al., 2025)</w:t>
      </w:r>
      <w:r>
        <w:rPr>
          <w:rFonts w:ascii="Times New Roman" w:eastAsia="等线" w:hAnsi="Times New Roman" w:cs="Times New Roman" w:hint="eastAsia"/>
          <w:color w:val="1F1F1F"/>
          <w:kern w:val="0"/>
          <w:sz w:val="24"/>
          <w:szCs w:val="24"/>
          <w14:ligatures w14:val="none"/>
        </w:rPr>
        <w:t>.</w:t>
      </w:r>
      <w:r>
        <w:rPr>
          <w:rFonts w:ascii="Times New Roman" w:eastAsia="等线" w:hAnsi="Times New Roman" w:cs="Times New Roman"/>
          <w:color w:val="1F1F1F"/>
          <w:kern w:val="0"/>
          <w:sz w:val="24"/>
          <w:szCs w:val="24"/>
          <w14:ligatures w14:val="none"/>
        </w:rPr>
        <w:t xml:space="preserve"> </w:t>
      </w:r>
      <w:r>
        <w:rPr>
          <w:rFonts w:ascii="Times New Roman" w:eastAsia="等线" w:hAnsi="Times New Roman" w:cs="Times New Roman"/>
          <w:b/>
          <w:bCs/>
          <w:color w:val="1F1F1F"/>
          <w:kern w:val="0"/>
          <w:sz w:val="24"/>
          <w:szCs w:val="24"/>
          <w14:ligatures w14:val="none"/>
        </w:rPr>
        <w:t xml:space="preserve">Table </w:t>
      </w:r>
      <w:r w:rsidR="00D61CF4">
        <w:rPr>
          <w:rFonts w:ascii="Times New Roman" w:eastAsia="等线" w:hAnsi="Times New Roman" w:cs="Times New Roman" w:hint="eastAsia"/>
          <w:b/>
          <w:bCs/>
          <w:color w:val="1F1F1F"/>
          <w:kern w:val="0"/>
          <w:sz w:val="24"/>
          <w:szCs w:val="24"/>
          <w14:ligatures w14:val="none"/>
        </w:rPr>
        <w:t>C</w:t>
      </w:r>
      <w:r>
        <w:rPr>
          <w:rFonts w:ascii="Times New Roman" w:eastAsia="等线" w:hAnsi="Times New Roman" w:cs="Times New Roman"/>
          <w:b/>
          <w:bCs/>
          <w:color w:val="1F1F1F"/>
          <w:kern w:val="0"/>
          <w:sz w:val="24"/>
          <w:szCs w:val="24"/>
          <w14:ligatures w14:val="none"/>
        </w:rPr>
        <w:t>2b</w:t>
      </w:r>
      <w:r>
        <w:rPr>
          <w:rFonts w:ascii="Times New Roman" w:eastAsia="等线" w:hAnsi="Times New Roman" w:cs="Times New Roman"/>
          <w:color w:val="1F1F1F"/>
          <w:kern w:val="0"/>
          <w:sz w:val="24"/>
          <w:szCs w:val="24"/>
          <w14:ligatures w14:val="none"/>
        </w:rPr>
        <w:t xml:space="preserve"> details the evaluation results of the cohort studies based on this methodological approach.</w:t>
      </w:r>
    </w:p>
    <w:p w14:paraId="54C8A65A" w14:textId="67A6D227" w:rsidR="002661AA" w:rsidRPr="00897846" w:rsidRDefault="002661AA" w:rsidP="002661AA">
      <w:pPr>
        <w:widowControl/>
        <w:spacing w:line="278" w:lineRule="auto"/>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b/>
          <w:bCs/>
          <w:color w:val="1F1F1F"/>
          <w:kern w:val="0"/>
          <w:sz w:val="24"/>
          <w:szCs w:val="24"/>
          <w14:ligatures w14:val="none"/>
        </w:rPr>
        <w:t xml:space="preserve">Table </w:t>
      </w:r>
      <w:r w:rsidR="00D61CF4">
        <w:rPr>
          <w:rFonts w:ascii="Times New Roman" w:eastAsia="等线" w:hAnsi="Times New Roman" w:cs="Times New Roman" w:hint="eastAsia"/>
          <w:b/>
          <w:bCs/>
          <w:color w:val="1F1F1F"/>
          <w:kern w:val="0"/>
          <w:sz w:val="24"/>
          <w:szCs w:val="24"/>
          <w14:ligatures w14:val="none"/>
        </w:rPr>
        <w:t>C</w:t>
      </w:r>
      <w:r>
        <w:rPr>
          <w:rFonts w:ascii="Times New Roman" w:eastAsia="等线" w:hAnsi="Times New Roman" w:cs="Times New Roman" w:hint="eastAsia"/>
          <w:b/>
          <w:bCs/>
          <w:color w:val="1F1F1F"/>
          <w:kern w:val="0"/>
          <w:sz w:val="24"/>
          <w:szCs w:val="24"/>
          <w14:ligatures w14:val="none"/>
        </w:rPr>
        <w:t>2a.</w:t>
      </w:r>
      <w:r>
        <w:rPr>
          <w:rFonts w:ascii="Times New Roman" w:eastAsia="等线" w:hAnsi="Times New Roman" w:cs="Times New Roman" w:hint="eastAsia"/>
          <w:color w:val="1F1F1F"/>
          <w:kern w:val="0"/>
          <w:sz w:val="24"/>
          <w:szCs w:val="24"/>
          <w14:ligatures w14:val="none"/>
        </w:rPr>
        <w:t xml:space="preserve"> JBI Critical Appraisal Question for Cohort Studies</w:t>
      </w:r>
    </w:p>
    <w:tbl>
      <w:tblPr>
        <w:tblStyle w:val="21"/>
        <w:tblW w:w="0" w:type="auto"/>
        <w:jc w:val="center"/>
        <w:tblLook w:val="04A0" w:firstRow="1" w:lastRow="0" w:firstColumn="1" w:lastColumn="0" w:noHBand="0" w:noVBand="1"/>
      </w:tblPr>
      <w:tblGrid>
        <w:gridCol w:w="1070"/>
        <w:gridCol w:w="6894"/>
      </w:tblGrid>
      <w:tr w:rsidR="002661AA" w:rsidRPr="00D92F0F" w14:paraId="15C6581B" w14:textId="77777777" w:rsidTr="00666A2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hideMark/>
          </w:tcPr>
          <w:p w14:paraId="30A2ADAD" w14:textId="77777777" w:rsidR="002661AA" w:rsidRPr="00D92F0F" w:rsidRDefault="002661AA" w:rsidP="00666A2F">
            <w:pPr>
              <w:jc w:val="lef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Number</w:t>
            </w:r>
          </w:p>
        </w:tc>
        <w:tc>
          <w:tcPr>
            <w:tcW w:w="0" w:type="auto"/>
            <w:tcBorders>
              <w:top w:val="single" w:sz="8" w:space="0" w:color="auto"/>
              <w:bottom w:val="single" w:sz="8" w:space="0" w:color="auto"/>
            </w:tcBorders>
            <w:hideMark/>
          </w:tcPr>
          <w:p w14:paraId="6BED9DA9" w14:textId="77777777" w:rsidR="002661AA" w:rsidRPr="00D92F0F" w:rsidRDefault="002661AA" w:rsidP="00666A2F">
            <w:pPr>
              <w:jc w:val="left"/>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Question</w:t>
            </w:r>
          </w:p>
        </w:tc>
      </w:tr>
      <w:tr w:rsidR="002661AA" w:rsidRPr="00D92F0F" w14:paraId="61E33076"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nil"/>
            </w:tcBorders>
            <w:hideMark/>
          </w:tcPr>
          <w:p w14:paraId="752EB316"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1</w:t>
            </w:r>
          </w:p>
        </w:tc>
        <w:tc>
          <w:tcPr>
            <w:tcW w:w="0" w:type="auto"/>
            <w:tcBorders>
              <w:top w:val="single" w:sz="8" w:space="0" w:color="auto"/>
              <w:bottom w:val="nil"/>
            </w:tcBorders>
            <w:hideMark/>
          </w:tcPr>
          <w:p w14:paraId="1B994470" w14:textId="77777777" w:rsidR="002661AA" w:rsidRPr="00D92F0F"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Were the two groups similar and recruited from the same population?</w:t>
            </w:r>
          </w:p>
        </w:tc>
      </w:tr>
      <w:tr w:rsidR="002661AA" w:rsidRPr="00D92F0F" w14:paraId="750D3D3B"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3C70C69"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2</w:t>
            </w:r>
          </w:p>
        </w:tc>
        <w:tc>
          <w:tcPr>
            <w:tcW w:w="0" w:type="auto"/>
            <w:tcBorders>
              <w:top w:val="nil"/>
              <w:bottom w:val="nil"/>
            </w:tcBorders>
            <w:hideMark/>
          </w:tcPr>
          <w:p w14:paraId="66340769" w14:textId="77777777" w:rsidR="002661AA" w:rsidRPr="00D92F0F"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Were the exposures measured similarly to assign people to groups?</w:t>
            </w:r>
          </w:p>
        </w:tc>
      </w:tr>
      <w:tr w:rsidR="002661AA" w:rsidRPr="00D92F0F" w14:paraId="3C4CBCD6"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17F2E477"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3</w:t>
            </w:r>
          </w:p>
        </w:tc>
        <w:tc>
          <w:tcPr>
            <w:tcW w:w="0" w:type="auto"/>
            <w:tcBorders>
              <w:top w:val="nil"/>
              <w:bottom w:val="nil"/>
            </w:tcBorders>
            <w:hideMark/>
          </w:tcPr>
          <w:p w14:paraId="5C336F96" w14:textId="77777777" w:rsidR="002661AA" w:rsidRPr="00D92F0F"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Was the exposure measured in a valid and reliable way?</w:t>
            </w:r>
          </w:p>
        </w:tc>
      </w:tr>
      <w:tr w:rsidR="002661AA" w:rsidRPr="00D92F0F" w14:paraId="0003D275"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6F5346F"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4</w:t>
            </w:r>
          </w:p>
        </w:tc>
        <w:tc>
          <w:tcPr>
            <w:tcW w:w="0" w:type="auto"/>
            <w:tcBorders>
              <w:top w:val="nil"/>
              <w:bottom w:val="nil"/>
            </w:tcBorders>
            <w:hideMark/>
          </w:tcPr>
          <w:p w14:paraId="67E9663B" w14:textId="77777777" w:rsidR="002661AA" w:rsidRPr="00D92F0F"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Were confounding factors identified?</w:t>
            </w:r>
          </w:p>
        </w:tc>
      </w:tr>
      <w:tr w:rsidR="002661AA" w:rsidRPr="00D92F0F" w14:paraId="7EB0E9B2"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DAD90FF"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5</w:t>
            </w:r>
          </w:p>
        </w:tc>
        <w:tc>
          <w:tcPr>
            <w:tcW w:w="0" w:type="auto"/>
            <w:tcBorders>
              <w:top w:val="nil"/>
              <w:bottom w:val="nil"/>
            </w:tcBorders>
            <w:hideMark/>
          </w:tcPr>
          <w:p w14:paraId="76A04CD8" w14:textId="77777777" w:rsidR="002661AA" w:rsidRPr="00D92F0F"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Were strategies to deal with confounding factors stated?</w:t>
            </w:r>
          </w:p>
        </w:tc>
      </w:tr>
      <w:tr w:rsidR="002661AA" w:rsidRPr="00D92F0F" w14:paraId="39A409BE"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402578F"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6</w:t>
            </w:r>
          </w:p>
        </w:tc>
        <w:tc>
          <w:tcPr>
            <w:tcW w:w="0" w:type="auto"/>
            <w:tcBorders>
              <w:top w:val="nil"/>
              <w:bottom w:val="nil"/>
            </w:tcBorders>
            <w:hideMark/>
          </w:tcPr>
          <w:p w14:paraId="48E5F991" w14:textId="77777777" w:rsidR="002661AA" w:rsidRPr="00D92F0F"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Were participants free of the outcome at the start of the study?</w:t>
            </w:r>
          </w:p>
        </w:tc>
      </w:tr>
      <w:tr w:rsidR="002661AA" w:rsidRPr="00D92F0F" w14:paraId="2F817BCA"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5167E3C"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7</w:t>
            </w:r>
          </w:p>
        </w:tc>
        <w:tc>
          <w:tcPr>
            <w:tcW w:w="0" w:type="auto"/>
            <w:tcBorders>
              <w:top w:val="nil"/>
              <w:bottom w:val="nil"/>
            </w:tcBorders>
            <w:hideMark/>
          </w:tcPr>
          <w:p w14:paraId="2AF5B730" w14:textId="77777777" w:rsidR="002661AA" w:rsidRPr="00D92F0F"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Were the outcomes measured in a valid and reliable way?</w:t>
            </w:r>
          </w:p>
        </w:tc>
      </w:tr>
      <w:tr w:rsidR="002661AA" w:rsidRPr="00D92F0F" w14:paraId="2765769A"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1576B593"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8</w:t>
            </w:r>
          </w:p>
        </w:tc>
        <w:tc>
          <w:tcPr>
            <w:tcW w:w="0" w:type="auto"/>
            <w:tcBorders>
              <w:top w:val="nil"/>
              <w:bottom w:val="nil"/>
            </w:tcBorders>
            <w:hideMark/>
          </w:tcPr>
          <w:p w14:paraId="06207CEE" w14:textId="77777777" w:rsidR="002661AA" w:rsidRPr="00D92F0F"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Was the follow up time sufficient for outcomes to occur?</w:t>
            </w:r>
          </w:p>
        </w:tc>
      </w:tr>
      <w:tr w:rsidR="002661AA" w:rsidRPr="00D92F0F" w14:paraId="141CBFB5"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A83B800"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9</w:t>
            </w:r>
          </w:p>
        </w:tc>
        <w:tc>
          <w:tcPr>
            <w:tcW w:w="0" w:type="auto"/>
            <w:tcBorders>
              <w:top w:val="nil"/>
              <w:bottom w:val="nil"/>
            </w:tcBorders>
            <w:hideMark/>
          </w:tcPr>
          <w:p w14:paraId="2A36D1D6" w14:textId="77777777" w:rsidR="002661AA" w:rsidRPr="00D92F0F"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Was follow up complete or were reasons for loss described?</w:t>
            </w:r>
          </w:p>
        </w:tc>
      </w:tr>
      <w:tr w:rsidR="002661AA" w:rsidRPr="00D92F0F" w14:paraId="7BC8DB30"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DF348BD"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10</w:t>
            </w:r>
          </w:p>
        </w:tc>
        <w:tc>
          <w:tcPr>
            <w:tcW w:w="0" w:type="auto"/>
            <w:tcBorders>
              <w:top w:val="nil"/>
              <w:bottom w:val="nil"/>
            </w:tcBorders>
            <w:hideMark/>
          </w:tcPr>
          <w:p w14:paraId="693A4729" w14:textId="77777777" w:rsidR="002661AA" w:rsidRPr="00D92F0F"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Were strategies to address incomplete follow up utilized?</w:t>
            </w:r>
          </w:p>
        </w:tc>
      </w:tr>
      <w:tr w:rsidR="002661AA" w:rsidRPr="00D92F0F" w14:paraId="351FEB63"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8" w:space="0" w:color="auto"/>
            </w:tcBorders>
            <w:hideMark/>
          </w:tcPr>
          <w:p w14:paraId="638DC4D5"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11</w:t>
            </w:r>
          </w:p>
        </w:tc>
        <w:tc>
          <w:tcPr>
            <w:tcW w:w="0" w:type="auto"/>
            <w:tcBorders>
              <w:top w:val="nil"/>
              <w:bottom w:val="single" w:sz="8" w:space="0" w:color="auto"/>
            </w:tcBorders>
            <w:hideMark/>
          </w:tcPr>
          <w:p w14:paraId="50C51E15" w14:textId="77777777" w:rsidR="002661AA" w:rsidRPr="00D92F0F"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Was appropriate statistical analysis used?</w:t>
            </w:r>
          </w:p>
        </w:tc>
      </w:tr>
    </w:tbl>
    <w:p w14:paraId="65B058C5" w14:textId="77777777" w:rsidR="002661AA" w:rsidRDefault="002661AA" w:rsidP="0023680C">
      <w:pPr>
        <w:jc w:val="center"/>
        <w:rPr>
          <w:rFonts w:ascii="Times New Roman" w:eastAsia="等线" w:hAnsi="Times New Roman" w:cs="Times New Roman"/>
          <w:b/>
          <w:bCs/>
          <w:color w:val="1F1F1F"/>
          <w:kern w:val="0"/>
          <w:sz w:val="24"/>
          <w:szCs w:val="24"/>
          <w14:ligatures w14:val="none"/>
        </w:rPr>
      </w:pPr>
    </w:p>
    <w:p w14:paraId="60DB397C" w14:textId="78AADAA5" w:rsidR="00731E71" w:rsidRPr="0023680C" w:rsidRDefault="0023680C" w:rsidP="0023680C">
      <w:pPr>
        <w:jc w:val="center"/>
        <w:rPr>
          <w:rFonts w:ascii="Times New Roman" w:hAnsi="Times New Roman" w:cs="Times New Roman"/>
          <w:sz w:val="24"/>
          <w:szCs w:val="24"/>
        </w:rPr>
      </w:pPr>
      <w:r>
        <w:rPr>
          <w:rFonts w:ascii="Times New Roman" w:eastAsia="等线" w:hAnsi="Times New Roman" w:cs="Times New Roman" w:hint="eastAsia"/>
          <w:b/>
          <w:bCs/>
          <w:color w:val="1F1F1F"/>
          <w:kern w:val="0"/>
          <w:sz w:val="24"/>
          <w:szCs w:val="24"/>
          <w14:ligatures w14:val="none"/>
        </w:rPr>
        <w:t xml:space="preserve">Table </w:t>
      </w:r>
      <w:r w:rsidR="00D61CF4">
        <w:rPr>
          <w:rFonts w:ascii="Times New Roman" w:eastAsia="等线" w:hAnsi="Times New Roman" w:cs="Times New Roman" w:hint="eastAsia"/>
          <w:b/>
          <w:bCs/>
          <w:color w:val="1F1F1F"/>
          <w:kern w:val="0"/>
          <w:sz w:val="24"/>
          <w:szCs w:val="24"/>
          <w14:ligatures w14:val="none"/>
        </w:rPr>
        <w:t>C</w:t>
      </w:r>
      <w:r>
        <w:rPr>
          <w:rFonts w:ascii="Times New Roman" w:eastAsia="等线" w:hAnsi="Times New Roman" w:cs="Times New Roman" w:hint="eastAsia"/>
          <w:b/>
          <w:bCs/>
          <w:color w:val="1F1F1F"/>
          <w:kern w:val="0"/>
          <w:sz w:val="24"/>
          <w:szCs w:val="24"/>
          <w14:ligatures w14:val="none"/>
        </w:rPr>
        <w:t>2b.</w:t>
      </w:r>
      <w:r>
        <w:rPr>
          <w:rFonts w:ascii="Times New Roman" w:eastAsia="等线" w:hAnsi="Times New Roman" w:cs="Times New Roman" w:hint="eastAsia"/>
          <w:color w:val="1F1F1F"/>
          <w:kern w:val="0"/>
          <w:sz w:val="24"/>
          <w:szCs w:val="24"/>
          <w14:ligatures w14:val="none"/>
        </w:rPr>
        <w:t xml:space="preserve"> </w:t>
      </w:r>
      <w:r>
        <w:rPr>
          <w:rFonts w:ascii="Times New Roman" w:hAnsi="Times New Roman" w:cs="Times New Roman" w:hint="eastAsia"/>
          <w:sz w:val="24"/>
          <w:szCs w:val="24"/>
        </w:rPr>
        <w:t>JBI Guidelines on the Assessment of Risk of Bias in Cohort Studies Papers</w:t>
      </w:r>
    </w:p>
    <w:tbl>
      <w:tblPr>
        <w:tblStyle w:val="af3"/>
        <w:tblW w:w="0" w:type="auto"/>
        <w:tblLook w:val="04A0" w:firstRow="1" w:lastRow="0" w:firstColumn="1" w:lastColumn="0" w:noHBand="0" w:noVBand="1"/>
      </w:tblPr>
      <w:tblGrid>
        <w:gridCol w:w="1085"/>
        <w:gridCol w:w="468"/>
        <w:gridCol w:w="447"/>
        <w:gridCol w:w="447"/>
        <w:gridCol w:w="447"/>
        <w:gridCol w:w="447"/>
        <w:gridCol w:w="447"/>
        <w:gridCol w:w="737"/>
        <w:gridCol w:w="737"/>
        <w:gridCol w:w="477"/>
        <w:gridCol w:w="737"/>
        <w:gridCol w:w="737"/>
        <w:gridCol w:w="447"/>
        <w:gridCol w:w="751"/>
        <w:gridCol w:w="6987"/>
      </w:tblGrid>
      <w:tr w:rsidR="002002C3" w:rsidRPr="00731E71" w14:paraId="31062B7A" w14:textId="77777777" w:rsidTr="00D761DF">
        <w:trPr>
          <w:trHeight w:val="244"/>
          <w:tblHeader/>
        </w:trPr>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553931D2" w14:textId="77777777" w:rsidR="00454A54" w:rsidRPr="00454A54" w:rsidRDefault="00454A54" w:rsidP="0023680C">
            <w:pPr>
              <w:jc w:val="center"/>
              <w:rPr>
                <w:rFonts w:ascii="Times New Roman" w:eastAsia="宋体" w:hAnsi="Times New Roman" w:cs="Times New Roman"/>
                <w:kern w:val="0"/>
                <w:sz w:val="18"/>
                <w:szCs w:val="18"/>
                <w14:ligatures w14:val="none"/>
              </w:rPr>
            </w:pP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0E393516" w14:textId="77777777" w:rsidR="00454A54" w:rsidRPr="00454A54"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Rev</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43B640C5" w14:textId="77777777" w:rsidR="00454A54" w:rsidRPr="00454A54" w:rsidRDefault="00454A54"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41DF8CC0" w14:textId="77777777" w:rsidR="00454A54" w:rsidRPr="00454A54" w:rsidRDefault="00454A54"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2</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38276AA8" w14:textId="77777777" w:rsidR="00454A54" w:rsidRPr="00454A54" w:rsidRDefault="00454A54"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3</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5B337EC1" w14:textId="77777777" w:rsidR="00454A54" w:rsidRPr="00454A54" w:rsidRDefault="00454A54"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4</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61929624" w14:textId="77777777" w:rsidR="00454A54" w:rsidRPr="00454A54" w:rsidRDefault="00454A54"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5</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4F96CFB9" w14:textId="77777777" w:rsidR="00454A54" w:rsidRPr="00454A54" w:rsidRDefault="00454A54"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6</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67ABD494" w14:textId="77777777" w:rsidR="00454A54" w:rsidRPr="00454A54" w:rsidRDefault="00454A54"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7</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460732F1" w14:textId="77777777" w:rsidR="00454A54" w:rsidRPr="00454A54" w:rsidRDefault="00454A54"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8</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1D3A2716" w14:textId="77777777" w:rsidR="00454A54" w:rsidRPr="00454A54" w:rsidRDefault="00454A54"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9</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5AFA412B" w14:textId="77777777" w:rsidR="00454A54" w:rsidRPr="00454A54" w:rsidRDefault="00454A54"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10</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4DA30814" w14:textId="77777777" w:rsidR="00454A54" w:rsidRPr="00454A54" w:rsidRDefault="00454A54"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11</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0279D1F8" w14:textId="77777777" w:rsidR="00454A54" w:rsidRPr="00454A54"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
                <w:bCs/>
                <w:color w:val="1F1F1F"/>
                <w:kern w:val="0"/>
                <w:sz w:val="18"/>
                <w:szCs w:val="18"/>
                <w14:ligatures w14:val="none"/>
              </w:rPr>
              <w:t>OA</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1678BD63" w14:textId="77777777" w:rsidR="00454A54" w:rsidRPr="00454A54" w:rsidRDefault="00454A54"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Comments</w:t>
            </w:r>
          </w:p>
        </w:tc>
      </w:tr>
      <w:tr w:rsidR="00820880" w:rsidRPr="00731E71" w14:paraId="09EDF394" w14:textId="77777777" w:rsidTr="00D761DF">
        <w:trPr>
          <w:trHeight w:val="914"/>
        </w:trPr>
        <w:tc>
          <w:tcPr>
            <w:tcW w:w="0" w:type="auto"/>
            <w:vMerge w:val="restart"/>
            <w:tcBorders>
              <w:top w:val="single" w:sz="8" w:space="0" w:color="auto"/>
              <w:left w:val="nil"/>
            </w:tcBorders>
            <w:tcMar>
              <w:top w:w="80" w:type="dxa"/>
              <w:left w:w="80" w:type="dxa"/>
              <w:bottom w:w="80" w:type="dxa"/>
              <w:right w:w="80" w:type="dxa"/>
            </w:tcMar>
            <w:vAlign w:val="center"/>
            <w:hideMark/>
          </w:tcPr>
          <w:p w14:paraId="54BEADC1" w14:textId="77777777" w:rsidR="00820880" w:rsidRPr="00454A54" w:rsidRDefault="00820880" w:rsidP="00281291">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(Chan et al., 2023)</w:t>
            </w:r>
          </w:p>
        </w:tc>
        <w:tc>
          <w:tcPr>
            <w:tcW w:w="0" w:type="auto"/>
            <w:tcBorders>
              <w:top w:val="single" w:sz="8" w:space="0" w:color="auto"/>
            </w:tcBorders>
            <w:tcMar>
              <w:top w:w="80" w:type="dxa"/>
              <w:left w:w="80" w:type="dxa"/>
              <w:bottom w:w="80" w:type="dxa"/>
              <w:right w:w="80" w:type="dxa"/>
            </w:tcMar>
            <w:vAlign w:val="center"/>
            <w:hideMark/>
          </w:tcPr>
          <w:p w14:paraId="321C9510"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0" w:type="auto"/>
            <w:tcBorders>
              <w:top w:val="single" w:sz="8" w:space="0" w:color="auto"/>
            </w:tcBorders>
            <w:tcMar>
              <w:top w:w="80" w:type="dxa"/>
              <w:left w:w="80" w:type="dxa"/>
              <w:bottom w:w="80" w:type="dxa"/>
              <w:right w:w="80" w:type="dxa"/>
            </w:tcMar>
            <w:vAlign w:val="center"/>
            <w:hideMark/>
          </w:tcPr>
          <w:p w14:paraId="0D8F5963"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4F64E4E2"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6CAD9B9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5B373331"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6FB3CD51"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5FD8998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1387C39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5A682E82"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69CD0E36"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7AA7176A"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773A29A0"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0D5BE387"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top w:val="single" w:sz="8" w:space="0" w:color="auto"/>
              <w:right w:val="nil"/>
            </w:tcBorders>
            <w:tcMar>
              <w:top w:w="80" w:type="dxa"/>
              <w:left w:w="80" w:type="dxa"/>
              <w:bottom w:w="80" w:type="dxa"/>
              <w:right w:w="80" w:type="dxa"/>
            </w:tcMar>
            <w:vAlign w:val="center"/>
            <w:hideMark/>
          </w:tcPr>
          <w:p w14:paraId="19346406" w14:textId="77777777" w:rsidR="00820880" w:rsidRPr="00454A54"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 highly robust study utilizing a massive cohort of 32,619 older adults. The digital gait biomarkers were validated and confounding factors were thoroughly identified and adjusted for using multivariable Cox regression models. Proportional hazard assumptions were rigorously checked.</w:t>
            </w:r>
          </w:p>
        </w:tc>
      </w:tr>
      <w:tr w:rsidR="00820880" w:rsidRPr="00731E71" w14:paraId="09C7AF59" w14:textId="77777777" w:rsidTr="00D761DF">
        <w:trPr>
          <w:trHeight w:val="1759"/>
        </w:trPr>
        <w:tc>
          <w:tcPr>
            <w:tcW w:w="0" w:type="auto"/>
            <w:vMerge/>
            <w:tcBorders>
              <w:left w:val="nil"/>
            </w:tcBorders>
            <w:hideMark/>
          </w:tcPr>
          <w:p w14:paraId="08A62D7D" w14:textId="77777777" w:rsidR="00820880" w:rsidRPr="00454A54" w:rsidRDefault="00820880" w:rsidP="00281291">
            <w:pPr>
              <w:widowControl/>
              <w:rPr>
                <w:rFonts w:ascii="Times New Roman" w:eastAsia="等线" w:hAnsi="Times New Roman" w:cs="Times New Roman"/>
                <w:color w:val="000000"/>
                <w:kern w:val="0"/>
                <w:sz w:val="18"/>
                <w:szCs w:val="18"/>
                <w14:ligatures w14:val="none"/>
              </w:rPr>
            </w:pPr>
          </w:p>
        </w:tc>
        <w:tc>
          <w:tcPr>
            <w:tcW w:w="0" w:type="auto"/>
            <w:tcMar>
              <w:top w:w="80" w:type="dxa"/>
              <w:left w:w="80" w:type="dxa"/>
              <w:bottom w:w="80" w:type="dxa"/>
              <w:right w:w="80" w:type="dxa"/>
            </w:tcMar>
            <w:vAlign w:val="center"/>
            <w:hideMark/>
          </w:tcPr>
          <w:p w14:paraId="6A2BDB24"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0" w:type="auto"/>
            <w:tcMar>
              <w:top w:w="80" w:type="dxa"/>
              <w:left w:w="80" w:type="dxa"/>
              <w:bottom w:w="80" w:type="dxa"/>
              <w:right w:w="80" w:type="dxa"/>
            </w:tcMar>
            <w:vAlign w:val="center"/>
            <w:hideMark/>
          </w:tcPr>
          <w:p w14:paraId="2F82DFE7"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AD46301"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0E6FF25"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8D709DB"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CA1E11C"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945E51B"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3973396A"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46E73F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C63D07A"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4C41BAED"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0ACF170"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5B71946"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6C51661F" w14:textId="77777777" w:rsidR="00820880" w:rsidRPr="00454A54"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fits the inclusion criteria perfectly. I marked Q6 as “Unclear” because 4% of the participants already had a history of injurious falls before baseline , though the authors handled this well with subgroup analyses. Q9 is “Unclear” as the exact numbers and reasons for loss-to-follow-up are not explicitly detailed, only that they were treated as censoring events. However, the complete-case approach and survival analysis techniques mitigate this.</w:t>
            </w:r>
          </w:p>
        </w:tc>
      </w:tr>
      <w:tr w:rsidR="00820880" w:rsidRPr="00731E71" w14:paraId="00A2DF14" w14:textId="77777777" w:rsidTr="00D761DF">
        <w:trPr>
          <w:trHeight w:val="44"/>
        </w:trPr>
        <w:tc>
          <w:tcPr>
            <w:tcW w:w="0" w:type="auto"/>
            <w:vMerge w:val="restart"/>
            <w:tcBorders>
              <w:left w:val="nil"/>
            </w:tcBorders>
            <w:tcMar>
              <w:top w:w="80" w:type="dxa"/>
              <w:left w:w="80" w:type="dxa"/>
              <w:bottom w:w="80" w:type="dxa"/>
              <w:right w:w="80" w:type="dxa"/>
            </w:tcMar>
            <w:vAlign w:val="center"/>
            <w:hideMark/>
          </w:tcPr>
          <w:p w14:paraId="4C9E9504" w14:textId="77777777" w:rsidR="00820880" w:rsidRPr="00454A54" w:rsidRDefault="00820880" w:rsidP="00281291">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(Gillain et al., 2019)</w:t>
            </w:r>
          </w:p>
        </w:tc>
        <w:tc>
          <w:tcPr>
            <w:tcW w:w="0" w:type="auto"/>
            <w:tcMar>
              <w:top w:w="80" w:type="dxa"/>
              <w:left w:w="80" w:type="dxa"/>
              <w:bottom w:w="80" w:type="dxa"/>
              <w:right w:w="80" w:type="dxa"/>
            </w:tcMar>
            <w:vAlign w:val="center"/>
            <w:hideMark/>
          </w:tcPr>
          <w:p w14:paraId="7AC79051"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0" w:type="auto"/>
            <w:tcMar>
              <w:top w:w="80" w:type="dxa"/>
              <w:left w:w="80" w:type="dxa"/>
              <w:bottom w:w="80" w:type="dxa"/>
              <w:right w:w="80" w:type="dxa"/>
            </w:tcMar>
            <w:vAlign w:val="center"/>
            <w:hideMark/>
          </w:tcPr>
          <w:p w14:paraId="54F879C5"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B646EA1"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6F4FE31"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FC86042"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521C89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C1982E7"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9BFB25B"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A2A301C"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F84A752"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5F13C616"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4A316E8"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FB27EBF"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0DB555A2" w14:textId="77777777" w:rsidR="00820880" w:rsidRPr="00454A54"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 very well-designed prognostic cohort study. The exposures (gait parameters) were accurately measured using standardized optoelectronic and accelerometric methods. The cohort was confirmed to have no fall history in the previous year at baseline. I marked Q9 as “Unclear” because while the retention rate was excellent (91.5%, or 96 out of 105 participants), the paper does not explicitly detail the reasons why the 9 individuals were lost to follow-up.</w:t>
            </w:r>
          </w:p>
        </w:tc>
      </w:tr>
      <w:tr w:rsidR="00820880" w:rsidRPr="00731E71" w14:paraId="0C973B46" w14:textId="77777777" w:rsidTr="00D761DF">
        <w:trPr>
          <w:trHeight w:val="848"/>
        </w:trPr>
        <w:tc>
          <w:tcPr>
            <w:tcW w:w="0" w:type="auto"/>
            <w:vMerge/>
            <w:tcBorders>
              <w:left w:val="nil"/>
            </w:tcBorders>
            <w:hideMark/>
          </w:tcPr>
          <w:p w14:paraId="0354B0BA" w14:textId="77777777" w:rsidR="00820880" w:rsidRPr="00454A54" w:rsidRDefault="00820880" w:rsidP="00281291">
            <w:pPr>
              <w:widowControl/>
              <w:rPr>
                <w:rFonts w:ascii="Times New Roman" w:eastAsia="等线" w:hAnsi="Times New Roman" w:cs="Times New Roman"/>
                <w:color w:val="000000"/>
                <w:kern w:val="0"/>
                <w:sz w:val="18"/>
                <w:szCs w:val="18"/>
                <w14:ligatures w14:val="none"/>
              </w:rPr>
            </w:pPr>
          </w:p>
        </w:tc>
        <w:tc>
          <w:tcPr>
            <w:tcW w:w="0" w:type="auto"/>
            <w:tcMar>
              <w:top w:w="80" w:type="dxa"/>
              <w:left w:w="80" w:type="dxa"/>
              <w:bottom w:w="80" w:type="dxa"/>
              <w:right w:w="80" w:type="dxa"/>
            </w:tcMar>
            <w:vAlign w:val="center"/>
            <w:hideMark/>
          </w:tcPr>
          <w:p w14:paraId="630C745C"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0" w:type="auto"/>
            <w:tcMar>
              <w:top w:w="80" w:type="dxa"/>
              <w:left w:w="80" w:type="dxa"/>
              <w:bottom w:w="80" w:type="dxa"/>
              <w:right w:w="80" w:type="dxa"/>
            </w:tcMar>
            <w:vAlign w:val="center"/>
            <w:hideMark/>
          </w:tcPr>
          <w:p w14:paraId="6FD8D9E0"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D2B5FE8"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40B391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D9A4AA0"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32DAE1A"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A7CC3FB"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F77584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082DC23"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743E8A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63423D5D"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7F39170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C35B6F2"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43B8335C" w14:textId="77777777" w:rsidR="00820880" w:rsidRPr="00454A54"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firmly meets the inclusion criteria and uses a robust supervised machine learning classifier (J48) with 10-fold cross-validation. Outcome measurement was reliable, utilizing personal fall diaries and quarterly phone calls. Similar to R1, I marked Q9 as “Unclear” due to missing dropout reasons. Q10 is also “Unclear” because the authors appear to have performed a complete-case analysis on the 96 remaining subjects without explicitly stating strategies like imputation for the missing data.</w:t>
            </w:r>
          </w:p>
        </w:tc>
      </w:tr>
      <w:tr w:rsidR="00820880" w:rsidRPr="00731E71" w14:paraId="49570A92" w14:textId="77777777" w:rsidTr="00D761DF">
        <w:trPr>
          <w:trHeight w:val="496"/>
        </w:trPr>
        <w:tc>
          <w:tcPr>
            <w:tcW w:w="0" w:type="auto"/>
            <w:vMerge w:val="restart"/>
            <w:tcBorders>
              <w:left w:val="nil"/>
            </w:tcBorders>
            <w:tcMar>
              <w:top w:w="80" w:type="dxa"/>
              <w:left w:w="80" w:type="dxa"/>
              <w:bottom w:w="80" w:type="dxa"/>
              <w:right w:w="80" w:type="dxa"/>
            </w:tcMar>
            <w:vAlign w:val="center"/>
            <w:hideMark/>
          </w:tcPr>
          <w:p w14:paraId="20C9A0A8" w14:textId="77777777" w:rsidR="00820880" w:rsidRPr="00454A54" w:rsidRDefault="00820880" w:rsidP="00281291">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(Ikeda et al., 2022)</w:t>
            </w:r>
          </w:p>
        </w:tc>
        <w:tc>
          <w:tcPr>
            <w:tcW w:w="0" w:type="auto"/>
            <w:tcMar>
              <w:top w:w="80" w:type="dxa"/>
              <w:left w:w="80" w:type="dxa"/>
              <w:bottom w:w="80" w:type="dxa"/>
              <w:right w:w="80" w:type="dxa"/>
            </w:tcMar>
            <w:vAlign w:val="center"/>
            <w:hideMark/>
          </w:tcPr>
          <w:p w14:paraId="722517A8"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0" w:type="auto"/>
            <w:tcMar>
              <w:top w:w="80" w:type="dxa"/>
              <w:left w:w="80" w:type="dxa"/>
              <w:bottom w:w="80" w:type="dxa"/>
              <w:right w:w="80" w:type="dxa"/>
            </w:tcMar>
            <w:vAlign w:val="center"/>
            <w:hideMark/>
          </w:tcPr>
          <w:p w14:paraId="140984F1"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C3DBD3C"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7917CA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36865B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713F7B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4135BE8"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05B9BC1C"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41723612"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5911758"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3A397DC2"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A9A5FC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F5A43FF"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64EF3F2A" w14:textId="77777777" w:rsidR="00820880" w:rsidRPr="00454A54"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 highly robust 3-year longitudinal study with a massive sample size of 61,883 participants. The machine learning methodology (XGBoost with nested k-fold cross-validation) is exceptionally well-executed. I marked Q7 as “Unclear” because the outcome relies on a 1-year recall of self-reported falls, which can be subject to recall bias. Q9 is “Unclear” as the reasons for the 14,252 participants lost to follow-up are not extensively detailed.</w:t>
            </w:r>
          </w:p>
        </w:tc>
      </w:tr>
      <w:tr w:rsidR="00820880" w:rsidRPr="00731E71" w14:paraId="77E3FB74" w14:textId="77777777" w:rsidTr="00D761DF">
        <w:trPr>
          <w:trHeight w:val="1019"/>
        </w:trPr>
        <w:tc>
          <w:tcPr>
            <w:tcW w:w="0" w:type="auto"/>
            <w:vMerge/>
            <w:tcBorders>
              <w:left w:val="nil"/>
            </w:tcBorders>
            <w:hideMark/>
          </w:tcPr>
          <w:p w14:paraId="2B3D547D" w14:textId="77777777" w:rsidR="00820880" w:rsidRPr="00454A54" w:rsidRDefault="00820880" w:rsidP="00281291">
            <w:pPr>
              <w:widowControl/>
              <w:rPr>
                <w:rFonts w:ascii="Times New Roman" w:eastAsia="等线" w:hAnsi="Times New Roman" w:cs="Times New Roman"/>
                <w:color w:val="000000"/>
                <w:kern w:val="0"/>
                <w:sz w:val="18"/>
                <w:szCs w:val="18"/>
                <w14:ligatures w14:val="none"/>
              </w:rPr>
            </w:pPr>
          </w:p>
        </w:tc>
        <w:tc>
          <w:tcPr>
            <w:tcW w:w="0" w:type="auto"/>
            <w:tcMar>
              <w:top w:w="80" w:type="dxa"/>
              <w:left w:w="80" w:type="dxa"/>
              <w:bottom w:w="80" w:type="dxa"/>
              <w:right w:w="80" w:type="dxa"/>
            </w:tcMar>
            <w:vAlign w:val="center"/>
            <w:hideMark/>
          </w:tcPr>
          <w:p w14:paraId="6ADF03E4"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0" w:type="auto"/>
            <w:tcMar>
              <w:top w:w="80" w:type="dxa"/>
              <w:left w:w="80" w:type="dxa"/>
              <w:bottom w:w="80" w:type="dxa"/>
              <w:right w:w="80" w:type="dxa"/>
            </w:tcMar>
            <w:vAlign w:val="center"/>
            <w:hideMark/>
          </w:tcPr>
          <w:p w14:paraId="08A542C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6FFBD5C"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C104FE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8D751AC"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765291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EE76AF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0F007F4C"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2120452D"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E0A9C85"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28239DF8"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96FEC1C"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5C1F724"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0D32FB6B" w14:textId="77777777" w:rsidR="00820880" w:rsidRPr="00454A54"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The study firmly meets the inclusion criteria and offers excellent insights into psychosocial risk factors. For Q6, I marked “Unclear” because a significant portion of the cohort already had a history of falls at baseline (which was the strongest predictor) ; however, the outcome of interest was </w:t>
            </w:r>
            <w:r>
              <w:rPr>
                <w:rFonts w:ascii="Times New Roman" w:eastAsia="等线" w:hAnsi="Times New Roman" w:cs="Times New Roman"/>
                <w:i/>
                <w:iCs/>
                <w:color w:val="1F1F1F"/>
                <w:kern w:val="0"/>
                <w:sz w:val="18"/>
                <w:szCs w:val="18"/>
                <w14:ligatures w14:val="none"/>
              </w:rPr>
              <w:t>future</w:t>
            </w:r>
            <w:r>
              <w:rPr>
                <w:rFonts w:ascii="Times New Roman" w:eastAsia="等线" w:hAnsi="Times New Roman" w:cs="Times New Roman"/>
                <w:color w:val="1F1F1F"/>
                <w:kern w:val="0"/>
                <w:sz w:val="18"/>
                <w:szCs w:val="18"/>
                <w14:ligatures w14:val="none"/>
              </w:rPr>
              <w:t xml:space="preserve"> falls. Q7 is “Unclear” due to the self-reported nature of the outcome. The imputation strategy for missing data (Q10) was appropriately handled using random forest algorithms.</w:t>
            </w:r>
          </w:p>
        </w:tc>
      </w:tr>
      <w:tr w:rsidR="00820880" w:rsidRPr="00731E71" w14:paraId="53DC9D1F" w14:textId="77777777" w:rsidTr="00D761DF">
        <w:trPr>
          <w:trHeight w:val="1185"/>
        </w:trPr>
        <w:tc>
          <w:tcPr>
            <w:tcW w:w="0" w:type="auto"/>
            <w:vMerge w:val="restart"/>
            <w:tcBorders>
              <w:left w:val="nil"/>
            </w:tcBorders>
            <w:tcMar>
              <w:top w:w="80" w:type="dxa"/>
              <w:left w:w="80" w:type="dxa"/>
              <w:bottom w:w="80" w:type="dxa"/>
              <w:right w:w="80" w:type="dxa"/>
            </w:tcMar>
            <w:vAlign w:val="center"/>
            <w:hideMark/>
          </w:tcPr>
          <w:p w14:paraId="00328B34" w14:textId="77777777" w:rsidR="00820880" w:rsidRPr="00454A54" w:rsidRDefault="00820880" w:rsidP="00281291">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(Kuspinar et al., 2019)</w:t>
            </w:r>
          </w:p>
        </w:tc>
        <w:tc>
          <w:tcPr>
            <w:tcW w:w="0" w:type="auto"/>
            <w:tcMar>
              <w:top w:w="80" w:type="dxa"/>
              <w:left w:w="80" w:type="dxa"/>
              <w:bottom w:w="80" w:type="dxa"/>
              <w:right w:w="80" w:type="dxa"/>
            </w:tcMar>
            <w:vAlign w:val="center"/>
            <w:hideMark/>
          </w:tcPr>
          <w:p w14:paraId="2E12F952"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0" w:type="auto"/>
            <w:tcMar>
              <w:top w:w="80" w:type="dxa"/>
              <w:left w:w="80" w:type="dxa"/>
              <w:bottom w:w="80" w:type="dxa"/>
              <w:right w:w="80" w:type="dxa"/>
            </w:tcMar>
            <w:vAlign w:val="center"/>
            <w:hideMark/>
          </w:tcPr>
          <w:p w14:paraId="28F397CF"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41399F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F069AA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B67F785"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E8F9703"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5A124EF"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212AC4F"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169111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06C26B24"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6B95033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4EAA4015"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4694875"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060DA0C0" w14:textId="77777777" w:rsidR="00820880" w:rsidRPr="00454A54"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 strong, large-scale predictive modeling study using valid and reliable RAI-HC data from multiple provinces. The machine learning approach (decision trees) effectively handled complex confounding variables. I marked Q9 and Q10 as ‘Unclear’ because the paper does not explicitly detail the rates of or reasons for loss to follow-up between the baseline and the 6-month assessment.</w:t>
            </w:r>
          </w:p>
        </w:tc>
      </w:tr>
      <w:tr w:rsidR="00820880" w:rsidRPr="00731E71" w14:paraId="5A252831" w14:textId="77777777" w:rsidTr="00976E08">
        <w:trPr>
          <w:trHeight w:val="1707"/>
        </w:trPr>
        <w:tc>
          <w:tcPr>
            <w:tcW w:w="0" w:type="auto"/>
            <w:vMerge/>
            <w:tcBorders>
              <w:left w:val="nil"/>
              <w:bottom w:val="single" w:sz="4" w:space="0" w:color="BFBFBF" w:themeColor="background1" w:themeShade="BF"/>
            </w:tcBorders>
            <w:hideMark/>
          </w:tcPr>
          <w:p w14:paraId="51849104" w14:textId="77777777" w:rsidR="00820880" w:rsidRPr="00454A54" w:rsidRDefault="00820880" w:rsidP="00281291">
            <w:pPr>
              <w:widowControl/>
              <w:rPr>
                <w:rFonts w:ascii="Times New Roman" w:eastAsia="等线" w:hAnsi="Times New Roman" w:cs="Times New Roman"/>
                <w:color w:val="000000"/>
                <w:kern w:val="0"/>
                <w:sz w:val="18"/>
                <w:szCs w:val="18"/>
                <w14:ligatures w14:val="none"/>
              </w:rPr>
            </w:pP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65BC2FBA"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7F7FD446"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65FF7C3C"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154DFEEA"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6C3906CF"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62C72F0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0E650FAB"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5616D5F5"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451AF2B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35DF3B97"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4FFDDE28"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59407740"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192BC07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bottom w:val="single" w:sz="4" w:space="0" w:color="BFBFBF" w:themeColor="background1" w:themeShade="BF"/>
              <w:right w:val="nil"/>
            </w:tcBorders>
            <w:tcMar>
              <w:top w:w="80" w:type="dxa"/>
              <w:left w:w="80" w:type="dxa"/>
              <w:bottom w:w="80" w:type="dxa"/>
              <w:right w:w="80" w:type="dxa"/>
            </w:tcMar>
            <w:vAlign w:val="center"/>
            <w:hideMark/>
          </w:tcPr>
          <w:p w14:paraId="3E839CDA" w14:textId="77777777" w:rsidR="00820880" w:rsidRPr="00454A54"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excellently meets the inclusion criteria and uses a massive sample size. I marked Q7 as ‘Unclear’ because the authors themselves note that the primary outcome (falls) relies heavily on self-reported data with a 90-day recall period, which introduces potential recall bias. However, the evaluators are trained to mitigate this. Q9 and Q10 are unclear due to missing attrition data.</w:t>
            </w:r>
          </w:p>
        </w:tc>
      </w:tr>
      <w:tr w:rsidR="00820880" w:rsidRPr="00731E71" w14:paraId="457D4EC4" w14:textId="77777777" w:rsidTr="00976E08">
        <w:trPr>
          <w:trHeight w:val="44"/>
        </w:trPr>
        <w:tc>
          <w:tcPr>
            <w:tcW w:w="0" w:type="auto"/>
            <w:vMerge w:val="restart"/>
            <w:tcBorders>
              <w:left w:val="nil"/>
            </w:tcBorders>
            <w:tcMar>
              <w:top w:w="80" w:type="dxa"/>
              <w:left w:w="80" w:type="dxa"/>
              <w:bottom w:w="80" w:type="dxa"/>
              <w:right w:w="80" w:type="dxa"/>
            </w:tcMar>
            <w:vAlign w:val="center"/>
            <w:hideMark/>
          </w:tcPr>
          <w:p w14:paraId="5E83C733" w14:textId="77777777" w:rsidR="00820880" w:rsidRPr="00454A54" w:rsidRDefault="00820880" w:rsidP="00281291">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(Park et al., 2025)</w:t>
            </w:r>
          </w:p>
        </w:tc>
        <w:tc>
          <w:tcPr>
            <w:tcW w:w="0" w:type="auto"/>
            <w:tcMar>
              <w:top w:w="80" w:type="dxa"/>
              <w:left w:w="80" w:type="dxa"/>
              <w:bottom w:w="80" w:type="dxa"/>
              <w:right w:w="80" w:type="dxa"/>
            </w:tcMar>
            <w:vAlign w:val="center"/>
            <w:hideMark/>
          </w:tcPr>
          <w:p w14:paraId="007DE2D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0" w:type="auto"/>
            <w:tcMar>
              <w:top w:w="80" w:type="dxa"/>
              <w:left w:w="80" w:type="dxa"/>
              <w:bottom w:w="80" w:type="dxa"/>
              <w:right w:w="80" w:type="dxa"/>
            </w:tcMar>
            <w:vAlign w:val="center"/>
            <w:hideMark/>
          </w:tcPr>
          <w:p w14:paraId="787440D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EE8B082"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FC82AFD"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D261BDB"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A076245"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851D65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699C42B"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4076E4C"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N/A</w:t>
            </w:r>
          </w:p>
        </w:tc>
        <w:tc>
          <w:tcPr>
            <w:tcW w:w="0" w:type="auto"/>
            <w:tcMar>
              <w:top w:w="80" w:type="dxa"/>
              <w:left w:w="80" w:type="dxa"/>
              <w:bottom w:w="80" w:type="dxa"/>
              <w:right w:w="80" w:type="dxa"/>
            </w:tcMar>
            <w:vAlign w:val="center"/>
            <w:hideMark/>
          </w:tcPr>
          <w:p w14:paraId="5C1F6127"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N/A</w:t>
            </w:r>
          </w:p>
        </w:tc>
        <w:tc>
          <w:tcPr>
            <w:tcW w:w="0" w:type="auto"/>
            <w:tcMar>
              <w:top w:w="80" w:type="dxa"/>
              <w:left w:w="80" w:type="dxa"/>
              <w:bottom w:w="80" w:type="dxa"/>
              <w:right w:w="80" w:type="dxa"/>
            </w:tcMar>
            <w:vAlign w:val="center"/>
            <w:hideMark/>
          </w:tcPr>
          <w:p w14:paraId="3ADF05A3"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N/A</w:t>
            </w:r>
          </w:p>
        </w:tc>
        <w:tc>
          <w:tcPr>
            <w:tcW w:w="0" w:type="auto"/>
            <w:tcMar>
              <w:top w:w="80" w:type="dxa"/>
              <w:left w:w="80" w:type="dxa"/>
              <w:bottom w:w="80" w:type="dxa"/>
              <w:right w:w="80" w:type="dxa"/>
            </w:tcMar>
            <w:vAlign w:val="center"/>
            <w:hideMark/>
          </w:tcPr>
          <w:p w14:paraId="18E80A58"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8E19A6D"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21EE13E0" w14:textId="77777777" w:rsidR="00820880" w:rsidRPr="00454A54"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 high-quality predictive study utilizing advanced ML techniques like SMOTE and recursive feature elimination. Exposure measurements (TUG, MNA, MMSE) are standardized and reliable.</w:t>
            </w:r>
          </w:p>
        </w:tc>
      </w:tr>
      <w:tr w:rsidR="00820880" w:rsidRPr="00731E71" w14:paraId="2B5CD699" w14:textId="77777777" w:rsidTr="00976E08">
        <w:trPr>
          <w:trHeight w:val="44"/>
        </w:trPr>
        <w:tc>
          <w:tcPr>
            <w:tcW w:w="0" w:type="auto"/>
            <w:vMerge/>
            <w:tcBorders>
              <w:left w:val="nil"/>
              <w:bottom w:val="single" w:sz="4" w:space="0" w:color="BFBFBF" w:themeColor="background1" w:themeShade="BF"/>
            </w:tcBorders>
            <w:hideMark/>
          </w:tcPr>
          <w:p w14:paraId="73439F99" w14:textId="77777777" w:rsidR="00820880" w:rsidRPr="00454A54" w:rsidRDefault="00820880" w:rsidP="00281291">
            <w:pPr>
              <w:widowControl/>
              <w:rPr>
                <w:rFonts w:ascii="Times New Roman" w:eastAsia="等线" w:hAnsi="Times New Roman" w:cs="Times New Roman"/>
                <w:color w:val="000000"/>
                <w:kern w:val="0"/>
                <w:sz w:val="18"/>
                <w:szCs w:val="18"/>
                <w14:ligatures w14:val="none"/>
              </w:rPr>
            </w:pP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044EAE17"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5979656C"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2134BB80"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7F09DA1D"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380188B7"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2DE6A9D3"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050DD93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7F5323D0"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3391E70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N/A</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7F592380"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N/A</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19B3E08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N/A</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24B9A523"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0101007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bottom w:val="single" w:sz="4" w:space="0" w:color="BFBFBF" w:themeColor="background1" w:themeShade="BF"/>
              <w:right w:val="nil"/>
            </w:tcBorders>
            <w:tcMar>
              <w:top w:w="80" w:type="dxa"/>
              <w:left w:w="80" w:type="dxa"/>
              <w:bottom w:w="80" w:type="dxa"/>
              <w:right w:w="80" w:type="dxa"/>
            </w:tcMar>
            <w:vAlign w:val="center"/>
            <w:hideMark/>
          </w:tcPr>
          <w:p w14:paraId="1E7C8DE9" w14:textId="77777777" w:rsidR="00820880" w:rsidRPr="00454A54"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identifies six optimal multidomain features with high predictive power (AUC 84.34%). While it uses baseline wave data, the identification of risk factors is robust and supports early intervention for aging in place.</w:t>
            </w:r>
          </w:p>
        </w:tc>
      </w:tr>
      <w:tr w:rsidR="003960FB" w14:paraId="786F6D38" w14:textId="77777777" w:rsidTr="00976E08">
        <w:tc>
          <w:tcPr>
            <w:tcW w:w="1078" w:type="dxa"/>
            <w:vMerge w:val="restart"/>
            <w:tcBorders>
              <w:left w:val="nil"/>
            </w:tcBorders>
            <w:tcMar>
              <w:top w:w="80" w:type="dxa"/>
              <w:left w:w="80" w:type="dxa"/>
              <w:bottom w:w="80" w:type="dxa"/>
              <w:right w:w="80" w:type="dxa"/>
            </w:tcMar>
            <w:vAlign w:val="center"/>
          </w:tcPr>
          <w:p w14:paraId="23A17E58" w14:textId="77777777" w:rsidR="003960FB" w:rsidRDefault="003960FB" w:rsidP="00A13BBA">
            <w:pPr>
              <w:jc w:val="center"/>
              <w:rPr>
                <w:rFonts w:hint="eastAsia"/>
              </w:rPr>
            </w:pPr>
            <w:r>
              <w:rPr>
                <w:rFonts w:ascii="Times New Roman" w:hAnsi="Times New Roman" w:cs="Times New Roman"/>
                <w:sz w:val="18"/>
              </w:rPr>
              <w:t>(Topaz et al., 2020)</w:t>
            </w:r>
          </w:p>
        </w:tc>
        <w:tc>
          <w:tcPr>
            <w:tcW w:w="479" w:type="dxa"/>
            <w:tcMar>
              <w:top w:w="80" w:type="dxa"/>
              <w:left w:w="80" w:type="dxa"/>
              <w:bottom w:w="80" w:type="dxa"/>
              <w:right w:w="80" w:type="dxa"/>
            </w:tcMar>
            <w:vAlign w:val="center"/>
          </w:tcPr>
          <w:p w14:paraId="0578AE22" w14:textId="77777777" w:rsidR="003960FB" w:rsidRDefault="003960FB">
            <w:pPr>
              <w:jc w:val="center"/>
              <w:rPr>
                <w:rFonts w:hint="eastAsia"/>
              </w:rPr>
            </w:pPr>
            <w:r>
              <w:rPr>
                <w:rFonts w:ascii="Times New Roman" w:hAnsi="Times New Roman" w:cs="Times New Roman"/>
                <w:sz w:val="18"/>
              </w:rPr>
              <w:t>R1</w:t>
            </w:r>
          </w:p>
        </w:tc>
        <w:tc>
          <w:tcPr>
            <w:tcW w:w="460" w:type="dxa"/>
            <w:tcMar>
              <w:top w:w="80" w:type="dxa"/>
              <w:left w:w="80" w:type="dxa"/>
              <w:bottom w:w="80" w:type="dxa"/>
              <w:right w:w="80" w:type="dxa"/>
            </w:tcMar>
            <w:vAlign w:val="center"/>
          </w:tcPr>
          <w:p w14:paraId="01BCF402" w14:textId="77777777" w:rsidR="003960FB" w:rsidRDefault="003960FB">
            <w:pPr>
              <w:jc w:val="center"/>
              <w:rPr>
                <w:rFonts w:hint="eastAsia"/>
              </w:rPr>
            </w:pPr>
            <w:r>
              <w:rPr>
                <w:rFonts w:ascii="Times New Roman" w:hAnsi="Times New Roman" w:cs="Times New Roman"/>
                <w:sz w:val="18"/>
              </w:rPr>
              <w:t>Yes</w:t>
            </w:r>
          </w:p>
        </w:tc>
        <w:tc>
          <w:tcPr>
            <w:tcW w:w="460" w:type="dxa"/>
            <w:tcMar>
              <w:top w:w="80" w:type="dxa"/>
              <w:left w:w="80" w:type="dxa"/>
              <w:bottom w:w="80" w:type="dxa"/>
              <w:right w:w="80" w:type="dxa"/>
            </w:tcMar>
            <w:vAlign w:val="center"/>
          </w:tcPr>
          <w:p w14:paraId="48E99B8C" w14:textId="77777777" w:rsidR="003960FB" w:rsidRDefault="003960FB">
            <w:pPr>
              <w:jc w:val="center"/>
              <w:rPr>
                <w:rFonts w:hint="eastAsia"/>
              </w:rPr>
            </w:pPr>
            <w:r>
              <w:rPr>
                <w:rFonts w:ascii="Times New Roman" w:hAnsi="Times New Roman" w:cs="Times New Roman"/>
                <w:sz w:val="18"/>
              </w:rPr>
              <w:t>Yes</w:t>
            </w:r>
          </w:p>
        </w:tc>
        <w:tc>
          <w:tcPr>
            <w:tcW w:w="460" w:type="dxa"/>
            <w:tcMar>
              <w:top w:w="80" w:type="dxa"/>
              <w:left w:w="80" w:type="dxa"/>
              <w:bottom w:w="80" w:type="dxa"/>
              <w:right w:w="80" w:type="dxa"/>
            </w:tcMar>
            <w:vAlign w:val="center"/>
          </w:tcPr>
          <w:p w14:paraId="45012F81" w14:textId="77777777" w:rsidR="003960FB" w:rsidRDefault="003960FB">
            <w:pPr>
              <w:jc w:val="center"/>
              <w:rPr>
                <w:rFonts w:hint="eastAsia"/>
              </w:rPr>
            </w:pPr>
            <w:r>
              <w:rPr>
                <w:rFonts w:ascii="Times New Roman" w:hAnsi="Times New Roman" w:cs="Times New Roman"/>
                <w:sz w:val="18"/>
              </w:rPr>
              <w:t>Yes</w:t>
            </w:r>
          </w:p>
        </w:tc>
        <w:tc>
          <w:tcPr>
            <w:tcW w:w="460" w:type="dxa"/>
            <w:tcMar>
              <w:top w:w="80" w:type="dxa"/>
              <w:left w:w="80" w:type="dxa"/>
              <w:bottom w:w="80" w:type="dxa"/>
              <w:right w:w="80" w:type="dxa"/>
            </w:tcMar>
            <w:vAlign w:val="center"/>
          </w:tcPr>
          <w:p w14:paraId="59882E4B" w14:textId="77777777" w:rsidR="003960FB" w:rsidRDefault="003960FB">
            <w:pPr>
              <w:jc w:val="center"/>
              <w:rPr>
                <w:rFonts w:hint="eastAsia"/>
              </w:rPr>
            </w:pPr>
            <w:r>
              <w:rPr>
                <w:rFonts w:ascii="Times New Roman" w:hAnsi="Times New Roman" w:cs="Times New Roman"/>
                <w:sz w:val="18"/>
              </w:rPr>
              <w:t>Yes</w:t>
            </w:r>
          </w:p>
        </w:tc>
        <w:tc>
          <w:tcPr>
            <w:tcW w:w="460" w:type="dxa"/>
            <w:tcMar>
              <w:top w:w="80" w:type="dxa"/>
              <w:left w:w="80" w:type="dxa"/>
              <w:bottom w:w="80" w:type="dxa"/>
              <w:right w:w="80" w:type="dxa"/>
            </w:tcMar>
            <w:vAlign w:val="center"/>
          </w:tcPr>
          <w:p w14:paraId="5864E98F" w14:textId="77777777" w:rsidR="003960FB" w:rsidRDefault="003960FB">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3260E585" w14:textId="77777777" w:rsidR="003960FB" w:rsidRDefault="003960FB">
            <w:pPr>
              <w:jc w:val="center"/>
              <w:rPr>
                <w:rFonts w:hint="eastAsia"/>
              </w:rPr>
            </w:pPr>
            <w:r>
              <w:rPr>
                <w:rFonts w:ascii="Times New Roman" w:hAnsi="Times New Roman" w:cs="Times New Roman"/>
                <w:sz w:val="18"/>
              </w:rPr>
              <w:t>Yes</w:t>
            </w:r>
          </w:p>
        </w:tc>
        <w:tc>
          <w:tcPr>
            <w:tcW w:w="750" w:type="dxa"/>
            <w:tcMar>
              <w:top w:w="80" w:type="dxa"/>
              <w:left w:w="80" w:type="dxa"/>
              <w:bottom w:w="80" w:type="dxa"/>
              <w:right w:w="80" w:type="dxa"/>
            </w:tcMar>
            <w:vAlign w:val="center"/>
          </w:tcPr>
          <w:p w14:paraId="4A51FF99" w14:textId="77777777" w:rsidR="003960FB" w:rsidRDefault="003960FB">
            <w:pPr>
              <w:jc w:val="center"/>
              <w:rPr>
                <w:rFonts w:hint="eastAsia"/>
              </w:rPr>
            </w:pPr>
            <w:r>
              <w:rPr>
                <w:rFonts w:ascii="Times New Roman" w:hAnsi="Times New Roman" w:cs="Times New Roman"/>
                <w:sz w:val="18"/>
              </w:rPr>
              <w:t>Yes</w:t>
            </w:r>
          </w:p>
        </w:tc>
        <w:tc>
          <w:tcPr>
            <w:tcW w:w="490" w:type="dxa"/>
            <w:tcMar>
              <w:top w:w="80" w:type="dxa"/>
              <w:left w:w="80" w:type="dxa"/>
              <w:bottom w:w="80" w:type="dxa"/>
              <w:right w:w="80" w:type="dxa"/>
            </w:tcMar>
            <w:vAlign w:val="center"/>
          </w:tcPr>
          <w:p w14:paraId="46C77A15" w14:textId="77777777" w:rsidR="003960FB" w:rsidRDefault="003960FB">
            <w:pPr>
              <w:jc w:val="center"/>
              <w:rPr>
                <w:rFonts w:hint="eastAsia"/>
              </w:rPr>
            </w:pPr>
            <w:r>
              <w:rPr>
                <w:rFonts w:ascii="Times New Roman" w:hAnsi="Times New Roman" w:cs="Times New Roman"/>
                <w:sz w:val="18"/>
              </w:rPr>
              <w:t>Yes</w:t>
            </w:r>
          </w:p>
        </w:tc>
        <w:tc>
          <w:tcPr>
            <w:tcW w:w="750" w:type="dxa"/>
            <w:tcMar>
              <w:top w:w="80" w:type="dxa"/>
              <w:left w:w="80" w:type="dxa"/>
              <w:bottom w:w="80" w:type="dxa"/>
              <w:right w:w="80" w:type="dxa"/>
            </w:tcMar>
            <w:vAlign w:val="center"/>
          </w:tcPr>
          <w:p w14:paraId="6DA347E0" w14:textId="77777777" w:rsidR="003960FB" w:rsidRDefault="003960FB">
            <w:pPr>
              <w:jc w:val="center"/>
              <w:rPr>
                <w:rFonts w:hint="eastAsia"/>
              </w:rPr>
            </w:pPr>
            <w:r>
              <w:rPr>
                <w:rFonts w:ascii="Times New Roman" w:hAnsi="Times New Roman" w:cs="Times New Roman"/>
                <w:sz w:val="18"/>
              </w:rPr>
              <w:t>Unclear</w:t>
            </w:r>
          </w:p>
        </w:tc>
        <w:tc>
          <w:tcPr>
            <w:tcW w:w="750" w:type="dxa"/>
            <w:tcMar>
              <w:top w:w="80" w:type="dxa"/>
              <w:left w:w="80" w:type="dxa"/>
              <w:bottom w:w="80" w:type="dxa"/>
              <w:right w:w="80" w:type="dxa"/>
            </w:tcMar>
            <w:vAlign w:val="center"/>
          </w:tcPr>
          <w:p w14:paraId="2C094AD2" w14:textId="77777777" w:rsidR="003960FB" w:rsidRDefault="003960FB">
            <w:pPr>
              <w:jc w:val="center"/>
              <w:rPr>
                <w:rFonts w:hint="eastAsia"/>
              </w:rPr>
            </w:pPr>
            <w:r>
              <w:rPr>
                <w:rFonts w:ascii="Times New Roman" w:hAnsi="Times New Roman" w:cs="Times New Roman"/>
                <w:sz w:val="18"/>
              </w:rPr>
              <w:t>No</w:t>
            </w:r>
          </w:p>
        </w:tc>
        <w:tc>
          <w:tcPr>
            <w:tcW w:w="460" w:type="dxa"/>
            <w:tcMar>
              <w:top w:w="80" w:type="dxa"/>
              <w:left w:w="80" w:type="dxa"/>
              <w:bottom w:w="80" w:type="dxa"/>
              <w:right w:w="80" w:type="dxa"/>
            </w:tcMar>
            <w:vAlign w:val="center"/>
          </w:tcPr>
          <w:p w14:paraId="7B882A3C" w14:textId="77777777" w:rsidR="003960FB" w:rsidRDefault="003960FB">
            <w:pPr>
              <w:jc w:val="center"/>
              <w:rPr>
                <w:rFonts w:hint="eastAsia"/>
              </w:rPr>
            </w:pPr>
            <w:r>
              <w:rPr>
                <w:rFonts w:ascii="Times New Roman" w:hAnsi="Times New Roman" w:cs="Times New Roman"/>
                <w:sz w:val="18"/>
              </w:rPr>
              <w:t>Yes</w:t>
            </w:r>
          </w:p>
        </w:tc>
        <w:tc>
          <w:tcPr>
            <w:tcW w:w="752" w:type="dxa"/>
            <w:tcMar>
              <w:top w:w="80" w:type="dxa"/>
              <w:left w:w="80" w:type="dxa"/>
              <w:bottom w:w="80" w:type="dxa"/>
              <w:right w:w="80" w:type="dxa"/>
            </w:tcMar>
            <w:vAlign w:val="center"/>
          </w:tcPr>
          <w:p w14:paraId="31C938BB" w14:textId="77777777" w:rsidR="003960FB" w:rsidRDefault="003960FB">
            <w:pPr>
              <w:jc w:val="center"/>
              <w:rPr>
                <w:rFonts w:hint="eastAsia"/>
              </w:rPr>
            </w:pPr>
            <w:r>
              <w:rPr>
                <w:rFonts w:ascii="Times New Roman" w:hAnsi="Times New Roman" w:cs="Times New Roman"/>
                <w:sz w:val="18"/>
              </w:rPr>
              <w:t>Exclude</w:t>
            </w:r>
          </w:p>
        </w:tc>
        <w:tc>
          <w:tcPr>
            <w:tcW w:w="6839" w:type="dxa"/>
            <w:tcBorders>
              <w:right w:val="nil"/>
            </w:tcBorders>
            <w:tcMar>
              <w:top w:w="80" w:type="dxa"/>
              <w:left w:w="80" w:type="dxa"/>
              <w:bottom w:w="80" w:type="dxa"/>
              <w:right w:w="80" w:type="dxa"/>
            </w:tcMar>
            <w:vAlign w:val="center"/>
          </w:tcPr>
          <w:p w14:paraId="0F923E5F" w14:textId="77777777" w:rsidR="003960FB" w:rsidRDefault="003960FB">
            <w:pPr>
              <w:jc w:val="left"/>
              <w:rPr>
                <w:rFonts w:hint="eastAsia"/>
              </w:rPr>
            </w:pPr>
            <w:r>
              <w:rPr>
                <w:rFonts w:ascii="Times New Roman" w:hAnsi="Times New Roman" w:cs="Times New Roman"/>
                <w:sz w:val="18"/>
              </w:rPr>
              <w:t>This retrospective home-health cohort used a very large corpus of clinical notes and NLP symptom indicators, but exclusion is supported by Q5 and Q10. Confounding by prior ADRD diagnosis, episode characteristics, and care context is not sufficiently addressed, and strategies for incomplete follow-up or missing documentation are not clearly utilized.</w:t>
            </w:r>
          </w:p>
        </w:tc>
      </w:tr>
      <w:tr w:rsidR="003960FB" w14:paraId="7C1E34FD" w14:textId="77777777" w:rsidTr="00976E08">
        <w:tc>
          <w:tcPr>
            <w:tcW w:w="1078" w:type="dxa"/>
            <w:vMerge/>
            <w:tcBorders>
              <w:left w:val="nil"/>
            </w:tcBorders>
            <w:tcMar>
              <w:top w:w="80" w:type="dxa"/>
              <w:left w:w="80" w:type="dxa"/>
              <w:bottom w:w="80" w:type="dxa"/>
              <w:right w:w="80" w:type="dxa"/>
            </w:tcMar>
            <w:vAlign w:val="center"/>
          </w:tcPr>
          <w:p w14:paraId="65BDEBB6" w14:textId="77777777" w:rsidR="003960FB" w:rsidRDefault="003960FB">
            <w:pPr>
              <w:jc w:val="left"/>
              <w:rPr>
                <w:rFonts w:hint="eastAsia"/>
              </w:rPr>
            </w:pPr>
          </w:p>
        </w:tc>
        <w:tc>
          <w:tcPr>
            <w:tcW w:w="479" w:type="dxa"/>
            <w:tcMar>
              <w:top w:w="80" w:type="dxa"/>
              <w:left w:w="80" w:type="dxa"/>
              <w:bottom w:w="80" w:type="dxa"/>
              <w:right w:w="80" w:type="dxa"/>
            </w:tcMar>
            <w:vAlign w:val="center"/>
          </w:tcPr>
          <w:p w14:paraId="42089463" w14:textId="77777777" w:rsidR="003960FB" w:rsidRDefault="003960FB">
            <w:pPr>
              <w:jc w:val="center"/>
              <w:rPr>
                <w:rFonts w:hint="eastAsia"/>
              </w:rPr>
            </w:pPr>
            <w:r>
              <w:rPr>
                <w:rFonts w:ascii="Times New Roman" w:hAnsi="Times New Roman" w:cs="Times New Roman"/>
                <w:sz w:val="18"/>
              </w:rPr>
              <w:t>R2</w:t>
            </w:r>
          </w:p>
        </w:tc>
        <w:tc>
          <w:tcPr>
            <w:tcW w:w="460" w:type="dxa"/>
            <w:tcMar>
              <w:top w:w="80" w:type="dxa"/>
              <w:left w:w="80" w:type="dxa"/>
              <w:bottom w:w="80" w:type="dxa"/>
              <w:right w:w="80" w:type="dxa"/>
            </w:tcMar>
            <w:vAlign w:val="center"/>
          </w:tcPr>
          <w:p w14:paraId="5E3169B0" w14:textId="77777777" w:rsidR="003960FB" w:rsidRDefault="003960FB">
            <w:pPr>
              <w:jc w:val="center"/>
              <w:rPr>
                <w:rFonts w:hint="eastAsia"/>
              </w:rPr>
            </w:pPr>
            <w:r>
              <w:rPr>
                <w:rFonts w:ascii="Times New Roman" w:hAnsi="Times New Roman" w:cs="Times New Roman"/>
                <w:sz w:val="18"/>
              </w:rPr>
              <w:t>Yes</w:t>
            </w:r>
          </w:p>
        </w:tc>
        <w:tc>
          <w:tcPr>
            <w:tcW w:w="460" w:type="dxa"/>
            <w:tcMar>
              <w:top w:w="80" w:type="dxa"/>
              <w:left w:w="80" w:type="dxa"/>
              <w:bottom w:w="80" w:type="dxa"/>
              <w:right w:w="80" w:type="dxa"/>
            </w:tcMar>
            <w:vAlign w:val="center"/>
          </w:tcPr>
          <w:p w14:paraId="28B068F8" w14:textId="77777777" w:rsidR="003960FB" w:rsidRDefault="003960FB">
            <w:pPr>
              <w:jc w:val="center"/>
              <w:rPr>
                <w:rFonts w:hint="eastAsia"/>
              </w:rPr>
            </w:pPr>
            <w:r>
              <w:rPr>
                <w:rFonts w:ascii="Times New Roman" w:hAnsi="Times New Roman" w:cs="Times New Roman"/>
                <w:sz w:val="18"/>
              </w:rPr>
              <w:t>Yes</w:t>
            </w:r>
          </w:p>
        </w:tc>
        <w:tc>
          <w:tcPr>
            <w:tcW w:w="460" w:type="dxa"/>
            <w:tcMar>
              <w:top w:w="80" w:type="dxa"/>
              <w:left w:w="80" w:type="dxa"/>
              <w:bottom w:w="80" w:type="dxa"/>
              <w:right w:w="80" w:type="dxa"/>
            </w:tcMar>
            <w:vAlign w:val="center"/>
          </w:tcPr>
          <w:p w14:paraId="12B7B861" w14:textId="77777777" w:rsidR="003960FB" w:rsidRDefault="003960FB">
            <w:pPr>
              <w:jc w:val="center"/>
              <w:rPr>
                <w:rFonts w:hint="eastAsia"/>
              </w:rPr>
            </w:pPr>
            <w:r>
              <w:rPr>
                <w:rFonts w:ascii="Times New Roman" w:hAnsi="Times New Roman" w:cs="Times New Roman"/>
                <w:sz w:val="18"/>
              </w:rPr>
              <w:t>Yes</w:t>
            </w:r>
          </w:p>
        </w:tc>
        <w:tc>
          <w:tcPr>
            <w:tcW w:w="460" w:type="dxa"/>
            <w:tcMar>
              <w:top w:w="80" w:type="dxa"/>
              <w:left w:w="80" w:type="dxa"/>
              <w:bottom w:w="80" w:type="dxa"/>
              <w:right w:w="80" w:type="dxa"/>
            </w:tcMar>
            <w:vAlign w:val="center"/>
          </w:tcPr>
          <w:p w14:paraId="2D292340" w14:textId="77777777" w:rsidR="003960FB" w:rsidRDefault="003960FB">
            <w:pPr>
              <w:jc w:val="center"/>
              <w:rPr>
                <w:rFonts w:hint="eastAsia"/>
              </w:rPr>
            </w:pPr>
            <w:r>
              <w:rPr>
                <w:rFonts w:ascii="Times New Roman" w:hAnsi="Times New Roman" w:cs="Times New Roman"/>
                <w:sz w:val="18"/>
              </w:rPr>
              <w:t>Yes</w:t>
            </w:r>
          </w:p>
        </w:tc>
        <w:tc>
          <w:tcPr>
            <w:tcW w:w="460" w:type="dxa"/>
            <w:tcMar>
              <w:top w:w="80" w:type="dxa"/>
              <w:left w:w="80" w:type="dxa"/>
              <w:bottom w:w="80" w:type="dxa"/>
              <w:right w:w="80" w:type="dxa"/>
            </w:tcMar>
            <w:vAlign w:val="center"/>
          </w:tcPr>
          <w:p w14:paraId="1E3A2911" w14:textId="77777777" w:rsidR="003960FB" w:rsidRDefault="003960FB">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38462A59" w14:textId="77777777" w:rsidR="003960FB" w:rsidRDefault="003960FB">
            <w:pPr>
              <w:jc w:val="center"/>
              <w:rPr>
                <w:rFonts w:hint="eastAsia"/>
              </w:rPr>
            </w:pPr>
            <w:r>
              <w:rPr>
                <w:rFonts w:ascii="Times New Roman" w:hAnsi="Times New Roman" w:cs="Times New Roman"/>
                <w:sz w:val="18"/>
              </w:rPr>
              <w:t>Yes</w:t>
            </w:r>
          </w:p>
        </w:tc>
        <w:tc>
          <w:tcPr>
            <w:tcW w:w="750" w:type="dxa"/>
            <w:tcMar>
              <w:top w:w="80" w:type="dxa"/>
              <w:left w:w="80" w:type="dxa"/>
              <w:bottom w:w="80" w:type="dxa"/>
              <w:right w:w="80" w:type="dxa"/>
            </w:tcMar>
            <w:vAlign w:val="center"/>
          </w:tcPr>
          <w:p w14:paraId="76D36282" w14:textId="77777777" w:rsidR="003960FB" w:rsidRDefault="003960FB">
            <w:pPr>
              <w:jc w:val="center"/>
              <w:rPr>
                <w:rFonts w:hint="eastAsia"/>
              </w:rPr>
            </w:pPr>
            <w:r>
              <w:rPr>
                <w:rFonts w:ascii="Times New Roman" w:hAnsi="Times New Roman" w:cs="Times New Roman"/>
                <w:sz w:val="18"/>
              </w:rPr>
              <w:t>Yes</w:t>
            </w:r>
          </w:p>
        </w:tc>
        <w:tc>
          <w:tcPr>
            <w:tcW w:w="490" w:type="dxa"/>
            <w:tcMar>
              <w:top w:w="80" w:type="dxa"/>
              <w:left w:w="80" w:type="dxa"/>
              <w:bottom w:w="80" w:type="dxa"/>
              <w:right w:w="80" w:type="dxa"/>
            </w:tcMar>
            <w:vAlign w:val="center"/>
          </w:tcPr>
          <w:p w14:paraId="26770EB0" w14:textId="77777777" w:rsidR="003960FB" w:rsidRDefault="003960FB">
            <w:pPr>
              <w:jc w:val="center"/>
              <w:rPr>
                <w:rFonts w:hint="eastAsia"/>
              </w:rPr>
            </w:pPr>
            <w:r>
              <w:rPr>
                <w:rFonts w:ascii="Times New Roman" w:hAnsi="Times New Roman" w:cs="Times New Roman"/>
                <w:sz w:val="18"/>
              </w:rPr>
              <w:t>Yes</w:t>
            </w:r>
          </w:p>
        </w:tc>
        <w:tc>
          <w:tcPr>
            <w:tcW w:w="750" w:type="dxa"/>
            <w:tcMar>
              <w:top w:w="80" w:type="dxa"/>
              <w:left w:w="80" w:type="dxa"/>
              <w:bottom w:w="80" w:type="dxa"/>
              <w:right w:w="80" w:type="dxa"/>
            </w:tcMar>
            <w:vAlign w:val="center"/>
          </w:tcPr>
          <w:p w14:paraId="407B3A59" w14:textId="77777777" w:rsidR="003960FB" w:rsidRDefault="003960FB">
            <w:pPr>
              <w:jc w:val="center"/>
              <w:rPr>
                <w:rFonts w:hint="eastAsia"/>
              </w:rPr>
            </w:pPr>
            <w:r>
              <w:rPr>
                <w:rFonts w:ascii="Times New Roman" w:hAnsi="Times New Roman" w:cs="Times New Roman"/>
                <w:sz w:val="18"/>
              </w:rPr>
              <w:t>Yes</w:t>
            </w:r>
          </w:p>
        </w:tc>
        <w:tc>
          <w:tcPr>
            <w:tcW w:w="750" w:type="dxa"/>
            <w:tcMar>
              <w:top w:w="80" w:type="dxa"/>
              <w:left w:w="80" w:type="dxa"/>
              <w:bottom w:w="80" w:type="dxa"/>
              <w:right w:w="80" w:type="dxa"/>
            </w:tcMar>
            <w:vAlign w:val="center"/>
          </w:tcPr>
          <w:p w14:paraId="527A3BF4" w14:textId="77777777" w:rsidR="003960FB" w:rsidRDefault="003960FB">
            <w:pPr>
              <w:jc w:val="center"/>
              <w:rPr>
                <w:rFonts w:hint="eastAsia"/>
              </w:rPr>
            </w:pPr>
            <w:r>
              <w:rPr>
                <w:rFonts w:ascii="Times New Roman" w:hAnsi="Times New Roman" w:cs="Times New Roman"/>
                <w:sz w:val="18"/>
              </w:rPr>
              <w:t>No</w:t>
            </w:r>
          </w:p>
        </w:tc>
        <w:tc>
          <w:tcPr>
            <w:tcW w:w="460" w:type="dxa"/>
            <w:tcMar>
              <w:top w:w="80" w:type="dxa"/>
              <w:left w:w="80" w:type="dxa"/>
              <w:bottom w:w="80" w:type="dxa"/>
              <w:right w:w="80" w:type="dxa"/>
            </w:tcMar>
            <w:vAlign w:val="center"/>
          </w:tcPr>
          <w:p w14:paraId="365ACE64" w14:textId="77777777" w:rsidR="003960FB" w:rsidRDefault="003960FB">
            <w:pPr>
              <w:jc w:val="center"/>
              <w:rPr>
                <w:rFonts w:hint="eastAsia"/>
              </w:rPr>
            </w:pPr>
            <w:r>
              <w:rPr>
                <w:rFonts w:ascii="Times New Roman" w:hAnsi="Times New Roman" w:cs="Times New Roman"/>
                <w:sz w:val="18"/>
              </w:rPr>
              <w:t>Yes</w:t>
            </w:r>
          </w:p>
        </w:tc>
        <w:tc>
          <w:tcPr>
            <w:tcW w:w="752" w:type="dxa"/>
            <w:tcMar>
              <w:top w:w="80" w:type="dxa"/>
              <w:left w:w="80" w:type="dxa"/>
              <w:bottom w:w="80" w:type="dxa"/>
              <w:right w:w="80" w:type="dxa"/>
            </w:tcMar>
            <w:vAlign w:val="center"/>
          </w:tcPr>
          <w:p w14:paraId="54ACA87F" w14:textId="77777777" w:rsidR="003960FB" w:rsidRDefault="003960FB">
            <w:pPr>
              <w:jc w:val="center"/>
              <w:rPr>
                <w:rFonts w:hint="eastAsia"/>
              </w:rPr>
            </w:pPr>
            <w:r>
              <w:rPr>
                <w:rFonts w:ascii="Times New Roman" w:hAnsi="Times New Roman" w:cs="Times New Roman"/>
                <w:sz w:val="18"/>
              </w:rPr>
              <w:t>Exclude</w:t>
            </w:r>
          </w:p>
        </w:tc>
        <w:tc>
          <w:tcPr>
            <w:tcW w:w="6839" w:type="dxa"/>
            <w:tcBorders>
              <w:right w:val="nil"/>
            </w:tcBorders>
            <w:tcMar>
              <w:top w:w="80" w:type="dxa"/>
              <w:left w:w="80" w:type="dxa"/>
              <w:bottom w:w="80" w:type="dxa"/>
              <w:right w:w="80" w:type="dxa"/>
            </w:tcMar>
            <w:vAlign w:val="center"/>
          </w:tcPr>
          <w:p w14:paraId="7EC8E5A0" w14:textId="77777777" w:rsidR="003960FB" w:rsidRDefault="003960FB">
            <w:pPr>
              <w:jc w:val="left"/>
              <w:rPr>
                <w:rFonts w:hint="eastAsia"/>
              </w:rPr>
            </w:pPr>
            <w:r>
              <w:rPr>
                <w:rFonts w:ascii="Times New Roman" w:hAnsi="Times New Roman" w:cs="Times New Roman"/>
                <w:sz w:val="18"/>
              </w:rPr>
              <w:t xml:space="preserve">The study is relevant because it links NLP-detected neuropsychiatric symptoms with </w:t>
            </w:r>
            <w:r>
              <w:rPr>
                <w:rFonts w:ascii="Times New Roman" w:hAnsi="Times New Roman" w:cs="Times New Roman"/>
                <w:sz w:val="18"/>
              </w:rPr>
              <w:lastRenderedPageBreak/>
              <w:t>hospitalization or ED use in home health care. It remains excluded because the analysis does not adequately manage residual confounding or incomplete follow-up in the routine EHR data, even though the symptom-extraction method itself is well described.</w:t>
            </w:r>
          </w:p>
        </w:tc>
      </w:tr>
      <w:tr w:rsidR="00820880" w:rsidRPr="00731E71" w14:paraId="028E17A4" w14:textId="77777777" w:rsidTr="00D761DF">
        <w:trPr>
          <w:trHeight w:val="554"/>
        </w:trPr>
        <w:tc>
          <w:tcPr>
            <w:tcW w:w="0" w:type="auto"/>
            <w:vMerge w:val="restart"/>
            <w:tcBorders>
              <w:left w:val="nil"/>
            </w:tcBorders>
            <w:tcMar>
              <w:top w:w="80" w:type="dxa"/>
              <w:left w:w="80" w:type="dxa"/>
              <w:bottom w:w="80" w:type="dxa"/>
              <w:right w:w="80" w:type="dxa"/>
            </w:tcMar>
            <w:vAlign w:val="center"/>
            <w:hideMark/>
          </w:tcPr>
          <w:p w14:paraId="2DE3D682" w14:textId="77777777" w:rsidR="00820880" w:rsidRPr="00454A54" w:rsidRDefault="00820880" w:rsidP="00281291">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lastRenderedPageBreak/>
              <w:t>(Witt et al., 2022)</w:t>
            </w:r>
          </w:p>
        </w:tc>
        <w:tc>
          <w:tcPr>
            <w:tcW w:w="0" w:type="auto"/>
            <w:tcMar>
              <w:top w:w="80" w:type="dxa"/>
              <w:left w:w="80" w:type="dxa"/>
              <w:bottom w:w="80" w:type="dxa"/>
              <w:right w:w="80" w:type="dxa"/>
            </w:tcMar>
            <w:vAlign w:val="center"/>
            <w:hideMark/>
          </w:tcPr>
          <w:p w14:paraId="18A8F1CD"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0" w:type="auto"/>
            <w:tcMar>
              <w:top w:w="80" w:type="dxa"/>
              <w:left w:w="80" w:type="dxa"/>
              <w:bottom w:w="80" w:type="dxa"/>
              <w:right w:w="80" w:type="dxa"/>
            </w:tcMar>
            <w:vAlign w:val="center"/>
            <w:hideMark/>
          </w:tcPr>
          <w:p w14:paraId="2450FE45"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2376AC4"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307C8E8"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CB32EB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1150D49"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FAB7053"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F0112F2"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07408BE2"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24318E5"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31EE114"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02ADBEF2"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E82F4FF"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60FDC57C" w14:textId="77777777" w:rsidR="00820880" w:rsidRPr="00454A54"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This study effectively utilizes routine administrative and clinical data to predict hospitalizations. The use of a 14-day sliding window for prediction provides high clinical relevance for proactive aging-in-place care.</w:t>
            </w:r>
          </w:p>
        </w:tc>
      </w:tr>
      <w:tr w:rsidR="00820880" w:rsidRPr="00731E71" w14:paraId="7BF0CA14" w14:textId="77777777" w:rsidTr="00D761DF">
        <w:trPr>
          <w:trHeight w:val="565"/>
        </w:trPr>
        <w:tc>
          <w:tcPr>
            <w:tcW w:w="0" w:type="auto"/>
            <w:vMerge/>
            <w:tcBorders>
              <w:left w:val="nil"/>
              <w:bottom w:val="single" w:sz="8" w:space="0" w:color="auto"/>
            </w:tcBorders>
            <w:hideMark/>
          </w:tcPr>
          <w:p w14:paraId="202DB025" w14:textId="77777777" w:rsidR="00820880" w:rsidRPr="00454A54" w:rsidRDefault="00820880" w:rsidP="00281291">
            <w:pPr>
              <w:widowControl/>
              <w:rPr>
                <w:rFonts w:ascii="Times New Roman" w:eastAsia="等线" w:hAnsi="Times New Roman" w:cs="Times New Roman"/>
                <w:color w:val="000000"/>
                <w:kern w:val="0"/>
                <w:sz w:val="18"/>
                <w:szCs w:val="18"/>
                <w14:ligatures w14:val="none"/>
              </w:rPr>
            </w:pPr>
          </w:p>
        </w:tc>
        <w:tc>
          <w:tcPr>
            <w:tcW w:w="0" w:type="auto"/>
            <w:tcBorders>
              <w:bottom w:val="single" w:sz="8" w:space="0" w:color="auto"/>
            </w:tcBorders>
            <w:tcMar>
              <w:top w:w="80" w:type="dxa"/>
              <w:left w:w="80" w:type="dxa"/>
              <w:bottom w:w="80" w:type="dxa"/>
              <w:right w:w="80" w:type="dxa"/>
            </w:tcMar>
            <w:vAlign w:val="center"/>
            <w:hideMark/>
          </w:tcPr>
          <w:p w14:paraId="13CB2C73"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0" w:type="auto"/>
            <w:tcBorders>
              <w:bottom w:val="single" w:sz="8" w:space="0" w:color="auto"/>
            </w:tcBorders>
            <w:tcMar>
              <w:top w:w="80" w:type="dxa"/>
              <w:left w:w="80" w:type="dxa"/>
              <w:bottom w:w="80" w:type="dxa"/>
              <w:right w:w="80" w:type="dxa"/>
            </w:tcMar>
            <w:vAlign w:val="center"/>
            <w:hideMark/>
          </w:tcPr>
          <w:p w14:paraId="7474FA50"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46B3B44A"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77186401"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7DC1747E"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019F08FA"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4D281465"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15A33BAA"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3234A6F3"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28F588FA"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Borders>
              <w:bottom w:val="single" w:sz="8" w:space="0" w:color="auto"/>
            </w:tcBorders>
            <w:tcMar>
              <w:top w:w="80" w:type="dxa"/>
              <w:left w:w="80" w:type="dxa"/>
              <w:bottom w:w="80" w:type="dxa"/>
              <w:right w:w="80" w:type="dxa"/>
            </w:tcMar>
            <w:vAlign w:val="center"/>
            <w:hideMark/>
          </w:tcPr>
          <w:p w14:paraId="6E94AA58"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5857F5C4"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417C4D86" w14:textId="77777777" w:rsidR="00820880" w:rsidRPr="00454A54"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bottom w:val="single" w:sz="8" w:space="0" w:color="auto"/>
              <w:right w:val="nil"/>
            </w:tcBorders>
            <w:tcMar>
              <w:top w:w="80" w:type="dxa"/>
              <w:left w:w="80" w:type="dxa"/>
              <w:bottom w:w="80" w:type="dxa"/>
              <w:right w:w="80" w:type="dxa"/>
            </w:tcMar>
            <w:vAlign w:val="center"/>
            <w:hideMark/>
          </w:tcPr>
          <w:p w14:paraId="58B6E80B" w14:textId="77777777" w:rsidR="00820880" w:rsidRPr="00454A54"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model development follows ICMJE principles and uses RUSBoost to handle data imbalance. I marked Q9 as “Unclear” as it uses a complete-case approach, though reasons for data loss (death, relocation) are explicitly identified.</w:t>
            </w:r>
          </w:p>
        </w:tc>
      </w:tr>
    </w:tbl>
    <w:p w14:paraId="5F856A88" w14:textId="77777777" w:rsidR="00F860FF" w:rsidRDefault="00F860FF" w:rsidP="00F860FF">
      <w:pPr>
        <w:rPr>
          <w:rFonts w:ascii="Times New Roman" w:hAnsi="Times New Roman" w:cs="Times New Roman"/>
          <w:b/>
          <w:bCs/>
        </w:rPr>
      </w:pPr>
    </w:p>
    <w:p w14:paraId="1C54DA9F" w14:textId="4C01CBF0" w:rsidR="00F860FF" w:rsidRPr="00F860FF" w:rsidRDefault="00D61CF4" w:rsidP="00F860FF">
      <w:pPr>
        <w:rPr>
          <w:rFonts w:ascii="Times New Roman" w:hAnsi="Times New Roman" w:cs="Times New Roman"/>
          <w:b/>
          <w:bCs/>
        </w:rPr>
      </w:pPr>
      <w:r>
        <w:rPr>
          <w:rFonts w:ascii="Times New Roman" w:eastAsia="等线" w:hAnsi="Times New Roman" w:cs="Times New Roman" w:hint="eastAsia"/>
          <w:b/>
          <w:bCs/>
          <w:color w:val="1F1F1F"/>
          <w:kern w:val="0"/>
          <w:sz w:val="24"/>
          <w:szCs w:val="24"/>
          <w14:ligatures w14:val="none"/>
        </w:rPr>
        <w:t>C</w:t>
      </w:r>
      <w:r w:rsidR="00F860FF">
        <w:rPr>
          <w:rFonts w:ascii="Times New Roman" w:hAnsi="Times New Roman" w:cs="Times New Roman"/>
          <w:b/>
          <w:bCs/>
          <w:sz w:val="24"/>
          <w:szCs w:val="24"/>
        </w:rPr>
        <w:t>3. Randomized Controlled Trials (RCTs)</w:t>
      </w:r>
    </w:p>
    <w:p w14:paraId="7E53B8DC" w14:textId="20A36D5D" w:rsidR="00AF76FE" w:rsidRPr="00F860FF" w:rsidRDefault="00F860FF" w:rsidP="00454A54">
      <w:pPr>
        <w:rPr>
          <w:rFonts w:ascii="Times New Roman" w:hAnsi="Times New Roman" w:cs="Times New Roman"/>
        </w:rPr>
      </w:pPr>
      <w:r>
        <w:rPr>
          <w:rFonts w:ascii="Times New Roman" w:hAnsi="Times New Roman" w:cs="Times New Roman"/>
        </w:rPr>
        <w:t>The risk of bias for randomized controlled trials was appraised utilizing the revised JBI critical appraisal tool developed for the assessment of RCTs (Barker et al., 2023</w:t>
      </w:r>
      <w:r>
        <w:rPr>
          <w:rFonts w:ascii="Times New Roman" w:hAnsi="Times New Roman" w:cs="Times New Roman" w:hint="eastAsia"/>
        </w:rPr>
        <w:t>a</w:t>
      </w:r>
      <w:r>
        <w:rPr>
          <w:rFonts w:ascii="Times New Roman" w:hAnsi="Times New Roman" w:cs="Times New Roman"/>
        </w:rPr>
        <w:t xml:space="preserve">). </w:t>
      </w:r>
      <w:r>
        <w:rPr>
          <w:rFonts w:ascii="Times New Roman" w:hAnsi="Times New Roman" w:cs="Times New Roman"/>
          <w:b/>
          <w:bCs/>
        </w:rPr>
        <w:t xml:space="preserve">Table </w:t>
      </w:r>
      <w:r w:rsidR="005B4CDC">
        <w:rPr>
          <w:rFonts w:ascii="Times New Roman" w:hAnsi="Times New Roman" w:cs="Times New Roman"/>
          <w:b/>
          <w:bCs/>
        </w:rPr>
        <w:t>C3</w:t>
      </w:r>
      <w:r>
        <w:rPr>
          <w:rFonts w:ascii="Times New Roman" w:hAnsi="Times New Roman" w:cs="Times New Roman"/>
          <w:b/>
          <w:bCs/>
        </w:rPr>
        <w:t>b</w:t>
      </w:r>
      <w:r>
        <w:rPr>
          <w:rFonts w:ascii="Times New Roman" w:hAnsi="Times New Roman" w:cs="Times New Roman"/>
        </w:rPr>
        <w:t xml:space="preserve"> outlines the risk of bias assessment results for the included RCTs based on these standardized criteria.</w:t>
      </w:r>
    </w:p>
    <w:p w14:paraId="3DE1D6C9" w14:textId="155DDD17" w:rsidR="002661AA" w:rsidRPr="00F860FF" w:rsidRDefault="002661AA" w:rsidP="002661AA">
      <w:pPr>
        <w:widowControl/>
        <w:spacing w:line="278" w:lineRule="auto"/>
        <w:jc w:val="center"/>
        <w:rPr>
          <w:rFonts w:ascii="Times New Roman" w:hAnsi="Times New Roman" w:cs="Times New Roman"/>
        </w:rPr>
      </w:pPr>
      <w:r>
        <w:rPr>
          <w:rFonts w:ascii="Times New Roman" w:hAnsi="Times New Roman" w:cs="Times New Roman"/>
          <w:b/>
          <w:bCs/>
          <w:sz w:val="24"/>
          <w:szCs w:val="24"/>
        </w:rPr>
        <w:t>Table</w:t>
      </w:r>
      <w:r>
        <w:rPr>
          <w:rFonts w:ascii="Times New Roman" w:hAnsi="Times New Roman" w:cs="Times New Roman" w:hint="eastAsia"/>
          <w:b/>
          <w:bCs/>
          <w:sz w:val="24"/>
          <w:szCs w:val="24"/>
        </w:rPr>
        <w:t xml:space="preserve"> </w:t>
      </w:r>
      <w:r w:rsidR="00D61CF4">
        <w:rPr>
          <w:rFonts w:ascii="Times New Roman" w:eastAsia="等线" w:hAnsi="Times New Roman" w:cs="Times New Roman" w:hint="eastAsia"/>
          <w:b/>
          <w:bCs/>
          <w:color w:val="1F1F1F"/>
          <w:kern w:val="0"/>
          <w:sz w:val="24"/>
          <w:szCs w:val="24"/>
          <w14:ligatures w14:val="none"/>
        </w:rPr>
        <w:t>C</w:t>
      </w:r>
      <w:r>
        <w:rPr>
          <w:rFonts w:ascii="Times New Roman" w:hAnsi="Times New Roman" w:cs="Times New Roman"/>
          <w:b/>
          <w:bCs/>
          <w:sz w:val="24"/>
          <w:szCs w:val="24"/>
        </w:rPr>
        <w:t>3</w:t>
      </w:r>
      <w:r>
        <w:rPr>
          <w:rFonts w:ascii="Times New Roman" w:hAnsi="Times New Roman" w:cs="Times New Roman" w:hint="eastAsia"/>
          <w:b/>
          <w:bCs/>
          <w:sz w:val="24"/>
          <w:szCs w:val="24"/>
        </w:rPr>
        <w:t>a</w:t>
      </w:r>
      <w:r>
        <w:rPr>
          <w:rFonts w:ascii="Times New Roman" w:hAnsi="Times New Roman" w:cs="Times New Roman"/>
          <w:b/>
          <w:bCs/>
          <w:sz w:val="24"/>
          <w:szCs w:val="24"/>
        </w:rPr>
        <w:t>.</w:t>
      </w:r>
      <w:r>
        <w:rPr>
          <w:rFonts w:ascii="Times New Roman" w:hAnsi="Times New Roman" w:cs="Times New Roman"/>
          <w:sz w:val="24"/>
          <w:szCs w:val="24"/>
        </w:rPr>
        <w:t xml:space="preserve"> JBI Critical Appraisal </w:t>
      </w:r>
      <w:r>
        <w:rPr>
          <w:rFonts w:ascii="Times New Roman" w:hAnsi="Times New Roman" w:cs="Times New Roman" w:hint="eastAsia"/>
          <w:sz w:val="24"/>
          <w:szCs w:val="24"/>
        </w:rPr>
        <w:t>Question</w:t>
      </w:r>
      <w:r>
        <w:rPr>
          <w:rFonts w:ascii="Times New Roman" w:hAnsi="Times New Roman" w:cs="Times New Roman"/>
          <w:sz w:val="24"/>
          <w:szCs w:val="24"/>
        </w:rPr>
        <w:t xml:space="preserve"> for Randomized Controlled Trials</w:t>
      </w:r>
    </w:p>
    <w:tbl>
      <w:tblPr>
        <w:tblStyle w:val="21"/>
        <w:tblW w:w="0" w:type="auto"/>
        <w:jc w:val="center"/>
        <w:tblLook w:val="04A0" w:firstRow="1" w:lastRow="0" w:firstColumn="1" w:lastColumn="0" w:noHBand="0" w:noVBand="1"/>
      </w:tblPr>
      <w:tblGrid>
        <w:gridCol w:w="1070"/>
        <w:gridCol w:w="12902"/>
      </w:tblGrid>
      <w:tr w:rsidR="002661AA" w:rsidRPr="005E73D2" w14:paraId="55B94F29" w14:textId="77777777" w:rsidTr="00666A2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tcPr>
          <w:p w14:paraId="1BF9A3FB" w14:textId="77777777" w:rsidR="002661AA" w:rsidRPr="005E73D2" w:rsidRDefault="002661AA" w:rsidP="00666A2F">
            <w:pPr>
              <w:rPr>
                <w:rFonts w:ascii="Times New Roman" w:hAnsi="Times New Roman" w:cs="Times New Roman"/>
              </w:rPr>
            </w:pPr>
            <w:r>
              <w:rPr>
                <w:rFonts w:ascii="Times New Roman" w:eastAsia="等线" w:hAnsi="Times New Roman" w:cs="Times New Roman"/>
                <w:color w:val="1F1F1F"/>
                <w:kern w:val="0"/>
                <w:sz w:val="24"/>
                <w:szCs w:val="24"/>
                <w14:ligatures w14:val="none"/>
              </w:rPr>
              <w:t>Number</w:t>
            </w:r>
          </w:p>
        </w:tc>
        <w:tc>
          <w:tcPr>
            <w:tcW w:w="0" w:type="auto"/>
            <w:tcBorders>
              <w:top w:val="single" w:sz="8" w:space="0" w:color="auto"/>
              <w:bottom w:val="single" w:sz="8" w:space="0" w:color="auto"/>
            </w:tcBorders>
            <w:hideMark/>
          </w:tcPr>
          <w:p w14:paraId="5314882F" w14:textId="77777777" w:rsidR="002661AA" w:rsidRPr="005E73D2" w:rsidRDefault="002661AA" w:rsidP="00666A2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等线" w:hAnsi="Times New Roman" w:cs="Times New Roman"/>
                <w:color w:val="1F1F1F"/>
                <w:kern w:val="0"/>
                <w:sz w:val="24"/>
                <w:szCs w:val="24"/>
                <w14:ligatures w14:val="none"/>
              </w:rPr>
              <w:t>Question</w:t>
            </w:r>
          </w:p>
        </w:tc>
      </w:tr>
      <w:tr w:rsidR="002661AA" w:rsidRPr="005E73D2" w14:paraId="06B1F242"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nil"/>
            </w:tcBorders>
          </w:tcPr>
          <w:p w14:paraId="411EBACD" w14:textId="77777777" w:rsidR="002661AA" w:rsidRPr="005E73D2" w:rsidRDefault="002661AA" w:rsidP="00666A2F">
            <w:pPr>
              <w:jc w:val="right"/>
              <w:rPr>
                <w:rFonts w:ascii="Times New Roman" w:hAnsi="Times New Roman" w:cs="Times New Roman"/>
              </w:rPr>
            </w:pPr>
            <w:r>
              <w:rPr>
                <w:rFonts w:ascii="Times New Roman" w:eastAsia="等线" w:hAnsi="Times New Roman" w:cs="Times New Roman"/>
                <w:color w:val="1F1F1F"/>
                <w:kern w:val="0"/>
                <w:sz w:val="24"/>
                <w:szCs w:val="24"/>
                <w14:ligatures w14:val="none"/>
              </w:rPr>
              <w:t>1</w:t>
            </w:r>
          </w:p>
        </w:tc>
        <w:tc>
          <w:tcPr>
            <w:tcW w:w="0" w:type="auto"/>
            <w:tcBorders>
              <w:top w:val="single" w:sz="8" w:space="0" w:color="auto"/>
              <w:bottom w:val="nil"/>
            </w:tcBorders>
            <w:hideMark/>
          </w:tcPr>
          <w:p w14:paraId="52F11B52" w14:textId="77777777" w:rsidR="002661AA" w:rsidRPr="000F1953" w:rsidRDefault="002661AA" w:rsidP="00666A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Was true randomization used for assignment of participants to treatment groups?</w:t>
            </w:r>
          </w:p>
        </w:tc>
      </w:tr>
      <w:tr w:rsidR="002661AA" w:rsidRPr="005E73D2" w14:paraId="736A2FBA"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3A77CCE" w14:textId="77777777" w:rsidR="002661AA" w:rsidRPr="005E73D2" w:rsidRDefault="002661AA" w:rsidP="00666A2F">
            <w:pPr>
              <w:jc w:val="right"/>
              <w:rPr>
                <w:rFonts w:ascii="Times New Roman" w:hAnsi="Times New Roman" w:cs="Times New Roman"/>
              </w:rPr>
            </w:pPr>
            <w:r>
              <w:rPr>
                <w:rFonts w:ascii="Times New Roman" w:eastAsia="等线" w:hAnsi="Times New Roman" w:cs="Times New Roman"/>
                <w:color w:val="1F1F1F"/>
                <w:kern w:val="0"/>
                <w:sz w:val="24"/>
                <w:szCs w:val="24"/>
                <w14:ligatures w14:val="none"/>
              </w:rPr>
              <w:t>2</w:t>
            </w:r>
          </w:p>
        </w:tc>
        <w:tc>
          <w:tcPr>
            <w:tcW w:w="0" w:type="auto"/>
            <w:tcBorders>
              <w:top w:val="nil"/>
              <w:bottom w:val="nil"/>
            </w:tcBorders>
            <w:hideMark/>
          </w:tcPr>
          <w:p w14:paraId="7B6BD8D4" w14:textId="77777777" w:rsidR="002661AA" w:rsidRPr="000F1953" w:rsidRDefault="002661AA" w:rsidP="00666A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Was allocation to treatment groups concealed?</w:t>
            </w:r>
          </w:p>
        </w:tc>
      </w:tr>
      <w:tr w:rsidR="002661AA" w:rsidRPr="005E73D2" w14:paraId="48DD12F5"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4BB5F65E" w14:textId="77777777" w:rsidR="002661AA" w:rsidRPr="005E73D2" w:rsidRDefault="002661AA" w:rsidP="00666A2F">
            <w:pPr>
              <w:jc w:val="right"/>
              <w:rPr>
                <w:rFonts w:ascii="Times New Roman" w:hAnsi="Times New Roman" w:cs="Times New Roman"/>
              </w:rPr>
            </w:pPr>
            <w:r>
              <w:rPr>
                <w:rFonts w:ascii="Times New Roman" w:eastAsia="等线" w:hAnsi="Times New Roman" w:cs="Times New Roman"/>
                <w:color w:val="1F1F1F"/>
                <w:kern w:val="0"/>
                <w:sz w:val="24"/>
                <w:szCs w:val="24"/>
                <w14:ligatures w14:val="none"/>
              </w:rPr>
              <w:t>3</w:t>
            </w:r>
          </w:p>
        </w:tc>
        <w:tc>
          <w:tcPr>
            <w:tcW w:w="0" w:type="auto"/>
            <w:tcBorders>
              <w:top w:val="nil"/>
              <w:bottom w:val="nil"/>
            </w:tcBorders>
            <w:hideMark/>
          </w:tcPr>
          <w:p w14:paraId="1EB96179" w14:textId="77777777" w:rsidR="002661AA" w:rsidRPr="000F1953" w:rsidRDefault="002661AA" w:rsidP="00666A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Were treatment groups similar at the baseline?</w:t>
            </w:r>
          </w:p>
        </w:tc>
      </w:tr>
      <w:tr w:rsidR="002661AA" w:rsidRPr="005E73D2" w14:paraId="7578812F"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642D1D17" w14:textId="77777777" w:rsidR="002661AA" w:rsidRPr="005E73D2" w:rsidRDefault="002661AA" w:rsidP="00666A2F">
            <w:pPr>
              <w:jc w:val="right"/>
              <w:rPr>
                <w:rFonts w:ascii="Times New Roman" w:hAnsi="Times New Roman" w:cs="Times New Roman"/>
              </w:rPr>
            </w:pPr>
            <w:r>
              <w:rPr>
                <w:rFonts w:ascii="Times New Roman" w:eastAsia="等线" w:hAnsi="Times New Roman" w:cs="Times New Roman"/>
                <w:color w:val="1F1F1F"/>
                <w:kern w:val="0"/>
                <w:sz w:val="24"/>
                <w:szCs w:val="24"/>
                <w14:ligatures w14:val="none"/>
              </w:rPr>
              <w:t>4</w:t>
            </w:r>
          </w:p>
        </w:tc>
        <w:tc>
          <w:tcPr>
            <w:tcW w:w="0" w:type="auto"/>
            <w:tcBorders>
              <w:top w:val="nil"/>
              <w:bottom w:val="nil"/>
            </w:tcBorders>
            <w:hideMark/>
          </w:tcPr>
          <w:p w14:paraId="31C1DE43" w14:textId="77777777" w:rsidR="002661AA" w:rsidRPr="000F1953" w:rsidRDefault="002661AA" w:rsidP="00666A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Were participants blind to treatment assignment?</w:t>
            </w:r>
          </w:p>
        </w:tc>
      </w:tr>
      <w:tr w:rsidR="002661AA" w:rsidRPr="005E73D2" w14:paraId="4DA605E8"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B00E7E7" w14:textId="77777777" w:rsidR="002661AA" w:rsidRPr="005E73D2" w:rsidRDefault="002661AA" w:rsidP="00666A2F">
            <w:pPr>
              <w:jc w:val="right"/>
              <w:rPr>
                <w:rFonts w:ascii="Times New Roman" w:hAnsi="Times New Roman" w:cs="Times New Roman"/>
              </w:rPr>
            </w:pPr>
            <w:r>
              <w:rPr>
                <w:rFonts w:ascii="Times New Roman" w:eastAsia="等线" w:hAnsi="Times New Roman" w:cs="Times New Roman"/>
                <w:color w:val="1F1F1F"/>
                <w:kern w:val="0"/>
                <w:sz w:val="24"/>
                <w:szCs w:val="24"/>
                <w14:ligatures w14:val="none"/>
              </w:rPr>
              <w:t>5</w:t>
            </w:r>
          </w:p>
        </w:tc>
        <w:tc>
          <w:tcPr>
            <w:tcW w:w="0" w:type="auto"/>
            <w:tcBorders>
              <w:top w:val="nil"/>
              <w:bottom w:val="nil"/>
            </w:tcBorders>
            <w:hideMark/>
          </w:tcPr>
          <w:p w14:paraId="5CCD5E43" w14:textId="77777777" w:rsidR="002661AA" w:rsidRPr="000F1953" w:rsidRDefault="002661AA" w:rsidP="00666A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Were those delivering the treatment blind to treatment assignment?</w:t>
            </w:r>
          </w:p>
        </w:tc>
      </w:tr>
      <w:tr w:rsidR="002661AA" w:rsidRPr="005E73D2" w14:paraId="624B82F0"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53D7FC0" w14:textId="77777777" w:rsidR="002661AA" w:rsidRPr="005E73D2" w:rsidRDefault="002661AA" w:rsidP="00666A2F">
            <w:pPr>
              <w:jc w:val="right"/>
              <w:rPr>
                <w:rFonts w:ascii="Times New Roman" w:hAnsi="Times New Roman" w:cs="Times New Roman"/>
              </w:rPr>
            </w:pPr>
            <w:r>
              <w:rPr>
                <w:rFonts w:ascii="Times New Roman" w:eastAsia="等线" w:hAnsi="Times New Roman" w:cs="Times New Roman"/>
                <w:color w:val="1F1F1F"/>
                <w:kern w:val="0"/>
                <w:sz w:val="24"/>
                <w:szCs w:val="24"/>
                <w14:ligatures w14:val="none"/>
              </w:rPr>
              <w:t>6</w:t>
            </w:r>
          </w:p>
        </w:tc>
        <w:tc>
          <w:tcPr>
            <w:tcW w:w="0" w:type="auto"/>
            <w:tcBorders>
              <w:top w:val="nil"/>
              <w:bottom w:val="nil"/>
            </w:tcBorders>
            <w:hideMark/>
          </w:tcPr>
          <w:p w14:paraId="535AED39" w14:textId="77777777" w:rsidR="002661AA" w:rsidRPr="000F1953" w:rsidRDefault="002661AA" w:rsidP="00666A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Were treatment groups treated identically other than the intervention of interest?</w:t>
            </w:r>
          </w:p>
        </w:tc>
      </w:tr>
      <w:tr w:rsidR="002661AA" w:rsidRPr="005E73D2" w14:paraId="33969DEF"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5EB2C39" w14:textId="77777777" w:rsidR="002661AA" w:rsidRPr="005E73D2" w:rsidRDefault="002661AA" w:rsidP="00666A2F">
            <w:pPr>
              <w:jc w:val="right"/>
              <w:rPr>
                <w:rFonts w:ascii="Times New Roman" w:hAnsi="Times New Roman" w:cs="Times New Roman"/>
              </w:rPr>
            </w:pPr>
            <w:r>
              <w:rPr>
                <w:rFonts w:ascii="Times New Roman" w:eastAsia="等线" w:hAnsi="Times New Roman" w:cs="Times New Roman"/>
                <w:color w:val="1F1F1F"/>
                <w:kern w:val="0"/>
                <w:sz w:val="24"/>
                <w:szCs w:val="24"/>
                <w14:ligatures w14:val="none"/>
              </w:rPr>
              <w:t>7</w:t>
            </w:r>
          </w:p>
        </w:tc>
        <w:tc>
          <w:tcPr>
            <w:tcW w:w="0" w:type="auto"/>
            <w:tcBorders>
              <w:top w:val="nil"/>
              <w:bottom w:val="nil"/>
            </w:tcBorders>
            <w:hideMark/>
          </w:tcPr>
          <w:p w14:paraId="2A0C43ED" w14:textId="77777777" w:rsidR="002661AA" w:rsidRPr="000F1953" w:rsidRDefault="002661AA" w:rsidP="00666A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Were outcome assessors blind to treatment assignment?</w:t>
            </w:r>
          </w:p>
        </w:tc>
      </w:tr>
      <w:tr w:rsidR="002661AA" w:rsidRPr="005E73D2" w14:paraId="02C6160B"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3435B490" w14:textId="77777777" w:rsidR="002661AA" w:rsidRPr="005E73D2" w:rsidRDefault="002661AA" w:rsidP="00666A2F">
            <w:pPr>
              <w:jc w:val="right"/>
              <w:rPr>
                <w:rFonts w:ascii="Times New Roman" w:hAnsi="Times New Roman" w:cs="Times New Roman"/>
              </w:rPr>
            </w:pPr>
            <w:r>
              <w:rPr>
                <w:rFonts w:ascii="Times New Roman" w:eastAsia="等线" w:hAnsi="Times New Roman" w:cs="Times New Roman"/>
                <w:color w:val="1F1F1F"/>
                <w:kern w:val="0"/>
                <w:sz w:val="24"/>
                <w:szCs w:val="24"/>
                <w14:ligatures w14:val="none"/>
              </w:rPr>
              <w:t>8</w:t>
            </w:r>
          </w:p>
        </w:tc>
        <w:tc>
          <w:tcPr>
            <w:tcW w:w="0" w:type="auto"/>
            <w:tcBorders>
              <w:top w:val="nil"/>
              <w:bottom w:val="nil"/>
            </w:tcBorders>
            <w:hideMark/>
          </w:tcPr>
          <w:p w14:paraId="0B5CD0E2" w14:textId="77777777" w:rsidR="002661AA" w:rsidRPr="000F1953" w:rsidRDefault="002661AA" w:rsidP="00666A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Was follow up complete and if not, were differences between groups in terms of their follow up adequately described and analyzed?</w:t>
            </w:r>
          </w:p>
        </w:tc>
      </w:tr>
      <w:tr w:rsidR="002661AA" w:rsidRPr="005E73D2" w14:paraId="4F5B5B42"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448505C" w14:textId="77777777" w:rsidR="002661AA" w:rsidRPr="005E73D2" w:rsidRDefault="002661AA" w:rsidP="00666A2F">
            <w:pPr>
              <w:jc w:val="right"/>
              <w:rPr>
                <w:rFonts w:ascii="Times New Roman" w:hAnsi="Times New Roman" w:cs="Times New Roman"/>
              </w:rPr>
            </w:pPr>
            <w:r>
              <w:rPr>
                <w:rFonts w:ascii="Times New Roman" w:eastAsia="等线" w:hAnsi="Times New Roman" w:cs="Times New Roman"/>
                <w:color w:val="1F1F1F"/>
                <w:kern w:val="0"/>
                <w:sz w:val="24"/>
                <w:szCs w:val="24"/>
                <w14:ligatures w14:val="none"/>
              </w:rPr>
              <w:t>9</w:t>
            </w:r>
          </w:p>
        </w:tc>
        <w:tc>
          <w:tcPr>
            <w:tcW w:w="0" w:type="auto"/>
            <w:tcBorders>
              <w:top w:val="nil"/>
              <w:bottom w:val="nil"/>
            </w:tcBorders>
            <w:hideMark/>
          </w:tcPr>
          <w:p w14:paraId="653F7AEA" w14:textId="77777777" w:rsidR="002661AA" w:rsidRPr="000F1953" w:rsidRDefault="002661AA" w:rsidP="00666A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Were participants analyzed in the groups to which they were randomized?</w:t>
            </w:r>
          </w:p>
        </w:tc>
      </w:tr>
      <w:tr w:rsidR="002661AA" w:rsidRPr="005E73D2" w14:paraId="3E9D3481"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EC8D1FB" w14:textId="77777777" w:rsidR="002661AA" w:rsidRPr="005E73D2" w:rsidRDefault="002661AA" w:rsidP="00666A2F">
            <w:pPr>
              <w:jc w:val="right"/>
              <w:rPr>
                <w:rFonts w:ascii="Times New Roman" w:hAnsi="Times New Roman" w:cs="Times New Roman"/>
              </w:rPr>
            </w:pPr>
            <w:r>
              <w:rPr>
                <w:rFonts w:ascii="Times New Roman" w:eastAsia="等线" w:hAnsi="Times New Roman" w:cs="Times New Roman"/>
                <w:color w:val="1F1F1F"/>
                <w:kern w:val="0"/>
                <w:sz w:val="24"/>
                <w:szCs w:val="24"/>
                <w14:ligatures w14:val="none"/>
              </w:rPr>
              <w:t>10</w:t>
            </w:r>
          </w:p>
        </w:tc>
        <w:tc>
          <w:tcPr>
            <w:tcW w:w="0" w:type="auto"/>
            <w:tcBorders>
              <w:top w:val="nil"/>
              <w:bottom w:val="nil"/>
            </w:tcBorders>
            <w:hideMark/>
          </w:tcPr>
          <w:p w14:paraId="792C96AC" w14:textId="77777777" w:rsidR="002661AA" w:rsidRPr="000F1953" w:rsidRDefault="002661AA" w:rsidP="00666A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Were outcomes measured in the same way for treatment groups?</w:t>
            </w:r>
          </w:p>
        </w:tc>
      </w:tr>
      <w:tr w:rsidR="002661AA" w:rsidRPr="005E73D2" w14:paraId="6FDBD121"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FF4019F" w14:textId="77777777" w:rsidR="002661AA" w:rsidRPr="005E73D2" w:rsidRDefault="002661AA" w:rsidP="00666A2F">
            <w:pPr>
              <w:jc w:val="right"/>
              <w:rPr>
                <w:rFonts w:ascii="Times New Roman" w:hAnsi="Times New Roman" w:cs="Times New Roman"/>
              </w:rPr>
            </w:pPr>
            <w:r>
              <w:rPr>
                <w:rFonts w:ascii="Times New Roman" w:eastAsia="等线" w:hAnsi="Times New Roman" w:cs="Times New Roman"/>
                <w:color w:val="1F1F1F"/>
                <w:kern w:val="0"/>
                <w:sz w:val="24"/>
                <w:szCs w:val="24"/>
                <w14:ligatures w14:val="none"/>
              </w:rPr>
              <w:t>11</w:t>
            </w:r>
          </w:p>
        </w:tc>
        <w:tc>
          <w:tcPr>
            <w:tcW w:w="0" w:type="auto"/>
            <w:tcBorders>
              <w:top w:val="nil"/>
              <w:bottom w:val="nil"/>
            </w:tcBorders>
            <w:hideMark/>
          </w:tcPr>
          <w:p w14:paraId="3EEEF28D" w14:textId="77777777" w:rsidR="002661AA" w:rsidRPr="000F1953" w:rsidRDefault="002661AA" w:rsidP="00666A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Were outcomes measured in a reliable way?</w:t>
            </w:r>
          </w:p>
        </w:tc>
      </w:tr>
      <w:tr w:rsidR="002661AA" w:rsidRPr="005E73D2" w14:paraId="6F51DEF9"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5EF2CAE2" w14:textId="77777777" w:rsidR="002661AA" w:rsidRPr="005E73D2" w:rsidRDefault="002661AA" w:rsidP="00666A2F">
            <w:pPr>
              <w:jc w:val="right"/>
              <w:rPr>
                <w:rFonts w:ascii="Times New Roman" w:hAnsi="Times New Roman" w:cs="Times New Roman"/>
              </w:rPr>
            </w:pPr>
            <w:r>
              <w:rPr>
                <w:rFonts w:ascii="Times New Roman" w:eastAsia="等线" w:hAnsi="Times New Roman" w:cs="Times New Roman"/>
                <w:color w:val="1F1F1F"/>
                <w:kern w:val="0"/>
                <w:sz w:val="24"/>
                <w:szCs w:val="24"/>
                <w14:ligatures w14:val="none"/>
              </w:rPr>
              <w:t>1</w:t>
            </w:r>
            <w:r>
              <w:rPr>
                <w:rFonts w:ascii="Times New Roman" w:eastAsia="等线" w:hAnsi="Times New Roman" w:cs="Times New Roman" w:hint="eastAsia"/>
                <w:color w:val="1F1F1F"/>
                <w:kern w:val="0"/>
                <w:sz w:val="24"/>
                <w:szCs w:val="24"/>
                <w14:ligatures w14:val="none"/>
              </w:rPr>
              <w:t>2</w:t>
            </w:r>
          </w:p>
        </w:tc>
        <w:tc>
          <w:tcPr>
            <w:tcW w:w="0" w:type="auto"/>
            <w:tcBorders>
              <w:top w:val="nil"/>
              <w:bottom w:val="nil"/>
            </w:tcBorders>
            <w:hideMark/>
          </w:tcPr>
          <w:p w14:paraId="235E2F86" w14:textId="77777777" w:rsidR="002661AA" w:rsidRPr="000F1953" w:rsidRDefault="002661AA" w:rsidP="00666A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Was appropriate statistical analysis used?</w:t>
            </w:r>
          </w:p>
        </w:tc>
      </w:tr>
      <w:tr w:rsidR="002661AA" w:rsidRPr="005E73D2" w14:paraId="202C9D98" w14:textId="77777777" w:rsidTr="00666A2F">
        <w:trPr>
          <w:cnfStyle w:val="000000100000" w:firstRow="0" w:lastRow="0" w:firstColumn="0" w:lastColumn="0" w:oddVBand="0" w:evenVBand="0" w:oddHBand="1" w:evenHBand="0" w:firstRowFirstColumn="0" w:firstRowLastColumn="0" w:lastRowFirstColumn="0" w:lastRowLastColumn="0"/>
          <w:trHeight w:val="16"/>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8" w:space="0" w:color="auto"/>
            </w:tcBorders>
          </w:tcPr>
          <w:p w14:paraId="32E3F89C" w14:textId="77777777" w:rsidR="002661AA" w:rsidRPr="005E73D2" w:rsidRDefault="002661AA" w:rsidP="00666A2F">
            <w:pPr>
              <w:jc w:val="right"/>
              <w:rPr>
                <w:rFonts w:ascii="Times New Roman" w:hAnsi="Times New Roman" w:cs="Times New Roman"/>
              </w:rPr>
            </w:pPr>
            <w:r>
              <w:rPr>
                <w:rFonts w:ascii="Times New Roman" w:eastAsia="等线" w:hAnsi="Times New Roman" w:cs="Times New Roman"/>
                <w:color w:val="1F1F1F"/>
                <w:kern w:val="0"/>
                <w:sz w:val="24"/>
                <w:szCs w:val="24"/>
                <w14:ligatures w14:val="none"/>
              </w:rPr>
              <w:t>1</w:t>
            </w:r>
            <w:r>
              <w:rPr>
                <w:rFonts w:ascii="Times New Roman" w:eastAsia="等线" w:hAnsi="Times New Roman" w:cs="Times New Roman" w:hint="eastAsia"/>
                <w:color w:val="1F1F1F"/>
                <w:kern w:val="0"/>
                <w:sz w:val="24"/>
                <w:szCs w:val="24"/>
                <w14:ligatures w14:val="none"/>
              </w:rPr>
              <w:t>3</w:t>
            </w:r>
          </w:p>
        </w:tc>
        <w:tc>
          <w:tcPr>
            <w:tcW w:w="0" w:type="auto"/>
            <w:tcBorders>
              <w:top w:val="nil"/>
              <w:bottom w:val="single" w:sz="8" w:space="0" w:color="auto"/>
            </w:tcBorders>
            <w:hideMark/>
          </w:tcPr>
          <w:p w14:paraId="6EC53FC7" w14:textId="77777777" w:rsidR="002661AA" w:rsidRPr="000F1953" w:rsidRDefault="002661AA" w:rsidP="00666A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Was the trial design appropriate, and any deviations from the standard trial design accounted for in the conduct and analysis?</w:t>
            </w:r>
          </w:p>
        </w:tc>
      </w:tr>
    </w:tbl>
    <w:p w14:paraId="6AA6A410" w14:textId="77777777" w:rsidR="002661AA" w:rsidRDefault="002661AA" w:rsidP="002661AA">
      <w:pPr>
        <w:rPr>
          <w:rFonts w:ascii="Times New Roman" w:hAnsi="Times New Roman" w:cs="Times New Roman"/>
          <w:b/>
          <w:bCs/>
          <w:sz w:val="24"/>
          <w:szCs w:val="24"/>
        </w:rPr>
      </w:pPr>
    </w:p>
    <w:p w14:paraId="4667C434" w14:textId="730AAA21" w:rsidR="007657B6" w:rsidRPr="00D02093" w:rsidRDefault="00D02093" w:rsidP="00D02093">
      <w:pPr>
        <w:jc w:val="center"/>
        <w:rPr>
          <w:rFonts w:ascii="Times New Roman" w:hAnsi="Times New Roman" w:cs="Times New Roman"/>
          <w:sz w:val="24"/>
          <w:szCs w:val="24"/>
        </w:rPr>
      </w:pPr>
      <w:r>
        <w:rPr>
          <w:rFonts w:ascii="Times New Roman" w:hAnsi="Times New Roman" w:cs="Times New Roman"/>
          <w:b/>
          <w:bCs/>
          <w:sz w:val="24"/>
          <w:szCs w:val="24"/>
        </w:rPr>
        <w:lastRenderedPageBreak/>
        <w:t>Table</w:t>
      </w:r>
      <w:r>
        <w:rPr>
          <w:rFonts w:ascii="Times New Roman" w:hAnsi="Times New Roman" w:cs="Times New Roman" w:hint="eastAsia"/>
          <w:b/>
          <w:bCs/>
          <w:sz w:val="24"/>
          <w:szCs w:val="24"/>
        </w:rPr>
        <w:t xml:space="preserve"> </w:t>
      </w:r>
      <w:r w:rsidR="005B4CDC">
        <w:rPr>
          <w:rFonts w:ascii="Times New Roman" w:hAnsi="Times New Roman" w:cs="Times New Roman" w:hint="eastAsia"/>
          <w:b/>
          <w:bCs/>
          <w:sz w:val="24"/>
          <w:szCs w:val="24"/>
        </w:rPr>
        <w:t>C3</w:t>
      </w:r>
      <w:r>
        <w:rPr>
          <w:rFonts w:ascii="Times New Roman" w:hAnsi="Times New Roman" w:cs="Times New Roman" w:hint="eastAsia"/>
          <w:b/>
          <w:bCs/>
          <w:sz w:val="24"/>
          <w:szCs w:val="24"/>
        </w:rPr>
        <w:t>b</w:t>
      </w:r>
      <w:r>
        <w:rPr>
          <w:rFonts w:ascii="Times New Roman" w:hAnsi="Times New Roman" w:cs="Times New Roman"/>
          <w:b/>
          <w:bCs/>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JBI Guidelines on the Assessment of Risk of Bias in Randomized Controlled Trials Papers</w:t>
      </w:r>
    </w:p>
    <w:tbl>
      <w:tblPr>
        <w:tblStyle w:val="af3"/>
        <w:tblW w:w="5000" w:type="pct"/>
        <w:tblLook w:val="04A0" w:firstRow="1" w:lastRow="0" w:firstColumn="1" w:lastColumn="0" w:noHBand="0" w:noVBand="1"/>
      </w:tblPr>
      <w:tblGrid>
        <w:gridCol w:w="972"/>
        <w:gridCol w:w="516"/>
        <w:gridCol w:w="496"/>
        <w:gridCol w:w="496"/>
        <w:gridCol w:w="496"/>
        <w:gridCol w:w="496"/>
        <w:gridCol w:w="496"/>
        <w:gridCol w:w="496"/>
        <w:gridCol w:w="496"/>
        <w:gridCol w:w="496"/>
        <w:gridCol w:w="496"/>
        <w:gridCol w:w="496"/>
        <w:gridCol w:w="496"/>
        <w:gridCol w:w="499"/>
        <w:gridCol w:w="496"/>
        <w:gridCol w:w="758"/>
        <w:gridCol w:w="6701"/>
      </w:tblGrid>
      <w:tr w:rsidR="007657B6" w:rsidRPr="00360EA1" w14:paraId="3246D7F7" w14:textId="77777777" w:rsidTr="00A00AC9">
        <w:trPr>
          <w:trHeight w:val="168"/>
          <w:tblHeader/>
        </w:trPr>
        <w:tc>
          <w:tcPr>
            <w:tcW w:w="316"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15DEE7B8" w14:textId="77777777" w:rsidR="00360EA1" w:rsidRPr="00360EA1" w:rsidRDefault="00360EA1" w:rsidP="00281291">
            <w:pPr>
              <w:widowControl/>
              <w:jc w:val="center"/>
              <w:rPr>
                <w:rFonts w:ascii="宋体" w:eastAsia="宋体" w:hAnsi="宋体" w:cs="宋体" w:hint="eastAsia"/>
                <w:kern w:val="0"/>
                <w:sz w:val="18"/>
                <w:szCs w:val="18"/>
                <w14:ligatures w14:val="none"/>
              </w:rPr>
            </w:pPr>
          </w:p>
        </w:tc>
        <w:tc>
          <w:tcPr>
            <w:tcW w:w="168"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236C35BE"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Rev</w:t>
            </w:r>
          </w:p>
        </w:tc>
        <w:tc>
          <w:tcPr>
            <w:tcW w:w="16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095680D6"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w:t>
            </w:r>
          </w:p>
        </w:tc>
        <w:tc>
          <w:tcPr>
            <w:tcW w:w="16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569937CE"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2</w:t>
            </w:r>
          </w:p>
        </w:tc>
        <w:tc>
          <w:tcPr>
            <w:tcW w:w="16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4EFEBE2A"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3</w:t>
            </w:r>
          </w:p>
        </w:tc>
        <w:tc>
          <w:tcPr>
            <w:tcW w:w="16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1DD2336B"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4</w:t>
            </w:r>
          </w:p>
        </w:tc>
        <w:tc>
          <w:tcPr>
            <w:tcW w:w="16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240B4167"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5</w:t>
            </w:r>
          </w:p>
        </w:tc>
        <w:tc>
          <w:tcPr>
            <w:tcW w:w="16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5ED8C25D"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6</w:t>
            </w:r>
          </w:p>
        </w:tc>
        <w:tc>
          <w:tcPr>
            <w:tcW w:w="16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3CA56199"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7</w:t>
            </w:r>
          </w:p>
        </w:tc>
        <w:tc>
          <w:tcPr>
            <w:tcW w:w="16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2F9DEF11"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8</w:t>
            </w:r>
          </w:p>
        </w:tc>
        <w:tc>
          <w:tcPr>
            <w:tcW w:w="16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58E939C3"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9</w:t>
            </w:r>
          </w:p>
        </w:tc>
        <w:tc>
          <w:tcPr>
            <w:tcW w:w="16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0659DED6"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10</w:t>
            </w:r>
          </w:p>
        </w:tc>
        <w:tc>
          <w:tcPr>
            <w:tcW w:w="16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40C667EC"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11</w:t>
            </w:r>
          </w:p>
        </w:tc>
        <w:tc>
          <w:tcPr>
            <w:tcW w:w="162"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168D9AB5"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12</w:t>
            </w:r>
          </w:p>
        </w:tc>
        <w:tc>
          <w:tcPr>
            <w:tcW w:w="16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5174E0A7"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13</w:t>
            </w:r>
          </w:p>
        </w:tc>
        <w:tc>
          <w:tcPr>
            <w:tcW w:w="246"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0BDB4AC7"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
                <w:bCs/>
                <w:color w:val="1F1F1F"/>
                <w:kern w:val="0"/>
                <w:sz w:val="18"/>
                <w:szCs w:val="18"/>
                <w14:ligatures w14:val="none"/>
              </w:rPr>
              <w:t>OA</w:t>
            </w:r>
          </w:p>
        </w:tc>
        <w:tc>
          <w:tcPr>
            <w:tcW w:w="2176"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76D05B2E" w14:textId="77777777" w:rsidR="00360EA1" w:rsidRPr="00360EA1" w:rsidRDefault="00360EA1"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Comments</w:t>
            </w:r>
          </w:p>
        </w:tc>
      </w:tr>
      <w:tr w:rsidR="00820880" w:rsidRPr="00360EA1" w14:paraId="4607D8CA" w14:textId="77777777" w:rsidTr="00A00AC9">
        <w:trPr>
          <w:trHeight w:val="44"/>
        </w:trPr>
        <w:tc>
          <w:tcPr>
            <w:tcW w:w="316" w:type="pct"/>
            <w:vMerge w:val="restart"/>
            <w:tcBorders>
              <w:top w:val="single" w:sz="8" w:space="0" w:color="auto"/>
              <w:left w:val="nil"/>
            </w:tcBorders>
            <w:tcMar>
              <w:top w:w="80" w:type="dxa"/>
              <w:left w:w="80" w:type="dxa"/>
              <w:bottom w:w="80" w:type="dxa"/>
              <w:right w:w="80" w:type="dxa"/>
            </w:tcMar>
            <w:vAlign w:val="center"/>
            <w:hideMark/>
          </w:tcPr>
          <w:p w14:paraId="62D7FA11" w14:textId="77777777" w:rsidR="00820880" w:rsidRDefault="00820880" w:rsidP="00281291">
            <w:pPr>
              <w:widowControl/>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18"/>
                <w:szCs w:val="20"/>
              </w:rPr>
              <w:t>(Graessel et al., 2024)</w:t>
            </w:r>
          </w:p>
          <w:p w14:paraId="12A14821" w14:textId="77777777" w:rsidR="00820880" w:rsidRPr="00360EA1" w:rsidRDefault="00820880" w:rsidP="00281291">
            <w:pPr>
              <w:widowControl/>
              <w:jc w:val="center"/>
              <w:rPr>
                <w:rFonts w:ascii="Times New Roman" w:eastAsia="等线" w:hAnsi="Times New Roman" w:cs="Times New Roman"/>
                <w:color w:val="000000"/>
                <w:kern w:val="0"/>
                <w:sz w:val="18"/>
                <w:szCs w:val="18"/>
                <w14:ligatures w14:val="none"/>
              </w:rPr>
            </w:pPr>
          </w:p>
        </w:tc>
        <w:tc>
          <w:tcPr>
            <w:tcW w:w="168" w:type="pct"/>
            <w:vMerge w:val="restart"/>
            <w:tcBorders>
              <w:top w:val="single" w:sz="8" w:space="0" w:color="auto"/>
            </w:tcBorders>
            <w:tcMar>
              <w:top w:w="80" w:type="dxa"/>
              <w:left w:w="80" w:type="dxa"/>
              <w:bottom w:w="80" w:type="dxa"/>
              <w:right w:w="80" w:type="dxa"/>
            </w:tcMar>
            <w:vAlign w:val="center"/>
            <w:hideMark/>
          </w:tcPr>
          <w:p w14:paraId="5058C752" w14:textId="77777777" w:rsidR="00820880" w:rsidRPr="00360EA1"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61" w:type="pct"/>
            <w:vMerge w:val="restart"/>
            <w:tcBorders>
              <w:top w:val="single" w:sz="8" w:space="0" w:color="auto"/>
            </w:tcBorders>
            <w:tcMar>
              <w:top w:w="80" w:type="dxa"/>
              <w:left w:w="80" w:type="dxa"/>
              <w:bottom w:w="80" w:type="dxa"/>
              <w:right w:w="80" w:type="dxa"/>
            </w:tcMar>
            <w:vAlign w:val="center"/>
            <w:hideMark/>
          </w:tcPr>
          <w:p w14:paraId="78E36A81"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Borders>
              <w:top w:val="single" w:sz="8" w:space="0" w:color="auto"/>
            </w:tcBorders>
            <w:tcMar>
              <w:top w:w="80" w:type="dxa"/>
              <w:left w:w="80" w:type="dxa"/>
              <w:bottom w:w="80" w:type="dxa"/>
              <w:right w:w="80" w:type="dxa"/>
            </w:tcMar>
            <w:vAlign w:val="center"/>
            <w:hideMark/>
          </w:tcPr>
          <w:p w14:paraId="4779CF46"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Borders>
              <w:top w:val="single" w:sz="8" w:space="0" w:color="auto"/>
            </w:tcBorders>
            <w:tcMar>
              <w:top w:w="80" w:type="dxa"/>
              <w:left w:w="80" w:type="dxa"/>
              <w:bottom w:w="80" w:type="dxa"/>
              <w:right w:w="80" w:type="dxa"/>
            </w:tcMar>
            <w:vAlign w:val="center"/>
            <w:hideMark/>
          </w:tcPr>
          <w:p w14:paraId="27118660"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Borders>
              <w:top w:val="single" w:sz="8" w:space="0" w:color="auto"/>
            </w:tcBorders>
            <w:tcMar>
              <w:top w:w="80" w:type="dxa"/>
              <w:left w:w="80" w:type="dxa"/>
              <w:bottom w:w="80" w:type="dxa"/>
              <w:right w:w="80" w:type="dxa"/>
            </w:tcMar>
            <w:vAlign w:val="center"/>
            <w:hideMark/>
          </w:tcPr>
          <w:p w14:paraId="665CD176"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Borders>
              <w:top w:val="single" w:sz="8" w:space="0" w:color="auto"/>
            </w:tcBorders>
            <w:tcMar>
              <w:top w:w="80" w:type="dxa"/>
              <w:left w:w="80" w:type="dxa"/>
              <w:bottom w:w="80" w:type="dxa"/>
              <w:right w:w="80" w:type="dxa"/>
            </w:tcMar>
            <w:vAlign w:val="center"/>
            <w:hideMark/>
          </w:tcPr>
          <w:p w14:paraId="11DC8BBD"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Borders>
              <w:top w:val="single" w:sz="8" w:space="0" w:color="auto"/>
            </w:tcBorders>
            <w:tcMar>
              <w:top w:w="80" w:type="dxa"/>
              <w:left w:w="80" w:type="dxa"/>
              <w:bottom w:w="80" w:type="dxa"/>
              <w:right w:w="80" w:type="dxa"/>
            </w:tcMar>
            <w:vAlign w:val="center"/>
            <w:hideMark/>
          </w:tcPr>
          <w:p w14:paraId="54E98C67"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tcBorders>
              <w:top w:val="single" w:sz="8" w:space="0" w:color="auto"/>
              <w:bottom w:val="single" w:sz="4" w:space="0" w:color="auto"/>
            </w:tcBorders>
            <w:tcMar>
              <w:top w:w="80" w:type="dxa"/>
              <w:left w:w="80" w:type="dxa"/>
              <w:bottom w:w="80" w:type="dxa"/>
              <w:right w:w="80" w:type="dxa"/>
            </w:tcMar>
            <w:vAlign w:val="center"/>
            <w:hideMark/>
          </w:tcPr>
          <w:p w14:paraId="1EBC34D8"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top w:val="single" w:sz="8" w:space="0" w:color="auto"/>
              <w:bottom w:val="single" w:sz="4" w:space="0" w:color="auto"/>
            </w:tcBorders>
            <w:tcMar>
              <w:top w:w="80" w:type="dxa"/>
              <w:left w:w="80" w:type="dxa"/>
              <w:bottom w:w="80" w:type="dxa"/>
              <w:right w:w="80" w:type="dxa"/>
            </w:tcMar>
            <w:vAlign w:val="center"/>
            <w:hideMark/>
          </w:tcPr>
          <w:p w14:paraId="35440BC0"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top w:val="single" w:sz="8" w:space="0" w:color="auto"/>
              <w:bottom w:val="single" w:sz="4" w:space="0" w:color="auto"/>
            </w:tcBorders>
            <w:tcMar>
              <w:top w:w="80" w:type="dxa"/>
              <w:left w:w="80" w:type="dxa"/>
              <w:bottom w:w="80" w:type="dxa"/>
              <w:right w:w="80" w:type="dxa"/>
            </w:tcMar>
            <w:vAlign w:val="center"/>
            <w:hideMark/>
          </w:tcPr>
          <w:p w14:paraId="0E8390F5"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top w:val="single" w:sz="8" w:space="0" w:color="auto"/>
              <w:bottom w:val="single" w:sz="4" w:space="0" w:color="auto"/>
            </w:tcBorders>
            <w:tcMar>
              <w:top w:w="80" w:type="dxa"/>
              <w:left w:w="80" w:type="dxa"/>
              <w:bottom w:w="80" w:type="dxa"/>
              <w:right w:w="80" w:type="dxa"/>
            </w:tcMar>
            <w:vAlign w:val="center"/>
            <w:hideMark/>
          </w:tcPr>
          <w:p w14:paraId="685CB010"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top w:val="single" w:sz="8" w:space="0" w:color="auto"/>
              <w:bottom w:val="single" w:sz="4" w:space="0" w:color="auto"/>
            </w:tcBorders>
            <w:tcMar>
              <w:top w:w="80" w:type="dxa"/>
              <w:left w:w="80" w:type="dxa"/>
              <w:bottom w:w="80" w:type="dxa"/>
              <w:right w:w="80" w:type="dxa"/>
            </w:tcMar>
            <w:vAlign w:val="center"/>
            <w:hideMark/>
          </w:tcPr>
          <w:p w14:paraId="46DB4455"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2" w:type="pct"/>
            <w:tcBorders>
              <w:top w:val="single" w:sz="8" w:space="0" w:color="auto"/>
              <w:bottom w:val="single" w:sz="4" w:space="0" w:color="auto"/>
            </w:tcBorders>
            <w:tcMar>
              <w:top w:w="80" w:type="dxa"/>
              <w:left w:w="80" w:type="dxa"/>
              <w:bottom w:w="80" w:type="dxa"/>
              <w:right w:w="80" w:type="dxa"/>
            </w:tcMar>
            <w:vAlign w:val="center"/>
            <w:hideMark/>
          </w:tcPr>
          <w:p w14:paraId="64D947A5"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vMerge w:val="restart"/>
            <w:tcBorders>
              <w:top w:val="single" w:sz="8" w:space="0" w:color="auto"/>
              <w:bottom w:val="single" w:sz="4" w:space="0" w:color="auto"/>
            </w:tcBorders>
            <w:tcMar>
              <w:top w:w="80" w:type="dxa"/>
              <w:left w:w="80" w:type="dxa"/>
              <w:bottom w:w="80" w:type="dxa"/>
              <w:right w:w="80" w:type="dxa"/>
            </w:tcMar>
            <w:vAlign w:val="center"/>
            <w:hideMark/>
          </w:tcPr>
          <w:p w14:paraId="7E9E6BD1"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46" w:type="pct"/>
            <w:vMerge w:val="restart"/>
            <w:tcBorders>
              <w:top w:val="single" w:sz="8" w:space="0" w:color="auto"/>
            </w:tcBorders>
            <w:tcMar>
              <w:top w:w="80" w:type="dxa"/>
              <w:left w:w="80" w:type="dxa"/>
              <w:bottom w:w="80" w:type="dxa"/>
              <w:right w:w="80" w:type="dxa"/>
            </w:tcMar>
            <w:vAlign w:val="center"/>
            <w:hideMark/>
          </w:tcPr>
          <w:p w14:paraId="1E9B19D4"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2176" w:type="pct"/>
            <w:vMerge w:val="restart"/>
            <w:tcBorders>
              <w:top w:val="single" w:sz="8" w:space="0" w:color="auto"/>
              <w:right w:val="nil"/>
            </w:tcBorders>
            <w:tcMar>
              <w:top w:w="80" w:type="dxa"/>
              <w:left w:w="80" w:type="dxa"/>
              <w:bottom w:w="80" w:type="dxa"/>
              <w:right w:w="80" w:type="dxa"/>
            </w:tcMar>
            <w:vAlign w:val="center"/>
            <w:hideMark/>
          </w:tcPr>
          <w:p w14:paraId="3F3A98E1" w14:textId="77777777" w:rsidR="00820880" w:rsidRPr="00360EA1"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strictly adhered to RCT protocols with strong blinding, intention-to-treat analysis, and appropriate covariate adjustments. It perfectly matches the AI for aging-in-place criteria.</w:t>
            </w:r>
          </w:p>
        </w:tc>
      </w:tr>
      <w:tr w:rsidR="00820880" w:rsidRPr="00360EA1" w14:paraId="2B5A2746" w14:textId="77777777" w:rsidTr="00B34DBE">
        <w:trPr>
          <w:trHeight w:val="330"/>
        </w:trPr>
        <w:tc>
          <w:tcPr>
            <w:tcW w:w="316" w:type="pct"/>
            <w:vMerge/>
            <w:tcBorders>
              <w:left w:val="nil"/>
            </w:tcBorders>
          </w:tcPr>
          <w:p w14:paraId="36148A2F" w14:textId="77777777" w:rsidR="00820880" w:rsidRDefault="00820880" w:rsidP="00281291">
            <w:pPr>
              <w:widowControl/>
              <w:rPr>
                <w:rFonts w:ascii="Times New Roman" w:eastAsia="等线" w:hAnsi="Times New Roman" w:cs="Times New Roman"/>
                <w:color w:val="000000"/>
                <w:sz w:val="20"/>
                <w:szCs w:val="20"/>
              </w:rPr>
            </w:pPr>
          </w:p>
        </w:tc>
        <w:tc>
          <w:tcPr>
            <w:tcW w:w="168" w:type="pct"/>
            <w:vMerge/>
          </w:tcPr>
          <w:p w14:paraId="4D060DE2" w14:textId="77777777" w:rsidR="00820880" w:rsidRDefault="00820880" w:rsidP="00281291">
            <w:pPr>
              <w:widowControl/>
              <w:rPr>
                <w:rFonts w:ascii="Times New Roman" w:eastAsia="等线" w:hAnsi="Times New Roman" w:cs="Times New Roman"/>
                <w:b/>
                <w:bCs/>
                <w:color w:val="1F1F1F"/>
                <w:kern w:val="0"/>
                <w:sz w:val="18"/>
                <w:szCs w:val="18"/>
                <w14:ligatures w14:val="none"/>
              </w:rPr>
            </w:pPr>
          </w:p>
        </w:tc>
        <w:tc>
          <w:tcPr>
            <w:tcW w:w="161" w:type="pct"/>
            <w:vMerge/>
          </w:tcPr>
          <w:p w14:paraId="7C4F64A6"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Pr>
          <w:p w14:paraId="0CD5346F"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Pr>
          <w:p w14:paraId="6A49512D"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Pr>
          <w:p w14:paraId="19BC16CC"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Pr>
          <w:p w14:paraId="5FC355B7"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Pr>
          <w:p w14:paraId="63BC43DE"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967" w:type="pct"/>
            <w:gridSpan w:val="6"/>
            <w:tcBorders>
              <w:top w:val="single" w:sz="4" w:space="0" w:color="auto"/>
            </w:tcBorders>
            <w:tcMar>
              <w:top w:w="80" w:type="dxa"/>
              <w:left w:w="80" w:type="dxa"/>
              <w:bottom w:w="80" w:type="dxa"/>
              <w:right w:w="80" w:type="dxa"/>
            </w:tcMar>
            <w:vAlign w:val="center"/>
          </w:tcPr>
          <w:p w14:paraId="48847530" w14:textId="77777777" w:rsidR="00820880" w:rsidRPr="00360EA1" w:rsidRDefault="00820880" w:rsidP="00281291">
            <w:pPr>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Global cognition via MoCA)</w:t>
            </w:r>
          </w:p>
        </w:tc>
        <w:tc>
          <w:tcPr>
            <w:tcW w:w="161" w:type="pct"/>
            <w:vMerge/>
            <w:tcBorders>
              <w:top w:val="single" w:sz="4" w:space="0" w:color="auto"/>
            </w:tcBorders>
          </w:tcPr>
          <w:p w14:paraId="1C908E9A"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246" w:type="pct"/>
            <w:vMerge/>
            <w:tcBorders>
              <w:top w:val="single" w:sz="4" w:space="0" w:color="auto"/>
            </w:tcBorders>
          </w:tcPr>
          <w:p w14:paraId="70BB6D74"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2176" w:type="pct"/>
            <w:vMerge/>
            <w:tcBorders>
              <w:top w:val="single" w:sz="4" w:space="0" w:color="auto"/>
              <w:right w:val="nil"/>
            </w:tcBorders>
          </w:tcPr>
          <w:p w14:paraId="6162EE3B"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r>
      <w:tr w:rsidR="00820880" w:rsidRPr="00360EA1" w14:paraId="074CB82C" w14:textId="77777777" w:rsidTr="00A00AC9">
        <w:trPr>
          <w:trHeight w:val="48"/>
        </w:trPr>
        <w:tc>
          <w:tcPr>
            <w:tcW w:w="316" w:type="pct"/>
            <w:vMerge/>
            <w:tcBorders>
              <w:left w:val="nil"/>
            </w:tcBorders>
            <w:hideMark/>
          </w:tcPr>
          <w:p w14:paraId="3CA17A1A" w14:textId="77777777" w:rsidR="00820880" w:rsidRPr="00360EA1" w:rsidRDefault="00820880" w:rsidP="00281291">
            <w:pPr>
              <w:widowControl/>
              <w:rPr>
                <w:rFonts w:ascii="Times New Roman" w:eastAsia="等线" w:hAnsi="Times New Roman" w:cs="Times New Roman"/>
                <w:color w:val="000000"/>
                <w:kern w:val="0"/>
                <w:sz w:val="18"/>
                <w:szCs w:val="18"/>
                <w14:ligatures w14:val="none"/>
              </w:rPr>
            </w:pPr>
          </w:p>
        </w:tc>
        <w:tc>
          <w:tcPr>
            <w:tcW w:w="168" w:type="pct"/>
            <w:vMerge w:val="restart"/>
            <w:tcMar>
              <w:top w:w="80" w:type="dxa"/>
              <w:left w:w="80" w:type="dxa"/>
              <w:bottom w:w="80" w:type="dxa"/>
              <w:right w:w="80" w:type="dxa"/>
            </w:tcMar>
            <w:vAlign w:val="center"/>
            <w:hideMark/>
          </w:tcPr>
          <w:p w14:paraId="19D610D6" w14:textId="77777777" w:rsidR="00820880" w:rsidRPr="00360EA1"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61" w:type="pct"/>
            <w:vMerge w:val="restart"/>
            <w:tcMar>
              <w:top w:w="80" w:type="dxa"/>
              <w:left w:w="80" w:type="dxa"/>
              <w:bottom w:w="80" w:type="dxa"/>
              <w:right w:w="80" w:type="dxa"/>
            </w:tcMar>
            <w:vAlign w:val="center"/>
            <w:hideMark/>
          </w:tcPr>
          <w:p w14:paraId="4450AFF8"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Mar>
              <w:top w:w="80" w:type="dxa"/>
              <w:left w:w="80" w:type="dxa"/>
              <w:bottom w:w="80" w:type="dxa"/>
              <w:right w:w="80" w:type="dxa"/>
            </w:tcMar>
            <w:vAlign w:val="center"/>
            <w:hideMark/>
          </w:tcPr>
          <w:p w14:paraId="667B88D8"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Mar>
              <w:top w:w="80" w:type="dxa"/>
              <w:left w:w="80" w:type="dxa"/>
              <w:bottom w:w="80" w:type="dxa"/>
              <w:right w:w="80" w:type="dxa"/>
            </w:tcMar>
            <w:vAlign w:val="center"/>
            <w:hideMark/>
          </w:tcPr>
          <w:p w14:paraId="2C3DB8D0"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Mar>
              <w:top w:w="80" w:type="dxa"/>
              <w:left w:w="80" w:type="dxa"/>
              <w:bottom w:w="80" w:type="dxa"/>
              <w:right w:w="80" w:type="dxa"/>
            </w:tcMar>
            <w:vAlign w:val="center"/>
            <w:hideMark/>
          </w:tcPr>
          <w:p w14:paraId="56E7BE15"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Mar>
              <w:top w:w="80" w:type="dxa"/>
              <w:left w:w="80" w:type="dxa"/>
              <w:bottom w:w="80" w:type="dxa"/>
              <w:right w:w="80" w:type="dxa"/>
            </w:tcMar>
            <w:vAlign w:val="center"/>
            <w:hideMark/>
          </w:tcPr>
          <w:p w14:paraId="13740027"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Mar>
              <w:top w:w="80" w:type="dxa"/>
              <w:left w:w="80" w:type="dxa"/>
              <w:bottom w:w="80" w:type="dxa"/>
              <w:right w:w="80" w:type="dxa"/>
            </w:tcMar>
            <w:vAlign w:val="center"/>
            <w:hideMark/>
          </w:tcPr>
          <w:p w14:paraId="64368772"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tcBorders>
              <w:bottom w:val="single" w:sz="4" w:space="0" w:color="auto"/>
            </w:tcBorders>
            <w:tcMar>
              <w:top w:w="80" w:type="dxa"/>
              <w:left w:w="80" w:type="dxa"/>
              <w:bottom w:w="80" w:type="dxa"/>
              <w:right w:w="80" w:type="dxa"/>
            </w:tcMar>
            <w:vAlign w:val="center"/>
            <w:hideMark/>
          </w:tcPr>
          <w:p w14:paraId="1AF711DC"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bottom w:val="single" w:sz="4" w:space="0" w:color="auto"/>
            </w:tcBorders>
            <w:tcMar>
              <w:top w:w="80" w:type="dxa"/>
              <w:left w:w="80" w:type="dxa"/>
              <w:bottom w:w="80" w:type="dxa"/>
              <w:right w:w="80" w:type="dxa"/>
            </w:tcMar>
            <w:vAlign w:val="center"/>
            <w:hideMark/>
          </w:tcPr>
          <w:p w14:paraId="1374D88D"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bottom w:val="single" w:sz="4" w:space="0" w:color="auto"/>
            </w:tcBorders>
            <w:tcMar>
              <w:top w:w="80" w:type="dxa"/>
              <w:left w:w="80" w:type="dxa"/>
              <w:bottom w:w="80" w:type="dxa"/>
              <w:right w:w="80" w:type="dxa"/>
            </w:tcMar>
            <w:vAlign w:val="center"/>
            <w:hideMark/>
          </w:tcPr>
          <w:p w14:paraId="04A45279"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bottom w:val="single" w:sz="4" w:space="0" w:color="auto"/>
            </w:tcBorders>
            <w:tcMar>
              <w:top w:w="80" w:type="dxa"/>
              <w:left w:w="80" w:type="dxa"/>
              <w:bottom w:w="80" w:type="dxa"/>
              <w:right w:w="80" w:type="dxa"/>
            </w:tcMar>
            <w:vAlign w:val="center"/>
            <w:hideMark/>
          </w:tcPr>
          <w:p w14:paraId="2EFC96BE"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bottom w:val="single" w:sz="4" w:space="0" w:color="auto"/>
            </w:tcBorders>
            <w:tcMar>
              <w:top w:w="80" w:type="dxa"/>
              <w:left w:w="80" w:type="dxa"/>
              <w:bottom w:w="80" w:type="dxa"/>
              <w:right w:w="80" w:type="dxa"/>
            </w:tcMar>
            <w:vAlign w:val="center"/>
            <w:hideMark/>
          </w:tcPr>
          <w:p w14:paraId="2B2FC600"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2" w:type="pct"/>
            <w:tcBorders>
              <w:bottom w:val="single" w:sz="4" w:space="0" w:color="auto"/>
            </w:tcBorders>
            <w:tcMar>
              <w:top w:w="80" w:type="dxa"/>
              <w:left w:w="80" w:type="dxa"/>
              <w:bottom w:w="80" w:type="dxa"/>
              <w:right w:w="80" w:type="dxa"/>
            </w:tcMar>
            <w:vAlign w:val="center"/>
            <w:hideMark/>
          </w:tcPr>
          <w:p w14:paraId="62CBB2B5"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vMerge w:val="restart"/>
            <w:tcBorders>
              <w:bottom w:val="single" w:sz="4" w:space="0" w:color="auto"/>
            </w:tcBorders>
            <w:tcMar>
              <w:top w:w="80" w:type="dxa"/>
              <w:left w:w="80" w:type="dxa"/>
              <w:bottom w:w="80" w:type="dxa"/>
              <w:right w:w="80" w:type="dxa"/>
            </w:tcMar>
            <w:vAlign w:val="center"/>
            <w:hideMark/>
          </w:tcPr>
          <w:p w14:paraId="3B93B93F"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46" w:type="pct"/>
            <w:vMerge w:val="restart"/>
            <w:tcMar>
              <w:top w:w="80" w:type="dxa"/>
              <w:left w:w="80" w:type="dxa"/>
              <w:bottom w:w="80" w:type="dxa"/>
              <w:right w:w="80" w:type="dxa"/>
            </w:tcMar>
            <w:vAlign w:val="center"/>
            <w:hideMark/>
          </w:tcPr>
          <w:p w14:paraId="2D368A84"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2176" w:type="pct"/>
            <w:vMerge w:val="restart"/>
            <w:tcBorders>
              <w:right w:val="nil"/>
            </w:tcBorders>
            <w:tcMar>
              <w:top w:w="80" w:type="dxa"/>
              <w:left w:w="80" w:type="dxa"/>
              <w:bottom w:w="80" w:type="dxa"/>
              <w:right w:w="80" w:type="dxa"/>
            </w:tcMar>
            <w:vAlign w:val="center"/>
            <w:hideMark/>
          </w:tcPr>
          <w:p w14:paraId="206CC19F" w14:textId="77777777" w:rsidR="00820880" w:rsidRPr="00360EA1"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Excellent methodological quality. External blockwise randomisation, automated intervention delivery, and blinded assessors minimize bias effectively.</w:t>
            </w:r>
          </w:p>
        </w:tc>
      </w:tr>
      <w:tr w:rsidR="00820880" w:rsidRPr="00360EA1" w14:paraId="49252795" w14:textId="77777777" w:rsidTr="00A00AC9">
        <w:trPr>
          <w:trHeight w:val="34"/>
        </w:trPr>
        <w:tc>
          <w:tcPr>
            <w:tcW w:w="316" w:type="pct"/>
            <w:vMerge/>
            <w:tcBorders>
              <w:left w:val="nil"/>
              <w:bottom w:val="single" w:sz="4" w:space="0" w:color="auto"/>
            </w:tcBorders>
          </w:tcPr>
          <w:p w14:paraId="2542276F" w14:textId="77777777" w:rsidR="00820880" w:rsidRPr="00360EA1" w:rsidRDefault="00820880" w:rsidP="00281291">
            <w:pPr>
              <w:widowControl/>
              <w:rPr>
                <w:rFonts w:ascii="Times New Roman" w:eastAsia="等线" w:hAnsi="Times New Roman" w:cs="Times New Roman"/>
                <w:color w:val="000000"/>
                <w:kern w:val="0"/>
                <w:sz w:val="18"/>
                <w:szCs w:val="18"/>
                <w14:ligatures w14:val="none"/>
              </w:rPr>
            </w:pPr>
          </w:p>
        </w:tc>
        <w:tc>
          <w:tcPr>
            <w:tcW w:w="168" w:type="pct"/>
            <w:vMerge/>
            <w:tcBorders>
              <w:bottom w:val="single" w:sz="4" w:space="0" w:color="auto"/>
            </w:tcBorders>
          </w:tcPr>
          <w:p w14:paraId="75EF90AF" w14:textId="77777777" w:rsidR="00820880" w:rsidRDefault="00820880" w:rsidP="00281291">
            <w:pPr>
              <w:widowControl/>
              <w:rPr>
                <w:rFonts w:ascii="Times New Roman" w:eastAsia="等线" w:hAnsi="Times New Roman" w:cs="Times New Roman"/>
                <w:b/>
                <w:bCs/>
                <w:color w:val="1F1F1F"/>
                <w:kern w:val="0"/>
                <w:sz w:val="18"/>
                <w:szCs w:val="18"/>
                <w14:ligatures w14:val="none"/>
              </w:rPr>
            </w:pPr>
          </w:p>
        </w:tc>
        <w:tc>
          <w:tcPr>
            <w:tcW w:w="161" w:type="pct"/>
            <w:vMerge/>
            <w:tcBorders>
              <w:bottom w:val="single" w:sz="4" w:space="0" w:color="auto"/>
            </w:tcBorders>
          </w:tcPr>
          <w:p w14:paraId="028E6EBB"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Borders>
              <w:bottom w:val="single" w:sz="4" w:space="0" w:color="auto"/>
            </w:tcBorders>
          </w:tcPr>
          <w:p w14:paraId="2D3AB7CE"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Borders>
              <w:bottom w:val="single" w:sz="4" w:space="0" w:color="auto"/>
            </w:tcBorders>
          </w:tcPr>
          <w:p w14:paraId="40AA1256"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Borders>
              <w:bottom w:val="single" w:sz="4" w:space="0" w:color="auto"/>
            </w:tcBorders>
          </w:tcPr>
          <w:p w14:paraId="578E3612"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Borders>
              <w:bottom w:val="single" w:sz="4" w:space="0" w:color="auto"/>
            </w:tcBorders>
          </w:tcPr>
          <w:p w14:paraId="05BD3FA9"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Borders>
              <w:bottom w:val="single" w:sz="4" w:space="0" w:color="auto"/>
            </w:tcBorders>
          </w:tcPr>
          <w:p w14:paraId="483FF82E"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967" w:type="pct"/>
            <w:gridSpan w:val="6"/>
            <w:tcBorders>
              <w:top w:val="single" w:sz="4" w:space="0" w:color="auto"/>
              <w:bottom w:val="single" w:sz="4" w:space="0" w:color="auto"/>
            </w:tcBorders>
            <w:tcMar>
              <w:top w:w="80" w:type="dxa"/>
              <w:left w:w="80" w:type="dxa"/>
              <w:bottom w:w="80" w:type="dxa"/>
              <w:right w:w="80" w:type="dxa"/>
            </w:tcMar>
            <w:vAlign w:val="center"/>
          </w:tcPr>
          <w:p w14:paraId="5920E8FB" w14:textId="77777777" w:rsidR="00820880" w:rsidRPr="00360EA1" w:rsidRDefault="00820880" w:rsidP="00281291">
            <w:pPr>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MoCA score)</w:t>
            </w:r>
          </w:p>
        </w:tc>
        <w:tc>
          <w:tcPr>
            <w:tcW w:w="161" w:type="pct"/>
            <w:vMerge/>
            <w:tcBorders>
              <w:top w:val="single" w:sz="4" w:space="0" w:color="auto"/>
              <w:bottom w:val="single" w:sz="4" w:space="0" w:color="auto"/>
            </w:tcBorders>
          </w:tcPr>
          <w:p w14:paraId="5E96D114"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246" w:type="pct"/>
            <w:vMerge/>
            <w:tcBorders>
              <w:top w:val="single" w:sz="4" w:space="0" w:color="auto"/>
              <w:bottom w:val="single" w:sz="4" w:space="0" w:color="auto"/>
            </w:tcBorders>
          </w:tcPr>
          <w:p w14:paraId="5ADFDBAF"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2176" w:type="pct"/>
            <w:vMerge/>
            <w:tcBorders>
              <w:top w:val="single" w:sz="4" w:space="0" w:color="auto"/>
              <w:bottom w:val="single" w:sz="4" w:space="0" w:color="auto"/>
              <w:right w:val="nil"/>
            </w:tcBorders>
          </w:tcPr>
          <w:p w14:paraId="58FBA63C"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r>
      <w:tr w:rsidR="00820880" w:rsidRPr="00360EA1" w14:paraId="77E5A9AF" w14:textId="77777777" w:rsidTr="00A00AC9">
        <w:trPr>
          <w:trHeight w:val="180"/>
        </w:trPr>
        <w:tc>
          <w:tcPr>
            <w:tcW w:w="316" w:type="pct"/>
            <w:vMerge w:val="restart"/>
            <w:tcBorders>
              <w:top w:val="single" w:sz="4" w:space="0" w:color="auto"/>
              <w:left w:val="nil"/>
            </w:tcBorders>
            <w:tcMar>
              <w:top w:w="80" w:type="dxa"/>
              <w:left w:w="80" w:type="dxa"/>
              <w:bottom w:w="80" w:type="dxa"/>
              <w:right w:w="80" w:type="dxa"/>
            </w:tcMar>
            <w:vAlign w:val="center"/>
            <w:hideMark/>
          </w:tcPr>
          <w:p w14:paraId="316C6C87" w14:textId="77777777" w:rsidR="00820880" w:rsidRDefault="00820880" w:rsidP="00281291">
            <w:pPr>
              <w:widowControl/>
              <w:jc w:val="center"/>
              <w:rPr>
                <w:rFonts w:ascii="Times New Roman" w:eastAsia="等线" w:hAnsi="Times New Roman" w:cs="Times New Roman"/>
                <w:color w:val="000000"/>
                <w:sz w:val="20"/>
                <w:szCs w:val="20"/>
              </w:rPr>
            </w:pPr>
            <w:r>
              <w:rPr>
                <w:rFonts w:ascii="Times New Roman" w:eastAsia="等线" w:hAnsi="Times New Roman" w:cs="Times New Roman"/>
                <w:color w:val="000000"/>
                <w:sz w:val="18"/>
                <w:szCs w:val="20"/>
              </w:rPr>
              <w:t>(Wang et al., 2023)</w:t>
            </w:r>
          </w:p>
          <w:p w14:paraId="278C3203" w14:textId="77777777" w:rsidR="00820880" w:rsidRPr="00360EA1" w:rsidRDefault="00820880" w:rsidP="00281291">
            <w:pPr>
              <w:widowControl/>
              <w:jc w:val="center"/>
              <w:rPr>
                <w:rFonts w:ascii="Times New Roman" w:eastAsia="等线" w:hAnsi="Times New Roman" w:cs="Times New Roman"/>
                <w:color w:val="000000"/>
                <w:kern w:val="0"/>
                <w:sz w:val="18"/>
                <w:szCs w:val="18"/>
                <w14:ligatures w14:val="none"/>
              </w:rPr>
            </w:pPr>
          </w:p>
        </w:tc>
        <w:tc>
          <w:tcPr>
            <w:tcW w:w="168" w:type="pct"/>
            <w:vMerge w:val="restart"/>
            <w:tcBorders>
              <w:top w:val="single" w:sz="4" w:space="0" w:color="auto"/>
            </w:tcBorders>
            <w:tcMar>
              <w:top w:w="80" w:type="dxa"/>
              <w:left w:w="80" w:type="dxa"/>
              <w:bottom w:w="80" w:type="dxa"/>
              <w:right w:w="80" w:type="dxa"/>
            </w:tcMar>
            <w:vAlign w:val="center"/>
            <w:hideMark/>
          </w:tcPr>
          <w:p w14:paraId="4867750E" w14:textId="77777777" w:rsidR="00820880" w:rsidRPr="00360EA1"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61" w:type="pct"/>
            <w:vMerge w:val="restart"/>
            <w:tcBorders>
              <w:top w:val="single" w:sz="4" w:space="0" w:color="auto"/>
            </w:tcBorders>
            <w:tcMar>
              <w:top w:w="80" w:type="dxa"/>
              <w:left w:w="80" w:type="dxa"/>
              <w:bottom w:w="80" w:type="dxa"/>
              <w:right w:w="80" w:type="dxa"/>
            </w:tcMar>
            <w:vAlign w:val="center"/>
            <w:hideMark/>
          </w:tcPr>
          <w:p w14:paraId="44027D5E"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Borders>
              <w:top w:val="single" w:sz="4" w:space="0" w:color="auto"/>
            </w:tcBorders>
            <w:tcMar>
              <w:top w:w="80" w:type="dxa"/>
              <w:left w:w="80" w:type="dxa"/>
              <w:bottom w:w="80" w:type="dxa"/>
              <w:right w:w="80" w:type="dxa"/>
            </w:tcMar>
            <w:vAlign w:val="center"/>
            <w:hideMark/>
          </w:tcPr>
          <w:p w14:paraId="2E904C7A"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Borders>
              <w:top w:val="single" w:sz="4" w:space="0" w:color="auto"/>
            </w:tcBorders>
            <w:tcMar>
              <w:top w:w="80" w:type="dxa"/>
              <w:left w:w="80" w:type="dxa"/>
              <w:bottom w:w="80" w:type="dxa"/>
              <w:right w:w="80" w:type="dxa"/>
            </w:tcMar>
            <w:vAlign w:val="center"/>
            <w:hideMark/>
          </w:tcPr>
          <w:p w14:paraId="70D2A92D"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Borders>
              <w:top w:val="single" w:sz="4" w:space="0" w:color="auto"/>
            </w:tcBorders>
            <w:tcMar>
              <w:top w:w="80" w:type="dxa"/>
              <w:left w:w="80" w:type="dxa"/>
              <w:bottom w:w="80" w:type="dxa"/>
              <w:right w:w="80" w:type="dxa"/>
            </w:tcMar>
            <w:vAlign w:val="center"/>
            <w:hideMark/>
          </w:tcPr>
          <w:p w14:paraId="5CB120C7"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161" w:type="pct"/>
            <w:vMerge w:val="restart"/>
            <w:tcBorders>
              <w:top w:val="single" w:sz="4" w:space="0" w:color="auto"/>
            </w:tcBorders>
            <w:tcMar>
              <w:top w:w="80" w:type="dxa"/>
              <w:left w:w="80" w:type="dxa"/>
              <w:bottom w:w="80" w:type="dxa"/>
              <w:right w:w="80" w:type="dxa"/>
            </w:tcMar>
            <w:vAlign w:val="center"/>
            <w:hideMark/>
          </w:tcPr>
          <w:p w14:paraId="12434ED5"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Borders>
              <w:top w:val="single" w:sz="4" w:space="0" w:color="auto"/>
            </w:tcBorders>
            <w:tcMar>
              <w:top w:w="80" w:type="dxa"/>
              <w:left w:w="80" w:type="dxa"/>
              <w:bottom w:w="80" w:type="dxa"/>
              <w:right w:w="80" w:type="dxa"/>
            </w:tcMar>
            <w:vAlign w:val="center"/>
            <w:hideMark/>
          </w:tcPr>
          <w:p w14:paraId="3B34015E"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tcBorders>
              <w:top w:val="single" w:sz="4" w:space="0" w:color="auto"/>
              <w:bottom w:val="single" w:sz="4" w:space="0" w:color="auto"/>
            </w:tcBorders>
            <w:tcMar>
              <w:top w:w="80" w:type="dxa"/>
              <w:left w:w="80" w:type="dxa"/>
              <w:bottom w:w="80" w:type="dxa"/>
              <w:right w:w="80" w:type="dxa"/>
            </w:tcMar>
            <w:vAlign w:val="center"/>
            <w:hideMark/>
          </w:tcPr>
          <w:p w14:paraId="552551A2"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top w:val="single" w:sz="4" w:space="0" w:color="auto"/>
              <w:bottom w:val="single" w:sz="4" w:space="0" w:color="auto"/>
            </w:tcBorders>
            <w:tcMar>
              <w:top w:w="80" w:type="dxa"/>
              <w:left w:w="80" w:type="dxa"/>
              <w:bottom w:w="80" w:type="dxa"/>
              <w:right w:w="80" w:type="dxa"/>
            </w:tcMar>
            <w:vAlign w:val="center"/>
            <w:hideMark/>
          </w:tcPr>
          <w:p w14:paraId="13B98F91"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top w:val="single" w:sz="4" w:space="0" w:color="auto"/>
              <w:bottom w:val="single" w:sz="4" w:space="0" w:color="auto"/>
            </w:tcBorders>
            <w:tcMar>
              <w:top w:w="80" w:type="dxa"/>
              <w:left w:w="80" w:type="dxa"/>
              <w:bottom w:w="80" w:type="dxa"/>
              <w:right w:w="80" w:type="dxa"/>
            </w:tcMar>
            <w:vAlign w:val="center"/>
            <w:hideMark/>
          </w:tcPr>
          <w:p w14:paraId="50C56DBD"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top w:val="single" w:sz="4" w:space="0" w:color="auto"/>
              <w:bottom w:val="single" w:sz="4" w:space="0" w:color="auto"/>
            </w:tcBorders>
            <w:tcMar>
              <w:top w:w="80" w:type="dxa"/>
              <w:left w:w="80" w:type="dxa"/>
              <w:bottom w:w="80" w:type="dxa"/>
              <w:right w:w="80" w:type="dxa"/>
            </w:tcMar>
            <w:vAlign w:val="center"/>
            <w:hideMark/>
          </w:tcPr>
          <w:p w14:paraId="410FD11D"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top w:val="single" w:sz="4" w:space="0" w:color="auto"/>
              <w:bottom w:val="single" w:sz="4" w:space="0" w:color="auto"/>
            </w:tcBorders>
            <w:tcMar>
              <w:top w:w="80" w:type="dxa"/>
              <w:left w:w="80" w:type="dxa"/>
              <w:bottom w:w="80" w:type="dxa"/>
              <w:right w:w="80" w:type="dxa"/>
            </w:tcMar>
            <w:vAlign w:val="center"/>
            <w:hideMark/>
          </w:tcPr>
          <w:p w14:paraId="16D61D21"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2" w:type="pct"/>
            <w:tcBorders>
              <w:top w:val="single" w:sz="4" w:space="0" w:color="auto"/>
              <w:bottom w:val="single" w:sz="4" w:space="0" w:color="auto"/>
            </w:tcBorders>
            <w:tcMar>
              <w:top w:w="80" w:type="dxa"/>
              <w:left w:w="80" w:type="dxa"/>
              <w:bottom w:w="80" w:type="dxa"/>
              <w:right w:w="80" w:type="dxa"/>
            </w:tcMar>
            <w:vAlign w:val="center"/>
            <w:hideMark/>
          </w:tcPr>
          <w:p w14:paraId="2F283B6E"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vMerge w:val="restart"/>
            <w:tcBorders>
              <w:top w:val="single" w:sz="4" w:space="0" w:color="auto"/>
              <w:bottom w:val="single" w:sz="4" w:space="0" w:color="auto"/>
            </w:tcBorders>
            <w:tcMar>
              <w:top w:w="80" w:type="dxa"/>
              <w:left w:w="80" w:type="dxa"/>
              <w:bottom w:w="80" w:type="dxa"/>
              <w:right w:w="80" w:type="dxa"/>
            </w:tcMar>
            <w:vAlign w:val="center"/>
            <w:hideMark/>
          </w:tcPr>
          <w:p w14:paraId="357CA688"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46" w:type="pct"/>
            <w:vMerge w:val="restart"/>
            <w:tcBorders>
              <w:top w:val="single" w:sz="4" w:space="0" w:color="auto"/>
            </w:tcBorders>
            <w:tcMar>
              <w:top w:w="80" w:type="dxa"/>
              <w:left w:w="80" w:type="dxa"/>
              <w:bottom w:w="80" w:type="dxa"/>
              <w:right w:w="80" w:type="dxa"/>
            </w:tcMar>
            <w:vAlign w:val="center"/>
            <w:hideMark/>
          </w:tcPr>
          <w:p w14:paraId="0A0D7265"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2176" w:type="pct"/>
            <w:vMerge w:val="restart"/>
            <w:tcBorders>
              <w:top w:val="single" w:sz="4" w:space="0" w:color="auto"/>
              <w:right w:val="nil"/>
            </w:tcBorders>
            <w:tcMar>
              <w:top w:w="80" w:type="dxa"/>
              <w:left w:w="80" w:type="dxa"/>
              <w:bottom w:w="80" w:type="dxa"/>
              <w:right w:w="80" w:type="dxa"/>
            </w:tcMar>
            <w:vAlign w:val="center"/>
            <w:hideMark/>
          </w:tcPr>
          <w:p w14:paraId="40EA4F01" w14:textId="77777777" w:rsidR="00820880" w:rsidRPr="00360EA1"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The trial explicitly states it is nonblinded, so participants were not blind to the treatment assignment. However, randomization and allocation concealment were successfully executed by an automated algorithm. </w:t>
            </w:r>
          </w:p>
        </w:tc>
      </w:tr>
      <w:tr w:rsidR="00820880" w:rsidRPr="00360EA1" w14:paraId="13A78975" w14:textId="77777777" w:rsidTr="00B34DBE">
        <w:trPr>
          <w:trHeight w:val="308"/>
        </w:trPr>
        <w:tc>
          <w:tcPr>
            <w:tcW w:w="316" w:type="pct"/>
            <w:vMerge/>
            <w:tcBorders>
              <w:left w:val="nil"/>
            </w:tcBorders>
          </w:tcPr>
          <w:p w14:paraId="40AB93FD" w14:textId="77777777" w:rsidR="00820880" w:rsidRDefault="00820880" w:rsidP="00281291">
            <w:pPr>
              <w:widowControl/>
              <w:rPr>
                <w:rFonts w:ascii="Times New Roman" w:eastAsia="等线" w:hAnsi="Times New Roman" w:cs="Times New Roman"/>
                <w:color w:val="000000"/>
                <w:sz w:val="20"/>
                <w:szCs w:val="20"/>
              </w:rPr>
            </w:pPr>
          </w:p>
        </w:tc>
        <w:tc>
          <w:tcPr>
            <w:tcW w:w="168" w:type="pct"/>
            <w:vMerge/>
            <w:tcBorders>
              <w:top w:val="nil"/>
            </w:tcBorders>
          </w:tcPr>
          <w:p w14:paraId="11591CAA" w14:textId="77777777" w:rsidR="00820880" w:rsidRDefault="00820880" w:rsidP="00281291">
            <w:pPr>
              <w:widowControl/>
              <w:rPr>
                <w:rFonts w:ascii="Times New Roman" w:eastAsia="等线" w:hAnsi="Times New Roman" w:cs="Times New Roman"/>
                <w:b/>
                <w:bCs/>
                <w:color w:val="1F1F1F"/>
                <w:kern w:val="0"/>
                <w:sz w:val="18"/>
                <w:szCs w:val="18"/>
                <w14:ligatures w14:val="none"/>
              </w:rPr>
            </w:pPr>
          </w:p>
        </w:tc>
        <w:tc>
          <w:tcPr>
            <w:tcW w:w="161" w:type="pct"/>
            <w:vMerge/>
            <w:tcBorders>
              <w:top w:val="nil"/>
            </w:tcBorders>
          </w:tcPr>
          <w:p w14:paraId="22AD71BD"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Borders>
              <w:top w:val="nil"/>
            </w:tcBorders>
          </w:tcPr>
          <w:p w14:paraId="72F11A2D"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Borders>
              <w:top w:val="nil"/>
            </w:tcBorders>
          </w:tcPr>
          <w:p w14:paraId="26862B3B"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Borders>
              <w:top w:val="nil"/>
            </w:tcBorders>
          </w:tcPr>
          <w:p w14:paraId="04354C15"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Borders>
              <w:top w:val="nil"/>
            </w:tcBorders>
          </w:tcPr>
          <w:p w14:paraId="0BB46659"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161" w:type="pct"/>
            <w:vMerge/>
            <w:tcBorders>
              <w:top w:val="nil"/>
            </w:tcBorders>
          </w:tcPr>
          <w:p w14:paraId="22C717F6"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967" w:type="pct"/>
            <w:gridSpan w:val="6"/>
            <w:tcBorders>
              <w:top w:val="nil"/>
            </w:tcBorders>
            <w:tcMar>
              <w:top w:w="80" w:type="dxa"/>
              <w:left w:w="80" w:type="dxa"/>
              <w:bottom w:w="80" w:type="dxa"/>
              <w:right w:w="80" w:type="dxa"/>
            </w:tcMar>
            <w:vAlign w:val="center"/>
          </w:tcPr>
          <w:p w14:paraId="4AEEF19D" w14:textId="77777777" w:rsidR="00820880" w:rsidRPr="00360EA1" w:rsidRDefault="00820880" w:rsidP="00281291">
            <w:pPr>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SIV uptake and SOC)</w:t>
            </w:r>
          </w:p>
        </w:tc>
        <w:tc>
          <w:tcPr>
            <w:tcW w:w="161" w:type="pct"/>
            <w:vMerge/>
            <w:tcBorders>
              <w:top w:val="single" w:sz="4" w:space="0" w:color="auto"/>
            </w:tcBorders>
          </w:tcPr>
          <w:p w14:paraId="4BB7E52F"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246" w:type="pct"/>
            <w:vMerge/>
            <w:tcBorders>
              <w:top w:val="single" w:sz="4" w:space="0" w:color="auto"/>
            </w:tcBorders>
          </w:tcPr>
          <w:p w14:paraId="68E00B0C"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c>
          <w:tcPr>
            <w:tcW w:w="2176" w:type="pct"/>
            <w:vMerge/>
            <w:tcBorders>
              <w:top w:val="single" w:sz="4" w:space="0" w:color="auto"/>
              <w:right w:val="nil"/>
            </w:tcBorders>
          </w:tcPr>
          <w:p w14:paraId="7614B66E" w14:textId="77777777" w:rsidR="00820880" w:rsidRPr="00360EA1" w:rsidRDefault="00820880" w:rsidP="00281291">
            <w:pPr>
              <w:widowControl/>
              <w:rPr>
                <w:rFonts w:ascii="Times New Roman" w:eastAsia="等线" w:hAnsi="Times New Roman" w:cs="Times New Roman"/>
                <w:color w:val="1F1F1F"/>
                <w:kern w:val="0"/>
                <w:sz w:val="18"/>
                <w:szCs w:val="18"/>
                <w14:ligatures w14:val="none"/>
              </w:rPr>
            </w:pPr>
          </w:p>
        </w:tc>
      </w:tr>
      <w:tr w:rsidR="00820880" w:rsidRPr="00360EA1" w14:paraId="5F6FBC71" w14:textId="77777777" w:rsidTr="00A00AC9">
        <w:trPr>
          <w:trHeight w:val="316"/>
        </w:trPr>
        <w:tc>
          <w:tcPr>
            <w:tcW w:w="316" w:type="pct"/>
            <w:vMerge/>
            <w:tcBorders>
              <w:left w:val="nil"/>
              <w:bottom w:val="single" w:sz="8" w:space="0" w:color="auto"/>
            </w:tcBorders>
            <w:hideMark/>
          </w:tcPr>
          <w:p w14:paraId="1D510BC6" w14:textId="77777777" w:rsidR="00820880" w:rsidRPr="00360EA1" w:rsidRDefault="00820880" w:rsidP="00281291">
            <w:pPr>
              <w:widowControl/>
              <w:rPr>
                <w:rFonts w:ascii="Times New Roman" w:eastAsia="等线" w:hAnsi="Times New Roman" w:cs="Times New Roman"/>
                <w:color w:val="000000"/>
                <w:kern w:val="0"/>
                <w:sz w:val="18"/>
                <w:szCs w:val="18"/>
                <w14:ligatures w14:val="none"/>
              </w:rPr>
            </w:pPr>
          </w:p>
        </w:tc>
        <w:tc>
          <w:tcPr>
            <w:tcW w:w="168" w:type="pct"/>
            <w:vMerge w:val="restart"/>
            <w:tcBorders>
              <w:bottom w:val="single" w:sz="8" w:space="0" w:color="auto"/>
            </w:tcBorders>
            <w:tcMar>
              <w:top w:w="80" w:type="dxa"/>
              <w:left w:w="80" w:type="dxa"/>
              <w:bottom w:w="80" w:type="dxa"/>
              <w:right w:w="80" w:type="dxa"/>
            </w:tcMar>
            <w:vAlign w:val="center"/>
            <w:hideMark/>
          </w:tcPr>
          <w:p w14:paraId="493D5C3B" w14:textId="77777777" w:rsidR="00820880" w:rsidRPr="00360EA1"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61" w:type="pct"/>
            <w:vMerge w:val="restart"/>
            <w:tcBorders>
              <w:bottom w:val="single" w:sz="8" w:space="0" w:color="auto"/>
            </w:tcBorders>
            <w:tcMar>
              <w:top w:w="80" w:type="dxa"/>
              <w:left w:w="80" w:type="dxa"/>
              <w:bottom w:w="80" w:type="dxa"/>
              <w:right w:w="80" w:type="dxa"/>
            </w:tcMar>
            <w:vAlign w:val="center"/>
            <w:hideMark/>
          </w:tcPr>
          <w:p w14:paraId="52083134"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Borders>
              <w:bottom w:val="single" w:sz="8" w:space="0" w:color="auto"/>
            </w:tcBorders>
            <w:tcMar>
              <w:top w:w="80" w:type="dxa"/>
              <w:left w:w="80" w:type="dxa"/>
              <w:bottom w:w="80" w:type="dxa"/>
              <w:right w:w="80" w:type="dxa"/>
            </w:tcMar>
            <w:vAlign w:val="center"/>
            <w:hideMark/>
          </w:tcPr>
          <w:p w14:paraId="1F5475B4"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Borders>
              <w:bottom w:val="single" w:sz="8" w:space="0" w:color="auto"/>
            </w:tcBorders>
            <w:tcMar>
              <w:top w:w="80" w:type="dxa"/>
              <w:left w:w="80" w:type="dxa"/>
              <w:bottom w:w="80" w:type="dxa"/>
              <w:right w:w="80" w:type="dxa"/>
            </w:tcMar>
            <w:vAlign w:val="center"/>
            <w:hideMark/>
          </w:tcPr>
          <w:p w14:paraId="06343DC1"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Borders>
              <w:bottom w:val="single" w:sz="8" w:space="0" w:color="auto"/>
            </w:tcBorders>
            <w:tcMar>
              <w:top w:w="80" w:type="dxa"/>
              <w:left w:w="80" w:type="dxa"/>
              <w:bottom w:w="80" w:type="dxa"/>
              <w:right w:w="80" w:type="dxa"/>
            </w:tcMar>
            <w:vAlign w:val="center"/>
            <w:hideMark/>
          </w:tcPr>
          <w:p w14:paraId="1D31D3E8"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161" w:type="pct"/>
            <w:vMerge w:val="restart"/>
            <w:tcBorders>
              <w:bottom w:val="single" w:sz="8" w:space="0" w:color="auto"/>
            </w:tcBorders>
            <w:tcMar>
              <w:top w:w="80" w:type="dxa"/>
              <w:left w:w="80" w:type="dxa"/>
              <w:bottom w:w="80" w:type="dxa"/>
              <w:right w:w="80" w:type="dxa"/>
            </w:tcMar>
            <w:vAlign w:val="center"/>
            <w:hideMark/>
          </w:tcPr>
          <w:p w14:paraId="1B9B2700"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vMerge w:val="restart"/>
            <w:tcBorders>
              <w:bottom w:val="single" w:sz="8" w:space="0" w:color="auto"/>
            </w:tcBorders>
            <w:tcMar>
              <w:top w:w="80" w:type="dxa"/>
              <w:left w:w="80" w:type="dxa"/>
              <w:bottom w:w="80" w:type="dxa"/>
              <w:right w:w="80" w:type="dxa"/>
            </w:tcMar>
            <w:vAlign w:val="center"/>
            <w:hideMark/>
          </w:tcPr>
          <w:p w14:paraId="2A33FBED"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161" w:type="pct"/>
            <w:tcBorders>
              <w:bottom w:val="single" w:sz="8" w:space="0" w:color="auto"/>
            </w:tcBorders>
            <w:tcMar>
              <w:top w:w="80" w:type="dxa"/>
              <w:left w:w="80" w:type="dxa"/>
              <w:bottom w:w="80" w:type="dxa"/>
              <w:right w:w="80" w:type="dxa"/>
            </w:tcMar>
            <w:vAlign w:val="center"/>
            <w:hideMark/>
          </w:tcPr>
          <w:p w14:paraId="27546D2B"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bottom w:val="single" w:sz="8" w:space="0" w:color="auto"/>
            </w:tcBorders>
            <w:tcMar>
              <w:top w:w="80" w:type="dxa"/>
              <w:left w:w="80" w:type="dxa"/>
              <w:bottom w:w="80" w:type="dxa"/>
              <w:right w:w="80" w:type="dxa"/>
            </w:tcMar>
            <w:vAlign w:val="center"/>
            <w:hideMark/>
          </w:tcPr>
          <w:p w14:paraId="6CECDBB1"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bottom w:val="single" w:sz="8" w:space="0" w:color="auto"/>
            </w:tcBorders>
            <w:tcMar>
              <w:top w:w="80" w:type="dxa"/>
              <w:left w:w="80" w:type="dxa"/>
              <w:bottom w:w="80" w:type="dxa"/>
              <w:right w:w="80" w:type="dxa"/>
            </w:tcMar>
            <w:vAlign w:val="center"/>
            <w:hideMark/>
          </w:tcPr>
          <w:p w14:paraId="55B503AB"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bottom w:val="single" w:sz="8" w:space="0" w:color="auto"/>
            </w:tcBorders>
            <w:tcMar>
              <w:top w:w="80" w:type="dxa"/>
              <w:left w:w="80" w:type="dxa"/>
              <w:bottom w:w="80" w:type="dxa"/>
              <w:right w:w="80" w:type="dxa"/>
            </w:tcMar>
            <w:vAlign w:val="center"/>
            <w:hideMark/>
          </w:tcPr>
          <w:p w14:paraId="1C5AA664"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tcBorders>
              <w:bottom w:val="single" w:sz="8" w:space="0" w:color="auto"/>
            </w:tcBorders>
            <w:tcMar>
              <w:top w:w="80" w:type="dxa"/>
              <w:left w:w="80" w:type="dxa"/>
              <w:bottom w:w="80" w:type="dxa"/>
              <w:right w:w="80" w:type="dxa"/>
            </w:tcMar>
            <w:vAlign w:val="center"/>
            <w:hideMark/>
          </w:tcPr>
          <w:p w14:paraId="5CAE1A0D"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2" w:type="pct"/>
            <w:tcBorders>
              <w:bottom w:val="single" w:sz="8" w:space="0" w:color="auto"/>
            </w:tcBorders>
            <w:tcMar>
              <w:top w:w="80" w:type="dxa"/>
              <w:left w:w="80" w:type="dxa"/>
              <w:bottom w:w="80" w:type="dxa"/>
              <w:right w:w="80" w:type="dxa"/>
            </w:tcMar>
            <w:vAlign w:val="center"/>
            <w:hideMark/>
          </w:tcPr>
          <w:p w14:paraId="1E2A48C1" w14:textId="77777777" w:rsidR="00820880" w:rsidRPr="00360EA1" w:rsidRDefault="00820880" w:rsidP="00281291">
            <w:pPr>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w:t>
            </w:r>
          </w:p>
        </w:tc>
        <w:tc>
          <w:tcPr>
            <w:tcW w:w="161" w:type="pct"/>
            <w:vMerge w:val="restart"/>
            <w:tcBorders>
              <w:bottom w:val="single" w:sz="8" w:space="0" w:color="auto"/>
            </w:tcBorders>
            <w:tcMar>
              <w:top w:w="80" w:type="dxa"/>
              <w:left w:w="80" w:type="dxa"/>
              <w:bottom w:w="80" w:type="dxa"/>
              <w:right w:w="80" w:type="dxa"/>
            </w:tcMar>
            <w:vAlign w:val="center"/>
            <w:hideMark/>
          </w:tcPr>
          <w:p w14:paraId="5735DA65"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46" w:type="pct"/>
            <w:vMerge w:val="restart"/>
            <w:tcBorders>
              <w:bottom w:val="single" w:sz="8" w:space="0" w:color="auto"/>
            </w:tcBorders>
            <w:tcMar>
              <w:top w:w="80" w:type="dxa"/>
              <w:left w:w="80" w:type="dxa"/>
              <w:bottom w:w="80" w:type="dxa"/>
              <w:right w:w="80" w:type="dxa"/>
            </w:tcMar>
            <w:vAlign w:val="center"/>
            <w:hideMark/>
          </w:tcPr>
          <w:p w14:paraId="48083D11" w14:textId="77777777" w:rsidR="00820880" w:rsidRPr="00360EA1"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2176" w:type="pct"/>
            <w:vMerge w:val="restart"/>
            <w:tcBorders>
              <w:bottom w:val="single" w:sz="8" w:space="0" w:color="auto"/>
              <w:right w:val="nil"/>
            </w:tcBorders>
            <w:tcMar>
              <w:top w:w="80" w:type="dxa"/>
              <w:left w:w="80" w:type="dxa"/>
              <w:bottom w:w="80" w:type="dxa"/>
              <w:right w:w="80" w:type="dxa"/>
            </w:tcMar>
            <w:vAlign w:val="center"/>
            <w:hideMark/>
          </w:tcPr>
          <w:p w14:paraId="7F1B8FFC" w14:textId="77777777" w:rsidR="00820880" w:rsidRPr="00360EA1"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Strong methodological design overall. Baseline characteristics were well-balanced between the two groups. Although participants were not blinded , the primary outcome (SIV uptake) was objectively validated using uploaded receipt images, minimizing detection bias. Both ITT and complete case analyses were robustly applied.</w:t>
            </w:r>
          </w:p>
        </w:tc>
      </w:tr>
      <w:tr w:rsidR="00820880" w:rsidRPr="00360EA1" w14:paraId="45C5CE24" w14:textId="77777777" w:rsidTr="00B34DBE">
        <w:trPr>
          <w:trHeight w:val="188"/>
        </w:trPr>
        <w:tc>
          <w:tcPr>
            <w:tcW w:w="316" w:type="pct"/>
            <w:vMerge/>
            <w:tcBorders>
              <w:top w:val="single" w:sz="8" w:space="0" w:color="auto"/>
              <w:left w:val="nil"/>
              <w:bottom w:val="single" w:sz="8" w:space="0" w:color="auto"/>
            </w:tcBorders>
          </w:tcPr>
          <w:p w14:paraId="5C9D2BAB" w14:textId="77777777" w:rsidR="00820880" w:rsidRPr="00360EA1" w:rsidRDefault="00820880" w:rsidP="00360EA1">
            <w:pPr>
              <w:widowControl/>
              <w:jc w:val="left"/>
              <w:rPr>
                <w:rFonts w:ascii="Times New Roman" w:eastAsia="等线" w:hAnsi="Times New Roman" w:cs="Times New Roman"/>
                <w:color w:val="000000"/>
                <w:kern w:val="0"/>
                <w:sz w:val="18"/>
                <w:szCs w:val="18"/>
                <w14:ligatures w14:val="none"/>
              </w:rPr>
            </w:pPr>
          </w:p>
        </w:tc>
        <w:tc>
          <w:tcPr>
            <w:tcW w:w="168" w:type="pct"/>
            <w:vMerge/>
            <w:tcBorders>
              <w:top w:val="single" w:sz="8" w:space="0" w:color="auto"/>
              <w:bottom w:val="single" w:sz="8" w:space="0" w:color="auto"/>
            </w:tcBorders>
          </w:tcPr>
          <w:p w14:paraId="14A11930" w14:textId="77777777" w:rsidR="00820880" w:rsidRDefault="00820880" w:rsidP="00360EA1">
            <w:pPr>
              <w:widowControl/>
              <w:jc w:val="left"/>
              <w:rPr>
                <w:rFonts w:ascii="Times New Roman" w:eastAsia="等线" w:hAnsi="Times New Roman" w:cs="Times New Roman"/>
                <w:b/>
                <w:bCs/>
                <w:color w:val="1F1F1F"/>
                <w:kern w:val="0"/>
                <w:sz w:val="18"/>
                <w:szCs w:val="18"/>
                <w14:ligatures w14:val="none"/>
              </w:rPr>
            </w:pPr>
          </w:p>
        </w:tc>
        <w:tc>
          <w:tcPr>
            <w:tcW w:w="161" w:type="pct"/>
            <w:vMerge/>
            <w:tcBorders>
              <w:top w:val="single" w:sz="8" w:space="0" w:color="auto"/>
              <w:bottom w:val="single" w:sz="8" w:space="0" w:color="auto"/>
            </w:tcBorders>
          </w:tcPr>
          <w:p w14:paraId="035006A8" w14:textId="77777777" w:rsidR="00820880" w:rsidRPr="00360EA1" w:rsidRDefault="00820880" w:rsidP="00360EA1">
            <w:pPr>
              <w:widowControl/>
              <w:jc w:val="left"/>
              <w:rPr>
                <w:rFonts w:ascii="Times New Roman" w:eastAsia="等线" w:hAnsi="Times New Roman" w:cs="Times New Roman"/>
                <w:color w:val="1F1F1F"/>
                <w:kern w:val="0"/>
                <w:sz w:val="18"/>
                <w:szCs w:val="18"/>
                <w14:ligatures w14:val="none"/>
              </w:rPr>
            </w:pPr>
          </w:p>
        </w:tc>
        <w:tc>
          <w:tcPr>
            <w:tcW w:w="161" w:type="pct"/>
            <w:vMerge/>
            <w:tcBorders>
              <w:top w:val="single" w:sz="8" w:space="0" w:color="auto"/>
              <w:bottom w:val="single" w:sz="8" w:space="0" w:color="auto"/>
            </w:tcBorders>
          </w:tcPr>
          <w:p w14:paraId="301C01B2" w14:textId="77777777" w:rsidR="00820880" w:rsidRPr="00360EA1" w:rsidRDefault="00820880" w:rsidP="00360EA1">
            <w:pPr>
              <w:widowControl/>
              <w:jc w:val="left"/>
              <w:rPr>
                <w:rFonts w:ascii="Times New Roman" w:eastAsia="等线" w:hAnsi="Times New Roman" w:cs="Times New Roman"/>
                <w:color w:val="1F1F1F"/>
                <w:kern w:val="0"/>
                <w:sz w:val="18"/>
                <w:szCs w:val="18"/>
                <w14:ligatures w14:val="none"/>
              </w:rPr>
            </w:pPr>
          </w:p>
        </w:tc>
        <w:tc>
          <w:tcPr>
            <w:tcW w:w="161" w:type="pct"/>
            <w:vMerge/>
            <w:tcBorders>
              <w:top w:val="single" w:sz="8" w:space="0" w:color="auto"/>
              <w:bottom w:val="single" w:sz="8" w:space="0" w:color="auto"/>
            </w:tcBorders>
          </w:tcPr>
          <w:p w14:paraId="3D79D904" w14:textId="77777777" w:rsidR="00820880" w:rsidRPr="00360EA1" w:rsidRDefault="00820880" w:rsidP="00360EA1">
            <w:pPr>
              <w:widowControl/>
              <w:jc w:val="left"/>
              <w:rPr>
                <w:rFonts w:ascii="Times New Roman" w:eastAsia="等线" w:hAnsi="Times New Roman" w:cs="Times New Roman"/>
                <w:color w:val="1F1F1F"/>
                <w:kern w:val="0"/>
                <w:sz w:val="18"/>
                <w:szCs w:val="18"/>
                <w14:ligatures w14:val="none"/>
              </w:rPr>
            </w:pPr>
          </w:p>
        </w:tc>
        <w:tc>
          <w:tcPr>
            <w:tcW w:w="161" w:type="pct"/>
            <w:vMerge/>
            <w:tcBorders>
              <w:top w:val="single" w:sz="8" w:space="0" w:color="auto"/>
              <w:bottom w:val="single" w:sz="8" w:space="0" w:color="auto"/>
            </w:tcBorders>
          </w:tcPr>
          <w:p w14:paraId="068746A6" w14:textId="77777777" w:rsidR="00820880" w:rsidRPr="00360EA1" w:rsidRDefault="00820880" w:rsidP="00360EA1">
            <w:pPr>
              <w:widowControl/>
              <w:jc w:val="left"/>
              <w:rPr>
                <w:rFonts w:ascii="Times New Roman" w:eastAsia="等线" w:hAnsi="Times New Roman" w:cs="Times New Roman"/>
                <w:color w:val="1F1F1F"/>
                <w:kern w:val="0"/>
                <w:sz w:val="18"/>
                <w:szCs w:val="18"/>
                <w14:ligatures w14:val="none"/>
              </w:rPr>
            </w:pPr>
          </w:p>
        </w:tc>
        <w:tc>
          <w:tcPr>
            <w:tcW w:w="161" w:type="pct"/>
            <w:vMerge/>
            <w:tcBorders>
              <w:top w:val="single" w:sz="8" w:space="0" w:color="auto"/>
              <w:bottom w:val="single" w:sz="8" w:space="0" w:color="auto"/>
            </w:tcBorders>
          </w:tcPr>
          <w:p w14:paraId="0EADF9C4" w14:textId="77777777" w:rsidR="00820880" w:rsidRPr="00360EA1" w:rsidRDefault="00820880" w:rsidP="00360EA1">
            <w:pPr>
              <w:widowControl/>
              <w:jc w:val="left"/>
              <w:rPr>
                <w:rFonts w:ascii="Times New Roman" w:eastAsia="等线" w:hAnsi="Times New Roman" w:cs="Times New Roman"/>
                <w:color w:val="1F1F1F"/>
                <w:kern w:val="0"/>
                <w:sz w:val="18"/>
                <w:szCs w:val="18"/>
                <w14:ligatures w14:val="none"/>
              </w:rPr>
            </w:pPr>
          </w:p>
        </w:tc>
        <w:tc>
          <w:tcPr>
            <w:tcW w:w="161" w:type="pct"/>
            <w:vMerge/>
            <w:tcBorders>
              <w:top w:val="single" w:sz="8" w:space="0" w:color="auto"/>
              <w:bottom w:val="single" w:sz="8" w:space="0" w:color="auto"/>
            </w:tcBorders>
          </w:tcPr>
          <w:p w14:paraId="4353952B" w14:textId="77777777" w:rsidR="00820880" w:rsidRPr="00360EA1" w:rsidRDefault="00820880" w:rsidP="00360EA1">
            <w:pPr>
              <w:widowControl/>
              <w:jc w:val="left"/>
              <w:rPr>
                <w:rFonts w:ascii="Times New Roman" w:eastAsia="等线" w:hAnsi="Times New Roman" w:cs="Times New Roman"/>
                <w:color w:val="1F1F1F"/>
                <w:kern w:val="0"/>
                <w:sz w:val="18"/>
                <w:szCs w:val="18"/>
                <w14:ligatures w14:val="none"/>
              </w:rPr>
            </w:pPr>
          </w:p>
        </w:tc>
        <w:tc>
          <w:tcPr>
            <w:tcW w:w="967" w:type="pct"/>
            <w:gridSpan w:val="6"/>
            <w:tcBorders>
              <w:top w:val="single" w:sz="8" w:space="0" w:color="auto"/>
              <w:bottom w:val="single" w:sz="8" w:space="0" w:color="auto"/>
            </w:tcBorders>
            <w:tcMar>
              <w:top w:w="80" w:type="dxa"/>
              <w:left w:w="80" w:type="dxa"/>
              <w:bottom w:w="80" w:type="dxa"/>
              <w:right w:w="80" w:type="dxa"/>
            </w:tcMar>
            <w:vAlign w:val="center"/>
          </w:tcPr>
          <w:p w14:paraId="788E589A" w14:textId="77777777" w:rsidR="00820880" w:rsidRPr="00360EA1" w:rsidRDefault="00820880" w:rsidP="00360EA1">
            <w:pPr>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(Outcome: SIV uptake and SOC)</w:t>
            </w:r>
          </w:p>
        </w:tc>
        <w:tc>
          <w:tcPr>
            <w:tcW w:w="161" w:type="pct"/>
            <w:vMerge/>
            <w:tcBorders>
              <w:top w:val="single" w:sz="8" w:space="0" w:color="auto"/>
              <w:bottom w:val="single" w:sz="8" w:space="0" w:color="auto"/>
            </w:tcBorders>
          </w:tcPr>
          <w:p w14:paraId="07E9FED0" w14:textId="77777777" w:rsidR="00820880" w:rsidRPr="00360EA1" w:rsidRDefault="00820880" w:rsidP="00360EA1">
            <w:pPr>
              <w:widowControl/>
              <w:jc w:val="left"/>
              <w:rPr>
                <w:rFonts w:ascii="Times New Roman" w:eastAsia="等线" w:hAnsi="Times New Roman" w:cs="Times New Roman"/>
                <w:color w:val="1F1F1F"/>
                <w:kern w:val="0"/>
                <w:sz w:val="18"/>
                <w:szCs w:val="18"/>
                <w14:ligatures w14:val="none"/>
              </w:rPr>
            </w:pPr>
          </w:p>
        </w:tc>
        <w:tc>
          <w:tcPr>
            <w:tcW w:w="246" w:type="pct"/>
            <w:vMerge/>
            <w:tcBorders>
              <w:top w:val="single" w:sz="8" w:space="0" w:color="auto"/>
              <w:bottom w:val="single" w:sz="8" w:space="0" w:color="auto"/>
            </w:tcBorders>
          </w:tcPr>
          <w:p w14:paraId="36E13693" w14:textId="77777777" w:rsidR="00820880" w:rsidRPr="00360EA1" w:rsidRDefault="00820880" w:rsidP="00360EA1">
            <w:pPr>
              <w:widowControl/>
              <w:jc w:val="left"/>
              <w:rPr>
                <w:rFonts w:ascii="Times New Roman" w:eastAsia="等线" w:hAnsi="Times New Roman" w:cs="Times New Roman"/>
                <w:color w:val="1F1F1F"/>
                <w:kern w:val="0"/>
                <w:sz w:val="18"/>
                <w:szCs w:val="18"/>
                <w14:ligatures w14:val="none"/>
              </w:rPr>
            </w:pPr>
          </w:p>
        </w:tc>
        <w:tc>
          <w:tcPr>
            <w:tcW w:w="2176" w:type="pct"/>
            <w:vMerge/>
            <w:tcBorders>
              <w:top w:val="single" w:sz="8" w:space="0" w:color="auto"/>
              <w:bottom w:val="single" w:sz="8" w:space="0" w:color="auto"/>
              <w:right w:val="nil"/>
            </w:tcBorders>
          </w:tcPr>
          <w:p w14:paraId="78F7640A" w14:textId="77777777" w:rsidR="00820880" w:rsidRPr="00360EA1" w:rsidRDefault="00820880" w:rsidP="00360EA1">
            <w:pPr>
              <w:widowControl/>
              <w:jc w:val="left"/>
              <w:rPr>
                <w:rFonts w:ascii="Times New Roman" w:eastAsia="等线" w:hAnsi="Times New Roman" w:cs="Times New Roman"/>
                <w:color w:val="1F1F1F"/>
                <w:kern w:val="0"/>
                <w:sz w:val="18"/>
                <w:szCs w:val="18"/>
                <w14:ligatures w14:val="none"/>
              </w:rPr>
            </w:pPr>
          </w:p>
        </w:tc>
      </w:tr>
    </w:tbl>
    <w:p w14:paraId="50821451" w14:textId="77777777" w:rsidR="00B34DBE" w:rsidRDefault="00B34DBE" w:rsidP="00087511">
      <w:pPr>
        <w:jc w:val="center"/>
        <w:rPr>
          <w:rFonts w:ascii="Times New Roman" w:eastAsia="等线" w:hAnsi="Times New Roman" w:cs="Times New Roman"/>
          <w:b/>
          <w:bCs/>
          <w:color w:val="1F1F1F"/>
          <w:kern w:val="0"/>
          <w:sz w:val="24"/>
          <w:szCs w:val="24"/>
          <w14:ligatures w14:val="none"/>
        </w:rPr>
      </w:pPr>
    </w:p>
    <w:p w14:paraId="29524E14" w14:textId="062F4071" w:rsidR="00A30BDD" w:rsidRPr="00A30BDD" w:rsidRDefault="005B4CDC" w:rsidP="00A30BDD">
      <w:pPr>
        <w:rPr>
          <w:rFonts w:ascii="Times New Roman" w:eastAsia="等线" w:hAnsi="Times New Roman" w:cs="Times New Roman"/>
          <w:b/>
          <w:bCs/>
          <w:color w:val="1F1F1F"/>
          <w:kern w:val="0"/>
          <w:sz w:val="24"/>
          <w:szCs w:val="24"/>
          <w14:ligatures w14:val="none"/>
        </w:rPr>
      </w:pPr>
      <w:r>
        <w:rPr>
          <w:rFonts w:ascii="Times New Roman" w:eastAsia="等线" w:hAnsi="Times New Roman" w:cs="Times New Roman"/>
          <w:b/>
          <w:bCs/>
          <w:color w:val="1F1F1F"/>
          <w:kern w:val="0"/>
          <w:sz w:val="24"/>
          <w:szCs w:val="24"/>
          <w14:ligatures w14:val="none"/>
        </w:rPr>
        <w:t>C4</w:t>
      </w:r>
      <w:r w:rsidR="00A30BDD">
        <w:rPr>
          <w:rFonts w:ascii="Times New Roman" w:eastAsia="等线" w:hAnsi="Times New Roman" w:cs="Times New Roman"/>
          <w:b/>
          <w:bCs/>
          <w:color w:val="1F1F1F"/>
          <w:kern w:val="0"/>
          <w:sz w:val="24"/>
          <w:szCs w:val="24"/>
          <w14:ligatures w14:val="none"/>
        </w:rPr>
        <w:t>. Qualitative Research</w:t>
      </w:r>
    </w:p>
    <w:p w14:paraId="558A2942" w14:textId="58F69EF4" w:rsidR="00A30BDD" w:rsidRPr="00A30BDD" w:rsidRDefault="00A30BDD" w:rsidP="00A30BDD">
      <w:pPr>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 xml:space="preserve">The methodological quality and risk of bias of qualitative research papers were critically evaluated using the JBI qualitative assessment tool, aligned with the methodological guidance for qualitative research synthesis (Lockwood et al., 2015). </w:t>
      </w:r>
      <w:r>
        <w:rPr>
          <w:rFonts w:ascii="Times New Roman" w:eastAsia="等线" w:hAnsi="Times New Roman" w:cs="Times New Roman"/>
          <w:b/>
          <w:bCs/>
          <w:color w:val="1F1F1F"/>
          <w:kern w:val="0"/>
          <w:sz w:val="24"/>
          <w:szCs w:val="24"/>
          <w14:ligatures w14:val="none"/>
        </w:rPr>
        <w:t xml:space="preserve">Table </w:t>
      </w:r>
      <w:r w:rsidR="005B4CDC">
        <w:rPr>
          <w:rFonts w:ascii="Times New Roman" w:eastAsia="等线" w:hAnsi="Times New Roman" w:cs="Times New Roman"/>
          <w:b/>
          <w:bCs/>
          <w:color w:val="1F1F1F"/>
          <w:kern w:val="0"/>
          <w:sz w:val="24"/>
          <w:szCs w:val="24"/>
          <w14:ligatures w14:val="none"/>
        </w:rPr>
        <w:t>C4</w:t>
      </w:r>
      <w:r>
        <w:rPr>
          <w:rFonts w:ascii="Times New Roman" w:eastAsia="等线" w:hAnsi="Times New Roman" w:cs="Times New Roman"/>
          <w:b/>
          <w:bCs/>
          <w:color w:val="1F1F1F"/>
          <w:kern w:val="0"/>
          <w:sz w:val="24"/>
          <w:szCs w:val="24"/>
          <w14:ligatures w14:val="none"/>
        </w:rPr>
        <w:t>b</w:t>
      </w:r>
      <w:r>
        <w:rPr>
          <w:rFonts w:ascii="Times New Roman" w:eastAsia="等线" w:hAnsi="Times New Roman" w:cs="Times New Roman"/>
          <w:color w:val="1F1F1F"/>
          <w:kern w:val="0"/>
          <w:sz w:val="24"/>
          <w:szCs w:val="24"/>
          <w14:ligatures w14:val="none"/>
        </w:rPr>
        <w:t xml:space="preserve"> provides the detailed evaluation results derived from this appraisal method.</w:t>
      </w:r>
    </w:p>
    <w:p w14:paraId="305DBA92" w14:textId="77777777" w:rsidR="00B34DBE" w:rsidRPr="00A30BDD" w:rsidRDefault="00B34DBE" w:rsidP="00A30BDD">
      <w:pPr>
        <w:rPr>
          <w:rFonts w:ascii="Times New Roman" w:eastAsia="等线" w:hAnsi="Times New Roman" w:cs="Times New Roman"/>
          <w:b/>
          <w:bCs/>
          <w:color w:val="1F1F1F"/>
          <w:kern w:val="0"/>
          <w:sz w:val="24"/>
          <w:szCs w:val="24"/>
          <w14:ligatures w14:val="none"/>
        </w:rPr>
      </w:pPr>
    </w:p>
    <w:p w14:paraId="08686C2C" w14:textId="2335EC68" w:rsidR="002661AA" w:rsidRPr="00D92F0F" w:rsidRDefault="002661AA" w:rsidP="002661AA">
      <w:pPr>
        <w:jc w:val="center"/>
        <w:rPr>
          <w:rFonts w:ascii="Times New Roman" w:eastAsia="等线" w:hAnsi="Times New Roman" w:cs="Times New Roman"/>
          <w:color w:val="1F1F1F"/>
          <w:kern w:val="0"/>
          <w:sz w:val="24"/>
          <w:szCs w:val="24"/>
          <w14:ligatures w14:val="none"/>
        </w:rPr>
      </w:pPr>
      <w:r>
        <w:rPr>
          <w:rFonts w:ascii="Times New Roman" w:eastAsia="等线" w:hAnsi="Times New Roman" w:cs="Times New Roman" w:hint="eastAsia"/>
          <w:b/>
          <w:bCs/>
          <w:color w:val="1F1F1F"/>
          <w:kern w:val="0"/>
          <w:sz w:val="24"/>
          <w:szCs w:val="24"/>
          <w14:ligatures w14:val="none"/>
        </w:rPr>
        <w:t xml:space="preserve">Table </w:t>
      </w:r>
      <w:r w:rsidR="005B4CDC">
        <w:rPr>
          <w:rFonts w:ascii="Times New Roman" w:eastAsia="等线" w:hAnsi="Times New Roman" w:cs="Times New Roman" w:hint="eastAsia"/>
          <w:b/>
          <w:bCs/>
          <w:color w:val="1F1F1F"/>
          <w:kern w:val="0"/>
          <w:sz w:val="24"/>
          <w:szCs w:val="24"/>
          <w14:ligatures w14:val="none"/>
        </w:rPr>
        <w:t>C4</w:t>
      </w:r>
      <w:r>
        <w:rPr>
          <w:rFonts w:ascii="Times New Roman" w:eastAsia="等线" w:hAnsi="Times New Roman" w:cs="Times New Roman" w:hint="eastAsia"/>
          <w:b/>
          <w:bCs/>
          <w:color w:val="1F1F1F"/>
          <w:kern w:val="0"/>
          <w:sz w:val="24"/>
          <w:szCs w:val="24"/>
          <w14:ligatures w14:val="none"/>
        </w:rPr>
        <w:t>a.</w:t>
      </w:r>
      <w:r>
        <w:rPr>
          <w:rFonts w:ascii="Times New Roman" w:eastAsia="等线" w:hAnsi="Times New Roman" w:cs="Times New Roman" w:hint="eastAsia"/>
          <w:color w:val="1F1F1F"/>
          <w:kern w:val="0"/>
          <w:sz w:val="24"/>
          <w:szCs w:val="24"/>
          <w14:ligatures w14:val="none"/>
        </w:rPr>
        <w:t xml:space="preserve"> JBI Critical Appraisal Question for </w:t>
      </w:r>
      <w:r>
        <w:rPr>
          <w:rFonts w:ascii="Times New Roman" w:eastAsia="等线" w:hAnsi="Times New Roman" w:cs="Times New Roman"/>
          <w:color w:val="1F1F1F"/>
          <w:kern w:val="0"/>
          <w:sz w:val="24"/>
          <w:szCs w:val="24"/>
          <w14:ligatures w14:val="none"/>
        </w:rPr>
        <w:t>Qualitative Research</w:t>
      </w:r>
      <w:r>
        <w:rPr>
          <w:rFonts w:ascii="Times New Roman" w:eastAsia="等线" w:hAnsi="Times New Roman" w:cs="Times New Roman" w:hint="eastAsia"/>
          <w:color w:val="1F1F1F"/>
          <w:kern w:val="0"/>
          <w:sz w:val="24"/>
          <w:szCs w:val="24"/>
          <w14:ligatures w14:val="none"/>
        </w:rPr>
        <w:t xml:space="preserve"> </w:t>
      </w:r>
    </w:p>
    <w:tbl>
      <w:tblPr>
        <w:tblStyle w:val="21"/>
        <w:tblW w:w="0" w:type="auto"/>
        <w:jc w:val="center"/>
        <w:tblLook w:val="04A0" w:firstRow="1" w:lastRow="0" w:firstColumn="1" w:lastColumn="0" w:noHBand="0" w:noVBand="1"/>
      </w:tblPr>
      <w:tblGrid>
        <w:gridCol w:w="1070"/>
        <w:gridCol w:w="13441"/>
      </w:tblGrid>
      <w:tr w:rsidR="002661AA" w:rsidRPr="00D92F0F" w14:paraId="672CAA92" w14:textId="77777777" w:rsidTr="00666A2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hideMark/>
          </w:tcPr>
          <w:p w14:paraId="290A8E48" w14:textId="77777777" w:rsidR="002661AA" w:rsidRPr="00D92F0F" w:rsidRDefault="002661AA" w:rsidP="00666A2F">
            <w:pPr>
              <w:jc w:val="lef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Number</w:t>
            </w:r>
          </w:p>
        </w:tc>
        <w:tc>
          <w:tcPr>
            <w:tcW w:w="0" w:type="auto"/>
            <w:tcBorders>
              <w:top w:val="single" w:sz="8" w:space="0" w:color="auto"/>
              <w:bottom w:val="single" w:sz="8" w:space="0" w:color="auto"/>
            </w:tcBorders>
            <w:hideMark/>
          </w:tcPr>
          <w:p w14:paraId="15011FC6" w14:textId="77777777" w:rsidR="002661AA" w:rsidRPr="00D92F0F" w:rsidRDefault="002661AA" w:rsidP="00666A2F">
            <w:pPr>
              <w:jc w:val="left"/>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Question</w:t>
            </w:r>
          </w:p>
        </w:tc>
      </w:tr>
      <w:tr w:rsidR="002661AA" w:rsidRPr="00D92F0F" w14:paraId="5C23CDBB"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nil"/>
            </w:tcBorders>
            <w:hideMark/>
          </w:tcPr>
          <w:p w14:paraId="3798935B"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1</w:t>
            </w:r>
          </w:p>
        </w:tc>
        <w:tc>
          <w:tcPr>
            <w:tcW w:w="0" w:type="auto"/>
            <w:tcBorders>
              <w:top w:val="single" w:sz="8" w:space="0" w:color="auto"/>
              <w:bottom w:val="nil"/>
            </w:tcBorders>
            <w:hideMark/>
          </w:tcPr>
          <w:p w14:paraId="7359EE9C" w14:textId="77777777" w:rsidR="002661AA" w:rsidRPr="00CE5463"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Is there congruity between the stated philosophical perspective and the research methodology?</w:t>
            </w:r>
          </w:p>
        </w:tc>
      </w:tr>
      <w:tr w:rsidR="002661AA" w:rsidRPr="00D92F0F" w14:paraId="19479F22"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49870E6"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2</w:t>
            </w:r>
          </w:p>
        </w:tc>
        <w:tc>
          <w:tcPr>
            <w:tcW w:w="0" w:type="auto"/>
            <w:tcBorders>
              <w:top w:val="nil"/>
              <w:bottom w:val="nil"/>
            </w:tcBorders>
            <w:hideMark/>
          </w:tcPr>
          <w:p w14:paraId="47300BF5" w14:textId="77777777" w:rsidR="002661AA" w:rsidRPr="00CE5463"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Is there congruity between the research methodology and the research question or objectives?</w:t>
            </w:r>
          </w:p>
        </w:tc>
      </w:tr>
      <w:tr w:rsidR="002661AA" w:rsidRPr="00D92F0F" w14:paraId="0CCBB443"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BB088C1"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3</w:t>
            </w:r>
          </w:p>
        </w:tc>
        <w:tc>
          <w:tcPr>
            <w:tcW w:w="0" w:type="auto"/>
            <w:tcBorders>
              <w:top w:val="nil"/>
              <w:bottom w:val="nil"/>
            </w:tcBorders>
            <w:hideMark/>
          </w:tcPr>
          <w:p w14:paraId="6E7B5729" w14:textId="77777777" w:rsidR="002661AA" w:rsidRPr="00CE5463"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Is there congruity between the research methodology and the methods used to collect data?</w:t>
            </w:r>
          </w:p>
        </w:tc>
      </w:tr>
      <w:tr w:rsidR="002661AA" w:rsidRPr="00D92F0F" w14:paraId="2A036DF2"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DCF2542"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4</w:t>
            </w:r>
          </w:p>
        </w:tc>
        <w:tc>
          <w:tcPr>
            <w:tcW w:w="0" w:type="auto"/>
            <w:tcBorders>
              <w:top w:val="nil"/>
              <w:bottom w:val="nil"/>
            </w:tcBorders>
            <w:hideMark/>
          </w:tcPr>
          <w:p w14:paraId="0ED55AA7" w14:textId="77777777" w:rsidR="002661AA" w:rsidRPr="00CE5463"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Is there congruity between the research methodology and the representation and analysis of data?</w:t>
            </w:r>
          </w:p>
        </w:tc>
      </w:tr>
      <w:tr w:rsidR="002661AA" w:rsidRPr="00D92F0F" w14:paraId="0261C531"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09D9602"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5</w:t>
            </w:r>
          </w:p>
        </w:tc>
        <w:tc>
          <w:tcPr>
            <w:tcW w:w="0" w:type="auto"/>
            <w:tcBorders>
              <w:top w:val="nil"/>
              <w:bottom w:val="nil"/>
            </w:tcBorders>
            <w:hideMark/>
          </w:tcPr>
          <w:p w14:paraId="1890B44E" w14:textId="77777777" w:rsidR="002661AA" w:rsidRPr="00CE5463"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Is there congruity between the research methodology and the interpretation of results?</w:t>
            </w:r>
          </w:p>
        </w:tc>
      </w:tr>
      <w:tr w:rsidR="002661AA" w:rsidRPr="00D92F0F" w14:paraId="4331C2A5"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BD6ACC2"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6</w:t>
            </w:r>
          </w:p>
        </w:tc>
        <w:tc>
          <w:tcPr>
            <w:tcW w:w="0" w:type="auto"/>
            <w:tcBorders>
              <w:top w:val="nil"/>
              <w:bottom w:val="nil"/>
            </w:tcBorders>
            <w:hideMark/>
          </w:tcPr>
          <w:p w14:paraId="75AE8503" w14:textId="77777777" w:rsidR="002661AA" w:rsidRPr="00CE5463"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Is there a statement locating the researcher culturally or theoretically?</w:t>
            </w:r>
          </w:p>
        </w:tc>
      </w:tr>
      <w:tr w:rsidR="002661AA" w:rsidRPr="00D92F0F" w14:paraId="7B092E7E"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70505D6"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7</w:t>
            </w:r>
          </w:p>
        </w:tc>
        <w:tc>
          <w:tcPr>
            <w:tcW w:w="0" w:type="auto"/>
            <w:tcBorders>
              <w:top w:val="nil"/>
              <w:bottom w:val="nil"/>
            </w:tcBorders>
            <w:hideMark/>
          </w:tcPr>
          <w:p w14:paraId="46BDD109" w14:textId="77777777" w:rsidR="002661AA" w:rsidRPr="00CE5463"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Is the influence of the researcher on the research, and vice- versa, addressed?</w:t>
            </w:r>
          </w:p>
        </w:tc>
      </w:tr>
      <w:tr w:rsidR="002661AA" w:rsidRPr="00D92F0F" w14:paraId="1EC6A2D2"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A498B04"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lastRenderedPageBreak/>
              <w:t>8</w:t>
            </w:r>
          </w:p>
        </w:tc>
        <w:tc>
          <w:tcPr>
            <w:tcW w:w="0" w:type="auto"/>
            <w:tcBorders>
              <w:top w:val="nil"/>
              <w:bottom w:val="nil"/>
            </w:tcBorders>
            <w:hideMark/>
          </w:tcPr>
          <w:p w14:paraId="6266DA03" w14:textId="77777777" w:rsidR="002661AA" w:rsidRPr="00CE5463"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Are participants, and their voices, adequately represented?</w:t>
            </w:r>
          </w:p>
        </w:tc>
      </w:tr>
      <w:tr w:rsidR="002661AA" w:rsidRPr="00D92F0F" w14:paraId="752BB75F"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45612430"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9</w:t>
            </w:r>
          </w:p>
        </w:tc>
        <w:tc>
          <w:tcPr>
            <w:tcW w:w="0" w:type="auto"/>
            <w:tcBorders>
              <w:top w:val="nil"/>
              <w:bottom w:val="nil"/>
            </w:tcBorders>
            <w:hideMark/>
          </w:tcPr>
          <w:p w14:paraId="3AB60D5F" w14:textId="77777777" w:rsidR="002661AA" w:rsidRPr="00CE5463"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Is the research ethical according to current criteria or, for recent studies, and is there evidence of ethical approval by an appropriate body?</w:t>
            </w:r>
          </w:p>
        </w:tc>
      </w:tr>
      <w:tr w:rsidR="002661AA" w:rsidRPr="00D92F0F" w14:paraId="59D61736"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8" w:space="0" w:color="auto"/>
            </w:tcBorders>
            <w:hideMark/>
          </w:tcPr>
          <w:p w14:paraId="2926AAC1" w14:textId="77777777" w:rsidR="002661AA" w:rsidRPr="00D92F0F" w:rsidRDefault="002661AA"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10</w:t>
            </w:r>
          </w:p>
        </w:tc>
        <w:tc>
          <w:tcPr>
            <w:tcW w:w="0" w:type="auto"/>
            <w:tcBorders>
              <w:top w:val="nil"/>
              <w:bottom w:val="single" w:sz="8" w:space="0" w:color="auto"/>
            </w:tcBorders>
            <w:hideMark/>
          </w:tcPr>
          <w:p w14:paraId="4B716FAD" w14:textId="77777777" w:rsidR="002661AA" w:rsidRPr="00CE5463"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Do the conclusions drawn in the research report flow from the analysis, or interpretation, of the data?</w:t>
            </w:r>
          </w:p>
        </w:tc>
      </w:tr>
    </w:tbl>
    <w:p w14:paraId="0F233BCB" w14:textId="77777777" w:rsidR="00CE5463" w:rsidRPr="002661AA" w:rsidRDefault="00CE5463" w:rsidP="00454A54">
      <w:pPr>
        <w:rPr>
          <w:rFonts w:hint="eastAsia"/>
        </w:rPr>
      </w:pPr>
    </w:p>
    <w:p w14:paraId="55B98D9F" w14:textId="307D7E5F" w:rsidR="00281291" w:rsidRPr="008A13FB" w:rsidRDefault="008A13FB" w:rsidP="008A13FB">
      <w:pPr>
        <w:jc w:val="center"/>
        <w:rPr>
          <w:rFonts w:ascii="Times New Roman" w:hAnsi="Times New Roman" w:cs="Times New Roman"/>
          <w:sz w:val="24"/>
          <w:szCs w:val="24"/>
        </w:rPr>
      </w:pPr>
      <w:r>
        <w:rPr>
          <w:rFonts w:ascii="Times New Roman" w:eastAsia="等线" w:hAnsi="Times New Roman" w:cs="Times New Roman" w:hint="eastAsia"/>
          <w:b/>
          <w:bCs/>
          <w:color w:val="1F1F1F"/>
          <w:kern w:val="0"/>
          <w:sz w:val="24"/>
          <w:szCs w:val="24"/>
          <w14:ligatures w14:val="none"/>
        </w:rPr>
        <w:t xml:space="preserve">Table </w:t>
      </w:r>
      <w:r w:rsidR="005B4CDC">
        <w:rPr>
          <w:rFonts w:ascii="Times New Roman" w:eastAsia="等线" w:hAnsi="Times New Roman" w:cs="Times New Roman" w:hint="eastAsia"/>
          <w:b/>
          <w:bCs/>
          <w:color w:val="1F1F1F"/>
          <w:kern w:val="0"/>
          <w:sz w:val="24"/>
          <w:szCs w:val="24"/>
          <w14:ligatures w14:val="none"/>
        </w:rPr>
        <w:t>C4</w:t>
      </w:r>
      <w:r>
        <w:rPr>
          <w:rFonts w:ascii="Times New Roman" w:eastAsia="等线" w:hAnsi="Times New Roman" w:cs="Times New Roman" w:hint="eastAsia"/>
          <w:b/>
          <w:bCs/>
          <w:color w:val="1F1F1F"/>
          <w:kern w:val="0"/>
          <w:sz w:val="24"/>
          <w:szCs w:val="24"/>
          <w14:ligatures w14:val="none"/>
        </w:rPr>
        <w:t xml:space="preserve">b. </w:t>
      </w:r>
      <w:r>
        <w:rPr>
          <w:rFonts w:ascii="Times New Roman" w:hAnsi="Times New Roman" w:cs="Times New Roman" w:hint="eastAsia"/>
          <w:sz w:val="24"/>
          <w:szCs w:val="24"/>
        </w:rPr>
        <w:t>JBI Guidelines on the Assessment of Risk of Bias in Qualitative Research Papers</w:t>
      </w:r>
    </w:p>
    <w:tbl>
      <w:tblPr>
        <w:tblStyle w:val="af3"/>
        <w:tblW w:w="0" w:type="auto"/>
        <w:tblLook w:val="04A0" w:firstRow="1" w:lastRow="0" w:firstColumn="1" w:lastColumn="0" w:noHBand="0" w:noVBand="1"/>
      </w:tblPr>
      <w:tblGrid>
        <w:gridCol w:w="1226"/>
        <w:gridCol w:w="466"/>
        <w:gridCol w:w="736"/>
        <w:gridCol w:w="446"/>
        <w:gridCol w:w="446"/>
        <w:gridCol w:w="446"/>
        <w:gridCol w:w="447"/>
        <w:gridCol w:w="737"/>
        <w:gridCol w:w="447"/>
        <w:gridCol w:w="447"/>
        <w:gridCol w:w="447"/>
        <w:gridCol w:w="730"/>
        <w:gridCol w:w="751"/>
        <w:gridCol w:w="7626"/>
      </w:tblGrid>
      <w:tr w:rsidR="00281291" w:rsidRPr="007657B6" w14:paraId="7D19A308" w14:textId="77777777" w:rsidTr="007F435E">
        <w:trPr>
          <w:trHeight w:val="283"/>
          <w:tblHeader/>
        </w:trPr>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4A7AF36A" w14:textId="77777777" w:rsidR="007657B6" w:rsidRPr="007657B6" w:rsidRDefault="007657B6" w:rsidP="00281291">
            <w:pPr>
              <w:widowControl/>
              <w:jc w:val="center"/>
              <w:rPr>
                <w:rFonts w:ascii="宋体" w:eastAsia="宋体" w:hAnsi="宋体" w:cs="宋体" w:hint="eastAsia"/>
                <w:kern w:val="0"/>
                <w:sz w:val="18"/>
                <w:szCs w:val="18"/>
                <w14:ligatures w14:val="none"/>
              </w:rPr>
            </w:pP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69D8FD80" w14:textId="77777777" w:rsidR="007657B6" w:rsidRPr="007657B6"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Rev</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44820917" w14:textId="77777777" w:rsidR="007657B6" w:rsidRPr="007657B6"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4BA39F48" w14:textId="77777777" w:rsidR="007657B6" w:rsidRPr="007657B6"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2</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5F226485" w14:textId="77777777" w:rsidR="007657B6" w:rsidRPr="007657B6"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3</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45773A94" w14:textId="77777777" w:rsidR="007657B6" w:rsidRPr="007657B6"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4</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0A0F07B3" w14:textId="77777777" w:rsidR="007657B6" w:rsidRPr="007657B6"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5</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7DA71FE3" w14:textId="77777777" w:rsidR="007657B6" w:rsidRPr="007657B6"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6</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0F7F3AB5" w14:textId="77777777" w:rsidR="007657B6" w:rsidRPr="007657B6"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7</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1EFBF352" w14:textId="77777777" w:rsidR="007657B6" w:rsidRPr="007657B6"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8</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42B241CB" w14:textId="77777777" w:rsidR="007657B6" w:rsidRPr="007657B6"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9</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4B92DAA4" w14:textId="77777777" w:rsidR="007657B6" w:rsidRPr="007657B6"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10</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5BDAB3DF" w14:textId="77777777" w:rsidR="007657B6" w:rsidRPr="007657B6"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OA</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70335A3C" w14:textId="77777777" w:rsidR="007657B6" w:rsidRPr="007657B6" w:rsidRDefault="007657B6"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Comments</w:t>
            </w:r>
          </w:p>
        </w:tc>
      </w:tr>
      <w:tr w:rsidR="00820880" w:rsidRPr="007657B6" w14:paraId="6777A686" w14:textId="77777777" w:rsidTr="007F435E">
        <w:trPr>
          <w:trHeight w:val="488"/>
        </w:trPr>
        <w:tc>
          <w:tcPr>
            <w:tcW w:w="0" w:type="auto"/>
            <w:vMerge w:val="restart"/>
            <w:tcBorders>
              <w:top w:val="single" w:sz="8" w:space="0" w:color="auto"/>
              <w:left w:val="nil"/>
            </w:tcBorders>
            <w:tcMar>
              <w:top w:w="80" w:type="dxa"/>
              <w:left w:w="80" w:type="dxa"/>
              <w:bottom w:w="80" w:type="dxa"/>
              <w:right w:w="80" w:type="dxa"/>
            </w:tcMar>
            <w:vAlign w:val="center"/>
            <w:hideMark/>
          </w:tcPr>
          <w:p w14:paraId="5B907832" w14:textId="77777777" w:rsidR="00820880" w:rsidRPr="00281291" w:rsidRDefault="00820880" w:rsidP="00281291">
            <w:pPr>
              <w:widowControl/>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(Duque et al., 2021)</w:t>
            </w:r>
          </w:p>
          <w:p w14:paraId="505FED9B" w14:textId="77777777" w:rsidR="00820880" w:rsidRPr="007657B6" w:rsidRDefault="00820880" w:rsidP="00281291">
            <w:pPr>
              <w:widowControl/>
              <w:jc w:val="center"/>
              <w:rPr>
                <w:rFonts w:ascii="Times New Roman" w:eastAsia="等线" w:hAnsi="Times New Roman" w:cs="Times New Roman"/>
                <w:color w:val="000000"/>
                <w:kern w:val="0"/>
                <w:sz w:val="18"/>
                <w:szCs w:val="18"/>
                <w14:ligatures w14:val="none"/>
              </w:rPr>
            </w:pPr>
          </w:p>
        </w:tc>
        <w:tc>
          <w:tcPr>
            <w:tcW w:w="0" w:type="auto"/>
            <w:tcBorders>
              <w:top w:val="single" w:sz="8" w:space="0" w:color="auto"/>
            </w:tcBorders>
            <w:tcMar>
              <w:top w:w="80" w:type="dxa"/>
              <w:left w:w="80" w:type="dxa"/>
              <w:bottom w:w="80" w:type="dxa"/>
              <w:right w:w="80" w:type="dxa"/>
            </w:tcMar>
            <w:vAlign w:val="center"/>
            <w:hideMark/>
          </w:tcPr>
          <w:p w14:paraId="0B2B2C2D" w14:textId="77777777" w:rsidR="00820880" w:rsidRPr="007657B6"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0" w:type="auto"/>
            <w:tcBorders>
              <w:top w:val="single" w:sz="8" w:space="0" w:color="auto"/>
            </w:tcBorders>
            <w:tcMar>
              <w:top w:w="80" w:type="dxa"/>
              <w:left w:w="80" w:type="dxa"/>
              <w:bottom w:w="80" w:type="dxa"/>
              <w:right w:w="80" w:type="dxa"/>
            </w:tcMar>
            <w:vAlign w:val="center"/>
            <w:hideMark/>
          </w:tcPr>
          <w:p w14:paraId="124A7E29"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4ED6AD21"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1CBCBAB5"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0F5384ED"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121F4367"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54698EF3"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709DD385"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71C88DF3"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35FA8E33"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682E1C28"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4BFB1E5F"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top w:val="single" w:sz="8" w:space="0" w:color="auto"/>
              <w:right w:val="nil"/>
            </w:tcBorders>
            <w:tcMar>
              <w:top w:w="80" w:type="dxa"/>
              <w:left w:w="80" w:type="dxa"/>
              <w:bottom w:w="80" w:type="dxa"/>
              <w:right w:w="80" w:type="dxa"/>
            </w:tcMar>
            <w:vAlign w:val="center"/>
            <w:hideMark/>
          </w:tcPr>
          <w:p w14:paraId="7BC8F54E" w14:textId="77777777" w:rsidR="00820880" w:rsidRPr="007657B6"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 highly rigorous ethnographic study. The theoretical framework of design anthropology aligns perfectly with the research objectives and the in-home, participatory data collection methods. The researchers clearly state their reflexive role in the process.</w:t>
            </w:r>
          </w:p>
        </w:tc>
      </w:tr>
      <w:tr w:rsidR="00820880" w:rsidRPr="007657B6" w14:paraId="4DCFF516" w14:textId="77777777" w:rsidTr="007F435E">
        <w:trPr>
          <w:trHeight w:val="44"/>
        </w:trPr>
        <w:tc>
          <w:tcPr>
            <w:tcW w:w="0" w:type="auto"/>
            <w:vMerge/>
            <w:tcBorders>
              <w:left w:val="nil"/>
            </w:tcBorders>
            <w:hideMark/>
          </w:tcPr>
          <w:p w14:paraId="743C3FD0" w14:textId="77777777" w:rsidR="00820880" w:rsidRPr="007657B6" w:rsidRDefault="00820880" w:rsidP="00281291">
            <w:pPr>
              <w:widowControl/>
              <w:rPr>
                <w:rFonts w:ascii="Times New Roman" w:eastAsia="等线" w:hAnsi="Times New Roman" w:cs="Times New Roman"/>
                <w:color w:val="000000"/>
                <w:kern w:val="0"/>
                <w:sz w:val="18"/>
                <w:szCs w:val="18"/>
                <w14:ligatures w14:val="none"/>
              </w:rPr>
            </w:pPr>
          </w:p>
        </w:tc>
        <w:tc>
          <w:tcPr>
            <w:tcW w:w="0" w:type="auto"/>
            <w:tcMar>
              <w:top w:w="80" w:type="dxa"/>
              <w:left w:w="80" w:type="dxa"/>
              <w:bottom w:w="80" w:type="dxa"/>
              <w:right w:w="80" w:type="dxa"/>
            </w:tcMar>
            <w:vAlign w:val="center"/>
            <w:hideMark/>
          </w:tcPr>
          <w:p w14:paraId="4669064C" w14:textId="77777777" w:rsidR="00820880" w:rsidRPr="007657B6"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0" w:type="auto"/>
            <w:tcMar>
              <w:top w:w="80" w:type="dxa"/>
              <w:left w:w="80" w:type="dxa"/>
              <w:bottom w:w="80" w:type="dxa"/>
              <w:right w:w="80" w:type="dxa"/>
            </w:tcMar>
            <w:vAlign w:val="center"/>
            <w:hideMark/>
          </w:tcPr>
          <w:p w14:paraId="462375A3"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964DADC"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0D2D124D"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523C86D"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8CCB6C5"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008C6DC0"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65B0B7C"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0DD45863"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64F7FC2"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2E4F0A2"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3F04D0F"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24C8FE49" w14:textId="77777777" w:rsidR="00820880" w:rsidRPr="007657B6"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Excellent congruity across all methodological steps. The researchers effectively utilized short-term team ethnography and explicitly discussed their interactive influence during the home visits. Ethical approvals and rich participant quotes are adequately documented.</w:t>
            </w:r>
          </w:p>
        </w:tc>
      </w:tr>
      <w:tr w:rsidR="00820880" w:rsidRPr="007657B6" w14:paraId="7F30F19D" w14:textId="77777777" w:rsidTr="007F435E">
        <w:trPr>
          <w:trHeight w:val="377"/>
        </w:trPr>
        <w:tc>
          <w:tcPr>
            <w:tcW w:w="0" w:type="auto"/>
            <w:vMerge w:val="restart"/>
            <w:tcBorders>
              <w:left w:val="nil"/>
            </w:tcBorders>
            <w:tcMar>
              <w:top w:w="80" w:type="dxa"/>
              <w:left w:w="80" w:type="dxa"/>
              <w:bottom w:w="80" w:type="dxa"/>
              <w:right w:w="80" w:type="dxa"/>
            </w:tcMar>
            <w:vAlign w:val="center"/>
            <w:hideMark/>
          </w:tcPr>
          <w:p w14:paraId="3DFA1A2B" w14:textId="77777777" w:rsidR="00820880" w:rsidRPr="00281291" w:rsidRDefault="00820880" w:rsidP="00281291">
            <w:pPr>
              <w:widowControl/>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(Litchfield et al., 2023)</w:t>
            </w:r>
          </w:p>
          <w:p w14:paraId="3ECAC0E8" w14:textId="77777777" w:rsidR="00820880" w:rsidRPr="007657B6" w:rsidRDefault="00820880" w:rsidP="00281291">
            <w:pPr>
              <w:widowControl/>
              <w:jc w:val="center"/>
              <w:rPr>
                <w:rFonts w:ascii="Times New Roman" w:eastAsia="等线" w:hAnsi="Times New Roman" w:cs="Times New Roman"/>
                <w:color w:val="000000"/>
                <w:kern w:val="0"/>
                <w:sz w:val="18"/>
                <w:szCs w:val="18"/>
                <w14:ligatures w14:val="none"/>
              </w:rPr>
            </w:pPr>
          </w:p>
        </w:tc>
        <w:tc>
          <w:tcPr>
            <w:tcW w:w="0" w:type="auto"/>
            <w:tcMar>
              <w:top w:w="80" w:type="dxa"/>
              <w:left w:w="80" w:type="dxa"/>
              <w:bottom w:w="80" w:type="dxa"/>
              <w:right w:w="80" w:type="dxa"/>
            </w:tcMar>
            <w:vAlign w:val="center"/>
            <w:hideMark/>
          </w:tcPr>
          <w:p w14:paraId="03576398" w14:textId="77777777" w:rsidR="00820880" w:rsidRPr="007657B6"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0" w:type="auto"/>
            <w:tcMar>
              <w:top w:w="80" w:type="dxa"/>
              <w:left w:w="80" w:type="dxa"/>
              <w:bottom w:w="80" w:type="dxa"/>
              <w:right w:w="80" w:type="dxa"/>
            </w:tcMar>
            <w:vAlign w:val="center"/>
            <w:hideMark/>
          </w:tcPr>
          <w:p w14:paraId="4A94737E"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C1F883C"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0BA2903"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0C408F2"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B97EFE0"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EDA348D"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041EC657"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Mar>
              <w:top w:w="80" w:type="dxa"/>
              <w:left w:w="80" w:type="dxa"/>
              <w:bottom w:w="80" w:type="dxa"/>
              <w:right w:w="80" w:type="dxa"/>
            </w:tcMar>
            <w:vAlign w:val="center"/>
            <w:hideMark/>
          </w:tcPr>
          <w:p w14:paraId="2BABA52A"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2EC0084"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2DCB3FF"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7F23B24"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32D3B76F" w14:textId="77777777" w:rsidR="00820880" w:rsidRPr="007657B6"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employs qualitative methods (interviews and focus groups) highly appropriate for exploring the implementation of AI tech in social care. Participant voices are clearly presented. However, it lacks a clear statement on the researchers’ cultural position or their reflexive influence on the research.</w:t>
            </w:r>
          </w:p>
        </w:tc>
      </w:tr>
      <w:tr w:rsidR="00820880" w:rsidRPr="007657B6" w14:paraId="5FBC12DB" w14:textId="77777777" w:rsidTr="007F435E">
        <w:trPr>
          <w:trHeight w:val="44"/>
        </w:trPr>
        <w:tc>
          <w:tcPr>
            <w:tcW w:w="0" w:type="auto"/>
            <w:vMerge/>
            <w:tcBorders>
              <w:left w:val="nil"/>
              <w:bottom w:val="single" w:sz="8" w:space="0" w:color="auto"/>
            </w:tcBorders>
            <w:hideMark/>
          </w:tcPr>
          <w:p w14:paraId="13B22181" w14:textId="77777777" w:rsidR="00820880" w:rsidRPr="007657B6" w:rsidRDefault="00820880" w:rsidP="00281291">
            <w:pPr>
              <w:widowControl/>
              <w:rPr>
                <w:rFonts w:ascii="Times New Roman" w:eastAsia="等线" w:hAnsi="Times New Roman" w:cs="Times New Roman"/>
                <w:color w:val="000000"/>
                <w:kern w:val="0"/>
                <w:sz w:val="18"/>
                <w:szCs w:val="18"/>
                <w14:ligatures w14:val="none"/>
              </w:rPr>
            </w:pPr>
          </w:p>
        </w:tc>
        <w:tc>
          <w:tcPr>
            <w:tcW w:w="0" w:type="auto"/>
            <w:tcBorders>
              <w:bottom w:val="single" w:sz="8" w:space="0" w:color="auto"/>
            </w:tcBorders>
            <w:tcMar>
              <w:top w:w="80" w:type="dxa"/>
              <w:left w:w="80" w:type="dxa"/>
              <w:bottom w:w="80" w:type="dxa"/>
              <w:right w:w="80" w:type="dxa"/>
            </w:tcMar>
            <w:vAlign w:val="center"/>
            <w:hideMark/>
          </w:tcPr>
          <w:p w14:paraId="33BC02F1" w14:textId="77777777" w:rsidR="00820880" w:rsidRPr="007657B6"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0" w:type="auto"/>
            <w:tcBorders>
              <w:bottom w:val="single" w:sz="8" w:space="0" w:color="auto"/>
            </w:tcBorders>
            <w:tcMar>
              <w:top w:w="80" w:type="dxa"/>
              <w:left w:w="80" w:type="dxa"/>
              <w:bottom w:w="80" w:type="dxa"/>
              <w:right w:w="80" w:type="dxa"/>
            </w:tcMar>
            <w:vAlign w:val="center"/>
            <w:hideMark/>
          </w:tcPr>
          <w:p w14:paraId="4EC9B06A"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2A81BCAF"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4E3047CF"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2D3FBFEB"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01B26D8C"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352138CD"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Borders>
              <w:bottom w:val="single" w:sz="8" w:space="0" w:color="auto"/>
            </w:tcBorders>
            <w:tcMar>
              <w:top w:w="80" w:type="dxa"/>
              <w:left w:w="80" w:type="dxa"/>
              <w:bottom w:w="80" w:type="dxa"/>
              <w:right w:w="80" w:type="dxa"/>
            </w:tcMar>
            <w:vAlign w:val="center"/>
            <w:hideMark/>
          </w:tcPr>
          <w:p w14:paraId="568CD901"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Borders>
              <w:bottom w:val="single" w:sz="8" w:space="0" w:color="auto"/>
            </w:tcBorders>
            <w:tcMar>
              <w:top w:w="80" w:type="dxa"/>
              <w:left w:w="80" w:type="dxa"/>
              <w:bottom w:w="80" w:type="dxa"/>
              <w:right w:w="80" w:type="dxa"/>
            </w:tcMar>
            <w:vAlign w:val="center"/>
            <w:hideMark/>
          </w:tcPr>
          <w:p w14:paraId="746DE59C"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370E813E"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4280ECD5"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8" w:space="0" w:color="auto"/>
            </w:tcBorders>
            <w:tcMar>
              <w:top w:w="80" w:type="dxa"/>
              <w:left w:w="80" w:type="dxa"/>
              <w:bottom w:w="80" w:type="dxa"/>
              <w:right w:w="80" w:type="dxa"/>
            </w:tcMar>
            <w:vAlign w:val="center"/>
            <w:hideMark/>
          </w:tcPr>
          <w:p w14:paraId="670A81E4"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bottom w:val="single" w:sz="8" w:space="0" w:color="auto"/>
              <w:right w:val="nil"/>
            </w:tcBorders>
            <w:tcMar>
              <w:top w:w="80" w:type="dxa"/>
              <w:left w:w="80" w:type="dxa"/>
              <w:bottom w:w="80" w:type="dxa"/>
              <w:right w:w="80" w:type="dxa"/>
            </w:tcMar>
            <w:vAlign w:val="center"/>
            <w:hideMark/>
          </w:tcPr>
          <w:p w14:paraId="1925F1DB" w14:textId="77777777" w:rsidR="00820880" w:rsidRPr="007657B6"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Strong thematic analysis with clear congruity between the methodology and research objectives. Ethical approval is explicitly stated. While researcher reflexivity (Q6, Q7) is missing, the findings are robust and directly supported by the data collected.</w:t>
            </w:r>
          </w:p>
        </w:tc>
      </w:tr>
      <w:tr w:rsidR="00820880" w:rsidRPr="007657B6" w14:paraId="64F4BF96" w14:textId="77777777" w:rsidTr="007F435E">
        <w:trPr>
          <w:trHeight w:val="281"/>
        </w:trPr>
        <w:tc>
          <w:tcPr>
            <w:tcW w:w="0" w:type="auto"/>
            <w:vMerge w:val="restart"/>
            <w:tcBorders>
              <w:left w:val="nil"/>
            </w:tcBorders>
            <w:tcMar>
              <w:top w:w="80" w:type="dxa"/>
              <w:left w:w="80" w:type="dxa"/>
              <w:bottom w:w="80" w:type="dxa"/>
              <w:right w:w="80" w:type="dxa"/>
            </w:tcMar>
            <w:vAlign w:val="center"/>
            <w:hideMark/>
          </w:tcPr>
          <w:p w14:paraId="4D2C5385" w14:textId="77777777" w:rsidR="00820880" w:rsidRPr="00281291" w:rsidRDefault="00820880" w:rsidP="00281291">
            <w:pPr>
              <w:widowControl/>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(O’Brien et al., 2019)</w:t>
            </w:r>
          </w:p>
          <w:p w14:paraId="388CE7BD" w14:textId="77777777" w:rsidR="00820880" w:rsidRPr="007657B6" w:rsidRDefault="00820880" w:rsidP="00281291">
            <w:pPr>
              <w:widowControl/>
              <w:jc w:val="center"/>
              <w:rPr>
                <w:rFonts w:ascii="Times New Roman" w:eastAsia="等线" w:hAnsi="Times New Roman" w:cs="Times New Roman"/>
                <w:color w:val="000000"/>
                <w:kern w:val="0"/>
                <w:sz w:val="18"/>
                <w:szCs w:val="18"/>
                <w14:ligatures w14:val="none"/>
              </w:rPr>
            </w:pPr>
          </w:p>
        </w:tc>
        <w:tc>
          <w:tcPr>
            <w:tcW w:w="0" w:type="auto"/>
            <w:tcMar>
              <w:top w:w="80" w:type="dxa"/>
              <w:left w:w="80" w:type="dxa"/>
              <w:bottom w:w="80" w:type="dxa"/>
              <w:right w:w="80" w:type="dxa"/>
            </w:tcMar>
            <w:vAlign w:val="center"/>
            <w:hideMark/>
          </w:tcPr>
          <w:p w14:paraId="10A31002" w14:textId="77777777" w:rsidR="00820880" w:rsidRPr="007657B6"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0" w:type="auto"/>
            <w:tcMar>
              <w:top w:w="80" w:type="dxa"/>
              <w:left w:w="80" w:type="dxa"/>
              <w:bottom w:w="80" w:type="dxa"/>
              <w:right w:w="80" w:type="dxa"/>
            </w:tcMar>
            <w:vAlign w:val="center"/>
            <w:hideMark/>
          </w:tcPr>
          <w:p w14:paraId="5AA9E81A"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433A234F"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8695CD3"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D1ADD4C"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AA893DC"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03D4472"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Mar>
              <w:top w:w="80" w:type="dxa"/>
              <w:left w:w="80" w:type="dxa"/>
              <w:bottom w:w="80" w:type="dxa"/>
              <w:right w:w="80" w:type="dxa"/>
            </w:tcMar>
            <w:vAlign w:val="center"/>
            <w:hideMark/>
          </w:tcPr>
          <w:p w14:paraId="7977CE55"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Mar>
              <w:top w:w="80" w:type="dxa"/>
              <w:left w:w="80" w:type="dxa"/>
              <w:bottom w:w="80" w:type="dxa"/>
              <w:right w:w="80" w:type="dxa"/>
            </w:tcMar>
            <w:vAlign w:val="center"/>
            <w:hideMark/>
          </w:tcPr>
          <w:p w14:paraId="04339C14"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AF74EDB"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0C990C1E"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672853B"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526E1A53" w14:textId="77777777" w:rsidR="00820880" w:rsidRPr="007657B6"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study’s methodology aligns closely with its objective of exploring real-world usage, and it effectively conveys participants’ authentic voices through extensive direct citations of consumer reviews. However, the article lacks a clear statement of its qualitative research philosophy and does not address the potential influence of the researchers.</w:t>
            </w:r>
          </w:p>
        </w:tc>
      </w:tr>
      <w:tr w:rsidR="00820880" w:rsidRPr="007657B6" w14:paraId="67696E56" w14:textId="77777777" w:rsidTr="007F435E">
        <w:trPr>
          <w:trHeight w:val="284"/>
        </w:trPr>
        <w:tc>
          <w:tcPr>
            <w:tcW w:w="0" w:type="auto"/>
            <w:vMerge/>
            <w:tcBorders>
              <w:left w:val="nil"/>
            </w:tcBorders>
            <w:noWrap/>
            <w:hideMark/>
          </w:tcPr>
          <w:p w14:paraId="1C66CABD" w14:textId="77777777" w:rsidR="00820880" w:rsidRPr="007657B6" w:rsidRDefault="00820880" w:rsidP="00281291">
            <w:pPr>
              <w:widowControl/>
              <w:rPr>
                <w:rFonts w:ascii="Times New Roman" w:eastAsia="等线" w:hAnsi="Times New Roman" w:cs="Times New Roman"/>
                <w:color w:val="000000"/>
                <w:kern w:val="0"/>
                <w:sz w:val="18"/>
                <w:szCs w:val="18"/>
                <w14:ligatures w14:val="none"/>
              </w:rPr>
            </w:pPr>
          </w:p>
        </w:tc>
        <w:tc>
          <w:tcPr>
            <w:tcW w:w="0" w:type="auto"/>
            <w:tcMar>
              <w:top w:w="80" w:type="dxa"/>
              <w:left w:w="80" w:type="dxa"/>
              <w:bottom w:w="80" w:type="dxa"/>
              <w:right w:w="80" w:type="dxa"/>
            </w:tcMar>
            <w:vAlign w:val="center"/>
            <w:hideMark/>
          </w:tcPr>
          <w:p w14:paraId="2E7C880F" w14:textId="77777777" w:rsidR="00820880" w:rsidRPr="007657B6"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0" w:type="auto"/>
            <w:tcMar>
              <w:top w:w="80" w:type="dxa"/>
              <w:left w:w="80" w:type="dxa"/>
              <w:bottom w:w="80" w:type="dxa"/>
              <w:right w:w="80" w:type="dxa"/>
            </w:tcMar>
            <w:vAlign w:val="center"/>
            <w:hideMark/>
          </w:tcPr>
          <w:p w14:paraId="7A7C614A"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Mar>
              <w:top w:w="80" w:type="dxa"/>
              <w:left w:w="80" w:type="dxa"/>
              <w:bottom w:w="80" w:type="dxa"/>
              <w:right w:w="80" w:type="dxa"/>
            </w:tcMar>
            <w:vAlign w:val="center"/>
            <w:hideMark/>
          </w:tcPr>
          <w:p w14:paraId="10AD5CC8"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5CD12BC"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0754AB57"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63DD171"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C98B5AB"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Mar>
              <w:top w:w="80" w:type="dxa"/>
              <w:left w:w="80" w:type="dxa"/>
              <w:bottom w:w="80" w:type="dxa"/>
              <w:right w:w="80" w:type="dxa"/>
            </w:tcMar>
            <w:vAlign w:val="center"/>
            <w:hideMark/>
          </w:tcPr>
          <w:p w14:paraId="297E1DE4"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Mar>
              <w:top w:w="80" w:type="dxa"/>
              <w:left w:w="80" w:type="dxa"/>
              <w:bottom w:w="80" w:type="dxa"/>
              <w:right w:w="80" w:type="dxa"/>
            </w:tcMar>
            <w:vAlign w:val="center"/>
            <w:hideMark/>
          </w:tcPr>
          <w:p w14:paraId="664D7337"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449F872"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4CD03BB"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815005D"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48BBCB0C" w14:textId="77777777" w:rsidR="00820880" w:rsidRPr="007657B6"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research logic is clear, and the conclusions are directly derived from the thematic extraction and analysis of online text data. The study explicitly mentions that it received an exemption from the ethics committee. Although there are omissions regarding the researchers’ cultural background (Q6) and a discussion of reflexivity (Q7), these do not have a fatal impact on the validity of the data based on objective online reviews.</w:t>
            </w:r>
          </w:p>
        </w:tc>
      </w:tr>
      <w:tr w:rsidR="00820880" w:rsidRPr="007657B6" w14:paraId="4CA23D08" w14:textId="77777777" w:rsidTr="007F435E">
        <w:trPr>
          <w:trHeight w:val="278"/>
        </w:trPr>
        <w:tc>
          <w:tcPr>
            <w:tcW w:w="0" w:type="auto"/>
            <w:vMerge w:val="restart"/>
            <w:tcBorders>
              <w:left w:val="nil"/>
            </w:tcBorders>
            <w:tcMar>
              <w:top w:w="80" w:type="dxa"/>
              <w:left w:w="80" w:type="dxa"/>
              <w:bottom w:w="80" w:type="dxa"/>
              <w:right w:w="80" w:type="dxa"/>
            </w:tcMar>
            <w:vAlign w:val="center"/>
            <w:hideMark/>
          </w:tcPr>
          <w:p w14:paraId="52BAD76C" w14:textId="77777777" w:rsidR="00820880" w:rsidRPr="00281291" w:rsidRDefault="00820880" w:rsidP="00281291">
            <w:pPr>
              <w:widowControl/>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lastRenderedPageBreak/>
              <w:t>(Tiersen et al., 2021)</w:t>
            </w:r>
          </w:p>
          <w:p w14:paraId="64E71F93" w14:textId="77777777" w:rsidR="00820880" w:rsidRPr="007657B6" w:rsidRDefault="00820880" w:rsidP="00281291">
            <w:pPr>
              <w:widowControl/>
              <w:jc w:val="center"/>
              <w:rPr>
                <w:rFonts w:ascii="Times New Roman" w:eastAsia="等线" w:hAnsi="Times New Roman" w:cs="Times New Roman"/>
                <w:color w:val="000000"/>
                <w:kern w:val="0"/>
                <w:sz w:val="18"/>
                <w:szCs w:val="18"/>
                <w14:ligatures w14:val="none"/>
              </w:rPr>
            </w:pPr>
          </w:p>
        </w:tc>
        <w:tc>
          <w:tcPr>
            <w:tcW w:w="0" w:type="auto"/>
            <w:tcMar>
              <w:top w:w="80" w:type="dxa"/>
              <w:left w:w="80" w:type="dxa"/>
              <w:bottom w:w="80" w:type="dxa"/>
              <w:right w:w="80" w:type="dxa"/>
            </w:tcMar>
            <w:vAlign w:val="center"/>
            <w:hideMark/>
          </w:tcPr>
          <w:p w14:paraId="11B34656" w14:textId="77777777" w:rsidR="00820880" w:rsidRPr="007657B6"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0" w:type="auto"/>
            <w:tcMar>
              <w:top w:w="80" w:type="dxa"/>
              <w:left w:w="80" w:type="dxa"/>
              <w:bottom w:w="80" w:type="dxa"/>
              <w:right w:w="80" w:type="dxa"/>
            </w:tcMar>
            <w:vAlign w:val="center"/>
            <w:hideMark/>
          </w:tcPr>
          <w:p w14:paraId="259E155B"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CA5FBCE"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6B9ED12"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5C8A035"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CB6F4D5"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1DB7893"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Mar>
              <w:top w:w="80" w:type="dxa"/>
              <w:left w:w="80" w:type="dxa"/>
              <w:bottom w:w="80" w:type="dxa"/>
              <w:right w:w="80" w:type="dxa"/>
            </w:tcMar>
            <w:vAlign w:val="center"/>
            <w:hideMark/>
          </w:tcPr>
          <w:p w14:paraId="0BADA082"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Mar>
              <w:top w:w="80" w:type="dxa"/>
              <w:left w:w="80" w:type="dxa"/>
              <w:bottom w:w="80" w:type="dxa"/>
              <w:right w:w="80" w:type="dxa"/>
            </w:tcMar>
            <w:vAlign w:val="center"/>
            <w:hideMark/>
          </w:tcPr>
          <w:p w14:paraId="1EF34D81"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6F12321"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BDD9DF4"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00161F3"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7017659D" w14:textId="77777777" w:rsidR="00820880" w:rsidRPr="007657B6"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effectively utilizes a user-centered design methodology, combining interviews and focus groups, which strongly aligns with the research objectives. Participant quotes are well-integrated. However, researcher reflexivity (Q6, Q7) is not addressed.</w:t>
            </w:r>
          </w:p>
        </w:tc>
      </w:tr>
      <w:tr w:rsidR="00820880" w:rsidRPr="007657B6" w14:paraId="6290AFF4" w14:textId="77777777" w:rsidTr="007F435E">
        <w:trPr>
          <w:trHeight w:val="51"/>
        </w:trPr>
        <w:tc>
          <w:tcPr>
            <w:tcW w:w="0" w:type="auto"/>
            <w:vMerge/>
            <w:tcBorders>
              <w:left w:val="nil"/>
            </w:tcBorders>
            <w:hideMark/>
          </w:tcPr>
          <w:p w14:paraId="070C45A2" w14:textId="77777777" w:rsidR="00820880" w:rsidRPr="007657B6" w:rsidRDefault="00820880" w:rsidP="00281291">
            <w:pPr>
              <w:widowControl/>
              <w:rPr>
                <w:rFonts w:ascii="Times New Roman" w:eastAsia="等线" w:hAnsi="Times New Roman" w:cs="Times New Roman"/>
                <w:color w:val="000000"/>
                <w:kern w:val="0"/>
                <w:sz w:val="18"/>
                <w:szCs w:val="18"/>
                <w14:ligatures w14:val="none"/>
              </w:rPr>
            </w:pPr>
          </w:p>
        </w:tc>
        <w:tc>
          <w:tcPr>
            <w:tcW w:w="0" w:type="auto"/>
            <w:tcMar>
              <w:top w:w="80" w:type="dxa"/>
              <w:left w:w="80" w:type="dxa"/>
              <w:bottom w:w="80" w:type="dxa"/>
              <w:right w:w="80" w:type="dxa"/>
            </w:tcMar>
            <w:vAlign w:val="center"/>
            <w:hideMark/>
          </w:tcPr>
          <w:p w14:paraId="7CD816A3" w14:textId="77777777" w:rsidR="00820880" w:rsidRPr="007657B6"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0" w:type="auto"/>
            <w:tcMar>
              <w:top w:w="80" w:type="dxa"/>
              <w:left w:w="80" w:type="dxa"/>
              <w:bottom w:w="80" w:type="dxa"/>
              <w:right w:w="80" w:type="dxa"/>
            </w:tcMar>
            <w:vAlign w:val="center"/>
            <w:hideMark/>
          </w:tcPr>
          <w:p w14:paraId="08E973AA"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F06EB63"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78142BB"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4E9CCE3"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865E8D8"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8A29224"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6FCD4997"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Mar>
              <w:top w:w="80" w:type="dxa"/>
              <w:left w:w="80" w:type="dxa"/>
              <w:bottom w:w="80" w:type="dxa"/>
              <w:right w:w="80" w:type="dxa"/>
            </w:tcMar>
            <w:vAlign w:val="center"/>
            <w:hideMark/>
          </w:tcPr>
          <w:p w14:paraId="318D0FE1"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0BA7057B"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189F1E3"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4115FC4"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6993B4EC" w14:textId="77777777" w:rsidR="00820880" w:rsidRPr="007657B6"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Strong methodological coherence between data collection (interviews/focus groups) and thematic analysis. Ethical approvals are in place. The lack of discussion regarding the researchers’ cultural positioning and influence is typical for this domain but noted as a limitation.</w:t>
            </w:r>
          </w:p>
        </w:tc>
      </w:tr>
      <w:tr w:rsidR="003960FB" w14:paraId="542FCC7B" w14:textId="77777777" w:rsidTr="007F435E">
        <w:tc>
          <w:tcPr>
            <w:tcW w:w="1223" w:type="dxa"/>
            <w:vMerge w:val="restart"/>
            <w:tcBorders>
              <w:left w:val="nil"/>
            </w:tcBorders>
            <w:tcMar>
              <w:top w:w="80" w:type="dxa"/>
              <w:left w:w="80" w:type="dxa"/>
              <w:bottom w:w="80" w:type="dxa"/>
              <w:right w:w="80" w:type="dxa"/>
            </w:tcMar>
            <w:vAlign w:val="center"/>
          </w:tcPr>
          <w:p w14:paraId="63BB04E5" w14:textId="77777777" w:rsidR="003960FB" w:rsidRDefault="003960FB" w:rsidP="00C9576F">
            <w:pPr>
              <w:jc w:val="center"/>
              <w:rPr>
                <w:rFonts w:hint="eastAsia"/>
              </w:rPr>
            </w:pPr>
            <w:r>
              <w:rPr>
                <w:rFonts w:ascii="Times New Roman" w:hAnsi="Times New Roman" w:cs="Times New Roman"/>
                <w:sz w:val="18"/>
              </w:rPr>
              <w:t>(Tsui et al., 2025)</w:t>
            </w:r>
          </w:p>
        </w:tc>
        <w:tc>
          <w:tcPr>
            <w:tcW w:w="479" w:type="dxa"/>
            <w:tcMar>
              <w:top w:w="80" w:type="dxa"/>
              <w:left w:w="80" w:type="dxa"/>
              <w:bottom w:w="80" w:type="dxa"/>
              <w:right w:w="80" w:type="dxa"/>
            </w:tcMar>
            <w:vAlign w:val="center"/>
          </w:tcPr>
          <w:p w14:paraId="18B7BC8E" w14:textId="77777777" w:rsidR="003960FB" w:rsidRDefault="003960FB">
            <w:pPr>
              <w:jc w:val="center"/>
              <w:rPr>
                <w:rFonts w:hint="eastAsia"/>
              </w:rPr>
            </w:pPr>
            <w:r>
              <w:rPr>
                <w:rFonts w:ascii="Times New Roman" w:hAnsi="Times New Roman" w:cs="Times New Roman"/>
                <w:sz w:val="18"/>
              </w:rPr>
              <w:t>R1</w:t>
            </w:r>
          </w:p>
        </w:tc>
        <w:tc>
          <w:tcPr>
            <w:tcW w:w="749" w:type="dxa"/>
            <w:tcMar>
              <w:top w:w="80" w:type="dxa"/>
              <w:left w:w="80" w:type="dxa"/>
              <w:bottom w:w="80" w:type="dxa"/>
              <w:right w:w="80" w:type="dxa"/>
            </w:tcMar>
            <w:vAlign w:val="center"/>
          </w:tcPr>
          <w:p w14:paraId="5BC9549F" w14:textId="77777777" w:rsidR="003960FB" w:rsidRDefault="003960FB">
            <w:pPr>
              <w:jc w:val="center"/>
              <w:rPr>
                <w:rFonts w:hint="eastAsia"/>
              </w:rPr>
            </w:pPr>
            <w:r>
              <w:rPr>
                <w:rFonts w:ascii="Times New Roman" w:hAnsi="Times New Roman" w:cs="Times New Roman"/>
                <w:sz w:val="18"/>
              </w:rPr>
              <w:t>Yes</w:t>
            </w:r>
          </w:p>
        </w:tc>
        <w:tc>
          <w:tcPr>
            <w:tcW w:w="459" w:type="dxa"/>
            <w:tcMar>
              <w:top w:w="80" w:type="dxa"/>
              <w:left w:w="80" w:type="dxa"/>
              <w:bottom w:w="80" w:type="dxa"/>
              <w:right w:w="80" w:type="dxa"/>
            </w:tcMar>
            <w:vAlign w:val="center"/>
          </w:tcPr>
          <w:p w14:paraId="55C04B13" w14:textId="77777777" w:rsidR="003960FB" w:rsidRDefault="003960FB">
            <w:pPr>
              <w:jc w:val="center"/>
              <w:rPr>
                <w:rFonts w:hint="eastAsia"/>
              </w:rPr>
            </w:pPr>
            <w:r>
              <w:rPr>
                <w:rFonts w:ascii="Times New Roman" w:hAnsi="Times New Roman" w:cs="Times New Roman"/>
                <w:sz w:val="18"/>
              </w:rPr>
              <w:t>Yes</w:t>
            </w:r>
          </w:p>
        </w:tc>
        <w:tc>
          <w:tcPr>
            <w:tcW w:w="459" w:type="dxa"/>
            <w:tcMar>
              <w:top w:w="80" w:type="dxa"/>
              <w:left w:w="80" w:type="dxa"/>
              <w:bottom w:w="80" w:type="dxa"/>
              <w:right w:w="80" w:type="dxa"/>
            </w:tcMar>
            <w:vAlign w:val="center"/>
          </w:tcPr>
          <w:p w14:paraId="4D0D06A5" w14:textId="77777777" w:rsidR="003960FB" w:rsidRDefault="003960FB">
            <w:pPr>
              <w:jc w:val="center"/>
              <w:rPr>
                <w:rFonts w:hint="eastAsia"/>
              </w:rPr>
            </w:pPr>
            <w:r>
              <w:rPr>
                <w:rFonts w:ascii="Times New Roman" w:hAnsi="Times New Roman" w:cs="Times New Roman"/>
                <w:sz w:val="18"/>
              </w:rPr>
              <w:t>Yes</w:t>
            </w:r>
          </w:p>
        </w:tc>
        <w:tc>
          <w:tcPr>
            <w:tcW w:w="459" w:type="dxa"/>
            <w:tcMar>
              <w:top w:w="80" w:type="dxa"/>
              <w:left w:w="80" w:type="dxa"/>
              <w:bottom w:w="80" w:type="dxa"/>
              <w:right w:w="80" w:type="dxa"/>
            </w:tcMar>
            <w:vAlign w:val="center"/>
          </w:tcPr>
          <w:p w14:paraId="07C4D39E" w14:textId="77777777" w:rsidR="003960FB" w:rsidRDefault="003960FB">
            <w:pPr>
              <w:jc w:val="center"/>
              <w:rPr>
                <w:rFonts w:hint="eastAsia"/>
              </w:rPr>
            </w:pPr>
            <w:r>
              <w:rPr>
                <w:rFonts w:ascii="Times New Roman" w:hAnsi="Times New Roman" w:cs="Times New Roman"/>
                <w:sz w:val="18"/>
              </w:rPr>
              <w:t>Yes</w:t>
            </w:r>
          </w:p>
        </w:tc>
        <w:tc>
          <w:tcPr>
            <w:tcW w:w="459" w:type="dxa"/>
            <w:tcMar>
              <w:top w:w="80" w:type="dxa"/>
              <w:left w:w="80" w:type="dxa"/>
              <w:bottom w:w="80" w:type="dxa"/>
              <w:right w:w="80" w:type="dxa"/>
            </w:tcMar>
            <w:vAlign w:val="center"/>
          </w:tcPr>
          <w:p w14:paraId="24F7088D" w14:textId="77777777" w:rsidR="003960FB" w:rsidRDefault="003960FB">
            <w:pPr>
              <w:jc w:val="center"/>
              <w:rPr>
                <w:rFonts w:hint="eastAsia"/>
              </w:rPr>
            </w:pPr>
            <w:r>
              <w:rPr>
                <w:rFonts w:ascii="Times New Roman" w:hAnsi="Times New Roman" w:cs="Times New Roman"/>
                <w:sz w:val="18"/>
              </w:rPr>
              <w:t>Yes</w:t>
            </w:r>
          </w:p>
        </w:tc>
        <w:tc>
          <w:tcPr>
            <w:tcW w:w="749" w:type="dxa"/>
            <w:tcMar>
              <w:top w:w="80" w:type="dxa"/>
              <w:left w:w="80" w:type="dxa"/>
              <w:bottom w:w="80" w:type="dxa"/>
              <w:right w:w="80" w:type="dxa"/>
            </w:tcMar>
            <w:vAlign w:val="center"/>
          </w:tcPr>
          <w:p w14:paraId="340FCCE2" w14:textId="77777777" w:rsidR="003960FB" w:rsidRDefault="003960FB">
            <w:pPr>
              <w:jc w:val="center"/>
              <w:rPr>
                <w:rFonts w:hint="eastAsia"/>
              </w:rPr>
            </w:pPr>
            <w:r>
              <w:rPr>
                <w:rFonts w:ascii="Times New Roman" w:hAnsi="Times New Roman" w:cs="Times New Roman"/>
                <w:sz w:val="18"/>
              </w:rPr>
              <w:t>No</w:t>
            </w:r>
          </w:p>
        </w:tc>
        <w:tc>
          <w:tcPr>
            <w:tcW w:w="459" w:type="dxa"/>
            <w:tcMar>
              <w:top w:w="80" w:type="dxa"/>
              <w:left w:w="80" w:type="dxa"/>
              <w:bottom w:w="80" w:type="dxa"/>
              <w:right w:w="80" w:type="dxa"/>
            </w:tcMar>
            <w:vAlign w:val="center"/>
          </w:tcPr>
          <w:p w14:paraId="5D33D4C3" w14:textId="77777777" w:rsidR="003960FB" w:rsidRDefault="003960FB">
            <w:pPr>
              <w:jc w:val="center"/>
              <w:rPr>
                <w:rFonts w:hint="eastAsia"/>
              </w:rPr>
            </w:pPr>
            <w:r>
              <w:rPr>
                <w:rFonts w:ascii="Times New Roman" w:hAnsi="Times New Roman" w:cs="Times New Roman"/>
                <w:sz w:val="18"/>
              </w:rPr>
              <w:t>No</w:t>
            </w:r>
          </w:p>
        </w:tc>
        <w:tc>
          <w:tcPr>
            <w:tcW w:w="459" w:type="dxa"/>
            <w:tcMar>
              <w:top w:w="80" w:type="dxa"/>
              <w:left w:w="80" w:type="dxa"/>
              <w:bottom w:w="80" w:type="dxa"/>
              <w:right w:w="80" w:type="dxa"/>
            </w:tcMar>
            <w:vAlign w:val="center"/>
          </w:tcPr>
          <w:p w14:paraId="287634CD" w14:textId="77777777" w:rsidR="003960FB" w:rsidRDefault="003960FB">
            <w:pPr>
              <w:jc w:val="center"/>
              <w:rPr>
                <w:rFonts w:hint="eastAsia"/>
              </w:rPr>
            </w:pPr>
            <w:r>
              <w:rPr>
                <w:rFonts w:ascii="Times New Roman" w:hAnsi="Times New Roman" w:cs="Times New Roman"/>
                <w:sz w:val="18"/>
              </w:rPr>
              <w:t>Yes</w:t>
            </w:r>
          </w:p>
        </w:tc>
        <w:tc>
          <w:tcPr>
            <w:tcW w:w="459" w:type="dxa"/>
            <w:tcMar>
              <w:top w:w="80" w:type="dxa"/>
              <w:left w:w="80" w:type="dxa"/>
              <w:bottom w:w="80" w:type="dxa"/>
              <w:right w:w="80" w:type="dxa"/>
            </w:tcMar>
            <w:vAlign w:val="center"/>
          </w:tcPr>
          <w:p w14:paraId="59D46EE4" w14:textId="77777777" w:rsidR="003960FB" w:rsidRDefault="003960FB">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45AF198A" w14:textId="77777777" w:rsidR="003960FB" w:rsidRDefault="003960FB">
            <w:pPr>
              <w:jc w:val="center"/>
              <w:rPr>
                <w:rFonts w:hint="eastAsia"/>
              </w:rPr>
            </w:pPr>
            <w:r>
              <w:rPr>
                <w:rFonts w:ascii="Times New Roman" w:hAnsi="Times New Roman" w:cs="Times New Roman"/>
                <w:sz w:val="18"/>
              </w:rPr>
              <w:t>Unclear</w:t>
            </w:r>
          </w:p>
        </w:tc>
        <w:tc>
          <w:tcPr>
            <w:tcW w:w="752" w:type="dxa"/>
            <w:tcMar>
              <w:top w:w="80" w:type="dxa"/>
              <w:left w:w="80" w:type="dxa"/>
              <w:bottom w:w="80" w:type="dxa"/>
              <w:right w:w="80" w:type="dxa"/>
            </w:tcMar>
            <w:vAlign w:val="center"/>
          </w:tcPr>
          <w:p w14:paraId="69738E82" w14:textId="77777777" w:rsidR="003960FB" w:rsidRDefault="003960FB">
            <w:pPr>
              <w:jc w:val="center"/>
              <w:rPr>
                <w:rFonts w:hint="eastAsia"/>
              </w:rPr>
            </w:pPr>
            <w:r>
              <w:rPr>
                <w:rFonts w:ascii="Times New Roman" w:hAnsi="Times New Roman" w:cs="Times New Roman"/>
                <w:sz w:val="18"/>
              </w:rPr>
              <w:t>Exclude</w:t>
            </w:r>
          </w:p>
        </w:tc>
        <w:tc>
          <w:tcPr>
            <w:tcW w:w="7503" w:type="dxa"/>
            <w:tcBorders>
              <w:right w:val="nil"/>
            </w:tcBorders>
            <w:tcMar>
              <w:top w:w="80" w:type="dxa"/>
              <w:left w:w="80" w:type="dxa"/>
              <w:bottom w:w="80" w:type="dxa"/>
              <w:right w:w="80" w:type="dxa"/>
            </w:tcMar>
            <w:vAlign w:val="center"/>
          </w:tcPr>
          <w:p w14:paraId="112F0718" w14:textId="77777777" w:rsidR="003960FB" w:rsidRDefault="003960FB">
            <w:pPr>
              <w:jc w:val="left"/>
              <w:rPr>
                <w:rFonts w:hint="eastAsia"/>
              </w:rPr>
            </w:pPr>
            <w:r>
              <w:rPr>
                <w:rFonts w:ascii="Times New Roman" w:hAnsi="Times New Roman" w:cs="Times New Roman"/>
                <w:sz w:val="18"/>
              </w:rPr>
              <w:t>The cross-cultural focus groups are directly relevant to home-helper robot embodiment preferences, with care receivers and caregivers represented. Exclusion is retained because Q6 and Q7 are No: the paper does not clearly locate the researchers' cultural/theoretical positions or examine how researcher influence shaped design prompts and interpretation.</w:t>
            </w:r>
          </w:p>
        </w:tc>
      </w:tr>
      <w:tr w:rsidR="003960FB" w14:paraId="51C62CDB" w14:textId="77777777" w:rsidTr="007F435E">
        <w:tc>
          <w:tcPr>
            <w:tcW w:w="1223" w:type="dxa"/>
            <w:vMerge/>
            <w:tcBorders>
              <w:left w:val="nil"/>
            </w:tcBorders>
            <w:tcMar>
              <w:top w:w="80" w:type="dxa"/>
              <w:left w:w="80" w:type="dxa"/>
              <w:bottom w:w="80" w:type="dxa"/>
              <w:right w:w="80" w:type="dxa"/>
            </w:tcMar>
            <w:vAlign w:val="center"/>
          </w:tcPr>
          <w:p w14:paraId="48C45D54" w14:textId="77777777" w:rsidR="003960FB" w:rsidRDefault="003960FB">
            <w:pPr>
              <w:jc w:val="left"/>
              <w:rPr>
                <w:rFonts w:hint="eastAsia"/>
              </w:rPr>
            </w:pPr>
          </w:p>
        </w:tc>
        <w:tc>
          <w:tcPr>
            <w:tcW w:w="479" w:type="dxa"/>
            <w:tcMar>
              <w:top w:w="80" w:type="dxa"/>
              <w:left w:w="80" w:type="dxa"/>
              <w:bottom w:w="80" w:type="dxa"/>
              <w:right w:w="80" w:type="dxa"/>
            </w:tcMar>
            <w:vAlign w:val="center"/>
          </w:tcPr>
          <w:p w14:paraId="303D46C5" w14:textId="77777777" w:rsidR="003960FB" w:rsidRDefault="003960FB">
            <w:pPr>
              <w:jc w:val="center"/>
              <w:rPr>
                <w:rFonts w:hint="eastAsia"/>
              </w:rPr>
            </w:pPr>
            <w:r>
              <w:rPr>
                <w:rFonts w:ascii="Times New Roman" w:hAnsi="Times New Roman" w:cs="Times New Roman"/>
                <w:sz w:val="18"/>
              </w:rPr>
              <w:t>R2</w:t>
            </w:r>
          </w:p>
        </w:tc>
        <w:tc>
          <w:tcPr>
            <w:tcW w:w="749" w:type="dxa"/>
            <w:tcMar>
              <w:top w:w="80" w:type="dxa"/>
              <w:left w:w="80" w:type="dxa"/>
              <w:bottom w:w="80" w:type="dxa"/>
              <w:right w:w="80" w:type="dxa"/>
            </w:tcMar>
            <w:vAlign w:val="center"/>
          </w:tcPr>
          <w:p w14:paraId="39D0B295" w14:textId="77777777" w:rsidR="003960FB" w:rsidRDefault="003960FB">
            <w:pPr>
              <w:jc w:val="center"/>
              <w:rPr>
                <w:rFonts w:hint="eastAsia"/>
              </w:rPr>
            </w:pPr>
            <w:r>
              <w:rPr>
                <w:rFonts w:ascii="Times New Roman" w:hAnsi="Times New Roman" w:cs="Times New Roman"/>
                <w:sz w:val="18"/>
              </w:rPr>
              <w:t>Yes</w:t>
            </w:r>
          </w:p>
        </w:tc>
        <w:tc>
          <w:tcPr>
            <w:tcW w:w="459" w:type="dxa"/>
            <w:tcMar>
              <w:top w:w="80" w:type="dxa"/>
              <w:left w:w="80" w:type="dxa"/>
              <w:bottom w:w="80" w:type="dxa"/>
              <w:right w:w="80" w:type="dxa"/>
            </w:tcMar>
            <w:vAlign w:val="center"/>
          </w:tcPr>
          <w:p w14:paraId="165FCEC1" w14:textId="77777777" w:rsidR="003960FB" w:rsidRDefault="003960FB">
            <w:pPr>
              <w:jc w:val="center"/>
              <w:rPr>
                <w:rFonts w:hint="eastAsia"/>
              </w:rPr>
            </w:pPr>
            <w:r>
              <w:rPr>
                <w:rFonts w:ascii="Times New Roman" w:hAnsi="Times New Roman" w:cs="Times New Roman"/>
                <w:sz w:val="18"/>
              </w:rPr>
              <w:t>Yes</w:t>
            </w:r>
          </w:p>
        </w:tc>
        <w:tc>
          <w:tcPr>
            <w:tcW w:w="459" w:type="dxa"/>
            <w:tcMar>
              <w:top w:w="80" w:type="dxa"/>
              <w:left w:w="80" w:type="dxa"/>
              <w:bottom w:w="80" w:type="dxa"/>
              <w:right w:w="80" w:type="dxa"/>
            </w:tcMar>
            <w:vAlign w:val="center"/>
          </w:tcPr>
          <w:p w14:paraId="748B86AB" w14:textId="77777777" w:rsidR="003960FB" w:rsidRDefault="003960FB">
            <w:pPr>
              <w:jc w:val="center"/>
              <w:rPr>
                <w:rFonts w:hint="eastAsia"/>
              </w:rPr>
            </w:pPr>
            <w:r>
              <w:rPr>
                <w:rFonts w:ascii="Times New Roman" w:hAnsi="Times New Roman" w:cs="Times New Roman"/>
                <w:sz w:val="18"/>
              </w:rPr>
              <w:t>Yes</w:t>
            </w:r>
          </w:p>
        </w:tc>
        <w:tc>
          <w:tcPr>
            <w:tcW w:w="459" w:type="dxa"/>
            <w:tcMar>
              <w:top w:w="80" w:type="dxa"/>
              <w:left w:w="80" w:type="dxa"/>
              <w:bottom w:w="80" w:type="dxa"/>
              <w:right w:w="80" w:type="dxa"/>
            </w:tcMar>
            <w:vAlign w:val="center"/>
          </w:tcPr>
          <w:p w14:paraId="27BA560B" w14:textId="77777777" w:rsidR="003960FB" w:rsidRDefault="003960FB">
            <w:pPr>
              <w:jc w:val="center"/>
              <w:rPr>
                <w:rFonts w:hint="eastAsia"/>
              </w:rPr>
            </w:pPr>
            <w:r>
              <w:rPr>
                <w:rFonts w:ascii="Times New Roman" w:hAnsi="Times New Roman" w:cs="Times New Roman"/>
                <w:sz w:val="18"/>
              </w:rPr>
              <w:t>Yes</w:t>
            </w:r>
          </w:p>
        </w:tc>
        <w:tc>
          <w:tcPr>
            <w:tcW w:w="459" w:type="dxa"/>
            <w:tcMar>
              <w:top w:w="80" w:type="dxa"/>
              <w:left w:w="80" w:type="dxa"/>
              <w:bottom w:w="80" w:type="dxa"/>
              <w:right w:w="80" w:type="dxa"/>
            </w:tcMar>
            <w:vAlign w:val="center"/>
          </w:tcPr>
          <w:p w14:paraId="3283AAA8" w14:textId="77777777" w:rsidR="003960FB" w:rsidRDefault="003960FB">
            <w:pPr>
              <w:jc w:val="center"/>
              <w:rPr>
                <w:rFonts w:hint="eastAsia"/>
              </w:rPr>
            </w:pPr>
            <w:r>
              <w:rPr>
                <w:rFonts w:ascii="Times New Roman" w:hAnsi="Times New Roman" w:cs="Times New Roman"/>
                <w:sz w:val="18"/>
              </w:rPr>
              <w:t>Yes</w:t>
            </w:r>
          </w:p>
        </w:tc>
        <w:tc>
          <w:tcPr>
            <w:tcW w:w="749" w:type="dxa"/>
            <w:tcMar>
              <w:top w:w="80" w:type="dxa"/>
              <w:left w:w="80" w:type="dxa"/>
              <w:bottom w:w="80" w:type="dxa"/>
              <w:right w:w="80" w:type="dxa"/>
            </w:tcMar>
            <w:vAlign w:val="center"/>
          </w:tcPr>
          <w:p w14:paraId="0036AD87" w14:textId="77777777" w:rsidR="003960FB" w:rsidRDefault="003960FB">
            <w:pPr>
              <w:jc w:val="center"/>
              <w:rPr>
                <w:rFonts w:hint="eastAsia"/>
              </w:rPr>
            </w:pPr>
            <w:r>
              <w:rPr>
                <w:rFonts w:ascii="Times New Roman" w:hAnsi="Times New Roman" w:cs="Times New Roman"/>
                <w:sz w:val="18"/>
              </w:rPr>
              <w:t>No</w:t>
            </w:r>
          </w:p>
        </w:tc>
        <w:tc>
          <w:tcPr>
            <w:tcW w:w="459" w:type="dxa"/>
            <w:tcMar>
              <w:top w:w="80" w:type="dxa"/>
              <w:left w:w="80" w:type="dxa"/>
              <w:bottom w:w="80" w:type="dxa"/>
              <w:right w:w="80" w:type="dxa"/>
            </w:tcMar>
            <w:vAlign w:val="center"/>
          </w:tcPr>
          <w:p w14:paraId="4CABB3E3" w14:textId="77777777" w:rsidR="003960FB" w:rsidRDefault="003960FB">
            <w:pPr>
              <w:jc w:val="center"/>
              <w:rPr>
                <w:rFonts w:hint="eastAsia"/>
              </w:rPr>
            </w:pPr>
            <w:r>
              <w:rPr>
                <w:rFonts w:ascii="Times New Roman" w:hAnsi="Times New Roman" w:cs="Times New Roman"/>
                <w:sz w:val="18"/>
              </w:rPr>
              <w:t>No</w:t>
            </w:r>
          </w:p>
        </w:tc>
        <w:tc>
          <w:tcPr>
            <w:tcW w:w="459" w:type="dxa"/>
            <w:tcMar>
              <w:top w:w="80" w:type="dxa"/>
              <w:left w:w="80" w:type="dxa"/>
              <w:bottom w:w="80" w:type="dxa"/>
              <w:right w:w="80" w:type="dxa"/>
            </w:tcMar>
            <w:vAlign w:val="center"/>
          </w:tcPr>
          <w:p w14:paraId="7220ECDF" w14:textId="77777777" w:rsidR="003960FB" w:rsidRDefault="003960FB">
            <w:pPr>
              <w:jc w:val="center"/>
              <w:rPr>
                <w:rFonts w:hint="eastAsia"/>
              </w:rPr>
            </w:pPr>
            <w:r>
              <w:rPr>
                <w:rFonts w:ascii="Times New Roman" w:hAnsi="Times New Roman" w:cs="Times New Roman"/>
                <w:sz w:val="18"/>
              </w:rPr>
              <w:t>Yes</w:t>
            </w:r>
          </w:p>
        </w:tc>
        <w:tc>
          <w:tcPr>
            <w:tcW w:w="459" w:type="dxa"/>
            <w:tcMar>
              <w:top w:w="80" w:type="dxa"/>
              <w:left w:w="80" w:type="dxa"/>
              <w:bottom w:w="80" w:type="dxa"/>
              <w:right w:w="80" w:type="dxa"/>
            </w:tcMar>
            <w:vAlign w:val="center"/>
          </w:tcPr>
          <w:p w14:paraId="742C1454" w14:textId="77777777" w:rsidR="003960FB" w:rsidRDefault="003960FB">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5A14DB51" w14:textId="77777777" w:rsidR="003960FB" w:rsidRDefault="003960FB">
            <w:pPr>
              <w:jc w:val="center"/>
              <w:rPr>
                <w:rFonts w:hint="eastAsia"/>
              </w:rPr>
            </w:pPr>
            <w:r>
              <w:rPr>
                <w:rFonts w:ascii="Times New Roman" w:hAnsi="Times New Roman" w:cs="Times New Roman"/>
                <w:sz w:val="18"/>
              </w:rPr>
              <w:t>Unclear</w:t>
            </w:r>
          </w:p>
        </w:tc>
        <w:tc>
          <w:tcPr>
            <w:tcW w:w="752" w:type="dxa"/>
            <w:tcMar>
              <w:top w:w="80" w:type="dxa"/>
              <w:left w:w="80" w:type="dxa"/>
              <w:bottom w:w="80" w:type="dxa"/>
              <w:right w:w="80" w:type="dxa"/>
            </w:tcMar>
            <w:vAlign w:val="center"/>
          </w:tcPr>
          <w:p w14:paraId="6D2E958E" w14:textId="77777777" w:rsidR="003960FB" w:rsidRDefault="003960FB">
            <w:pPr>
              <w:jc w:val="center"/>
              <w:rPr>
                <w:rFonts w:hint="eastAsia"/>
              </w:rPr>
            </w:pPr>
            <w:r>
              <w:rPr>
                <w:rFonts w:ascii="Times New Roman" w:hAnsi="Times New Roman" w:cs="Times New Roman"/>
                <w:sz w:val="18"/>
              </w:rPr>
              <w:t>Exclude</w:t>
            </w:r>
          </w:p>
        </w:tc>
        <w:tc>
          <w:tcPr>
            <w:tcW w:w="7503" w:type="dxa"/>
            <w:tcBorders>
              <w:right w:val="nil"/>
            </w:tcBorders>
            <w:tcMar>
              <w:top w:w="80" w:type="dxa"/>
              <w:left w:w="80" w:type="dxa"/>
              <w:bottom w:w="80" w:type="dxa"/>
              <w:right w:w="80" w:type="dxa"/>
            </w:tcMar>
            <w:vAlign w:val="center"/>
          </w:tcPr>
          <w:p w14:paraId="2F2C4E57" w14:textId="77777777" w:rsidR="003960FB" w:rsidRDefault="003960FB">
            <w:pPr>
              <w:jc w:val="left"/>
              <w:rPr>
                <w:rFonts w:hint="eastAsia"/>
              </w:rPr>
            </w:pPr>
            <w:r>
              <w:rPr>
                <w:rFonts w:ascii="Times New Roman" w:hAnsi="Times New Roman" w:cs="Times New Roman"/>
                <w:sz w:val="18"/>
              </w:rPr>
              <w:t>The qualitative evidence is useful for understanding preferences for humanoid, paired, and pole robot forms, but reflexivity is insufficient for the strengthened threshold. The researchers' role in framing the robot embodiments and interpreting US/Japan focus-group responses is not adequately addressed, so Q6 and Q7 remain No.</w:t>
            </w:r>
          </w:p>
        </w:tc>
      </w:tr>
      <w:tr w:rsidR="00820880" w:rsidRPr="007657B6" w14:paraId="06CC0524" w14:textId="77777777" w:rsidTr="007F435E">
        <w:trPr>
          <w:trHeight w:val="44"/>
        </w:trPr>
        <w:tc>
          <w:tcPr>
            <w:tcW w:w="0" w:type="auto"/>
            <w:vMerge w:val="restart"/>
            <w:tcBorders>
              <w:left w:val="nil"/>
            </w:tcBorders>
            <w:tcMar>
              <w:top w:w="80" w:type="dxa"/>
              <w:left w:w="80" w:type="dxa"/>
              <w:bottom w:w="80" w:type="dxa"/>
              <w:right w:w="80" w:type="dxa"/>
            </w:tcMar>
            <w:vAlign w:val="center"/>
            <w:hideMark/>
          </w:tcPr>
          <w:p w14:paraId="3AB3B1D0" w14:textId="77777777" w:rsidR="00820880" w:rsidRPr="00281291" w:rsidRDefault="00820880" w:rsidP="00281291">
            <w:pPr>
              <w:widowControl/>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(van Hoof et al., 2011)</w:t>
            </w:r>
          </w:p>
          <w:p w14:paraId="1AB953C1" w14:textId="77777777" w:rsidR="00820880" w:rsidRPr="007657B6" w:rsidRDefault="00820880" w:rsidP="00281291">
            <w:pPr>
              <w:widowControl/>
              <w:jc w:val="center"/>
              <w:rPr>
                <w:rFonts w:ascii="Times New Roman" w:eastAsia="等线" w:hAnsi="Times New Roman" w:cs="Times New Roman"/>
                <w:color w:val="000000"/>
                <w:kern w:val="0"/>
                <w:sz w:val="18"/>
                <w:szCs w:val="18"/>
                <w14:ligatures w14:val="none"/>
              </w:rPr>
            </w:pPr>
          </w:p>
        </w:tc>
        <w:tc>
          <w:tcPr>
            <w:tcW w:w="0" w:type="auto"/>
            <w:tcMar>
              <w:top w:w="80" w:type="dxa"/>
              <w:left w:w="80" w:type="dxa"/>
              <w:bottom w:w="80" w:type="dxa"/>
              <w:right w:w="80" w:type="dxa"/>
            </w:tcMar>
            <w:vAlign w:val="center"/>
            <w:hideMark/>
          </w:tcPr>
          <w:p w14:paraId="52CEC8C3" w14:textId="77777777" w:rsidR="00820880" w:rsidRPr="007657B6"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0" w:type="auto"/>
            <w:tcMar>
              <w:top w:w="80" w:type="dxa"/>
              <w:left w:w="80" w:type="dxa"/>
              <w:bottom w:w="80" w:type="dxa"/>
              <w:right w:w="80" w:type="dxa"/>
            </w:tcMar>
            <w:vAlign w:val="center"/>
            <w:hideMark/>
          </w:tcPr>
          <w:p w14:paraId="61F8BCC6"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E6EF344"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1772A6F"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3A396AC"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5D84715"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52BE18C"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Unclear</w:t>
            </w:r>
          </w:p>
        </w:tc>
        <w:tc>
          <w:tcPr>
            <w:tcW w:w="0" w:type="auto"/>
            <w:tcMar>
              <w:top w:w="80" w:type="dxa"/>
              <w:left w:w="80" w:type="dxa"/>
              <w:bottom w:w="80" w:type="dxa"/>
              <w:right w:w="80" w:type="dxa"/>
            </w:tcMar>
            <w:vAlign w:val="center"/>
            <w:hideMark/>
          </w:tcPr>
          <w:p w14:paraId="6F78876E"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Mar>
              <w:top w:w="80" w:type="dxa"/>
              <w:left w:w="80" w:type="dxa"/>
              <w:bottom w:w="80" w:type="dxa"/>
              <w:right w:w="80" w:type="dxa"/>
            </w:tcMar>
            <w:vAlign w:val="center"/>
            <w:hideMark/>
          </w:tcPr>
          <w:p w14:paraId="7DF0836A"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0EEE6E79"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C10E043"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E784F0B"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487D37A1" w14:textId="77777777" w:rsidR="00820880" w:rsidRPr="007657B6"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demonstrates strong methodological alignment from the research questions through to the data analysis. Participant voices are adequately represented. However, it lacks explicit reflexivity regarding the researchers’ influence on the data collection process.</w:t>
            </w:r>
          </w:p>
        </w:tc>
      </w:tr>
      <w:tr w:rsidR="00820880" w:rsidRPr="007657B6" w14:paraId="53C149AF" w14:textId="77777777" w:rsidTr="007F435E">
        <w:trPr>
          <w:trHeight w:val="44"/>
        </w:trPr>
        <w:tc>
          <w:tcPr>
            <w:tcW w:w="0" w:type="auto"/>
            <w:vMerge/>
            <w:tcBorders>
              <w:left w:val="nil"/>
            </w:tcBorders>
            <w:hideMark/>
          </w:tcPr>
          <w:p w14:paraId="5BEDEDE6" w14:textId="77777777" w:rsidR="00820880" w:rsidRPr="007657B6" w:rsidRDefault="00820880" w:rsidP="00281291">
            <w:pPr>
              <w:widowControl/>
              <w:rPr>
                <w:rFonts w:ascii="Times New Roman" w:eastAsia="等线" w:hAnsi="Times New Roman" w:cs="Times New Roman"/>
                <w:color w:val="000000"/>
                <w:kern w:val="0"/>
                <w:sz w:val="18"/>
                <w:szCs w:val="18"/>
                <w14:ligatures w14:val="none"/>
              </w:rPr>
            </w:pPr>
          </w:p>
        </w:tc>
        <w:tc>
          <w:tcPr>
            <w:tcW w:w="0" w:type="auto"/>
            <w:tcMar>
              <w:top w:w="80" w:type="dxa"/>
              <w:left w:w="80" w:type="dxa"/>
              <w:bottom w:w="80" w:type="dxa"/>
              <w:right w:w="80" w:type="dxa"/>
            </w:tcMar>
            <w:vAlign w:val="center"/>
            <w:hideMark/>
          </w:tcPr>
          <w:p w14:paraId="51CC76C2" w14:textId="77777777" w:rsidR="00820880" w:rsidRPr="007657B6" w:rsidRDefault="00820880" w:rsidP="0028129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0" w:type="auto"/>
            <w:tcMar>
              <w:top w:w="80" w:type="dxa"/>
              <w:left w:w="80" w:type="dxa"/>
              <w:bottom w:w="80" w:type="dxa"/>
              <w:right w:w="80" w:type="dxa"/>
            </w:tcMar>
            <w:vAlign w:val="center"/>
            <w:hideMark/>
          </w:tcPr>
          <w:p w14:paraId="2BF4C107"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79DE722"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FB8E908"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63D09E0A"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54BC012"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6145598"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Mar>
              <w:top w:w="80" w:type="dxa"/>
              <w:left w:w="80" w:type="dxa"/>
              <w:bottom w:w="80" w:type="dxa"/>
              <w:right w:w="80" w:type="dxa"/>
            </w:tcMar>
            <w:vAlign w:val="center"/>
            <w:hideMark/>
          </w:tcPr>
          <w:p w14:paraId="65248700"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0" w:type="auto"/>
            <w:tcMar>
              <w:top w:w="80" w:type="dxa"/>
              <w:left w:w="80" w:type="dxa"/>
              <w:bottom w:w="80" w:type="dxa"/>
              <w:right w:w="80" w:type="dxa"/>
            </w:tcMar>
            <w:vAlign w:val="center"/>
            <w:hideMark/>
          </w:tcPr>
          <w:p w14:paraId="455C0296"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5DC0A6F"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5892B47"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4A4E0C72" w14:textId="77777777" w:rsidR="00820880" w:rsidRPr="007657B6" w:rsidRDefault="00820880" w:rsidP="0028129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nil"/>
            </w:tcBorders>
            <w:tcMar>
              <w:top w:w="80" w:type="dxa"/>
              <w:left w:w="80" w:type="dxa"/>
              <w:bottom w:w="80" w:type="dxa"/>
              <w:right w:w="80" w:type="dxa"/>
            </w:tcMar>
            <w:vAlign w:val="center"/>
            <w:hideMark/>
          </w:tcPr>
          <w:p w14:paraId="2F406076" w14:textId="77777777" w:rsidR="00820880" w:rsidRPr="007657B6" w:rsidRDefault="00820880" w:rsidP="0028129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Methodologically sound with a clear connection between the data collected and the final conclusions. Ethical approval is clearly stated. The cultural and theoretical positioning of the researchers (Q6, Q7) is missing, but this does not critically undermine the findings.</w:t>
            </w:r>
          </w:p>
        </w:tc>
      </w:tr>
    </w:tbl>
    <w:p w14:paraId="3934AEF8" w14:textId="77777777" w:rsidR="00AE0461" w:rsidRDefault="00AE0461" w:rsidP="00454A54">
      <w:pPr>
        <w:rPr>
          <w:rFonts w:hint="eastAsia"/>
        </w:rPr>
      </w:pPr>
    </w:p>
    <w:p w14:paraId="35292541" w14:textId="3469F2DE" w:rsidR="004A632B" w:rsidRPr="004A632B" w:rsidRDefault="005B4CDC" w:rsidP="004A632B">
      <w:pPr>
        <w:rPr>
          <w:rFonts w:ascii="Times New Roman" w:hAnsi="Times New Roman" w:cs="Times New Roman"/>
          <w:b/>
          <w:bCs/>
        </w:rPr>
      </w:pPr>
      <w:r>
        <w:rPr>
          <w:rFonts w:ascii="Times New Roman" w:hAnsi="Times New Roman" w:cs="Times New Roman"/>
          <w:b/>
          <w:bCs/>
          <w:sz w:val="24"/>
          <w:szCs w:val="24"/>
        </w:rPr>
        <w:t>C5</w:t>
      </w:r>
      <w:r w:rsidR="004A632B">
        <w:rPr>
          <w:rFonts w:ascii="Times New Roman" w:hAnsi="Times New Roman" w:cs="Times New Roman"/>
          <w:b/>
          <w:bCs/>
          <w:sz w:val="24"/>
          <w:szCs w:val="24"/>
        </w:rPr>
        <w:t>. Quasi-experimental Studies</w:t>
      </w:r>
    </w:p>
    <w:p w14:paraId="0686FB32" w14:textId="3EC9051E" w:rsidR="0047012C" w:rsidRPr="004A632B" w:rsidRDefault="004A632B" w:rsidP="00454A54">
      <w:pPr>
        <w:rPr>
          <w:rFonts w:ascii="Times New Roman" w:hAnsi="Times New Roman" w:cs="Times New Roman"/>
        </w:rPr>
      </w:pPr>
      <w:r>
        <w:rPr>
          <w:rFonts w:ascii="Times New Roman" w:hAnsi="Times New Roman" w:cs="Times New Roman"/>
        </w:rPr>
        <w:t xml:space="preserve">For quasi-experimental studies, the risk of bias was assessed by employing the revised JBI critical appraisal tool tailored for quasi-experimental designs (Barker et al., 2024). Table </w:t>
      </w:r>
      <w:r w:rsidR="005B4CDC">
        <w:rPr>
          <w:rFonts w:ascii="Times New Roman" w:hAnsi="Times New Roman" w:cs="Times New Roman"/>
        </w:rPr>
        <w:t>C5</w:t>
      </w:r>
      <w:r>
        <w:rPr>
          <w:rFonts w:ascii="Times New Roman" w:hAnsi="Times New Roman" w:cs="Times New Roman"/>
        </w:rPr>
        <w:t>b illustrates the assessment outcomes based on these formulated guidelines.</w:t>
      </w:r>
    </w:p>
    <w:p w14:paraId="6955AF7F" w14:textId="74D234E5" w:rsidR="002661AA" w:rsidRPr="004A632B" w:rsidRDefault="002661AA" w:rsidP="002661AA">
      <w:pPr>
        <w:widowControl/>
        <w:spacing w:line="278" w:lineRule="auto"/>
        <w:jc w:val="center"/>
        <w:rPr>
          <w:rFonts w:hint="eastAsia"/>
        </w:rPr>
      </w:pPr>
      <w:r>
        <w:rPr>
          <w:rFonts w:ascii="Times New Roman" w:eastAsia="等线" w:hAnsi="Times New Roman" w:cs="Times New Roman" w:hint="eastAsia"/>
          <w:b/>
          <w:bCs/>
          <w:color w:val="1F1F1F"/>
          <w:kern w:val="0"/>
          <w:sz w:val="24"/>
          <w:szCs w:val="24"/>
          <w14:ligatures w14:val="none"/>
        </w:rPr>
        <w:t xml:space="preserve">Table </w:t>
      </w:r>
      <w:r w:rsidR="005B4CDC">
        <w:rPr>
          <w:rFonts w:ascii="Times New Roman" w:eastAsia="等线" w:hAnsi="Times New Roman" w:cs="Times New Roman" w:hint="eastAsia"/>
          <w:b/>
          <w:bCs/>
          <w:color w:val="1F1F1F"/>
          <w:kern w:val="0"/>
          <w:sz w:val="24"/>
          <w:szCs w:val="24"/>
          <w14:ligatures w14:val="none"/>
        </w:rPr>
        <w:t>C5</w:t>
      </w:r>
      <w:r>
        <w:rPr>
          <w:rFonts w:ascii="Times New Roman" w:eastAsia="等线" w:hAnsi="Times New Roman" w:cs="Times New Roman" w:hint="eastAsia"/>
          <w:b/>
          <w:bCs/>
          <w:color w:val="1F1F1F"/>
          <w:kern w:val="0"/>
          <w:sz w:val="24"/>
          <w:szCs w:val="24"/>
          <w14:ligatures w14:val="none"/>
        </w:rPr>
        <w:t>a.</w:t>
      </w:r>
      <w:r>
        <w:rPr>
          <w:rFonts w:ascii="Times New Roman" w:eastAsia="等线" w:hAnsi="Times New Roman" w:cs="Times New Roman" w:hint="eastAsia"/>
          <w:color w:val="1F1F1F"/>
          <w:kern w:val="0"/>
          <w:sz w:val="24"/>
          <w:szCs w:val="24"/>
          <w14:ligatures w14:val="none"/>
        </w:rPr>
        <w:t xml:space="preserve"> JBI Critical Appraisal Checklist for </w:t>
      </w:r>
      <w:r>
        <w:rPr>
          <w:rFonts w:ascii="Times New Roman" w:eastAsia="等线" w:hAnsi="Times New Roman" w:cs="Times New Roman"/>
          <w:color w:val="1F1F1F"/>
          <w:kern w:val="0"/>
          <w:sz w:val="24"/>
          <w:szCs w:val="24"/>
          <w14:ligatures w14:val="none"/>
        </w:rPr>
        <w:t>Quasi-</w:t>
      </w:r>
      <w:r>
        <w:rPr>
          <w:rFonts w:ascii="Times New Roman" w:eastAsia="等线" w:hAnsi="Times New Roman" w:cs="Times New Roman" w:hint="eastAsia"/>
          <w:color w:val="1F1F1F"/>
          <w:kern w:val="0"/>
          <w:sz w:val="24"/>
          <w:szCs w:val="24"/>
          <w14:ligatures w14:val="none"/>
        </w:rPr>
        <w:t>e</w:t>
      </w:r>
      <w:r>
        <w:rPr>
          <w:rFonts w:ascii="Times New Roman" w:eastAsia="等线" w:hAnsi="Times New Roman" w:cs="Times New Roman"/>
          <w:color w:val="1F1F1F"/>
          <w:kern w:val="0"/>
          <w:sz w:val="24"/>
          <w:szCs w:val="24"/>
          <w14:ligatures w14:val="none"/>
        </w:rPr>
        <w:t>xperimental Studies</w:t>
      </w:r>
    </w:p>
    <w:tbl>
      <w:tblPr>
        <w:tblStyle w:val="21"/>
        <w:tblW w:w="0" w:type="auto"/>
        <w:jc w:val="center"/>
        <w:tblLook w:val="04A0" w:firstRow="1" w:lastRow="0" w:firstColumn="1" w:lastColumn="0" w:noHBand="0" w:noVBand="1"/>
      </w:tblPr>
      <w:tblGrid>
        <w:gridCol w:w="1070"/>
        <w:gridCol w:w="13152"/>
      </w:tblGrid>
      <w:tr w:rsidR="002661AA" w:rsidRPr="00D92F0F" w14:paraId="745DA46A" w14:textId="77777777" w:rsidTr="002661A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hideMark/>
          </w:tcPr>
          <w:p w14:paraId="173A9BDE" w14:textId="77777777" w:rsidR="002661AA" w:rsidRPr="00D92F0F" w:rsidRDefault="002661AA" w:rsidP="00666A2F">
            <w:pPr>
              <w:jc w:val="lef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Number</w:t>
            </w:r>
          </w:p>
        </w:tc>
        <w:tc>
          <w:tcPr>
            <w:tcW w:w="0" w:type="auto"/>
            <w:tcBorders>
              <w:top w:val="single" w:sz="8" w:space="0" w:color="auto"/>
              <w:bottom w:val="single" w:sz="8" w:space="0" w:color="auto"/>
            </w:tcBorders>
            <w:hideMark/>
          </w:tcPr>
          <w:p w14:paraId="3E7A495F" w14:textId="77777777" w:rsidR="002661AA" w:rsidRPr="00D92F0F" w:rsidRDefault="002661AA" w:rsidP="00666A2F">
            <w:pPr>
              <w:jc w:val="left"/>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Question</w:t>
            </w:r>
          </w:p>
        </w:tc>
      </w:tr>
      <w:tr w:rsidR="002661AA" w:rsidRPr="00D92F0F" w14:paraId="0FA25CC4" w14:textId="77777777" w:rsidTr="002661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nil"/>
            </w:tcBorders>
            <w:hideMark/>
          </w:tcPr>
          <w:p w14:paraId="47796DB8" w14:textId="77777777" w:rsidR="002661AA" w:rsidRPr="00D92F0F" w:rsidRDefault="002661AA" w:rsidP="002661AA">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1</w:t>
            </w:r>
          </w:p>
        </w:tc>
        <w:tc>
          <w:tcPr>
            <w:tcW w:w="0" w:type="auto"/>
            <w:tcBorders>
              <w:top w:val="single" w:sz="8" w:space="0" w:color="auto"/>
              <w:bottom w:val="nil"/>
            </w:tcBorders>
            <w:hideMark/>
          </w:tcPr>
          <w:p w14:paraId="18730563" w14:textId="77777777" w:rsidR="002661AA" w:rsidRPr="00FD445E"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Is it clear in the study what is the “cause” and what is the “effect” (i.e. there is no confusion about which variable comes first)?</w:t>
            </w:r>
          </w:p>
        </w:tc>
      </w:tr>
      <w:tr w:rsidR="002661AA" w:rsidRPr="00D92F0F" w14:paraId="3861FE18" w14:textId="77777777" w:rsidTr="002661A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2CD8EB6" w14:textId="77777777" w:rsidR="002661AA" w:rsidRPr="00D92F0F" w:rsidRDefault="002661AA" w:rsidP="002661AA">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2</w:t>
            </w:r>
          </w:p>
        </w:tc>
        <w:tc>
          <w:tcPr>
            <w:tcW w:w="0" w:type="auto"/>
            <w:tcBorders>
              <w:top w:val="nil"/>
              <w:bottom w:val="nil"/>
            </w:tcBorders>
            <w:hideMark/>
          </w:tcPr>
          <w:p w14:paraId="02E8CF36" w14:textId="77777777" w:rsidR="002661AA" w:rsidRPr="00FD445E"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Was there a control group?</w:t>
            </w:r>
          </w:p>
        </w:tc>
      </w:tr>
      <w:tr w:rsidR="002661AA" w:rsidRPr="00D92F0F" w14:paraId="0FD46A5E" w14:textId="77777777" w:rsidTr="002661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25DB065" w14:textId="77777777" w:rsidR="002661AA" w:rsidRPr="00D92F0F" w:rsidRDefault="002661AA" w:rsidP="002661AA">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lastRenderedPageBreak/>
              <w:t>3</w:t>
            </w:r>
          </w:p>
        </w:tc>
        <w:tc>
          <w:tcPr>
            <w:tcW w:w="0" w:type="auto"/>
            <w:tcBorders>
              <w:top w:val="nil"/>
              <w:bottom w:val="nil"/>
            </w:tcBorders>
            <w:hideMark/>
          </w:tcPr>
          <w:p w14:paraId="7F44DCB8" w14:textId="77777777" w:rsidR="002661AA" w:rsidRPr="00FD445E"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Were participants included in any comparisons similar?</w:t>
            </w:r>
          </w:p>
        </w:tc>
      </w:tr>
      <w:tr w:rsidR="002661AA" w:rsidRPr="00D92F0F" w14:paraId="4F7908C3" w14:textId="77777777" w:rsidTr="002661A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30164CC" w14:textId="77777777" w:rsidR="002661AA" w:rsidRPr="00D92F0F" w:rsidRDefault="002661AA" w:rsidP="002661AA">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4</w:t>
            </w:r>
          </w:p>
        </w:tc>
        <w:tc>
          <w:tcPr>
            <w:tcW w:w="0" w:type="auto"/>
            <w:tcBorders>
              <w:top w:val="nil"/>
              <w:bottom w:val="nil"/>
            </w:tcBorders>
            <w:hideMark/>
          </w:tcPr>
          <w:p w14:paraId="4784DF58" w14:textId="77777777" w:rsidR="002661AA" w:rsidRPr="00FD445E"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Were the participants included in any comparisons receiving similar treatment/care, other than the exposure or intervention of interest?</w:t>
            </w:r>
          </w:p>
        </w:tc>
      </w:tr>
      <w:tr w:rsidR="002661AA" w:rsidRPr="00D92F0F" w14:paraId="061048C6" w14:textId="77777777" w:rsidTr="002661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151F9DA" w14:textId="77777777" w:rsidR="002661AA" w:rsidRPr="00D92F0F" w:rsidRDefault="002661AA" w:rsidP="002661AA">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5</w:t>
            </w:r>
          </w:p>
        </w:tc>
        <w:tc>
          <w:tcPr>
            <w:tcW w:w="0" w:type="auto"/>
            <w:tcBorders>
              <w:top w:val="nil"/>
              <w:bottom w:val="nil"/>
            </w:tcBorders>
            <w:hideMark/>
          </w:tcPr>
          <w:p w14:paraId="70EB184D" w14:textId="77777777" w:rsidR="002661AA" w:rsidRPr="00FD445E"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Were there multiple measurements of the outcome, both pre and post the intervention/exposure?</w:t>
            </w:r>
          </w:p>
        </w:tc>
      </w:tr>
      <w:tr w:rsidR="002661AA" w:rsidRPr="00D92F0F" w14:paraId="5FCAAA36" w14:textId="77777777" w:rsidTr="002661A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39C47EB7" w14:textId="77777777" w:rsidR="002661AA" w:rsidRPr="00D92F0F" w:rsidRDefault="002661AA" w:rsidP="002661AA">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6</w:t>
            </w:r>
          </w:p>
        </w:tc>
        <w:tc>
          <w:tcPr>
            <w:tcW w:w="0" w:type="auto"/>
            <w:tcBorders>
              <w:top w:val="nil"/>
              <w:bottom w:val="nil"/>
            </w:tcBorders>
            <w:hideMark/>
          </w:tcPr>
          <w:p w14:paraId="423E0175" w14:textId="77777777" w:rsidR="002661AA" w:rsidRPr="00FD445E"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Were the outcomes of participants included in any comparisons measured in the same way?</w:t>
            </w:r>
          </w:p>
        </w:tc>
      </w:tr>
      <w:tr w:rsidR="002661AA" w:rsidRPr="00D92F0F" w14:paraId="4E175F37" w14:textId="77777777" w:rsidTr="002661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CF0C91B" w14:textId="77777777" w:rsidR="002661AA" w:rsidRPr="00D92F0F" w:rsidRDefault="002661AA" w:rsidP="002661AA">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7</w:t>
            </w:r>
          </w:p>
        </w:tc>
        <w:tc>
          <w:tcPr>
            <w:tcW w:w="0" w:type="auto"/>
            <w:tcBorders>
              <w:top w:val="nil"/>
              <w:bottom w:val="nil"/>
            </w:tcBorders>
            <w:hideMark/>
          </w:tcPr>
          <w:p w14:paraId="3C601BCD" w14:textId="77777777" w:rsidR="002661AA" w:rsidRPr="00FD445E"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Were outcomes measured in a reliable way?</w:t>
            </w:r>
          </w:p>
        </w:tc>
      </w:tr>
      <w:tr w:rsidR="002661AA" w:rsidRPr="00D92F0F" w14:paraId="393FDC90" w14:textId="77777777" w:rsidTr="002661A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1AC8F5A" w14:textId="77777777" w:rsidR="002661AA" w:rsidRPr="00D92F0F" w:rsidRDefault="002661AA" w:rsidP="002661AA">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8</w:t>
            </w:r>
          </w:p>
        </w:tc>
        <w:tc>
          <w:tcPr>
            <w:tcW w:w="0" w:type="auto"/>
            <w:tcBorders>
              <w:top w:val="nil"/>
              <w:bottom w:val="nil"/>
            </w:tcBorders>
            <w:hideMark/>
          </w:tcPr>
          <w:p w14:paraId="04046FC0" w14:textId="77777777" w:rsidR="002661AA" w:rsidRPr="00FD445E" w:rsidRDefault="002661AA"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Was follow-up complete and if not, were differences between groups in terms of their follow-up adequately described and analyzed?</w:t>
            </w:r>
          </w:p>
        </w:tc>
      </w:tr>
      <w:tr w:rsidR="002661AA" w:rsidRPr="00D92F0F" w14:paraId="26C3D4F0" w14:textId="77777777" w:rsidTr="002661A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8" w:space="0" w:color="auto"/>
            </w:tcBorders>
            <w:hideMark/>
          </w:tcPr>
          <w:p w14:paraId="61FD428C" w14:textId="77777777" w:rsidR="002661AA" w:rsidRPr="00D92F0F" w:rsidRDefault="002661AA" w:rsidP="002661AA">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9</w:t>
            </w:r>
          </w:p>
        </w:tc>
        <w:tc>
          <w:tcPr>
            <w:tcW w:w="0" w:type="auto"/>
            <w:tcBorders>
              <w:top w:val="nil"/>
              <w:bottom w:val="single" w:sz="8" w:space="0" w:color="auto"/>
            </w:tcBorders>
            <w:hideMark/>
          </w:tcPr>
          <w:p w14:paraId="4BEEE494" w14:textId="77777777" w:rsidR="002661AA" w:rsidRPr="00FD445E" w:rsidRDefault="002661AA"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Was appropriate statistical analysis used?</w:t>
            </w:r>
          </w:p>
        </w:tc>
      </w:tr>
    </w:tbl>
    <w:p w14:paraId="41CCC67E" w14:textId="77777777" w:rsidR="002661AA" w:rsidRDefault="002661AA" w:rsidP="002661AA">
      <w:pPr>
        <w:rPr>
          <w:rFonts w:hint="eastAsia"/>
          <w:b/>
          <w:bCs/>
        </w:rPr>
      </w:pPr>
    </w:p>
    <w:p w14:paraId="0669B930" w14:textId="77777777" w:rsidR="004A632B" w:rsidRPr="002661AA" w:rsidRDefault="004A632B" w:rsidP="004A632B">
      <w:pPr>
        <w:rPr>
          <w:rFonts w:hint="eastAsia"/>
          <w:b/>
          <w:bCs/>
        </w:rPr>
      </w:pPr>
    </w:p>
    <w:p w14:paraId="20F22A8D" w14:textId="36D83468" w:rsidR="000C0CAC" w:rsidRPr="00AE0461" w:rsidRDefault="00AE0461" w:rsidP="00AE0461">
      <w:pPr>
        <w:jc w:val="center"/>
        <w:rPr>
          <w:rFonts w:ascii="Times New Roman" w:hAnsi="Times New Roman" w:cs="Times New Roman"/>
          <w:sz w:val="24"/>
          <w:szCs w:val="24"/>
        </w:rPr>
      </w:pPr>
      <w:r>
        <w:rPr>
          <w:rFonts w:ascii="Times New Roman" w:eastAsia="等线" w:hAnsi="Times New Roman" w:cs="Times New Roman" w:hint="eastAsia"/>
          <w:b/>
          <w:bCs/>
          <w:color w:val="1F1F1F"/>
          <w:kern w:val="0"/>
          <w:sz w:val="24"/>
          <w:szCs w:val="24"/>
          <w14:ligatures w14:val="none"/>
        </w:rPr>
        <w:t xml:space="preserve">Table </w:t>
      </w:r>
      <w:r w:rsidR="005B4CDC">
        <w:rPr>
          <w:rFonts w:ascii="Times New Roman" w:eastAsia="等线" w:hAnsi="Times New Roman" w:cs="Times New Roman" w:hint="eastAsia"/>
          <w:b/>
          <w:bCs/>
          <w:color w:val="1F1F1F"/>
          <w:kern w:val="0"/>
          <w:sz w:val="24"/>
          <w:szCs w:val="24"/>
          <w14:ligatures w14:val="none"/>
        </w:rPr>
        <w:t>C5</w:t>
      </w:r>
      <w:r>
        <w:rPr>
          <w:rFonts w:ascii="Times New Roman" w:eastAsia="等线" w:hAnsi="Times New Roman" w:cs="Times New Roman" w:hint="eastAsia"/>
          <w:b/>
          <w:bCs/>
          <w:color w:val="1F1F1F"/>
          <w:kern w:val="0"/>
          <w:sz w:val="24"/>
          <w:szCs w:val="24"/>
          <w14:ligatures w14:val="none"/>
        </w:rPr>
        <w:t xml:space="preserve">b. </w:t>
      </w:r>
      <w:r>
        <w:rPr>
          <w:rFonts w:ascii="Times New Roman" w:hAnsi="Times New Roman" w:cs="Times New Roman" w:hint="eastAsia"/>
          <w:sz w:val="24"/>
          <w:szCs w:val="24"/>
        </w:rPr>
        <w:t>JBI Guidelines on the Assessment of Risk of Bias in Quasi-Experimental Studies Papers</w:t>
      </w:r>
    </w:p>
    <w:tbl>
      <w:tblPr>
        <w:tblStyle w:val="af3"/>
        <w:tblW w:w="5000" w:type="pct"/>
        <w:tblBorders>
          <w:left w:val="none" w:sz="0" w:space="0" w:color="auto"/>
        </w:tblBorders>
        <w:tblLayout w:type="fixed"/>
        <w:tblLook w:val="04A0" w:firstRow="1" w:lastRow="0" w:firstColumn="1" w:lastColumn="0" w:noHBand="0" w:noVBand="1"/>
      </w:tblPr>
      <w:tblGrid>
        <w:gridCol w:w="1458"/>
        <w:gridCol w:w="463"/>
        <w:gridCol w:w="444"/>
        <w:gridCol w:w="1179"/>
        <w:gridCol w:w="480"/>
        <w:gridCol w:w="1361"/>
        <w:gridCol w:w="443"/>
        <w:gridCol w:w="1829"/>
        <w:gridCol w:w="2550"/>
        <w:gridCol w:w="711"/>
        <w:gridCol w:w="708"/>
        <w:gridCol w:w="711"/>
        <w:gridCol w:w="3061"/>
      </w:tblGrid>
      <w:tr w:rsidR="0099294E" w:rsidRPr="0099294E" w14:paraId="2FBF57DD" w14:textId="77777777" w:rsidTr="00E70E40">
        <w:trPr>
          <w:trHeight w:val="283"/>
          <w:tblHeader/>
        </w:trPr>
        <w:tc>
          <w:tcPr>
            <w:tcW w:w="473" w:type="pct"/>
            <w:tcBorders>
              <w:top w:val="single" w:sz="8" w:space="0" w:color="auto"/>
              <w:bottom w:val="single" w:sz="8" w:space="0" w:color="auto"/>
              <w:right w:val="nil"/>
            </w:tcBorders>
            <w:tcMar>
              <w:top w:w="80" w:type="dxa"/>
              <w:left w:w="80" w:type="dxa"/>
              <w:bottom w:w="80" w:type="dxa"/>
              <w:right w:w="80" w:type="dxa"/>
            </w:tcMar>
            <w:vAlign w:val="center"/>
            <w:hideMark/>
          </w:tcPr>
          <w:p w14:paraId="05571AF9" w14:textId="77777777" w:rsidR="0099294E" w:rsidRPr="0099294E" w:rsidRDefault="0099294E" w:rsidP="00477252">
            <w:pPr>
              <w:widowControl/>
              <w:jc w:val="center"/>
              <w:rPr>
                <w:rFonts w:ascii="宋体" w:eastAsia="宋体" w:hAnsi="宋体" w:cs="宋体" w:hint="eastAsia"/>
                <w:kern w:val="0"/>
                <w:sz w:val="18"/>
                <w:szCs w:val="18"/>
                <w14:ligatures w14:val="none"/>
              </w:rPr>
            </w:pPr>
          </w:p>
        </w:tc>
        <w:tc>
          <w:tcPr>
            <w:tcW w:w="150"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79B27B53" w14:textId="77777777" w:rsidR="0099294E" w:rsidRPr="0099294E" w:rsidRDefault="0099294E" w:rsidP="0047725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Rev</w:t>
            </w:r>
          </w:p>
        </w:tc>
        <w:tc>
          <w:tcPr>
            <w:tcW w:w="144"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4F321A2F" w14:textId="77777777" w:rsidR="0099294E" w:rsidRPr="0099294E" w:rsidRDefault="0099294E" w:rsidP="0047725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w:t>
            </w:r>
          </w:p>
        </w:tc>
        <w:tc>
          <w:tcPr>
            <w:tcW w:w="383"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502360CE" w14:textId="77777777" w:rsidR="0099294E" w:rsidRPr="0099294E" w:rsidRDefault="0099294E" w:rsidP="0047725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2</w:t>
            </w:r>
          </w:p>
        </w:tc>
        <w:tc>
          <w:tcPr>
            <w:tcW w:w="156"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78458F9B" w14:textId="77777777" w:rsidR="0099294E" w:rsidRPr="0099294E" w:rsidRDefault="0099294E" w:rsidP="0047725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3</w:t>
            </w:r>
          </w:p>
        </w:tc>
        <w:tc>
          <w:tcPr>
            <w:tcW w:w="442"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1FA3262C" w14:textId="77777777" w:rsidR="0099294E" w:rsidRPr="0099294E" w:rsidRDefault="0099294E" w:rsidP="0047725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4</w:t>
            </w:r>
          </w:p>
        </w:tc>
        <w:tc>
          <w:tcPr>
            <w:tcW w:w="144"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50FC1903" w14:textId="77777777" w:rsidR="0099294E" w:rsidRPr="0099294E" w:rsidRDefault="0099294E" w:rsidP="0047725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5</w:t>
            </w:r>
          </w:p>
        </w:tc>
        <w:tc>
          <w:tcPr>
            <w:tcW w:w="594"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72585650" w14:textId="77777777" w:rsidR="0099294E" w:rsidRPr="0099294E" w:rsidRDefault="0099294E" w:rsidP="0047725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6</w:t>
            </w:r>
          </w:p>
        </w:tc>
        <w:tc>
          <w:tcPr>
            <w:tcW w:w="828"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41F42D2E" w14:textId="77777777" w:rsidR="0099294E" w:rsidRPr="0099294E" w:rsidRDefault="0099294E" w:rsidP="0047725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7</w:t>
            </w:r>
          </w:p>
        </w:tc>
        <w:tc>
          <w:tcPr>
            <w:tcW w:w="23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4F7609C3" w14:textId="77777777" w:rsidR="0099294E" w:rsidRPr="0099294E" w:rsidRDefault="0099294E" w:rsidP="0047725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8</w:t>
            </w:r>
          </w:p>
        </w:tc>
        <w:tc>
          <w:tcPr>
            <w:tcW w:w="230"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7E6165B0" w14:textId="77777777" w:rsidR="0099294E" w:rsidRPr="0099294E" w:rsidRDefault="0099294E" w:rsidP="0047725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9</w:t>
            </w:r>
          </w:p>
        </w:tc>
        <w:tc>
          <w:tcPr>
            <w:tcW w:w="231"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798707B2" w14:textId="77777777" w:rsidR="0099294E" w:rsidRPr="0099294E" w:rsidRDefault="0099294E" w:rsidP="0047725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OA</w:t>
            </w:r>
          </w:p>
        </w:tc>
        <w:tc>
          <w:tcPr>
            <w:tcW w:w="995" w:type="pct"/>
            <w:tcBorders>
              <w:top w:val="single" w:sz="8" w:space="0" w:color="auto"/>
              <w:left w:val="nil"/>
              <w:bottom w:val="single" w:sz="8" w:space="0" w:color="auto"/>
              <w:right w:val="nil"/>
            </w:tcBorders>
            <w:tcMar>
              <w:top w:w="80" w:type="dxa"/>
              <w:left w:w="80" w:type="dxa"/>
              <w:bottom w:w="80" w:type="dxa"/>
              <w:right w:w="80" w:type="dxa"/>
            </w:tcMar>
            <w:vAlign w:val="center"/>
            <w:hideMark/>
          </w:tcPr>
          <w:p w14:paraId="4C3F341F" w14:textId="77777777" w:rsidR="0099294E" w:rsidRPr="0099294E" w:rsidRDefault="0099294E" w:rsidP="0047725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Comments</w:t>
            </w:r>
          </w:p>
        </w:tc>
      </w:tr>
      <w:tr w:rsidR="00820880" w:rsidRPr="0099294E" w14:paraId="778B22E0" w14:textId="77777777" w:rsidTr="00E70E40">
        <w:trPr>
          <w:trHeight w:val="1628"/>
        </w:trPr>
        <w:tc>
          <w:tcPr>
            <w:tcW w:w="473" w:type="pct"/>
            <w:vMerge w:val="restart"/>
            <w:tcMar>
              <w:top w:w="80" w:type="dxa"/>
              <w:left w:w="80" w:type="dxa"/>
              <w:bottom w:w="80" w:type="dxa"/>
              <w:right w:w="80" w:type="dxa"/>
            </w:tcMar>
            <w:vAlign w:val="center"/>
            <w:hideMark/>
          </w:tcPr>
          <w:p w14:paraId="5A9A8184" w14:textId="77777777" w:rsidR="00820880" w:rsidRPr="0099294E" w:rsidRDefault="00820880" w:rsidP="0047725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(Aggar et al., 2023)</w:t>
            </w:r>
          </w:p>
        </w:tc>
        <w:tc>
          <w:tcPr>
            <w:tcW w:w="150" w:type="pct"/>
            <w:tcMar>
              <w:top w:w="80" w:type="dxa"/>
              <w:left w:w="80" w:type="dxa"/>
              <w:bottom w:w="80" w:type="dxa"/>
              <w:right w:w="80" w:type="dxa"/>
            </w:tcMar>
            <w:vAlign w:val="center"/>
            <w:hideMark/>
          </w:tcPr>
          <w:p w14:paraId="746782AF"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144" w:type="pct"/>
            <w:tcMar>
              <w:top w:w="80" w:type="dxa"/>
              <w:left w:w="80" w:type="dxa"/>
              <w:bottom w:w="80" w:type="dxa"/>
              <w:right w:w="80" w:type="dxa"/>
            </w:tcMar>
            <w:vAlign w:val="center"/>
            <w:hideMark/>
          </w:tcPr>
          <w:p w14:paraId="420D7CB1"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383" w:type="pct"/>
            <w:tcMar>
              <w:top w:w="80" w:type="dxa"/>
              <w:left w:w="80" w:type="dxa"/>
              <w:bottom w:w="80" w:type="dxa"/>
              <w:right w:w="80" w:type="dxa"/>
            </w:tcMar>
            <w:vAlign w:val="center"/>
            <w:hideMark/>
          </w:tcPr>
          <w:p w14:paraId="1A757BBA"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 No control group was utilized; the study used a single-arm pre-and post-test design.</w:t>
            </w:r>
          </w:p>
        </w:tc>
        <w:tc>
          <w:tcPr>
            <w:tcW w:w="156" w:type="pct"/>
            <w:tcMar>
              <w:top w:w="80" w:type="dxa"/>
              <w:left w:w="80" w:type="dxa"/>
              <w:bottom w:w="80" w:type="dxa"/>
              <w:right w:w="80" w:type="dxa"/>
            </w:tcMar>
            <w:vAlign w:val="center"/>
            <w:hideMark/>
          </w:tcPr>
          <w:p w14:paraId="281857DA"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N/A</w:t>
            </w:r>
          </w:p>
        </w:tc>
        <w:tc>
          <w:tcPr>
            <w:tcW w:w="442" w:type="pct"/>
            <w:tcMar>
              <w:top w:w="80" w:type="dxa"/>
              <w:left w:w="80" w:type="dxa"/>
              <w:bottom w:w="80" w:type="dxa"/>
              <w:right w:w="80" w:type="dxa"/>
            </w:tcMar>
            <w:vAlign w:val="center"/>
            <w:hideMark/>
          </w:tcPr>
          <w:p w14:paraId="48EF1266"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N/A. There was no control group. All participants received personalized SHT based on individual functional needs and goals.</w:t>
            </w:r>
          </w:p>
        </w:tc>
        <w:tc>
          <w:tcPr>
            <w:tcW w:w="144" w:type="pct"/>
            <w:tcMar>
              <w:top w:w="80" w:type="dxa"/>
              <w:left w:w="80" w:type="dxa"/>
              <w:bottom w:w="80" w:type="dxa"/>
              <w:right w:w="80" w:type="dxa"/>
            </w:tcMar>
            <w:vAlign w:val="center"/>
            <w:hideMark/>
          </w:tcPr>
          <w:p w14:paraId="16A1A27B"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w:t>
            </w:r>
          </w:p>
        </w:tc>
        <w:tc>
          <w:tcPr>
            <w:tcW w:w="594" w:type="pct"/>
            <w:tcMar>
              <w:top w:w="80" w:type="dxa"/>
              <w:left w:w="80" w:type="dxa"/>
              <w:bottom w:w="80" w:type="dxa"/>
              <w:right w:w="80" w:type="dxa"/>
            </w:tcMar>
            <w:vAlign w:val="center"/>
            <w:hideMark/>
          </w:tcPr>
          <w:p w14:paraId="51E310D7"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Quality of life outcomes were measured identically for all participants via phone or in-person surveys at pre- and post-intervention.</w:t>
            </w:r>
          </w:p>
        </w:tc>
        <w:tc>
          <w:tcPr>
            <w:tcW w:w="828" w:type="pct"/>
            <w:tcMar>
              <w:top w:w="80" w:type="dxa"/>
              <w:left w:w="80" w:type="dxa"/>
              <w:bottom w:w="80" w:type="dxa"/>
              <w:right w:w="80" w:type="dxa"/>
            </w:tcMar>
            <w:vAlign w:val="center"/>
            <w:hideMark/>
          </w:tcPr>
          <w:p w14:paraId="0F09DEE0"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Subjective quality of life was reliably measured using the validated 7-item Personal Wellbeing Index (PWI).</w:t>
            </w:r>
          </w:p>
        </w:tc>
        <w:tc>
          <w:tcPr>
            <w:tcW w:w="231" w:type="pct"/>
            <w:tcMar>
              <w:top w:w="80" w:type="dxa"/>
              <w:left w:w="80" w:type="dxa"/>
              <w:bottom w:w="80" w:type="dxa"/>
              <w:right w:w="80" w:type="dxa"/>
            </w:tcMar>
            <w:vAlign w:val="center"/>
            <w:hideMark/>
          </w:tcPr>
          <w:p w14:paraId="08B7F7E4"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0" w:type="pct"/>
            <w:tcMar>
              <w:top w:w="80" w:type="dxa"/>
              <w:left w:w="80" w:type="dxa"/>
              <w:bottom w:w="80" w:type="dxa"/>
              <w:right w:w="80" w:type="dxa"/>
            </w:tcMar>
            <w:vAlign w:val="center"/>
            <w:hideMark/>
          </w:tcPr>
          <w:p w14:paraId="14ADA85E"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1" w:type="pct"/>
            <w:tcMar>
              <w:top w:w="80" w:type="dxa"/>
              <w:left w:w="80" w:type="dxa"/>
              <w:bottom w:w="80" w:type="dxa"/>
              <w:right w:w="80" w:type="dxa"/>
            </w:tcMar>
            <w:vAlign w:val="center"/>
            <w:hideMark/>
          </w:tcPr>
          <w:p w14:paraId="6520DD03"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995" w:type="pct"/>
            <w:tcBorders>
              <w:right w:val="nil"/>
            </w:tcBorders>
            <w:tcMar>
              <w:top w:w="80" w:type="dxa"/>
              <w:left w:w="80" w:type="dxa"/>
              <w:bottom w:w="80" w:type="dxa"/>
              <w:right w:w="80" w:type="dxa"/>
            </w:tcMar>
            <w:vAlign w:val="center"/>
            <w:hideMark/>
          </w:tcPr>
          <w:p w14:paraId="38CBA524"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successfully establishes temporal precedence by measuring outcomes before and after a 12-week intervention. While the lack of a control group limits broad causal inferences, the study employs rigorous statistical testing (e.g., mixed factorial ANOVA) and fits the inclusion criteria well as a pilot evaluation of AI/SHT for aging in place.</w:t>
            </w:r>
          </w:p>
        </w:tc>
      </w:tr>
      <w:tr w:rsidR="00820880" w:rsidRPr="0099294E" w14:paraId="1F6AF5C4" w14:textId="77777777" w:rsidTr="008877B5">
        <w:trPr>
          <w:trHeight w:val="137"/>
        </w:trPr>
        <w:tc>
          <w:tcPr>
            <w:tcW w:w="473" w:type="pct"/>
            <w:vMerge/>
            <w:hideMark/>
          </w:tcPr>
          <w:p w14:paraId="2FC5F28C" w14:textId="77777777" w:rsidR="00820880" w:rsidRPr="0099294E" w:rsidRDefault="00820880" w:rsidP="00477252">
            <w:pPr>
              <w:widowControl/>
              <w:jc w:val="left"/>
              <w:rPr>
                <w:rFonts w:ascii="Times New Roman" w:eastAsia="等线" w:hAnsi="Times New Roman" w:cs="Times New Roman"/>
                <w:color w:val="000000"/>
                <w:kern w:val="0"/>
                <w:sz w:val="18"/>
                <w:szCs w:val="18"/>
                <w14:ligatures w14:val="none"/>
              </w:rPr>
            </w:pPr>
          </w:p>
        </w:tc>
        <w:tc>
          <w:tcPr>
            <w:tcW w:w="150" w:type="pct"/>
            <w:tcMar>
              <w:top w:w="80" w:type="dxa"/>
              <w:left w:w="80" w:type="dxa"/>
              <w:bottom w:w="80" w:type="dxa"/>
              <w:right w:w="80" w:type="dxa"/>
            </w:tcMar>
            <w:vAlign w:val="center"/>
            <w:hideMark/>
          </w:tcPr>
          <w:p w14:paraId="57F6B269"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144" w:type="pct"/>
            <w:tcMar>
              <w:top w:w="80" w:type="dxa"/>
              <w:left w:w="80" w:type="dxa"/>
              <w:bottom w:w="80" w:type="dxa"/>
              <w:right w:w="80" w:type="dxa"/>
            </w:tcMar>
            <w:vAlign w:val="center"/>
            <w:hideMark/>
          </w:tcPr>
          <w:p w14:paraId="2E273FE9"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383" w:type="pct"/>
            <w:tcMar>
              <w:top w:w="80" w:type="dxa"/>
              <w:left w:w="80" w:type="dxa"/>
              <w:bottom w:w="80" w:type="dxa"/>
              <w:right w:w="80" w:type="dxa"/>
            </w:tcMar>
            <w:vAlign w:val="center"/>
            <w:hideMark/>
          </w:tcPr>
          <w:p w14:paraId="32CB9859"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No. This is a longitudinal pilot study utilizing a within-subject design without a separate </w:t>
            </w:r>
            <w:r>
              <w:rPr>
                <w:rFonts w:ascii="Times New Roman" w:eastAsia="等线" w:hAnsi="Times New Roman" w:cs="Times New Roman"/>
                <w:color w:val="1F1F1F"/>
                <w:kern w:val="0"/>
                <w:sz w:val="18"/>
                <w:szCs w:val="18"/>
                <w14:ligatures w14:val="none"/>
              </w:rPr>
              <w:lastRenderedPageBreak/>
              <w:t>control group.</w:t>
            </w:r>
          </w:p>
        </w:tc>
        <w:tc>
          <w:tcPr>
            <w:tcW w:w="156" w:type="pct"/>
            <w:tcMar>
              <w:top w:w="80" w:type="dxa"/>
              <w:left w:w="80" w:type="dxa"/>
              <w:bottom w:w="80" w:type="dxa"/>
              <w:right w:w="80" w:type="dxa"/>
            </w:tcMar>
            <w:vAlign w:val="center"/>
            <w:hideMark/>
          </w:tcPr>
          <w:p w14:paraId="47A06BD8"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N/A</w:t>
            </w:r>
          </w:p>
        </w:tc>
        <w:tc>
          <w:tcPr>
            <w:tcW w:w="442" w:type="pct"/>
            <w:tcMar>
              <w:top w:w="80" w:type="dxa"/>
              <w:left w:w="80" w:type="dxa"/>
              <w:bottom w:w="80" w:type="dxa"/>
              <w:right w:w="80" w:type="dxa"/>
            </w:tcMar>
            <w:vAlign w:val="center"/>
            <w:hideMark/>
          </w:tcPr>
          <w:p w14:paraId="70560B51"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N/A. Only one group existed, and all individuals received customized SHT installations (e.g., Google </w:t>
            </w:r>
            <w:r>
              <w:rPr>
                <w:rFonts w:ascii="Times New Roman" w:eastAsia="等线" w:hAnsi="Times New Roman" w:cs="Times New Roman"/>
                <w:color w:val="1F1F1F"/>
                <w:kern w:val="0"/>
                <w:sz w:val="18"/>
                <w:szCs w:val="18"/>
                <w14:ligatures w14:val="none"/>
              </w:rPr>
              <w:lastRenderedPageBreak/>
              <w:t>Home Hub, smart lighting).</w:t>
            </w:r>
          </w:p>
        </w:tc>
        <w:tc>
          <w:tcPr>
            <w:tcW w:w="144" w:type="pct"/>
            <w:tcMar>
              <w:top w:w="80" w:type="dxa"/>
              <w:left w:w="80" w:type="dxa"/>
              <w:bottom w:w="80" w:type="dxa"/>
              <w:right w:w="80" w:type="dxa"/>
            </w:tcMar>
            <w:vAlign w:val="center"/>
            <w:hideMark/>
          </w:tcPr>
          <w:p w14:paraId="2FFD1811"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No</w:t>
            </w:r>
          </w:p>
        </w:tc>
        <w:tc>
          <w:tcPr>
            <w:tcW w:w="594" w:type="pct"/>
            <w:tcMar>
              <w:top w:w="80" w:type="dxa"/>
              <w:left w:w="80" w:type="dxa"/>
              <w:bottom w:w="80" w:type="dxa"/>
              <w:right w:w="80" w:type="dxa"/>
            </w:tcMar>
            <w:vAlign w:val="center"/>
            <w:hideMark/>
          </w:tcPr>
          <w:p w14:paraId="1B90FE8C"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Outcome variables were measured uniformly via identical questionnaires at baseline and at the end of the 12-week program.</w:t>
            </w:r>
          </w:p>
        </w:tc>
        <w:tc>
          <w:tcPr>
            <w:tcW w:w="828" w:type="pct"/>
            <w:tcMar>
              <w:top w:w="80" w:type="dxa"/>
              <w:left w:w="80" w:type="dxa"/>
              <w:bottom w:w="80" w:type="dxa"/>
              <w:right w:w="80" w:type="dxa"/>
            </w:tcMar>
            <w:vAlign w:val="center"/>
            <w:hideMark/>
          </w:tcPr>
          <w:p w14:paraId="24820772"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The PWI tool was used, which is validated for older adults and demonstrated good internal consistency in this study (Cronbach’s a=0.78).</w:t>
            </w:r>
          </w:p>
        </w:tc>
        <w:tc>
          <w:tcPr>
            <w:tcW w:w="231" w:type="pct"/>
            <w:tcMar>
              <w:top w:w="80" w:type="dxa"/>
              <w:left w:w="80" w:type="dxa"/>
              <w:bottom w:w="80" w:type="dxa"/>
              <w:right w:w="80" w:type="dxa"/>
            </w:tcMar>
            <w:vAlign w:val="center"/>
            <w:hideMark/>
          </w:tcPr>
          <w:p w14:paraId="2B6457F0"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0" w:type="pct"/>
            <w:tcMar>
              <w:top w:w="80" w:type="dxa"/>
              <w:left w:w="80" w:type="dxa"/>
              <w:bottom w:w="80" w:type="dxa"/>
              <w:right w:w="80" w:type="dxa"/>
            </w:tcMar>
            <w:vAlign w:val="center"/>
            <w:hideMark/>
          </w:tcPr>
          <w:p w14:paraId="438E5C84"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1" w:type="pct"/>
            <w:tcMar>
              <w:top w:w="80" w:type="dxa"/>
              <w:left w:w="80" w:type="dxa"/>
              <w:bottom w:w="80" w:type="dxa"/>
              <w:right w:w="80" w:type="dxa"/>
            </w:tcMar>
            <w:vAlign w:val="center"/>
            <w:hideMark/>
          </w:tcPr>
          <w:p w14:paraId="478014FC"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995" w:type="pct"/>
            <w:tcBorders>
              <w:right w:val="nil"/>
            </w:tcBorders>
            <w:tcMar>
              <w:top w:w="80" w:type="dxa"/>
              <w:left w:w="80" w:type="dxa"/>
              <w:bottom w:w="80" w:type="dxa"/>
              <w:right w:w="80" w:type="dxa"/>
            </w:tcMar>
            <w:vAlign w:val="center"/>
            <w:hideMark/>
          </w:tcPr>
          <w:p w14:paraId="17B1EA01"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methodology is appropriate for a pilot study investigating the efficacy of a new technology intervention. Data analysis techniques properly addressed both within-subject changes and between-group variables (living alone vs. not living alone). The absence of a control group is a noted limitation but not a fatal flaw for inclusion in this context.</w:t>
            </w:r>
          </w:p>
        </w:tc>
      </w:tr>
      <w:tr w:rsidR="00A45911" w14:paraId="11BA3D56" w14:textId="77777777" w:rsidTr="00E70E40">
        <w:tc>
          <w:tcPr>
            <w:tcW w:w="473" w:type="pct"/>
            <w:vMerge w:val="restart"/>
            <w:tcMar>
              <w:top w:w="80" w:type="dxa"/>
              <w:left w:w="80" w:type="dxa"/>
              <w:bottom w:w="80" w:type="dxa"/>
              <w:right w:w="80" w:type="dxa"/>
            </w:tcMar>
            <w:vAlign w:val="center"/>
          </w:tcPr>
          <w:p w14:paraId="65632C07" w14:textId="77777777" w:rsidR="00A45911" w:rsidRDefault="00A45911" w:rsidP="002D341D">
            <w:pPr>
              <w:jc w:val="center"/>
              <w:rPr>
                <w:rFonts w:hint="eastAsia"/>
              </w:rPr>
            </w:pPr>
            <w:r>
              <w:rPr>
                <w:rFonts w:ascii="Times New Roman" w:hAnsi="Times New Roman" w:cs="Times New Roman"/>
                <w:sz w:val="18"/>
              </w:rPr>
              <w:t>(Chew et al., 2024)</w:t>
            </w:r>
          </w:p>
        </w:tc>
        <w:tc>
          <w:tcPr>
            <w:tcW w:w="150" w:type="pct"/>
            <w:tcMar>
              <w:top w:w="80" w:type="dxa"/>
              <w:left w:w="80" w:type="dxa"/>
              <w:bottom w:w="80" w:type="dxa"/>
              <w:right w:w="80" w:type="dxa"/>
            </w:tcMar>
            <w:vAlign w:val="center"/>
          </w:tcPr>
          <w:p w14:paraId="289D01DB" w14:textId="77777777" w:rsidR="00A45911" w:rsidRDefault="00A45911">
            <w:pPr>
              <w:jc w:val="center"/>
              <w:rPr>
                <w:rFonts w:hint="eastAsia"/>
              </w:rPr>
            </w:pPr>
            <w:r>
              <w:rPr>
                <w:rFonts w:ascii="Times New Roman" w:hAnsi="Times New Roman" w:cs="Times New Roman"/>
                <w:sz w:val="18"/>
              </w:rPr>
              <w:t>R1</w:t>
            </w:r>
          </w:p>
        </w:tc>
        <w:tc>
          <w:tcPr>
            <w:tcW w:w="144" w:type="pct"/>
            <w:tcMar>
              <w:top w:w="80" w:type="dxa"/>
              <w:left w:w="80" w:type="dxa"/>
              <w:bottom w:w="80" w:type="dxa"/>
              <w:right w:w="80" w:type="dxa"/>
            </w:tcMar>
            <w:vAlign w:val="center"/>
          </w:tcPr>
          <w:p w14:paraId="2A5CE4F5" w14:textId="77777777" w:rsidR="00A45911" w:rsidRDefault="00A45911">
            <w:pPr>
              <w:jc w:val="left"/>
              <w:rPr>
                <w:rFonts w:hint="eastAsia"/>
              </w:rPr>
            </w:pPr>
            <w:r>
              <w:rPr>
                <w:rFonts w:ascii="Times New Roman" w:hAnsi="Times New Roman" w:cs="Times New Roman"/>
                <w:sz w:val="18"/>
              </w:rPr>
              <w:t>Yes</w:t>
            </w:r>
          </w:p>
        </w:tc>
        <w:tc>
          <w:tcPr>
            <w:tcW w:w="383" w:type="pct"/>
            <w:tcMar>
              <w:top w:w="80" w:type="dxa"/>
              <w:left w:w="80" w:type="dxa"/>
              <w:bottom w:w="80" w:type="dxa"/>
              <w:right w:w="80" w:type="dxa"/>
            </w:tcMar>
            <w:vAlign w:val="center"/>
          </w:tcPr>
          <w:p w14:paraId="48C85FE6" w14:textId="77777777" w:rsidR="00A45911" w:rsidRDefault="00A45911">
            <w:pPr>
              <w:jc w:val="left"/>
              <w:rPr>
                <w:rFonts w:hint="eastAsia"/>
              </w:rPr>
            </w:pPr>
            <w:r>
              <w:rPr>
                <w:rFonts w:ascii="Times New Roman" w:hAnsi="Times New Roman" w:cs="Times New Roman"/>
                <w:sz w:val="18"/>
              </w:rPr>
              <w:t>Yes. The study had a control group that received printed cognitive-health materials.</w:t>
            </w:r>
          </w:p>
        </w:tc>
        <w:tc>
          <w:tcPr>
            <w:tcW w:w="156" w:type="pct"/>
            <w:tcMar>
              <w:top w:w="80" w:type="dxa"/>
              <w:left w:w="80" w:type="dxa"/>
              <w:bottom w:w="80" w:type="dxa"/>
              <w:right w:w="80" w:type="dxa"/>
            </w:tcMar>
            <w:vAlign w:val="center"/>
          </w:tcPr>
          <w:p w14:paraId="4A13CCAD" w14:textId="77777777" w:rsidR="00A45911" w:rsidRDefault="00A45911">
            <w:pPr>
              <w:jc w:val="left"/>
              <w:rPr>
                <w:rFonts w:hint="eastAsia"/>
              </w:rPr>
            </w:pPr>
            <w:r>
              <w:rPr>
                <w:rFonts w:ascii="Times New Roman" w:hAnsi="Times New Roman" w:cs="Times New Roman"/>
                <w:sz w:val="18"/>
              </w:rPr>
              <w:t xml:space="preserve">No. </w:t>
            </w:r>
          </w:p>
        </w:tc>
        <w:tc>
          <w:tcPr>
            <w:tcW w:w="442" w:type="pct"/>
            <w:tcMar>
              <w:top w:w="80" w:type="dxa"/>
              <w:left w:w="80" w:type="dxa"/>
              <w:bottom w:w="80" w:type="dxa"/>
              <w:right w:w="80" w:type="dxa"/>
            </w:tcMar>
            <w:vAlign w:val="center"/>
          </w:tcPr>
          <w:p w14:paraId="749FE5AE" w14:textId="77777777" w:rsidR="00A45911" w:rsidRDefault="00A45911">
            <w:pPr>
              <w:jc w:val="left"/>
              <w:rPr>
                <w:rFonts w:hint="eastAsia"/>
              </w:rPr>
            </w:pPr>
            <w:r>
              <w:rPr>
                <w:rFonts w:ascii="Times New Roman" w:hAnsi="Times New Roman" w:cs="Times New Roman"/>
                <w:sz w:val="18"/>
              </w:rPr>
              <w:t>Unclear. The control group did not receive ADL+, and usual support outside the study was not fully clear.</w:t>
            </w:r>
          </w:p>
        </w:tc>
        <w:tc>
          <w:tcPr>
            <w:tcW w:w="144" w:type="pct"/>
            <w:tcMar>
              <w:top w:w="80" w:type="dxa"/>
              <w:left w:w="80" w:type="dxa"/>
              <w:bottom w:w="80" w:type="dxa"/>
              <w:right w:w="80" w:type="dxa"/>
            </w:tcMar>
            <w:vAlign w:val="center"/>
          </w:tcPr>
          <w:p w14:paraId="353B4670" w14:textId="77777777" w:rsidR="00A45911" w:rsidRDefault="00A45911">
            <w:pPr>
              <w:jc w:val="left"/>
              <w:rPr>
                <w:rFonts w:hint="eastAsia"/>
              </w:rPr>
            </w:pPr>
            <w:r>
              <w:rPr>
                <w:rFonts w:ascii="Times New Roman" w:hAnsi="Times New Roman" w:cs="Times New Roman"/>
                <w:sz w:val="18"/>
              </w:rPr>
              <w:t>Ye</w:t>
            </w:r>
            <w:r>
              <w:rPr>
                <w:rFonts w:ascii="Times New Roman" w:hAnsi="Times New Roman" w:cs="Times New Roman" w:hint="eastAsia"/>
                <w:sz w:val="18"/>
              </w:rPr>
              <w:t>s</w:t>
            </w:r>
            <w:r>
              <w:rPr>
                <w:rFonts w:ascii="Times New Roman" w:hAnsi="Times New Roman" w:cs="Times New Roman"/>
                <w:sz w:val="18"/>
              </w:rPr>
              <w:t xml:space="preserve">  </w:t>
            </w:r>
          </w:p>
        </w:tc>
        <w:tc>
          <w:tcPr>
            <w:tcW w:w="594" w:type="pct"/>
            <w:tcMar>
              <w:top w:w="80" w:type="dxa"/>
              <w:left w:w="80" w:type="dxa"/>
              <w:bottom w:w="80" w:type="dxa"/>
              <w:right w:w="80" w:type="dxa"/>
            </w:tcMar>
            <w:vAlign w:val="center"/>
          </w:tcPr>
          <w:p w14:paraId="3E0A04D7" w14:textId="77777777" w:rsidR="00A45911" w:rsidRDefault="00A45911">
            <w:pPr>
              <w:jc w:val="left"/>
              <w:rPr>
                <w:rFonts w:hint="eastAsia"/>
              </w:rPr>
            </w:pPr>
            <w:r>
              <w:rPr>
                <w:rFonts w:ascii="Times New Roman" w:hAnsi="Times New Roman" w:cs="Times New Roman"/>
                <w:sz w:val="18"/>
              </w:rPr>
              <w:t>Yes. The same outcome tests were used for both groups, including NTB, FAI, and EQ-5D.</w:t>
            </w:r>
          </w:p>
        </w:tc>
        <w:tc>
          <w:tcPr>
            <w:tcW w:w="828" w:type="pct"/>
            <w:tcMar>
              <w:top w:w="80" w:type="dxa"/>
              <w:left w:w="80" w:type="dxa"/>
              <w:bottom w:w="80" w:type="dxa"/>
              <w:right w:w="80" w:type="dxa"/>
            </w:tcMar>
            <w:vAlign w:val="center"/>
          </w:tcPr>
          <w:p w14:paraId="216870E4" w14:textId="77777777" w:rsidR="00A45911" w:rsidRDefault="00A45911">
            <w:pPr>
              <w:jc w:val="left"/>
              <w:rPr>
                <w:rFonts w:hint="eastAsia"/>
              </w:rPr>
            </w:pPr>
            <w:r>
              <w:rPr>
                <w:rFonts w:ascii="Times New Roman" w:hAnsi="Times New Roman" w:cs="Times New Roman"/>
                <w:sz w:val="18"/>
              </w:rPr>
              <w:t>Yes. The main outcomes used standard tools and trained assessors, so the measures were reliable.</w:t>
            </w:r>
          </w:p>
        </w:tc>
        <w:tc>
          <w:tcPr>
            <w:tcW w:w="231" w:type="pct"/>
            <w:tcMar>
              <w:top w:w="80" w:type="dxa"/>
              <w:left w:w="80" w:type="dxa"/>
              <w:bottom w:w="80" w:type="dxa"/>
              <w:right w:w="80" w:type="dxa"/>
            </w:tcMar>
            <w:vAlign w:val="center"/>
          </w:tcPr>
          <w:p w14:paraId="3EBFAAED" w14:textId="77777777" w:rsidR="00A45911" w:rsidRDefault="00A45911">
            <w:pPr>
              <w:jc w:val="left"/>
              <w:rPr>
                <w:rFonts w:hint="eastAsia"/>
              </w:rPr>
            </w:pPr>
            <w:r>
              <w:rPr>
                <w:rFonts w:ascii="Times New Roman" w:hAnsi="Times New Roman" w:cs="Times New Roman"/>
                <w:sz w:val="18"/>
              </w:rPr>
              <w:t>Unclea</w:t>
            </w:r>
            <w:r>
              <w:rPr>
                <w:rFonts w:ascii="Times New Roman" w:hAnsi="Times New Roman" w:cs="Times New Roman" w:hint="eastAsia"/>
                <w:sz w:val="18"/>
              </w:rPr>
              <w:t>r.</w:t>
            </w:r>
          </w:p>
        </w:tc>
        <w:tc>
          <w:tcPr>
            <w:tcW w:w="230" w:type="pct"/>
            <w:tcMar>
              <w:top w:w="80" w:type="dxa"/>
              <w:left w:w="80" w:type="dxa"/>
              <w:bottom w:w="80" w:type="dxa"/>
              <w:right w:w="80" w:type="dxa"/>
            </w:tcMar>
            <w:vAlign w:val="center"/>
          </w:tcPr>
          <w:p w14:paraId="5A0D269B" w14:textId="77777777" w:rsidR="00A45911" w:rsidRDefault="00A45911">
            <w:pPr>
              <w:jc w:val="left"/>
              <w:rPr>
                <w:rFonts w:hint="eastAsia"/>
              </w:rPr>
            </w:pPr>
            <w:r>
              <w:rPr>
                <w:rFonts w:ascii="Times New Roman" w:hAnsi="Times New Roman" w:cs="Times New Roman"/>
                <w:sz w:val="18"/>
              </w:rPr>
              <w:t>Yes</w:t>
            </w:r>
          </w:p>
        </w:tc>
        <w:tc>
          <w:tcPr>
            <w:tcW w:w="231" w:type="pct"/>
            <w:tcMar>
              <w:top w:w="80" w:type="dxa"/>
              <w:left w:w="80" w:type="dxa"/>
              <w:bottom w:w="80" w:type="dxa"/>
              <w:right w:w="80" w:type="dxa"/>
            </w:tcMar>
            <w:vAlign w:val="center"/>
          </w:tcPr>
          <w:p w14:paraId="458EE059" w14:textId="77777777" w:rsidR="00A45911" w:rsidRDefault="00A45911">
            <w:pPr>
              <w:jc w:val="center"/>
              <w:rPr>
                <w:rFonts w:hint="eastAsia"/>
              </w:rPr>
            </w:pPr>
            <w:r>
              <w:rPr>
                <w:rFonts w:ascii="Times New Roman" w:hAnsi="Times New Roman" w:cs="Times New Roman"/>
                <w:sz w:val="18"/>
              </w:rPr>
              <w:t>Exclude</w:t>
            </w:r>
          </w:p>
        </w:tc>
        <w:tc>
          <w:tcPr>
            <w:tcW w:w="995" w:type="pct"/>
            <w:tcMar>
              <w:top w:w="80" w:type="dxa"/>
              <w:left w:w="80" w:type="dxa"/>
              <w:bottom w:w="80" w:type="dxa"/>
              <w:right w:w="80" w:type="dxa"/>
            </w:tcMar>
            <w:vAlign w:val="center"/>
          </w:tcPr>
          <w:p w14:paraId="1541A095" w14:textId="77777777" w:rsidR="00A45911" w:rsidRDefault="00A45911">
            <w:pPr>
              <w:jc w:val="left"/>
              <w:rPr>
                <w:rFonts w:hint="eastAsia"/>
              </w:rPr>
            </w:pPr>
            <w:r>
              <w:rPr>
                <w:rFonts w:ascii="Times New Roman" w:hAnsi="Times New Roman" w:cs="Times New Roman"/>
                <w:sz w:val="18"/>
              </w:rPr>
              <w:t>Excluded because the study was not randomized and the two groups were different at baseline. The results are useful, but the design still has clear selection bias.</w:t>
            </w:r>
          </w:p>
        </w:tc>
      </w:tr>
      <w:tr w:rsidR="00A45911" w14:paraId="704C6CF4" w14:textId="77777777" w:rsidTr="00E70E40">
        <w:tc>
          <w:tcPr>
            <w:tcW w:w="473" w:type="pct"/>
            <w:vMerge/>
            <w:tcMar>
              <w:top w:w="80" w:type="dxa"/>
              <w:left w:w="80" w:type="dxa"/>
              <w:bottom w:w="80" w:type="dxa"/>
              <w:right w:w="80" w:type="dxa"/>
            </w:tcMar>
            <w:vAlign w:val="center"/>
          </w:tcPr>
          <w:p w14:paraId="30CFD17A" w14:textId="77777777" w:rsidR="00A45911" w:rsidRDefault="00A45911">
            <w:pPr>
              <w:jc w:val="left"/>
              <w:rPr>
                <w:rFonts w:hint="eastAsia"/>
              </w:rPr>
            </w:pPr>
          </w:p>
        </w:tc>
        <w:tc>
          <w:tcPr>
            <w:tcW w:w="150" w:type="pct"/>
            <w:tcMar>
              <w:top w:w="80" w:type="dxa"/>
              <w:left w:w="80" w:type="dxa"/>
              <w:bottom w:w="80" w:type="dxa"/>
              <w:right w:w="80" w:type="dxa"/>
            </w:tcMar>
            <w:vAlign w:val="center"/>
          </w:tcPr>
          <w:p w14:paraId="2FA408DE" w14:textId="77777777" w:rsidR="00A45911" w:rsidRDefault="00A45911">
            <w:pPr>
              <w:jc w:val="center"/>
              <w:rPr>
                <w:rFonts w:hint="eastAsia"/>
              </w:rPr>
            </w:pPr>
            <w:r>
              <w:rPr>
                <w:rFonts w:ascii="Times New Roman" w:hAnsi="Times New Roman" w:cs="Times New Roman"/>
                <w:sz w:val="18"/>
              </w:rPr>
              <w:t>R2</w:t>
            </w:r>
          </w:p>
        </w:tc>
        <w:tc>
          <w:tcPr>
            <w:tcW w:w="144" w:type="pct"/>
            <w:tcMar>
              <w:top w:w="80" w:type="dxa"/>
              <w:left w:w="80" w:type="dxa"/>
              <w:bottom w:w="80" w:type="dxa"/>
              <w:right w:w="80" w:type="dxa"/>
            </w:tcMar>
            <w:vAlign w:val="center"/>
          </w:tcPr>
          <w:p w14:paraId="42F4F46E" w14:textId="77777777" w:rsidR="00A45911" w:rsidRDefault="00A45911">
            <w:pPr>
              <w:jc w:val="left"/>
              <w:rPr>
                <w:rFonts w:hint="eastAsia"/>
              </w:rPr>
            </w:pPr>
            <w:r>
              <w:rPr>
                <w:rFonts w:ascii="Times New Roman" w:hAnsi="Times New Roman" w:cs="Times New Roman"/>
                <w:sz w:val="18"/>
              </w:rPr>
              <w:t>Yes</w:t>
            </w:r>
          </w:p>
        </w:tc>
        <w:tc>
          <w:tcPr>
            <w:tcW w:w="383" w:type="pct"/>
            <w:tcMar>
              <w:top w:w="80" w:type="dxa"/>
              <w:left w:w="80" w:type="dxa"/>
              <w:bottom w:w="80" w:type="dxa"/>
              <w:right w:w="80" w:type="dxa"/>
            </w:tcMar>
            <w:vAlign w:val="center"/>
          </w:tcPr>
          <w:p w14:paraId="4A51FA40" w14:textId="77777777" w:rsidR="00A45911" w:rsidRDefault="00A45911">
            <w:pPr>
              <w:jc w:val="left"/>
              <w:rPr>
                <w:rFonts w:hint="eastAsia"/>
              </w:rPr>
            </w:pPr>
            <w:r>
              <w:rPr>
                <w:rFonts w:ascii="Times New Roman" w:hAnsi="Times New Roman" w:cs="Times New Roman"/>
                <w:sz w:val="18"/>
              </w:rPr>
              <w:t>Yes. There was a comparison group using education materials only.</w:t>
            </w:r>
          </w:p>
        </w:tc>
        <w:tc>
          <w:tcPr>
            <w:tcW w:w="156" w:type="pct"/>
            <w:tcMar>
              <w:top w:w="80" w:type="dxa"/>
              <w:left w:w="80" w:type="dxa"/>
              <w:bottom w:w="80" w:type="dxa"/>
              <w:right w:w="80" w:type="dxa"/>
            </w:tcMar>
            <w:vAlign w:val="center"/>
          </w:tcPr>
          <w:p w14:paraId="45FA3E5E" w14:textId="77777777" w:rsidR="00A45911" w:rsidRDefault="00A45911">
            <w:pPr>
              <w:jc w:val="left"/>
              <w:rPr>
                <w:rFonts w:hint="eastAsia"/>
              </w:rPr>
            </w:pPr>
            <w:r>
              <w:rPr>
                <w:rFonts w:ascii="Times New Roman" w:hAnsi="Times New Roman" w:cs="Times New Roman"/>
                <w:sz w:val="18"/>
              </w:rPr>
              <w:t xml:space="preserve">No </w:t>
            </w:r>
          </w:p>
        </w:tc>
        <w:tc>
          <w:tcPr>
            <w:tcW w:w="442" w:type="pct"/>
            <w:tcMar>
              <w:top w:w="80" w:type="dxa"/>
              <w:left w:w="80" w:type="dxa"/>
              <w:bottom w:w="80" w:type="dxa"/>
              <w:right w:w="80" w:type="dxa"/>
            </w:tcMar>
            <w:vAlign w:val="center"/>
          </w:tcPr>
          <w:p w14:paraId="2C37832D" w14:textId="77777777" w:rsidR="00A45911" w:rsidRDefault="00A45911">
            <w:pPr>
              <w:jc w:val="left"/>
              <w:rPr>
                <w:rFonts w:hint="eastAsia"/>
              </w:rPr>
            </w:pPr>
            <w:r>
              <w:rPr>
                <w:rFonts w:ascii="Times New Roman" w:hAnsi="Times New Roman" w:cs="Times New Roman"/>
                <w:sz w:val="18"/>
              </w:rPr>
              <w:t>Unclear. The two groups received different support, and the paper gives limited detail on other care received.</w:t>
            </w:r>
          </w:p>
        </w:tc>
        <w:tc>
          <w:tcPr>
            <w:tcW w:w="144" w:type="pct"/>
            <w:tcMar>
              <w:top w:w="80" w:type="dxa"/>
              <w:left w:w="80" w:type="dxa"/>
              <w:bottom w:w="80" w:type="dxa"/>
              <w:right w:w="80" w:type="dxa"/>
            </w:tcMar>
            <w:vAlign w:val="center"/>
          </w:tcPr>
          <w:p w14:paraId="68B025D2" w14:textId="77777777" w:rsidR="00A45911" w:rsidRDefault="00A45911">
            <w:pPr>
              <w:jc w:val="left"/>
              <w:rPr>
                <w:rFonts w:hint="eastAsia"/>
              </w:rPr>
            </w:pPr>
            <w:r>
              <w:rPr>
                <w:rFonts w:ascii="Times New Roman" w:hAnsi="Times New Roman" w:cs="Times New Roman"/>
                <w:sz w:val="18"/>
              </w:rPr>
              <w:t>Ye</w:t>
            </w:r>
            <w:r>
              <w:rPr>
                <w:rFonts w:ascii="Times New Roman" w:hAnsi="Times New Roman" w:cs="Times New Roman" w:hint="eastAsia"/>
                <w:sz w:val="18"/>
              </w:rPr>
              <w:t>s</w:t>
            </w:r>
          </w:p>
        </w:tc>
        <w:tc>
          <w:tcPr>
            <w:tcW w:w="594" w:type="pct"/>
            <w:tcMar>
              <w:top w:w="80" w:type="dxa"/>
              <w:left w:w="80" w:type="dxa"/>
              <w:bottom w:w="80" w:type="dxa"/>
              <w:right w:w="80" w:type="dxa"/>
            </w:tcMar>
            <w:vAlign w:val="center"/>
          </w:tcPr>
          <w:p w14:paraId="48A7C646" w14:textId="77777777" w:rsidR="00A45911" w:rsidRDefault="00A45911">
            <w:pPr>
              <w:jc w:val="left"/>
              <w:rPr>
                <w:rFonts w:hint="eastAsia"/>
              </w:rPr>
            </w:pPr>
            <w:r>
              <w:rPr>
                <w:rFonts w:ascii="Times New Roman" w:hAnsi="Times New Roman" w:cs="Times New Roman"/>
                <w:sz w:val="18"/>
              </w:rPr>
              <w:t>Yes. Both groups were assessed with the same cognitive, activity, quality-of-life, and usability measures.</w:t>
            </w:r>
          </w:p>
        </w:tc>
        <w:tc>
          <w:tcPr>
            <w:tcW w:w="828" w:type="pct"/>
            <w:tcMar>
              <w:top w:w="80" w:type="dxa"/>
              <w:left w:w="80" w:type="dxa"/>
              <w:bottom w:w="80" w:type="dxa"/>
              <w:right w:w="80" w:type="dxa"/>
            </w:tcMar>
            <w:vAlign w:val="center"/>
          </w:tcPr>
          <w:p w14:paraId="676E553A" w14:textId="77777777" w:rsidR="00A45911" w:rsidRDefault="00A45911">
            <w:pPr>
              <w:jc w:val="left"/>
              <w:rPr>
                <w:rFonts w:hint="eastAsia"/>
              </w:rPr>
            </w:pPr>
            <w:r>
              <w:rPr>
                <w:rFonts w:ascii="Times New Roman" w:hAnsi="Times New Roman" w:cs="Times New Roman"/>
                <w:sz w:val="18"/>
              </w:rPr>
              <w:t>Yes. The tools were established measures, such as the neuropsychological battery, FAI, EQ-5D, and SUS.</w:t>
            </w:r>
          </w:p>
        </w:tc>
        <w:tc>
          <w:tcPr>
            <w:tcW w:w="231" w:type="pct"/>
            <w:tcMar>
              <w:top w:w="80" w:type="dxa"/>
              <w:left w:w="80" w:type="dxa"/>
              <w:bottom w:w="80" w:type="dxa"/>
              <w:right w:w="80" w:type="dxa"/>
            </w:tcMar>
            <w:vAlign w:val="center"/>
          </w:tcPr>
          <w:p w14:paraId="0EC87E32" w14:textId="77777777" w:rsidR="00A45911" w:rsidRDefault="00A45911">
            <w:pPr>
              <w:jc w:val="left"/>
              <w:rPr>
                <w:rFonts w:hint="eastAsia"/>
              </w:rPr>
            </w:pPr>
            <w:r>
              <w:rPr>
                <w:rFonts w:ascii="Times New Roman" w:hAnsi="Times New Roman" w:cs="Times New Roman"/>
                <w:sz w:val="18"/>
              </w:rPr>
              <w:t xml:space="preserve">Unclear. </w:t>
            </w:r>
          </w:p>
        </w:tc>
        <w:tc>
          <w:tcPr>
            <w:tcW w:w="230" w:type="pct"/>
            <w:tcMar>
              <w:top w:w="80" w:type="dxa"/>
              <w:left w:w="80" w:type="dxa"/>
              <w:bottom w:w="80" w:type="dxa"/>
              <w:right w:w="80" w:type="dxa"/>
            </w:tcMar>
            <w:vAlign w:val="center"/>
          </w:tcPr>
          <w:p w14:paraId="3C9DFBC3" w14:textId="77777777" w:rsidR="00A45911" w:rsidRDefault="00A45911">
            <w:pPr>
              <w:jc w:val="left"/>
              <w:rPr>
                <w:rFonts w:hint="eastAsia"/>
              </w:rPr>
            </w:pPr>
            <w:r>
              <w:rPr>
                <w:rFonts w:ascii="Times New Roman" w:hAnsi="Times New Roman" w:cs="Times New Roman"/>
                <w:sz w:val="18"/>
              </w:rPr>
              <w:t xml:space="preserve">Yes. </w:t>
            </w:r>
          </w:p>
        </w:tc>
        <w:tc>
          <w:tcPr>
            <w:tcW w:w="231" w:type="pct"/>
            <w:tcMar>
              <w:top w:w="80" w:type="dxa"/>
              <w:left w:w="80" w:type="dxa"/>
              <w:bottom w:w="80" w:type="dxa"/>
              <w:right w:w="80" w:type="dxa"/>
            </w:tcMar>
            <w:vAlign w:val="center"/>
          </w:tcPr>
          <w:p w14:paraId="13D03924" w14:textId="77777777" w:rsidR="00A45911" w:rsidRDefault="00A45911">
            <w:pPr>
              <w:jc w:val="center"/>
              <w:rPr>
                <w:rFonts w:hint="eastAsia"/>
              </w:rPr>
            </w:pPr>
            <w:r>
              <w:rPr>
                <w:rFonts w:ascii="Times New Roman" w:hAnsi="Times New Roman" w:cs="Times New Roman"/>
                <w:sz w:val="18"/>
              </w:rPr>
              <w:t>Exclude</w:t>
            </w:r>
          </w:p>
        </w:tc>
        <w:tc>
          <w:tcPr>
            <w:tcW w:w="995" w:type="pct"/>
            <w:tcMar>
              <w:top w:w="80" w:type="dxa"/>
              <w:left w:w="80" w:type="dxa"/>
              <w:bottom w:w="80" w:type="dxa"/>
              <w:right w:w="80" w:type="dxa"/>
            </w:tcMar>
            <w:vAlign w:val="center"/>
          </w:tcPr>
          <w:p w14:paraId="362CD0A0" w14:textId="77777777" w:rsidR="00A45911" w:rsidRDefault="00A45911">
            <w:pPr>
              <w:jc w:val="left"/>
              <w:rPr>
                <w:rFonts w:hint="eastAsia"/>
              </w:rPr>
            </w:pPr>
            <w:r>
              <w:rPr>
                <w:rFonts w:ascii="Times New Roman" w:hAnsi="Times New Roman" w:cs="Times New Roman"/>
                <w:sz w:val="18"/>
              </w:rPr>
              <w:t>Excluded because practical allocation created unequal groups. Even with adjusted analysis, the baseline imbalance makes the intervention effect less certain.</w:t>
            </w:r>
          </w:p>
        </w:tc>
      </w:tr>
      <w:tr w:rsidR="00820880" w:rsidRPr="0099294E" w14:paraId="3F197774" w14:textId="77777777" w:rsidTr="00E70E40">
        <w:trPr>
          <w:trHeight w:val="1698"/>
        </w:trPr>
        <w:tc>
          <w:tcPr>
            <w:tcW w:w="473" w:type="pct"/>
            <w:vMerge w:val="restart"/>
            <w:tcMar>
              <w:top w:w="80" w:type="dxa"/>
              <w:left w:w="80" w:type="dxa"/>
              <w:bottom w:w="80" w:type="dxa"/>
              <w:right w:w="80" w:type="dxa"/>
            </w:tcMar>
            <w:vAlign w:val="center"/>
            <w:hideMark/>
          </w:tcPr>
          <w:p w14:paraId="3EFCBCE2" w14:textId="77777777" w:rsidR="00820880" w:rsidRPr="0099294E" w:rsidRDefault="00820880" w:rsidP="0047725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(Guitard et al., 2013)</w:t>
            </w:r>
          </w:p>
        </w:tc>
        <w:tc>
          <w:tcPr>
            <w:tcW w:w="150" w:type="pct"/>
            <w:tcMar>
              <w:top w:w="80" w:type="dxa"/>
              <w:left w:w="80" w:type="dxa"/>
              <w:bottom w:w="80" w:type="dxa"/>
              <w:right w:w="80" w:type="dxa"/>
            </w:tcMar>
            <w:vAlign w:val="center"/>
            <w:hideMark/>
          </w:tcPr>
          <w:p w14:paraId="00E707D7"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144" w:type="pct"/>
            <w:tcMar>
              <w:top w:w="80" w:type="dxa"/>
              <w:left w:w="80" w:type="dxa"/>
              <w:bottom w:w="80" w:type="dxa"/>
              <w:right w:w="80" w:type="dxa"/>
            </w:tcMar>
            <w:vAlign w:val="center"/>
            <w:hideMark/>
          </w:tcPr>
          <w:p w14:paraId="3A247F80"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383" w:type="pct"/>
            <w:tcMar>
              <w:top w:w="80" w:type="dxa"/>
              <w:left w:w="80" w:type="dxa"/>
              <w:bottom w:w="80" w:type="dxa"/>
              <w:right w:w="80" w:type="dxa"/>
            </w:tcMar>
            <w:vAlign w:val="center"/>
            <w:hideMark/>
          </w:tcPr>
          <w:p w14:paraId="253C146A"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A control group (n=11) was utilized and tested only under the no-cue condition.</w:t>
            </w:r>
          </w:p>
        </w:tc>
        <w:tc>
          <w:tcPr>
            <w:tcW w:w="156" w:type="pct"/>
            <w:tcMar>
              <w:top w:w="80" w:type="dxa"/>
              <w:left w:w="80" w:type="dxa"/>
              <w:bottom w:w="80" w:type="dxa"/>
              <w:right w:w="80" w:type="dxa"/>
            </w:tcMar>
            <w:vAlign w:val="center"/>
            <w:hideMark/>
          </w:tcPr>
          <w:p w14:paraId="0CE7ED52"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442" w:type="pct"/>
            <w:tcMar>
              <w:top w:w="80" w:type="dxa"/>
              <w:left w:w="80" w:type="dxa"/>
              <w:bottom w:w="80" w:type="dxa"/>
              <w:right w:w="80" w:type="dxa"/>
            </w:tcMar>
            <w:vAlign w:val="center"/>
            <w:hideMark/>
          </w:tcPr>
          <w:p w14:paraId="388808DA"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All participants completed the standardized bathtub transfer tasks in the same Activity of Daily Living Laboratory.</w:t>
            </w:r>
          </w:p>
        </w:tc>
        <w:tc>
          <w:tcPr>
            <w:tcW w:w="144" w:type="pct"/>
            <w:tcMar>
              <w:top w:w="80" w:type="dxa"/>
              <w:left w:w="80" w:type="dxa"/>
              <w:bottom w:w="80" w:type="dxa"/>
              <w:right w:w="80" w:type="dxa"/>
            </w:tcMar>
            <w:vAlign w:val="center"/>
            <w:hideMark/>
          </w:tcPr>
          <w:p w14:paraId="55C87786"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594" w:type="pct"/>
            <w:tcMar>
              <w:top w:w="80" w:type="dxa"/>
              <w:left w:w="80" w:type="dxa"/>
              <w:bottom w:w="80" w:type="dxa"/>
              <w:right w:w="80" w:type="dxa"/>
            </w:tcMar>
            <w:vAlign w:val="center"/>
            <w:hideMark/>
          </w:tcPr>
          <w:p w14:paraId="069E31D7"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Grab bar use frequency was recorded via video observation for all participants across all groups.</w:t>
            </w:r>
          </w:p>
        </w:tc>
        <w:tc>
          <w:tcPr>
            <w:tcW w:w="828" w:type="pct"/>
            <w:tcMar>
              <w:top w:w="80" w:type="dxa"/>
              <w:left w:w="80" w:type="dxa"/>
              <w:bottom w:w="80" w:type="dxa"/>
              <w:right w:w="80" w:type="dxa"/>
            </w:tcMar>
            <w:vAlign w:val="center"/>
            <w:hideMark/>
          </w:tcPr>
          <w:p w14:paraId="7DEAB6A1"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Outcomes were reliably quantified through post-test review of the video data.</w:t>
            </w:r>
          </w:p>
        </w:tc>
        <w:tc>
          <w:tcPr>
            <w:tcW w:w="231" w:type="pct"/>
            <w:tcMar>
              <w:top w:w="80" w:type="dxa"/>
              <w:left w:w="80" w:type="dxa"/>
              <w:bottom w:w="80" w:type="dxa"/>
              <w:right w:w="80" w:type="dxa"/>
            </w:tcMar>
            <w:vAlign w:val="center"/>
            <w:hideMark/>
          </w:tcPr>
          <w:p w14:paraId="306D412A"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0" w:type="pct"/>
            <w:tcMar>
              <w:top w:w="80" w:type="dxa"/>
              <w:left w:w="80" w:type="dxa"/>
              <w:bottom w:w="80" w:type="dxa"/>
              <w:right w:w="80" w:type="dxa"/>
            </w:tcMar>
            <w:vAlign w:val="center"/>
            <w:hideMark/>
          </w:tcPr>
          <w:p w14:paraId="6A69B9B4"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1" w:type="pct"/>
            <w:tcMar>
              <w:top w:w="80" w:type="dxa"/>
              <w:left w:w="80" w:type="dxa"/>
              <w:bottom w:w="80" w:type="dxa"/>
              <w:right w:w="80" w:type="dxa"/>
            </w:tcMar>
            <w:vAlign w:val="center"/>
            <w:hideMark/>
          </w:tcPr>
          <w:p w14:paraId="7506193C"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995" w:type="pct"/>
            <w:tcBorders>
              <w:right w:val="nil"/>
            </w:tcBorders>
            <w:tcMar>
              <w:top w:w="80" w:type="dxa"/>
              <w:left w:w="80" w:type="dxa"/>
              <w:bottom w:w="80" w:type="dxa"/>
              <w:right w:w="80" w:type="dxa"/>
            </w:tcMar>
            <w:vAlign w:val="center"/>
            <w:hideMark/>
          </w:tcPr>
          <w:p w14:paraId="060313C1"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clearly isolates the cause (smart cues) and effect (grab bar use). The inclusion of baseline, intervention, and post-intervention transfer trials provides robust within-subject and between-subject comparisons.</w:t>
            </w:r>
          </w:p>
        </w:tc>
      </w:tr>
      <w:tr w:rsidR="00820880" w:rsidRPr="0099294E" w14:paraId="25E45669" w14:textId="77777777" w:rsidTr="00E70E40">
        <w:trPr>
          <w:trHeight w:val="1698"/>
        </w:trPr>
        <w:tc>
          <w:tcPr>
            <w:tcW w:w="473" w:type="pct"/>
            <w:vMerge/>
            <w:hideMark/>
          </w:tcPr>
          <w:p w14:paraId="4F087AA7" w14:textId="77777777" w:rsidR="00820880" w:rsidRPr="0099294E" w:rsidRDefault="00820880" w:rsidP="00477252">
            <w:pPr>
              <w:widowControl/>
              <w:jc w:val="left"/>
              <w:rPr>
                <w:rFonts w:ascii="Times New Roman" w:eastAsia="等线" w:hAnsi="Times New Roman" w:cs="Times New Roman"/>
                <w:color w:val="000000"/>
                <w:kern w:val="0"/>
                <w:sz w:val="18"/>
                <w:szCs w:val="18"/>
                <w14:ligatures w14:val="none"/>
              </w:rPr>
            </w:pPr>
          </w:p>
        </w:tc>
        <w:tc>
          <w:tcPr>
            <w:tcW w:w="150" w:type="pct"/>
            <w:tcMar>
              <w:top w:w="80" w:type="dxa"/>
              <w:left w:w="80" w:type="dxa"/>
              <w:bottom w:w="80" w:type="dxa"/>
              <w:right w:w="80" w:type="dxa"/>
            </w:tcMar>
            <w:vAlign w:val="center"/>
            <w:hideMark/>
          </w:tcPr>
          <w:p w14:paraId="13562686"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144" w:type="pct"/>
            <w:tcMar>
              <w:top w:w="80" w:type="dxa"/>
              <w:left w:w="80" w:type="dxa"/>
              <w:bottom w:w="80" w:type="dxa"/>
              <w:right w:w="80" w:type="dxa"/>
            </w:tcMar>
            <w:vAlign w:val="center"/>
            <w:hideMark/>
          </w:tcPr>
          <w:p w14:paraId="6B108B97"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383" w:type="pct"/>
            <w:tcMar>
              <w:top w:w="80" w:type="dxa"/>
              <w:left w:w="80" w:type="dxa"/>
              <w:bottom w:w="80" w:type="dxa"/>
              <w:right w:w="80" w:type="dxa"/>
            </w:tcMar>
            <w:vAlign w:val="center"/>
            <w:hideMark/>
          </w:tcPr>
          <w:p w14:paraId="74C8006F"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Participants were randomly assigned, including an 11-person control group.</w:t>
            </w:r>
          </w:p>
        </w:tc>
        <w:tc>
          <w:tcPr>
            <w:tcW w:w="156" w:type="pct"/>
            <w:tcMar>
              <w:top w:w="80" w:type="dxa"/>
              <w:left w:w="80" w:type="dxa"/>
              <w:bottom w:w="80" w:type="dxa"/>
              <w:right w:w="80" w:type="dxa"/>
            </w:tcMar>
            <w:vAlign w:val="center"/>
            <w:hideMark/>
          </w:tcPr>
          <w:p w14:paraId="37C5A7C6"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442" w:type="pct"/>
            <w:tcMar>
              <w:top w:w="80" w:type="dxa"/>
              <w:left w:w="80" w:type="dxa"/>
              <w:bottom w:w="80" w:type="dxa"/>
              <w:right w:w="80" w:type="dxa"/>
            </w:tcMar>
            <w:vAlign w:val="center"/>
            <w:hideMark/>
          </w:tcPr>
          <w:p w14:paraId="34C21DBD"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Both experimental and control groups received identical instructions and setting parameters, differing only by the AI cueing.</w:t>
            </w:r>
          </w:p>
        </w:tc>
        <w:tc>
          <w:tcPr>
            <w:tcW w:w="144" w:type="pct"/>
            <w:tcMar>
              <w:top w:w="80" w:type="dxa"/>
              <w:left w:w="80" w:type="dxa"/>
              <w:bottom w:w="80" w:type="dxa"/>
              <w:right w:w="80" w:type="dxa"/>
            </w:tcMar>
            <w:vAlign w:val="center"/>
            <w:hideMark/>
          </w:tcPr>
          <w:p w14:paraId="15FBA817"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594" w:type="pct"/>
            <w:tcMar>
              <w:top w:w="80" w:type="dxa"/>
              <w:left w:w="80" w:type="dxa"/>
              <w:bottom w:w="80" w:type="dxa"/>
              <w:right w:w="80" w:type="dxa"/>
            </w:tcMar>
            <w:vAlign w:val="center"/>
            <w:hideMark/>
          </w:tcPr>
          <w:p w14:paraId="726C3852"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The outcome (number of times the bar or other structures were used) was identically extracted from video recordings.</w:t>
            </w:r>
          </w:p>
        </w:tc>
        <w:tc>
          <w:tcPr>
            <w:tcW w:w="828" w:type="pct"/>
            <w:tcMar>
              <w:top w:w="80" w:type="dxa"/>
              <w:left w:w="80" w:type="dxa"/>
              <w:bottom w:w="80" w:type="dxa"/>
              <w:right w:w="80" w:type="dxa"/>
            </w:tcMar>
            <w:vAlign w:val="center"/>
            <w:hideMark/>
          </w:tcPr>
          <w:p w14:paraId="3CB983F2"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Videotaping functional transfers provides an objective, reliable method for behavioral frequency measurement.</w:t>
            </w:r>
          </w:p>
        </w:tc>
        <w:tc>
          <w:tcPr>
            <w:tcW w:w="231" w:type="pct"/>
            <w:tcMar>
              <w:top w:w="80" w:type="dxa"/>
              <w:left w:w="80" w:type="dxa"/>
              <w:bottom w:w="80" w:type="dxa"/>
              <w:right w:w="80" w:type="dxa"/>
            </w:tcMar>
            <w:vAlign w:val="center"/>
            <w:hideMark/>
          </w:tcPr>
          <w:p w14:paraId="3407B2F5"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0" w:type="pct"/>
            <w:tcMar>
              <w:top w:w="80" w:type="dxa"/>
              <w:left w:w="80" w:type="dxa"/>
              <w:bottom w:w="80" w:type="dxa"/>
              <w:right w:w="80" w:type="dxa"/>
            </w:tcMar>
            <w:vAlign w:val="center"/>
            <w:hideMark/>
          </w:tcPr>
          <w:p w14:paraId="266924E4"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1" w:type="pct"/>
            <w:tcMar>
              <w:top w:w="80" w:type="dxa"/>
              <w:left w:w="80" w:type="dxa"/>
              <w:bottom w:w="80" w:type="dxa"/>
              <w:right w:w="80" w:type="dxa"/>
            </w:tcMar>
            <w:vAlign w:val="center"/>
            <w:hideMark/>
          </w:tcPr>
          <w:p w14:paraId="2AB90809"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995" w:type="pct"/>
            <w:tcBorders>
              <w:right w:val="nil"/>
            </w:tcBorders>
            <w:tcMar>
              <w:top w:w="80" w:type="dxa"/>
              <w:left w:w="80" w:type="dxa"/>
              <w:bottom w:w="80" w:type="dxa"/>
              <w:right w:w="80" w:type="dxa"/>
            </w:tcMar>
            <w:vAlign w:val="center"/>
            <w:hideMark/>
          </w:tcPr>
          <w:p w14:paraId="17760682"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Methodological rigor is high. The study effectively utilizes Chi-square statistics to evaluate the behavioral impact of the AI technology. Participant retention for the core experimental transfers was complete.</w:t>
            </w:r>
          </w:p>
        </w:tc>
      </w:tr>
      <w:tr w:rsidR="00820880" w:rsidRPr="0099294E" w14:paraId="40664869" w14:textId="77777777" w:rsidTr="00E70E40">
        <w:trPr>
          <w:trHeight w:val="2829"/>
        </w:trPr>
        <w:tc>
          <w:tcPr>
            <w:tcW w:w="473" w:type="pct"/>
            <w:vMerge w:val="restart"/>
            <w:tcBorders>
              <w:top w:val="single" w:sz="8" w:space="0" w:color="auto"/>
            </w:tcBorders>
            <w:tcMar>
              <w:top w:w="80" w:type="dxa"/>
              <w:left w:w="80" w:type="dxa"/>
              <w:bottom w:w="80" w:type="dxa"/>
              <w:right w:w="80" w:type="dxa"/>
            </w:tcMar>
            <w:vAlign w:val="center"/>
            <w:hideMark/>
          </w:tcPr>
          <w:p w14:paraId="43D3C1ED" w14:textId="77777777" w:rsidR="00820880" w:rsidRPr="0099294E" w:rsidRDefault="00820880" w:rsidP="0047725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Kim et al. (2024)</w:t>
            </w:r>
          </w:p>
        </w:tc>
        <w:tc>
          <w:tcPr>
            <w:tcW w:w="150" w:type="pct"/>
            <w:tcBorders>
              <w:top w:val="single" w:sz="8" w:space="0" w:color="auto"/>
            </w:tcBorders>
            <w:tcMar>
              <w:top w:w="80" w:type="dxa"/>
              <w:left w:w="80" w:type="dxa"/>
              <w:bottom w:w="80" w:type="dxa"/>
              <w:right w:w="80" w:type="dxa"/>
            </w:tcMar>
            <w:vAlign w:val="center"/>
            <w:hideMark/>
          </w:tcPr>
          <w:p w14:paraId="2DC37B63"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144" w:type="pct"/>
            <w:tcBorders>
              <w:top w:val="single" w:sz="8" w:space="0" w:color="auto"/>
            </w:tcBorders>
            <w:tcMar>
              <w:top w:w="80" w:type="dxa"/>
              <w:left w:w="80" w:type="dxa"/>
              <w:bottom w:w="80" w:type="dxa"/>
              <w:right w:w="80" w:type="dxa"/>
            </w:tcMar>
            <w:vAlign w:val="center"/>
            <w:hideMark/>
          </w:tcPr>
          <w:p w14:paraId="3F615A15"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383" w:type="pct"/>
            <w:tcBorders>
              <w:top w:val="single" w:sz="8" w:space="0" w:color="auto"/>
            </w:tcBorders>
            <w:tcMar>
              <w:top w:w="80" w:type="dxa"/>
              <w:left w:w="80" w:type="dxa"/>
              <w:bottom w:w="80" w:type="dxa"/>
              <w:right w:w="80" w:type="dxa"/>
            </w:tcMar>
            <w:vAlign w:val="center"/>
            <w:hideMark/>
          </w:tcPr>
          <w:p w14:paraId="14C9BEA9"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The study included a control group consisting of 88 participants.</w:t>
            </w:r>
          </w:p>
        </w:tc>
        <w:tc>
          <w:tcPr>
            <w:tcW w:w="156" w:type="pct"/>
            <w:tcBorders>
              <w:top w:val="single" w:sz="8" w:space="0" w:color="auto"/>
            </w:tcBorders>
            <w:tcMar>
              <w:top w:w="80" w:type="dxa"/>
              <w:left w:w="80" w:type="dxa"/>
              <w:bottom w:w="80" w:type="dxa"/>
              <w:right w:w="80" w:type="dxa"/>
            </w:tcMar>
            <w:vAlign w:val="center"/>
            <w:hideMark/>
          </w:tcPr>
          <w:p w14:paraId="1AA40382"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442" w:type="pct"/>
            <w:tcBorders>
              <w:top w:val="single" w:sz="8" w:space="0" w:color="auto"/>
            </w:tcBorders>
            <w:tcMar>
              <w:top w:w="80" w:type="dxa"/>
              <w:left w:w="80" w:type="dxa"/>
              <w:bottom w:w="80" w:type="dxa"/>
              <w:right w:w="80" w:type="dxa"/>
            </w:tcMar>
            <w:vAlign w:val="center"/>
            <w:hideMark/>
          </w:tcPr>
          <w:p w14:paraId="212748DA"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The control group continued with their usual daily activities, but their health status was monitored through phone counseling.</w:t>
            </w:r>
          </w:p>
        </w:tc>
        <w:tc>
          <w:tcPr>
            <w:tcW w:w="144" w:type="pct"/>
            <w:tcBorders>
              <w:top w:val="single" w:sz="8" w:space="0" w:color="auto"/>
            </w:tcBorders>
            <w:tcMar>
              <w:top w:w="80" w:type="dxa"/>
              <w:left w:w="80" w:type="dxa"/>
              <w:bottom w:w="80" w:type="dxa"/>
              <w:right w:w="80" w:type="dxa"/>
            </w:tcMar>
            <w:vAlign w:val="center"/>
            <w:hideMark/>
          </w:tcPr>
          <w:p w14:paraId="7B2296A1"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594" w:type="pct"/>
            <w:tcBorders>
              <w:top w:val="single" w:sz="8" w:space="0" w:color="auto"/>
            </w:tcBorders>
            <w:tcMar>
              <w:top w:w="80" w:type="dxa"/>
              <w:left w:w="80" w:type="dxa"/>
              <w:bottom w:w="80" w:type="dxa"/>
              <w:right w:w="80" w:type="dxa"/>
            </w:tcMar>
            <w:vAlign w:val="center"/>
            <w:hideMark/>
          </w:tcPr>
          <w:p w14:paraId="78F98A9B"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The short physical performance battery (SPPB), the digit span test (DST), and the Korean mini-mental state examination (K-MMSE) were uniformly used to assess participants in both groups.</w:t>
            </w:r>
          </w:p>
        </w:tc>
        <w:tc>
          <w:tcPr>
            <w:tcW w:w="828" w:type="pct"/>
            <w:tcBorders>
              <w:top w:val="single" w:sz="8" w:space="0" w:color="auto"/>
            </w:tcBorders>
            <w:tcMar>
              <w:top w:w="80" w:type="dxa"/>
              <w:left w:w="80" w:type="dxa"/>
              <w:bottom w:w="80" w:type="dxa"/>
              <w:right w:w="80" w:type="dxa"/>
            </w:tcMar>
            <w:vAlign w:val="center"/>
            <w:hideMark/>
          </w:tcPr>
          <w:p w14:paraId="184760B6"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Outcomes were measured reliably using established tools, such as a digital dynamometer for grip strength and the culturally adapted K-MMSE for cognitive capabilities.</w:t>
            </w:r>
          </w:p>
        </w:tc>
        <w:tc>
          <w:tcPr>
            <w:tcW w:w="231" w:type="pct"/>
            <w:tcBorders>
              <w:top w:val="single" w:sz="8" w:space="0" w:color="auto"/>
            </w:tcBorders>
            <w:tcMar>
              <w:top w:w="80" w:type="dxa"/>
              <w:left w:w="80" w:type="dxa"/>
              <w:bottom w:w="80" w:type="dxa"/>
              <w:right w:w="80" w:type="dxa"/>
            </w:tcMar>
            <w:vAlign w:val="center"/>
            <w:hideMark/>
          </w:tcPr>
          <w:p w14:paraId="0555D819"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0" w:type="pct"/>
            <w:tcBorders>
              <w:top w:val="single" w:sz="8" w:space="0" w:color="auto"/>
            </w:tcBorders>
            <w:tcMar>
              <w:top w:w="80" w:type="dxa"/>
              <w:left w:w="80" w:type="dxa"/>
              <w:bottom w:w="80" w:type="dxa"/>
              <w:right w:w="80" w:type="dxa"/>
            </w:tcMar>
            <w:vAlign w:val="center"/>
            <w:hideMark/>
          </w:tcPr>
          <w:p w14:paraId="494FF07A"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1" w:type="pct"/>
            <w:tcBorders>
              <w:top w:val="single" w:sz="8" w:space="0" w:color="auto"/>
            </w:tcBorders>
            <w:tcMar>
              <w:top w:w="80" w:type="dxa"/>
              <w:left w:w="80" w:type="dxa"/>
              <w:bottom w:w="80" w:type="dxa"/>
              <w:right w:w="80" w:type="dxa"/>
            </w:tcMar>
            <w:vAlign w:val="center"/>
            <w:hideMark/>
          </w:tcPr>
          <w:p w14:paraId="1AC95768"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995" w:type="pct"/>
            <w:tcBorders>
              <w:top w:val="single" w:sz="8" w:space="0" w:color="auto"/>
              <w:right w:val="nil"/>
            </w:tcBorders>
            <w:tcMar>
              <w:top w:w="80" w:type="dxa"/>
              <w:left w:w="80" w:type="dxa"/>
              <w:bottom w:w="80" w:type="dxa"/>
              <w:right w:w="80" w:type="dxa"/>
            </w:tcMar>
            <w:vAlign w:val="center"/>
            <w:hideMark/>
          </w:tcPr>
          <w:p w14:paraId="392AF784"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clearly establishes temporal precedence with pre- and post-tests over a 12-week period. Statistical methods, including analysis of covariance (ANCOVA), were appropriately utilized to adjust for baseline performance. Participant withdrawal was adequately detailed in the flowchart.</w:t>
            </w:r>
          </w:p>
        </w:tc>
      </w:tr>
      <w:tr w:rsidR="00820880" w:rsidRPr="0099294E" w14:paraId="376AF71A" w14:textId="77777777" w:rsidTr="00E70E40">
        <w:trPr>
          <w:trHeight w:val="60"/>
        </w:trPr>
        <w:tc>
          <w:tcPr>
            <w:tcW w:w="473" w:type="pct"/>
            <w:vMerge/>
            <w:hideMark/>
          </w:tcPr>
          <w:p w14:paraId="2EF4CC99" w14:textId="77777777" w:rsidR="00820880" w:rsidRPr="0099294E" w:rsidRDefault="00820880" w:rsidP="00477252">
            <w:pPr>
              <w:widowControl/>
              <w:jc w:val="left"/>
              <w:rPr>
                <w:rFonts w:ascii="Times New Roman" w:eastAsia="等线" w:hAnsi="Times New Roman" w:cs="Times New Roman"/>
                <w:color w:val="000000"/>
                <w:kern w:val="0"/>
                <w:sz w:val="18"/>
                <w:szCs w:val="18"/>
                <w14:ligatures w14:val="none"/>
              </w:rPr>
            </w:pPr>
          </w:p>
        </w:tc>
        <w:tc>
          <w:tcPr>
            <w:tcW w:w="150" w:type="pct"/>
            <w:tcMar>
              <w:top w:w="80" w:type="dxa"/>
              <w:left w:w="80" w:type="dxa"/>
              <w:bottom w:w="80" w:type="dxa"/>
              <w:right w:w="80" w:type="dxa"/>
            </w:tcMar>
            <w:vAlign w:val="center"/>
            <w:hideMark/>
          </w:tcPr>
          <w:p w14:paraId="0059C501"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144" w:type="pct"/>
            <w:tcMar>
              <w:top w:w="80" w:type="dxa"/>
              <w:left w:w="80" w:type="dxa"/>
              <w:bottom w:w="80" w:type="dxa"/>
              <w:right w:w="80" w:type="dxa"/>
            </w:tcMar>
            <w:vAlign w:val="center"/>
            <w:hideMark/>
          </w:tcPr>
          <w:p w14:paraId="0EE76C6A"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383" w:type="pct"/>
            <w:tcMar>
              <w:top w:w="80" w:type="dxa"/>
              <w:left w:w="80" w:type="dxa"/>
              <w:bottom w:w="80" w:type="dxa"/>
              <w:right w:w="80" w:type="dxa"/>
            </w:tcMar>
            <w:vAlign w:val="center"/>
            <w:hideMark/>
          </w:tcPr>
          <w:p w14:paraId="5F36E910"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A control group of 88 older adults living alone was utilized for comparative analysis </w:t>
            </w:r>
            <w:r>
              <w:rPr>
                <w:rFonts w:ascii="Times New Roman" w:eastAsia="等线" w:hAnsi="Times New Roman" w:cs="Times New Roman"/>
                <w:color w:val="1F1F1F"/>
                <w:kern w:val="0"/>
                <w:sz w:val="18"/>
                <w:szCs w:val="18"/>
                <w14:ligatures w14:val="none"/>
              </w:rPr>
              <w:lastRenderedPageBreak/>
              <w:t>against the experimental group.</w:t>
            </w:r>
          </w:p>
        </w:tc>
        <w:tc>
          <w:tcPr>
            <w:tcW w:w="156" w:type="pct"/>
            <w:tcMar>
              <w:top w:w="80" w:type="dxa"/>
              <w:left w:w="80" w:type="dxa"/>
              <w:bottom w:w="80" w:type="dxa"/>
              <w:right w:w="80" w:type="dxa"/>
            </w:tcMar>
            <w:vAlign w:val="center"/>
            <w:hideMark/>
          </w:tcPr>
          <w:p w14:paraId="5897E8C1"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Yes</w:t>
            </w:r>
          </w:p>
        </w:tc>
        <w:tc>
          <w:tcPr>
            <w:tcW w:w="442" w:type="pct"/>
            <w:tcMar>
              <w:top w:w="80" w:type="dxa"/>
              <w:left w:w="80" w:type="dxa"/>
              <w:bottom w:w="80" w:type="dxa"/>
              <w:right w:w="80" w:type="dxa"/>
            </w:tcMar>
            <w:vAlign w:val="center"/>
            <w:hideMark/>
          </w:tcPr>
          <w:p w14:paraId="56C90D47"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Participants in the control group maintained normal daily activities and received phone </w:t>
            </w:r>
            <w:r>
              <w:rPr>
                <w:rFonts w:ascii="Times New Roman" w:eastAsia="等线" w:hAnsi="Times New Roman" w:cs="Times New Roman"/>
                <w:color w:val="1F1F1F"/>
                <w:kern w:val="0"/>
                <w:sz w:val="18"/>
                <w:szCs w:val="18"/>
                <w14:ligatures w14:val="none"/>
              </w:rPr>
              <w:lastRenderedPageBreak/>
              <w:t>counseling to ensure no significant health issues interfered.</w:t>
            </w:r>
          </w:p>
        </w:tc>
        <w:tc>
          <w:tcPr>
            <w:tcW w:w="144" w:type="pct"/>
            <w:tcMar>
              <w:top w:w="80" w:type="dxa"/>
              <w:left w:w="80" w:type="dxa"/>
              <w:bottom w:w="80" w:type="dxa"/>
              <w:right w:w="80" w:type="dxa"/>
            </w:tcMar>
            <w:vAlign w:val="center"/>
            <w:hideMark/>
          </w:tcPr>
          <w:p w14:paraId="7A0F3C79"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Yes</w:t>
            </w:r>
          </w:p>
        </w:tc>
        <w:tc>
          <w:tcPr>
            <w:tcW w:w="594" w:type="pct"/>
            <w:tcMar>
              <w:top w:w="80" w:type="dxa"/>
              <w:left w:w="80" w:type="dxa"/>
              <w:bottom w:w="80" w:type="dxa"/>
              <w:right w:w="80" w:type="dxa"/>
            </w:tcMar>
            <w:vAlign w:val="center"/>
            <w:hideMark/>
          </w:tcPr>
          <w:p w14:paraId="358FEC70"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Physical function (SPPB, TUG, grip strength) and cognitive function (K-MMSE, DST) were consistently measured across both the </w:t>
            </w:r>
            <w:r>
              <w:rPr>
                <w:rFonts w:ascii="Times New Roman" w:eastAsia="等线" w:hAnsi="Times New Roman" w:cs="Times New Roman"/>
                <w:color w:val="1F1F1F"/>
                <w:kern w:val="0"/>
                <w:sz w:val="18"/>
                <w:szCs w:val="18"/>
                <w14:ligatures w14:val="none"/>
              </w:rPr>
              <w:lastRenderedPageBreak/>
              <w:t>experimental and control groups.</w:t>
            </w:r>
          </w:p>
        </w:tc>
        <w:tc>
          <w:tcPr>
            <w:tcW w:w="828" w:type="pct"/>
            <w:tcMar>
              <w:top w:w="80" w:type="dxa"/>
              <w:left w:w="80" w:type="dxa"/>
              <w:bottom w:w="80" w:type="dxa"/>
              <w:right w:w="80" w:type="dxa"/>
            </w:tcMar>
            <w:vAlign w:val="center"/>
            <w:hideMark/>
          </w:tcPr>
          <w:p w14:paraId="6D6E4F8A"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Yes. The study utilized validated instruments like the Korean Wechsler adult intelligence scale derived DST and standard TUG tests to ensure reliability.</w:t>
            </w:r>
          </w:p>
        </w:tc>
        <w:tc>
          <w:tcPr>
            <w:tcW w:w="231" w:type="pct"/>
            <w:tcMar>
              <w:top w:w="80" w:type="dxa"/>
              <w:left w:w="80" w:type="dxa"/>
              <w:bottom w:w="80" w:type="dxa"/>
              <w:right w:w="80" w:type="dxa"/>
            </w:tcMar>
            <w:vAlign w:val="center"/>
            <w:hideMark/>
          </w:tcPr>
          <w:p w14:paraId="3BEE4C95"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0" w:type="pct"/>
            <w:tcMar>
              <w:top w:w="80" w:type="dxa"/>
              <w:left w:w="80" w:type="dxa"/>
              <w:bottom w:w="80" w:type="dxa"/>
              <w:right w:w="80" w:type="dxa"/>
            </w:tcMar>
            <w:vAlign w:val="center"/>
            <w:hideMark/>
          </w:tcPr>
          <w:p w14:paraId="3FFCB5E3"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1" w:type="pct"/>
            <w:tcMar>
              <w:top w:w="80" w:type="dxa"/>
              <w:left w:w="80" w:type="dxa"/>
              <w:bottom w:w="80" w:type="dxa"/>
              <w:right w:w="80" w:type="dxa"/>
            </w:tcMar>
            <w:vAlign w:val="center"/>
            <w:hideMark/>
          </w:tcPr>
          <w:p w14:paraId="5CDAA36C"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995" w:type="pct"/>
            <w:tcBorders>
              <w:right w:val="nil"/>
            </w:tcBorders>
            <w:tcMar>
              <w:top w:w="80" w:type="dxa"/>
              <w:left w:w="80" w:type="dxa"/>
              <w:bottom w:w="80" w:type="dxa"/>
              <w:right w:w="80" w:type="dxa"/>
            </w:tcMar>
            <w:vAlign w:val="center"/>
            <w:hideMark/>
          </w:tcPr>
          <w:p w14:paraId="4ABC5DE5"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methodological design is robust. Baseline characteristics such as age, BMI, sex, and education level showed no significant differences between the two groups. The statistical adjustments effectively accounted for the higher number of potential diseases in the intervention group at baseline.</w:t>
            </w:r>
          </w:p>
        </w:tc>
      </w:tr>
      <w:tr w:rsidR="00820880" w:rsidRPr="0099294E" w14:paraId="1378CA4C" w14:textId="77777777" w:rsidTr="00E70E40">
        <w:trPr>
          <w:trHeight w:val="2546"/>
        </w:trPr>
        <w:tc>
          <w:tcPr>
            <w:tcW w:w="473" w:type="pct"/>
            <w:vMerge w:val="restart"/>
            <w:tcMar>
              <w:top w:w="80" w:type="dxa"/>
              <w:left w:w="80" w:type="dxa"/>
              <w:bottom w:w="80" w:type="dxa"/>
              <w:right w:w="80" w:type="dxa"/>
            </w:tcMar>
            <w:vAlign w:val="center"/>
            <w:hideMark/>
          </w:tcPr>
          <w:p w14:paraId="1D968347" w14:textId="77777777" w:rsidR="00820880" w:rsidRPr="0099294E" w:rsidRDefault="00820880" w:rsidP="0047725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(Lam et al., 2021)</w:t>
            </w:r>
          </w:p>
        </w:tc>
        <w:tc>
          <w:tcPr>
            <w:tcW w:w="150" w:type="pct"/>
            <w:tcMar>
              <w:top w:w="80" w:type="dxa"/>
              <w:left w:w="80" w:type="dxa"/>
              <w:bottom w:w="80" w:type="dxa"/>
              <w:right w:w="80" w:type="dxa"/>
            </w:tcMar>
            <w:vAlign w:val="center"/>
            <w:hideMark/>
          </w:tcPr>
          <w:p w14:paraId="323704AC"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144" w:type="pct"/>
            <w:tcMar>
              <w:top w:w="80" w:type="dxa"/>
              <w:left w:w="80" w:type="dxa"/>
              <w:bottom w:w="80" w:type="dxa"/>
              <w:right w:w="80" w:type="dxa"/>
            </w:tcMar>
            <w:vAlign w:val="center"/>
            <w:hideMark/>
          </w:tcPr>
          <w:p w14:paraId="03BB1813"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383" w:type="pct"/>
            <w:tcMar>
              <w:top w:w="80" w:type="dxa"/>
              <w:left w:w="80" w:type="dxa"/>
              <w:bottom w:w="80" w:type="dxa"/>
              <w:right w:w="80" w:type="dxa"/>
            </w:tcMar>
            <w:vAlign w:val="center"/>
            <w:hideMark/>
          </w:tcPr>
          <w:p w14:paraId="3B973F5C"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A comparison control group of community-dwelling older adults was established and utilized in the study design.</w:t>
            </w:r>
          </w:p>
        </w:tc>
        <w:tc>
          <w:tcPr>
            <w:tcW w:w="156" w:type="pct"/>
            <w:tcMar>
              <w:top w:w="80" w:type="dxa"/>
              <w:left w:w="80" w:type="dxa"/>
              <w:bottom w:w="80" w:type="dxa"/>
              <w:right w:w="80" w:type="dxa"/>
            </w:tcMar>
            <w:vAlign w:val="center"/>
            <w:hideMark/>
          </w:tcPr>
          <w:p w14:paraId="34667793"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442" w:type="pct"/>
            <w:tcMar>
              <w:top w:w="80" w:type="dxa"/>
              <w:left w:w="80" w:type="dxa"/>
              <w:bottom w:w="80" w:type="dxa"/>
              <w:right w:w="80" w:type="dxa"/>
            </w:tcMar>
            <w:vAlign w:val="center"/>
            <w:hideMark/>
          </w:tcPr>
          <w:p w14:paraId="5A06235C"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Participants in both the experimental and control groups received the same standard level of community care, differing only by the introduction of the AI technology intervention.</w:t>
            </w:r>
          </w:p>
        </w:tc>
        <w:tc>
          <w:tcPr>
            <w:tcW w:w="144" w:type="pct"/>
            <w:tcMar>
              <w:top w:w="80" w:type="dxa"/>
              <w:left w:w="80" w:type="dxa"/>
              <w:bottom w:w="80" w:type="dxa"/>
              <w:right w:w="80" w:type="dxa"/>
            </w:tcMar>
            <w:vAlign w:val="center"/>
            <w:hideMark/>
          </w:tcPr>
          <w:p w14:paraId="38875BE9"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594" w:type="pct"/>
            <w:tcMar>
              <w:top w:w="80" w:type="dxa"/>
              <w:left w:w="80" w:type="dxa"/>
              <w:bottom w:w="80" w:type="dxa"/>
              <w:right w:w="80" w:type="dxa"/>
            </w:tcMar>
            <w:vAlign w:val="center"/>
            <w:hideMark/>
          </w:tcPr>
          <w:p w14:paraId="3BDDCB2B"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Outcomes related to functional independence, safety, and well-being were measured identically for all participants across the designated pre- and post-intervention time points.</w:t>
            </w:r>
          </w:p>
        </w:tc>
        <w:tc>
          <w:tcPr>
            <w:tcW w:w="828" w:type="pct"/>
            <w:tcMar>
              <w:top w:w="80" w:type="dxa"/>
              <w:left w:w="80" w:type="dxa"/>
              <w:bottom w:w="80" w:type="dxa"/>
              <w:right w:w="80" w:type="dxa"/>
            </w:tcMar>
            <w:vAlign w:val="center"/>
            <w:hideMark/>
          </w:tcPr>
          <w:p w14:paraId="46C7FC13"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Outcomes were measured reliably using established, validated assessment scales and objective data logs from the AI system.</w:t>
            </w:r>
          </w:p>
        </w:tc>
        <w:tc>
          <w:tcPr>
            <w:tcW w:w="231" w:type="pct"/>
            <w:tcMar>
              <w:top w:w="80" w:type="dxa"/>
              <w:left w:w="80" w:type="dxa"/>
              <w:bottom w:w="80" w:type="dxa"/>
              <w:right w:w="80" w:type="dxa"/>
            </w:tcMar>
            <w:vAlign w:val="center"/>
            <w:hideMark/>
          </w:tcPr>
          <w:p w14:paraId="011E3B60"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0" w:type="pct"/>
            <w:tcMar>
              <w:top w:w="80" w:type="dxa"/>
              <w:left w:w="80" w:type="dxa"/>
              <w:bottom w:w="80" w:type="dxa"/>
              <w:right w:w="80" w:type="dxa"/>
            </w:tcMar>
            <w:vAlign w:val="center"/>
            <w:hideMark/>
          </w:tcPr>
          <w:p w14:paraId="7FD87683"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1" w:type="pct"/>
            <w:tcMar>
              <w:top w:w="80" w:type="dxa"/>
              <w:left w:w="80" w:type="dxa"/>
              <w:bottom w:w="80" w:type="dxa"/>
              <w:right w:w="80" w:type="dxa"/>
            </w:tcMar>
            <w:vAlign w:val="center"/>
            <w:hideMark/>
          </w:tcPr>
          <w:p w14:paraId="2E4778FA"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995" w:type="pct"/>
            <w:tcBorders>
              <w:right w:val="nil"/>
            </w:tcBorders>
            <w:tcMar>
              <w:top w:w="80" w:type="dxa"/>
              <w:left w:w="80" w:type="dxa"/>
              <w:bottom w:w="80" w:type="dxa"/>
              <w:right w:w="80" w:type="dxa"/>
            </w:tcMar>
            <w:vAlign w:val="center"/>
            <w:hideMark/>
          </w:tcPr>
          <w:p w14:paraId="06F8D7BB"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utilizes a robust quasi-experimental design that clearly establishes temporal precedence. The inclusion of a control group and the use of standardized measurement tools provide a reliable evaluation of the AI technology’s effectiveness for aging in place.</w:t>
            </w:r>
          </w:p>
        </w:tc>
      </w:tr>
      <w:tr w:rsidR="00820880" w:rsidRPr="0099294E" w14:paraId="26B7CD36" w14:textId="77777777" w:rsidTr="008877B5">
        <w:trPr>
          <w:trHeight w:val="421"/>
        </w:trPr>
        <w:tc>
          <w:tcPr>
            <w:tcW w:w="473" w:type="pct"/>
            <w:vMerge/>
            <w:tcBorders>
              <w:bottom w:val="single" w:sz="4" w:space="0" w:color="BFBFBF" w:themeColor="background1" w:themeShade="BF"/>
            </w:tcBorders>
            <w:hideMark/>
          </w:tcPr>
          <w:p w14:paraId="1BF58347" w14:textId="77777777" w:rsidR="00820880" w:rsidRPr="0099294E" w:rsidRDefault="00820880" w:rsidP="00477252">
            <w:pPr>
              <w:widowControl/>
              <w:jc w:val="left"/>
              <w:rPr>
                <w:rFonts w:ascii="Times New Roman" w:eastAsia="等线" w:hAnsi="Times New Roman" w:cs="Times New Roman"/>
                <w:color w:val="000000"/>
                <w:kern w:val="0"/>
                <w:sz w:val="18"/>
                <w:szCs w:val="18"/>
                <w14:ligatures w14:val="none"/>
              </w:rPr>
            </w:pPr>
          </w:p>
        </w:tc>
        <w:tc>
          <w:tcPr>
            <w:tcW w:w="150" w:type="pct"/>
            <w:tcBorders>
              <w:bottom w:val="single" w:sz="4" w:space="0" w:color="BFBFBF" w:themeColor="background1" w:themeShade="BF"/>
            </w:tcBorders>
            <w:tcMar>
              <w:top w:w="80" w:type="dxa"/>
              <w:left w:w="80" w:type="dxa"/>
              <w:bottom w:w="80" w:type="dxa"/>
              <w:right w:w="80" w:type="dxa"/>
            </w:tcMar>
            <w:vAlign w:val="center"/>
            <w:hideMark/>
          </w:tcPr>
          <w:p w14:paraId="34BA0114"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144" w:type="pct"/>
            <w:tcBorders>
              <w:bottom w:val="single" w:sz="4" w:space="0" w:color="BFBFBF" w:themeColor="background1" w:themeShade="BF"/>
            </w:tcBorders>
            <w:tcMar>
              <w:top w:w="80" w:type="dxa"/>
              <w:left w:w="80" w:type="dxa"/>
              <w:bottom w:w="80" w:type="dxa"/>
              <w:right w:w="80" w:type="dxa"/>
            </w:tcMar>
            <w:vAlign w:val="center"/>
            <w:hideMark/>
          </w:tcPr>
          <w:p w14:paraId="5EC81E47"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383" w:type="pct"/>
            <w:tcBorders>
              <w:bottom w:val="single" w:sz="4" w:space="0" w:color="BFBFBF" w:themeColor="background1" w:themeShade="BF"/>
            </w:tcBorders>
            <w:tcMar>
              <w:top w:w="80" w:type="dxa"/>
              <w:left w:w="80" w:type="dxa"/>
              <w:bottom w:w="80" w:type="dxa"/>
              <w:right w:w="80" w:type="dxa"/>
            </w:tcMar>
            <w:vAlign w:val="center"/>
            <w:hideMark/>
          </w:tcPr>
          <w:p w14:paraId="3E3E649B"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The research design incorporated a standard care control group comprising older adults to compare </w:t>
            </w:r>
            <w:r>
              <w:rPr>
                <w:rFonts w:ascii="Times New Roman" w:eastAsia="等线" w:hAnsi="Times New Roman" w:cs="Times New Roman"/>
                <w:color w:val="1F1F1F"/>
                <w:kern w:val="0"/>
                <w:sz w:val="18"/>
                <w:szCs w:val="18"/>
                <w14:ligatures w14:val="none"/>
              </w:rPr>
              <w:lastRenderedPageBreak/>
              <w:t>against the experimental AI group.</w:t>
            </w:r>
          </w:p>
        </w:tc>
        <w:tc>
          <w:tcPr>
            <w:tcW w:w="156" w:type="pct"/>
            <w:tcBorders>
              <w:bottom w:val="single" w:sz="4" w:space="0" w:color="BFBFBF" w:themeColor="background1" w:themeShade="BF"/>
            </w:tcBorders>
            <w:tcMar>
              <w:top w:w="80" w:type="dxa"/>
              <w:left w:w="80" w:type="dxa"/>
              <w:bottom w:w="80" w:type="dxa"/>
              <w:right w:w="80" w:type="dxa"/>
            </w:tcMar>
            <w:vAlign w:val="center"/>
            <w:hideMark/>
          </w:tcPr>
          <w:p w14:paraId="7AA66DD7"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Yes</w:t>
            </w:r>
          </w:p>
        </w:tc>
        <w:tc>
          <w:tcPr>
            <w:tcW w:w="442" w:type="pct"/>
            <w:tcBorders>
              <w:bottom w:val="single" w:sz="4" w:space="0" w:color="BFBFBF" w:themeColor="background1" w:themeShade="BF"/>
            </w:tcBorders>
            <w:tcMar>
              <w:top w:w="80" w:type="dxa"/>
              <w:left w:w="80" w:type="dxa"/>
              <w:bottom w:w="80" w:type="dxa"/>
              <w:right w:w="80" w:type="dxa"/>
            </w:tcMar>
            <w:vAlign w:val="center"/>
            <w:hideMark/>
          </w:tcPr>
          <w:p w14:paraId="5DD0C1A5"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Baseline conditions and ongoing care support were equivalent across both cohorts, with the AI system implementation </w:t>
            </w:r>
            <w:r>
              <w:rPr>
                <w:rFonts w:ascii="Times New Roman" w:eastAsia="等线" w:hAnsi="Times New Roman" w:cs="Times New Roman"/>
                <w:color w:val="1F1F1F"/>
                <w:kern w:val="0"/>
                <w:sz w:val="18"/>
                <w:szCs w:val="18"/>
                <w14:ligatures w14:val="none"/>
              </w:rPr>
              <w:lastRenderedPageBreak/>
              <w:t>being the sole differing factor.</w:t>
            </w:r>
          </w:p>
        </w:tc>
        <w:tc>
          <w:tcPr>
            <w:tcW w:w="144" w:type="pct"/>
            <w:tcBorders>
              <w:bottom w:val="single" w:sz="4" w:space="0" w:color="BFBFBF" w:themeColor="background1" w:themeShade="BF"/>
            </w:tcBorders>
            <w:tcMar>
              <w:top w:w="80" w:type="dxa"/>
              <w:left w:w="80" w:type="dxa"/>
              <w:bottom w:w="80" w:type="dxa"/>
              <w:right w:w="80" w:type="dxa"/>
            </w:tcMar>
            <w:vAlign w:val="center"/>
            <w:hideMark/>
          </w:tcPr>
          <w:p w14:paraId="2CA1D08D"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Yes</w:t>
            </w:r>
          </w:p>
        </w:tc>
        <w:tc>
          <w:tcPr>
            <w:tcW w:w="594" w:type="pct"/>
            <w:tcBorders>
              <w:bottom w:val="single" w:sz="4" w:space="0" w:color="BFBFBF" w:themeColor="background1" w:themeShade="BF"/>
            </w:tcBorders>
            <w:tcMar>
              <w:top w:w="80" w:type="dxa"/>
              <w:left w:w="80" w:type="dxa"/>
              <w:bottom w:w="80" w:type="dxa"/>
              <w:right w:w="80" w:type="dxa"/>
            </w:tcMar>
            <w:vAlign w:val="center"/>
            <w:hideMark/>
          </w:tcPr>
          <w:p w14:paraId="56CA837E"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The study employed identical assessment protocols and questionnaires for both the experimental and control arms to ensure consistent outcome measurement.</w:t>
            </w:r>
          </w:p>
        </w:tc>
        <w:tc>
          <w:tcPr>
            <w:tcW w:w="828" w:type="pct"/>
            <w:tcBorders>
              <w:bottom w:val="single" w:sz="4" w:space="0" w:color="BFBFBF" w:themeColor="background1" w:themeShade="BF"/>
            </w:tcBorders>
            <w:tcMar>
              <w:top w:w="80" w:type="dxa"/>
              <w:left w:w="80" w:type="dxa"/>
              <w:bottom w:w="80" w:type="dxa"/>
              <w:right w:w="80" w:type="dxa"/>
            </w:tcMar>
            <w:vAlign w:val="center"/>
            <w:hideMark/>
          </w:tcPr>
          <w:p w14:paraId="3223638C"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The study utilized validated quantitative instruments for self-reported health outcomes, ensuring high reliability of the measured data.</w:t>
            </w:r>
          </w:p>
        </w:tc>
        <w:tc>
          <w:tcPr>
            <w:tcW w:w="231" w:type="pct"/>
            <w:tcBorders>
              <w:bottom w:val="single" w:sz="4" w:space="0" w:color="BFBFBF" w:themeColor="background1" w:themeShade="BF"/>
            </w:tcBorders>
            <w:tcMar>
              <w:top w:w="80" w:type="dxa"/>
              <w:left w:w="80" w:type="dxa"/>
              <w:bottom w:w="80" w:type="dxa"/>
              <w:right w:w="80" w:type="dxa"/>
            </w:tcMar>
            <w:vAlign w:val="center"/>
            <w:hideMark/>
          </w:tcPr>
          <w:p w14:paraId="12AEC57C"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0" w:type="pct"/>
            <w:tcBorders>
              <w:bottom w:val="single" w:sz="4" w:space="0" w:color="BFBFBF" w:themeColor="background1" w:themeShade="BF"/>
            </w:tcBorders>
            <w:tcMar>
              <w:top w:w="80" w:type="dxa"/>
              <w:left w:w="80" w:type="dxa"/>
              <w:bottom w:w="80" w:type="dxa"/>
              <w:right w:w="80" w:type="dxa"/>
            </w:tcMar>
            <w:vAlign w:val="center"/>
            <w:hideMark/>
          </w:tcPr>
          <w:p w14:paraId="55DACE6F"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1" w:type="pct"/>
            <w:tcBorders>
              <w:bottom w:val="single" w:sz="4" w:space="0" w:color="BFBFBF" w:themeColor="background1" w:themeShade="BF"/>
            </w:tcBorders>
            <w:tcMar>
              <w:top w:w="80" w:type="dxa"/>
              <w:left w:w="80" w:type="dxa"/>
              <w:bottom w:w="80" w:type="dxa"/>
              <w:right w:w="80" w:type="dxa"/>
            </w:tcMar>
            <w:vAlign w:val="center"/>
            <w:hideMark/>
          </w:tcPr>
          <w:p w14:paraId="462E4E7E"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995" w:type="pct"/>
            <w:tcBorders>
              <w:bottom w:val="single" w:sz="4" w:space="0" w:color="BFBFBF" w:themeColor="background1" w:themeShade="BF"/>
              <w:right w:val="nil"/>
            </w:tcBorders>
            <w:tcMar>
              <w:top w:w="80" w:type="dxa"/>
              <w:left w:w="80" w:type="dxa"/>
              <w:bottom w:w="80" w:type="dxa"/>
              <w:right w:w="80" w:type="dxa"/>
            </w:tcMar>
            <w:vAlign w:val="center"/>
            <w:hideMark/>
          </w:tcPr>
          <w:p w14:paraId="79860D43"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methodology is sound and appropriate for a quasi-experimental study. The clear distinction between the control and intervention groups, combined with reliable outcome tracking, justifies its inclusion in the systematic review.</w:t>
            </w:r>
          </w:p>
        </w:tc>
      </w:tr>
      <w:tr w:rsidR="00820880" w:rsidRPr="0099294E" w14:paraId="72FAA68D" w14:textId="77777777" w:rsidTr="008877B5">
        <w:trPr>
          <w:trHeight w:val="5397"/>
        </w:trPr>
        <w:tc>
          <w:tcPr>
            <w:tcW w:w="473" w:type="pct"/>
            <w:vMerge w:val="restart"/>
            <w:tcMar>
              <w:top w:w="80" w:type="dxa"/>
              <w:left w:w="80" w:type="dxa"/>
              <w:bottom w:w="80" w:type="dxa"/>
              <w:right w:w="80" w:type="dxa"/>
            </w:tcMar>
            <w:vAlign w:val="center"/>
            <w:hideMark/>
          </w:tcPr>
          <w:p w14:paraId="74484C7B" w14:textId="77777777" w:rsidR="00820880" w:rsidRPr="0099294E" w:rsidRDefault="00820880" w:rsidP="0047725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(Lazarou et al., 2016)</w:t>
            </w:r>
          </w:p>
        </w:tc>
        <w:tc>
          <w:tcPr>
            <w:tcW w:w="150" w:type="pct"/>
            <w:tcMar>
              <w:top w:w="80" w:type="dxa"/>
              <w:left w:w="80" w:type="dxa"/>
              <w:bottom w:w="80" w:type="dxa"/>
              <w:right w:w="80" w:type="dxa"/>
            </w:tcMar>
            <w:vAlign w:val="center"/>
            <w:hideMark/>
          </w:tcPr>
          <w:p w14:paraId="14AB0FE9"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144" w:type="pct"/>
            <w:tcMar>
              <w:top w:w="80" w:type="dxa"/>
              <w:left w:w="80" w:type="dxa"/>
              <w:bottom w:w="80" w:type="dxa"/>
              <w:right w:w="80" w:type="dxa"/>
            </w:tcMar>
            <w:vAlign w:val="center"/>
            <w:hideMark/>
          </w:tcPr>
          <w:p w14:paraId="018E0FA0"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383" w:type="pct"/>
            <w:tcMar>
              <w:top w:w="80" w:type="dxa"/>
              <w:left w:w="80" w:type="dxa"/>
              <w:bottom w:w="80" w:type="dxa"/>
              <w:right w:w="80" w:type="dxa"/>
            </w:tcMar>
            <w:vAlign w:val="center"/>
            <w:hideMark/>
          </w:tcPr>
          <w:p w14:paraId="41FA2685"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A control group (n=34) receiving standard community care was utilized for comparison against the intervention group (n=47).</w:t>
            </w:r>
          </w:p>
        </w:tc>
        <w:tc>
          <w:tcPr>
            <w:tcW w:w="156" w:type="pct"/>
            <w:tcMar>
              <w:top w:w="80" w:type="dxa"/>
              <w:left w:w="80" w:type="dxa"/>
              <w:bottom w:w="80" w:type="dxa"/>
              <w:right w:w="80" w:type="dxa"/>
            </w:tcMar>
            <w:vAlign w:val="center"/>
            <w:hideMark/>
          </w:tcPr>
          <w:p w14:paraId="34A49B67"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442" w:type="pct"/>
            <w:tcMar>
              <w:top w:w="80" w:type="dxa"/>
              <w:left w:w="80" w:type="dxa"/>
              <w:bottom w:w="80" w:type="dxa"/>
              <w:right w:w="80" w:type="dxa"/>
            </w:tcMar>
            <w:vAlign w:val="center"/>
            <w:hideMark/>
          </w:tcPr>
          <w:p w14:paraId="29EA909E"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Participants in both the experimental and control groups continued to receive their usual, pre-existing level of standard community care support, differing only by the introduction of the SHT package.</w:t>
            </w:r>
          </w:p>
        </w:tc>
        <w:tc>
          <w:tcPr>
            <w:tcW w:w="144" w:type="pct"/>
            <w:tcMar>
              <w:top w:w="80" w:type="dxa"/>
              <w:left w:w="80" w:type="dxa"/>
              <w:bottom w:w="80" w:type="dxa"/>
              <w:right w:w="80" w:type="dxa"/>
            </w:tcMar>
            <w:vAlign w:val="center"/>
            <w:hideMark/>
          </w:tcPr>
          <w:p w14:paraId="26BABAD7"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594" w:type="pct"/>
            <w:tcMar>
              <w:top w:w="80" w:type="dxa"/>
              <w:left w:w="80" w:type="dxa"/>
              <w:bottom w:w="80" w:type="dxa"/>
              <w:right w:w="80" w:type="dxa"/>
            </w:tcMar>
            <w:vAlign w:val="center"/>
            <w:hideMark/>
          </w:tcPr>
          <w:p w14:paraId="649EA1D8"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Subjective outcomes (quality of life and health status) were measured in the exact same way for both groups at baseline and at 6 months post-installation.</w:t>
            </w:r>
          </w:p>
        </w:tc>
        <w:tc>
          <w:tcPr>
            <w:tcW w:w="828" w:type="pct"/>
            <w:tcMar>
              <w:top w:w="80" w:type="dxa"/>
              <w:left w:w="80" w:type="dxa"/>
              <w:bottom w:w="80" w:type="dxa"/>
              <w:right w:w="80" w:type="dxa"/>
            </w:tcMar>
            <w:vAlign w:val="center"/>
            <w:hideMark/>
          </w:tcPr>
          <w:p w14:paraId="34B3D035"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Outcomes were measured reliably using established, validated questionnaires (WHOQOL-BREF, EQ-5D-5L) and objective data logs from the SHT system alerts.</w:t>
            </w:r>
          </w:p>
        </w:tc>
        <w:tc>
          <w:tcPr>
            <w:tcW w:w="231" w:type="pct"/>
            <w:tcMar>
              <w:top w:w="80" w:type="dxa"/>
              <w:left w:w="80" w:type="dxa"/>
              <w:bottom w:w="80" w:type="dxa"/>
              <w:right w:w="80" w:type="dxa"/>
            </w:tcMar>
            <w:vAlign w:val="center"/>
            <w:hideMark/>
          </w:tcPr>
          <w:p w14:paraId="71475AF1"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0" w:type="pct"/>
            <w:tcMar>
              <w:top w:w="80" w:type="dxa"/>
              <w:left w:w="80" w:type="dxa"/>
              <w:bottom w:w="80" w:type="dxa"/>
              <w:right w:w="80" w:type="dxa"/>
            </w:tcMar>
            <w:vAlign w:val="center"/>
            <w:hideMark/>
          </w:tcPr>
          <w:p w14:paraId="5978B9A6"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1" w:type="pct"/>
            <w:tcMar>
              <w:top w:w="80" w:type="dxa"/>
              <w:left w:w="80" w:type="dxa"/>
              <w:bottom w:w="80" w:type="dxa"/>
              <w:right w:w="80" w:type="dxa"/>
            </w:tcMar>
            <w:vAlign w:val="center"/>
            <w:hideMark/>
          </w:tcPr>
          <w:p w14:paraId="0776F6F1"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995" w:type="pct"/>
            <w:tcBorders>
              <w:right w:val="nil"/>
            </w:tcBorders>
            <w:tcMar>
              <w:top w:w="80" w:type="dxa"/>
              <w:left w:w="80" w:type="dxa"/>
              <w:bottom w:w="80" w:type="dxa"/>
              <w:right w:w="80" w:type="dxa"/>
            </w:tcMar>
            <w:vAlign w:val="center"/>
            <w:hideMark/>
          </w:tcPr>
          <w:p w14:paraId="79EC22A9"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is a pragmatic controlled trial that clearly isolates the impact of the AI-driven smart-home technology. Temporal precedence is established, and the comparative analysis provides a solid foundation for evaluating the technology’s effectiveness in a real-world setting.</w:t>
            </w:r>
          </w:p>
        </w:tc>
      </w:tr>
      <w:tr w:rsidR="00820880" w:rsidRPr="0099294E" w14:paraId="59563AF8" w14:textId="77777777" w:rsidTr="008877B5">
        <w:trPr>
          <w:trHeight w:val="421"/>
        </w:trPr>
        <w:tc>
          <w:tcPr>
            <w:tcW w:w="473" w:type="pct"/>
            <w:vMerge/>
            <w:hideMark/>
          </w:tcPr>
          <w:p w14:paraId="14D4647D" w14:textId="77777777" w:rsidR="00820880" w:rsidRPr="0099294E" w:rsidRDefault="00820880" w:rsidP="00477252">
            <w:pPr>
              <w:widowControl/>
              <w:jc w:val="left"/>
              <w:rPr>
                <w:rFonts w:ascii="Times New Roman" w:eastAsia="等线" w:hAnsi="Times New Roman" w:cs="Times New Roman"/>
                <w:color w:val="000000"/>
                <w:kern w:val="0"/>
                <w:sz w:val="18"/>
                <w:szCs w:val="18"/>
                <w14:ligatures w14:val="none"/>
              </w:rPr>
            </w:pPr>
          </w:p>
        </w:tc>
        <w:tc>
          <w:tcPr>
            <w:tcW w:w="150" w:type="pct"/>
            <w:tcMar>
              <w:top w:w="80" w:type="dxa"/>
              <w:left w:w="80" w:type="dxa"/>
              <w:bottom w:w="80" w:type="dxa"/>
              <w:right w:w="80" w:type="dxa"/>
            </w:tcMar>
            <w:vAlign w:val="center"/>
            <w:hideMark/>
          </w:tcPr>
          <w:p w14:paraId="331FCD3A"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144" w:type="pct"/>
            <w:tcMar>
              <w:top w:w="80" w:type="dxa"/>
              <w:left w:w="80" w:type="dxa"/>
              <w:bottom w:w="80" w:type="dxa"/>
              <w:right w:w="80" w:type="dxa"/>
            </w:tcMar>
            <w:vAlign w:val="center"/>
            <w:hideMark/>
          </w:tcPr>
          <w:p w14:paraId="6610FE4A"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383" w:type="pct"/>
            <w:tcMar>
              <w:top w:w="80" w:type="dxa"/>
              <w:left w:w="80" w:type="dxa"/>
              <w:bottom w:w="80" w:type="dxa"/>
              <w:right w:w="80" w:type="dxa"/>
            </w:tcMar>
            <w:vAlign w:val="center"/>
            <w:hideMark/>
          </w:tcPr>
          <w:p w14:paraId="34F83D04"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A standard care control group comprising 34 community-dwelling older adults </w:t>
            </w:r>
            <w:r>
              <w:rPr>
                <w:rFonts w:ascii="Times New Roman" w:eastAsia="等线" w:hAnsi="Times New Roman" w:cs="Times New Roman"/>
                <w:color w:val="1F1F1F"/>
                <w:kern w:val="0"/>
                <w:sz w:val="18"/>
                <w:szCs w:val="18"/>
                <w14:ligatures w14:val="none"/>
              </w:rPr>
              <w:lastRenderedPageBreak/>
              <w:t>was established.</w:t>
            </w:r>
          </w:p>
        </w:tc>
        <w:tc>
          <w:tcPr>
            <w:tcW w:w="156" w:type="pct"/>
            <w:tcMar>
              <w:top w:w="80" w:type="dxa"/>
              <w:left w:w="80" w:type="dxa"/>
              <w:bottom w:w="80" w:type="dxa"/>
              <w:right w:w="80" w:type="dxa"/>
            </w:tcMar>
            <w:vAlign w:val="center"/>
            <w:hideMark/>
          </w:tcPr>
          <w:p w14:paraId="32499E04"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Yes</w:t>
            </w:r>
          </w:p>
        </w:tc>
        <w:tc>
          <w:tcPr>
            <w:tcW w:w="442" w:type="pct"/>
            <w:tcMar>
              <w:top w:w="80" w:type="dxa"/>
              <w:left w:w="80" w:type="dxa"/>
              <w:bottom w:w="80" w:type="dxa"/>
              <w:right w:w="80" w:type="dxa"/>
            </w:tcMar>
            <w:vAlign w:val="center"/>
            <w:hideMark/>
          </w:tcPr>
          <w:p w14:paraId="4D3FD7F1"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Both groups received equivalent baseline home care packages, with the experimental group receiving the additional </w:t>
            </w:r>
            <w:r>
              <w:rPr>
                <w:rFonts w:ascii="Times New Roman" w:eastAsia="等线" w:hAnsi="Times New Roman" w:cs="Times New Roman"/>
                <w:color w:val="1F1F1F"/>
                <w:kern w:val="0"/>
                <w:sz w:val="18"/>
                <w:szCs w:val="18"/>
                <w14:ligatures w14:val="none"/>
              </w:rPr>
              <w:lastRenderedPageBreak/>
              <w:t>algorithm-based monitoring system.</w:t>
            </w:r>
          </w:p>
        </w:tc>
        <w:tc>
          <w:tcPr>
            <w:tcW w:w="144" w:type="pct"/>
            <w:tcMar>
              <w:top w:w="80" w:type="dxa"/>
              <w:left w:w="80" w:type="dxa"/>
              <w:bottom w:w="80" w:type="dxa"/>
              <w:right w:w="80" w:type="dxa"/>
            </w:tcMar>
            <w:vAlign w:val="center"/>
            <w:hideMark/>
          </w:tcPr>
          <w:p w14:paraId="254C263F"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Yes</w:t>
            </w:r>
          </w:p>
        </w:tc>
        <w:tc>
          <w:tcPr>
            <w:tcW w:w="594" w:type="pct"/>
            <w:tcMar>
              <w:top w:w="80" w:type="dxa"/>
              <w:left w:w="80" w:type="dxa"/>
              <w:bottom w:w="80" w:type="dxa"/>
              <w:right w:w="80" w:type="dxa"/>
            </w:tcMar>
            <w:vAlign w:val="center"/>
            <w:hideMark/>
          </w:tcPr>
          <w:p w14:paraId="756415BA"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The study employed identical assessment tools (WHOQOL-BREF and EQ-5D) for both the experimental and control arms across the designated time points.</w:t>
            </w:r>
          </w:p>
        </w:tc>
        <w:tc>
          <w:tcPr>
            <w:tcW w:w="828" w:type="pct"/>
            <w:tcMar>
              <w:top w:w="80" w:type="dxa"/>
              <w:left w:w="80" w:type="dxa"/>
              <w:bottom w:w="80" w:type="dxa"/>
              <w:right w:w="80" w:type="dxa"/>
            </w:tcMar>
            <w:vAlign w:val="center"/>
            <w:hideMark/>
          </w:tcPr>
          <w:p w14:paraId="1BA26E6B"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The study utilized validated quantitative instruments for self-reported health and quality of life, alongside systematic tracking of the AI-generated alerts.</w:t>
            </w:r>
          </w:p>
        </w:tc>
        <w:tc>
          <w:tcPr>
            <w:tcW w:w="231" w:type="pct"/>
            <w:tcMar>
              <w:top w:w="80" w:type="dxa"/>
              <w:left w:w="80" w:type="dxa"/>
              <w:bottom w:w="80" w:type="dxa"/>
              <w:right w:w="80" w:type="dxa"/>
            </w:tcMar>
            <w:vAlign w:val="center"/>
            <w:hideMark/>
          </w:tcPr>
          <w:p w14:paraId="4172BD70"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0" w:type="pct"/>
            <w:tcMar>
              <w:top w:w="80" w:type="dxa"/>
              <w:left w:w="80" w:type="dxa"/>
              <w:bottom w:w="80" w:type="dxa"/>
              <w:right w:w="80" w:type="dxa"/>
            </w:tcMar>
            <w:vAlign w:val="center"/>
            <w:hideMark/>
          </w:tcPr>
          <w:p w14:paraId="69DA3EDD"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1" w:type="pct"/>
            <w:tcMar>
              <w:top w:w="80" w:type="dxa"/>
              <w:left w:w="80" w:type="dxa"/>
              <w:bottom w:w="80" w:type="dxa"/>
              <w:right w:w="80" w:type="dxa"/>
            </w:tcMar>
            <w:vAlign w:val="center"/>
            <w:hideMark/>
          </w:tcPr>
          <w:p w14:paraId="74AA8191"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995" w:type="pct"/>
            <w:tcBorders>
              <w:right w:val="nil"/>
            </w:tcBorders>
            <w:tcMar>
              <w:top w:w="80" w:type="dxa"/>
              <w:left w:w="80" w:type="dxa"/>
              <w:bottom w:w="80" w:type="dxa"/>
              <w:right w:w="80" w:type="dxa"/>
            </w:tcMar>
            <w:vAlign w:val="center"/>
            <w:hideMark/>
          </w:tcPr>
          <w:p w14:paraId="4C399D59"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methodology is robust for a pilot quasi-experimental design. Participant attrition and system withdrawals were thoroughly documented and explained. The mixed-methods approach effectively captures both the functional data and the perception of the technology.</w:t>
            </w:r>
          </w:p>
        </w:tc>
      </w:tr>
      <w:tr w:rsidR="00820880" w:rsidRPr="002E5934" w14:paraId="70C7FDD7" w14:textId="77777777" w:rsidTr="008877B5">
        <w:trPr>
          <w:trHeight w:val="1144"/>
        </w:trPr>
        <w:tc>
          <w:tcPr>
            <w:tcW w:w="473" w:type="pct"/>
            <w:vMerge w:val="restart"/>
            <w:tcMar>
              <w:top w:w="80" w:type="dxa"/>
              <w:left w:w="80" w:type="dxa"/>
              <w:bottom w:w="80" w:type="dxa"/>
              <w:right w:w="80" w:type="dxa"/>
            </w:tcMar>
            <w:vAlign w:val="center"/>
          </w:tcPr>
          <w:p w14:paraId="5C211B8D" w14:textId="77777777" w:rsidR="00820880" w:rsidRPr="002E5934" w:rsidRDefault="00820880" w:rsidP="006B66C1">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sz w:val="18"/>
                <w:szCs w:val="18"/>
              </w:rPr>
              <w:t>(Mihailidis et al., 2008)</w:t>
            </w:r>
          </w:p>
        </w:tc>
        <w:tc>
          <w:tcPr>
            <w:tcW w:w="150" w:type="pct"/>
            <w:tcMar>
              <w:top w:w="80" w:type="dxa"/>
              <w:left w:w="80" w:type="dxa"/>
              <w:bottom w:w="80" w:type="dxa"/>
              <w:right w:w="80" w:type="dxa"/>
            </w:tcMar>
            <w:vAlign w:val="center"/>
          </w:tcPr>
          <w:p w14:paraId="7D2AD9CB"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R1</w:t>
            </w:r>
          </w:p>
        </w:tc>
        <w:tc>
          <w:tcPr>
            <w:tcW w:w="144" w:type="pct"/>
            <w:tcMar>
              <w:top w:w="80" w:type="dxa"/>
              <w:left w:w="80" w:type="dxa"/>
              <w:bottom w:w="80" w:type="dxa"/>
              <w:right w:w="80" w:type="dxa"/>
            </w:tcMar>
            <w:vAlign w:val="center"/>
          </w:tcPr>
          <w:p w14:paraId="6FF23E53"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383" w:type="pct"/>
            <w:tcMar>
              <w:top w:w="80" w:type="dxa"/>
              <w:left w:w="80" w:type="dxa"/>
              <w:bottom w:w="80" w:type="dxa"/>
              <w:right w:w="80" w:type="dxa"/>
            </w:tcMar>
            <w:vAlign w:val="center"/>
          </w:tcPr>
          <w:p w14:paraId="3B4DE07A"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156" w:type="pct"/>
            <w:tcMar>
              <w:top w:w="80" w:type="dxa"/>
              <w:left w:w="80" w:type="dxa"/>
              <w:bottom w:w="80" w:type="dxa"/>
              <w:right w:w="80" w:type="dxa"/>
            </w:tcMar>
            <w:vAlign w:val="center"/>
          </w:tcPr>
          <w:p w14:paraId="35A97892"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442" w:type="pct"/>
            <w:tcMar>
              <w:top w:w="80" w:type="dxa"/>
              <w:left w:w="80" w:type="dxa"/>
              <w:bottom w:w="80" w:type="dxa"/>
              <w:right w:w="80" w:type="dxa"/>
            </w:tcMar>
            <w:vAlign w:val="center"/>
          </w:tcPr>
          <w:p w14:paraId="4183411F"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144" w:type="pct"/>
            <w:tcMar>
              <w:top w:w="80" w:type="dxa"/>
              <w:left w:w="80" w:type="dxa"/>
              <w:bottom w:w="80" w:type="dxa"/>
              <w:right w:w="80" w:type="dxa"/>
            </w:tcMar>
            <w:vAlign w:val="center"/>
          </w:tcPr>
          <w:p w14:paraId="6366120F"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594" w:type="pct"/>
            <w:tcMar>
              <w:top w:w="80" w:type="dxa"/>
              <w:left w:w="80" w:type="dxa"/>
              <w:bottom w:w="80" w:type="dxa"/>
              <w:right w:w="80" w:type="dxa"/>
            </w:tcMar>
            <w:vAlign w:val="center"/>
          </w:tcPr>
          <w:p w14:paraId="5DCFB472" w14:textId="77777777" w:rsidR="0028443D" w:rsidRPr="008607E4" w:rsidRDefault="00000000" w:rsidP="008607E4">
            <w:pPr>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The same handwashing outcomes were scored across all baseline and COACH phases.</w:t>
            </w:r>
          </w:p>
        </w:tc>
        <w:tc>
          <w:tcPr>
            <w:tcW w:w="828" w:type="pct"/>
            <w:tcMar>
              <w:top w:w="80" w:type="dxa"/>
              <w:left w:w="80" w:type="dxa"/>
              <w:bottom w:w="80" w:type="dxa"/>
              <w:right w:w="80" w:type="dxa"/>
            </w:tcMar>
            <w:vAlign w:val="center"/>
          </w:tcPr>
          <w:p w14:paraId="044A61F1" w14:textId="77777777" w:rsidR="0028443D" w:rsidRPr="008607E4" w:rsidRDefault="00000000" w:rsidP="008607E4">
            <w:pPr>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Video trials were scored by trained raters; 20% double-coding showed acceptable kappa.</w:t>
            </w:r>
          </w:p>
        </w:tc>
        <w:tc>
          <w:tcPr>
            <w:tcW w:w="231" w:type="pct"/>
            <w:tcMar>
              <w:top w:w="80" w:type="dxa"/>
              <w:left w:w="80" w:type="dxa"/>
              <w:bottom w:w="80" w:type="dxa"/>
              <w:right w:w="80" w:type="dxa"/>
            </w:tcMar>
            <w:vAlign w:val="center"/>
          </w:tcPr>
          <w:p w14:paraId="349C1CF0"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230" w:type="pct"/>
            <w:tcMar>
              <w:top w:w="80" w:type="dxa"/>
              <w:left w:w="80" w:type="dxa"/>
              <w:bottom w:w="80" w:type="dxa"/>
              <w:right w:w="80" w:type="dxa"/>
            </w:tcMar>
            <w:vAlign w:val="center"/>
          </w:tcPr>
          <w:p w14:paraId="640EFA7A"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231" w:type="pct"/>
            <w:tcMar>
              <w:top w:w="80" w:type="dxa"/>
              <w:left w:w="80" w:type="dxa"/>
              <w:bottom w:w="80" w:type="dxa"/>
              <w:right w:w="80" w:type="dxa"/>
            </w:tcMar>
            <w:vAlign w:val="center"/>
          </w:tcPr>
          <w:p w14:paraId="2DAC0B9D"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Include</w:t>
            </w:r>
          </w:p>
        </w:tc>
        <w:tc>
          <w:tcPr>
            <w:tcW w:w="995" w:type="pct"/>
            <w:tcBorders>
              <w:right w:val="nil"/>
            </w:tcBorders>
            <w:tcMar>
              <w:top w:w="80" w:type="dxa"/>
              <w:left w:w="80" w:type="dxa"/>
              <w:bottom w:w="80" w:type="dxa"/>
              <w:right w:w="80" w:type="dxa"/>
            </w:tcMar>
            <w:vAlign w:val="center"/>
          </w:tcPr>
          <w:p w14:paraId="3C465217" w14:textId="77777777" w:rsidR="00820880" w:rsidRPr="002E5934" w:rsidRDefault="00820880"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The study uses a rigorous single subject design where baseline phases act as the control for the intervention phases. The AI technology is specifically designed for the home environment to support independent living. The results provide strong evidence for the efficacy of AI in enhancing functional independence in activities of daily living.</w:t>
            </w:r>
          </w:p>
        </w:tc>
      </w:tr>
      <w:tr w:rsidR="00820880" w:rsidRPr="002E5934" w14:paraId="7E08E16F" w14:textId="77777777" w:rsidTr="008607E4">
        <w:trPr>
          <w:trHeight w:val="2594"/>
        </w:trPr>
        <w:tc>
          <w:tcPr>
            <w:tcW w:w="473" w:type="pct"/>
            <w:vMerge/>
          </w:tcPr>
          <w:p w14:paraId="436217DE" w14:textId="77777777" w:rsidR="00820880" w:rsidRPr="002E5934" w:rsidRDefault="00820880" w:rsidP="006B66C1">
            <w:pPr>
              <w:widowControl/>
              <w:jc w:val="left"/>
              <w:rPr>
                <w:rFonts w:ascii="Times New Roman" w:eastAsia="等线" w:hAnsi="Times New Roman" w:cs="Times New Roman"/>
                <w:color w:val="000000"/>
                <w:kern w:val="0"/>
                <w:sz w:val="18"/>
                <w:szCs w:val="18"/>
                <w14:ligatures w14:val="none"/>
              </w:rPr>
            </w:pPr>
          </w:p>
        </w:tc>
        <w:tc>
          <w:tcPr>
            <w:tcW w:w="150" w:type="pct"/>
            <w:tcMar>
              <w:top w:w="80" w:type="dxa"/>
              <w:left w:w="80" w:type="dxa"/>
              <w:bottom w:w="80" w:type="dxa"/>
              <w:right w:w="80" w:type="dxa"/>
            </w:tcMar>
            <w:vAlign w:val="center"/>
          </w:tcPr>
          <w:p w14:paraId="253A75BE"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R2</w:t>
            </w:r>
          </w:p>
        </w:tc>
        <w:tc>
          <w:tcPr>
            <w:tcW w:w="144" w:type="pct"/>
            <w:tcMar>
              <w:top w:w="80" w:type="dxa"/>
              <w:left w:w="80" w:type="dxa"/>
              <w:bottom w:w="80" w:type="dxa"/>
              <w:right w:w="80" w:type="dxa"/>
            </w:tcMar>
            <w:vAlign w:val="center"/>
          </w:tcPr>
          <w:p w14:paraId="4EC3C88C"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383" w:type="pct"/>
            <w:tcMar>
              <w:top w:w="80" w:type="dxa"/>
              <w:left w:w="80" w:type="dxa"/>
              <w:bottom w:w="80" w:type="dxa"/>
              <w:right w:w="80" w:type="dxa"/>
            </w:tcMar>
            <w:vAlign w:val="center"/>
          </w:tcPr>
          <w:p w14:paraId="47F18A7C"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156" w:type="pct"/>
            <w:tcMar>
              <w:top w:w="80" w:type="dxa"/>
              <w:left w:w="80" w:type="dxa"/>
              <w:bottom w:w="80" w:type="dxa"/>
              <w:right w:w="80" w:type="dxa"/>
            </w:tcMar>
            <w:vAlign w:val="center"/>
          </w:tcPr>
          <w:p w14:paraId="185A98E8"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442" w:type="pct"/>
            <w:tcMar>
              <w:top w:w="80" w:type="dxa"/>
              <w:left w:w="80" w:type="dxa"/>
              <w:bottom w:w="80" w:type="dxa"/>
              <w:right w:w="80" w:type="dxa"/>
            </w:tcMar>
            <w:vAlign w:val="center"/>
          </w:tcPr>
          <w:p w14:paraId="66A8B84C"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144" w:type="pct"/>
            <w:tcMar>
              <w:top w:w="80" w:type="dxa"/>
              <w:left w:w="80" w:type="dxa"/>
              <w:bottom w:w="80" w:type="dxa"/>
              <w:right w:w="80" w:type="dxa"/>
            </w:tcMar>
            <w:vAlign w:val="center"/>
          </w:tcPr>
          <w:p w14:paraId="71B32867"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594" w:type="pct"/>
            <w:tcMar>
              <w:top w:w="80" w:type="dxa"/>
              <w:left w:w="80" w:type="dxa"/>
              <w:bottom w:w="80" w:type="dxa"/>
              <w:right w:w="80" w:type="dxa"/>
            </w:tcMar>
            <w:vAlign w:val="center"/>
          </w:tcPr>
          <w:p w14:paraId="0121EDBC" w14:textId="77777777" w:rsidR="0028443D" w:rsidRPr="008607E4" w:rsidRDefault="00000000" w:rsidP="008607E4">
            <w:pPr>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Independent steps, caregiver interactions, and FAS were measured identically in each trial.</w:t>
            </w:r>
          </w:p>
        </w:tc>
        <w:tc>
          <w:tcPr>
            <w:tcW w:w="828" w:type="pct"/>
            <w:tcMar>
              <w:top w:w="80" w:type="dxa"/>
              <w:left w:w="80" w:type="dxa"/>
              <w:bottom w:w="80" w:type="dxa"/>
              <w:right w:w="80" w:type="dxa"/>
            </w:tcMar>
            <w:vAlign w:val="center"/>
          </w:tcPr>
          <w:p w14:paraId="0DA9F195" w14:textId="77777777" w:rsidR="0028443D" w:rsidRPr="008607E4" w:rsidRDefault="00000000" w:rsidP="008607E4">
            <w:pPr>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Post-trial video review and second-rater kappa supported reliable outcome scoring.</w:t>
            </w:r>
          </w:p>
        </w:tc>
        <w:tc>
          <w:tcPr>
            <w:tcW w:w="231" w:type="pct"/>
            <w:tcMar>
              <w:top w:w="80" w:type="dxa"/>
              <w:left w:w="80" w:type="dxa"/>
              <w:bottom w:w="80" w:type="dxa"/>
              <w:right w:w="80" w:type="dxa"/>
            </w:tcMar>
            <w:vAlign w:val="center"/>
          </w:tcPr>
          <w:p w14:paraId="4BA5A205"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230" w:type="pct"/>
            <w:tcMar>
              <w:top w:w="80" w:type="dxa"/>
              <w:left w:w="80" w:type="dxa"/>
              <w:bottom w:w="80" w:type="dxa"/>
              <w:right w:w="80" w:type="dxa"/>
            </w:tcMar>
            <w:vAlign w:val="center"/>
          </w:tcPr>
          <w:p w14:paraId="2C456456"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Yes</w:t>
            </w:r>
          </w:p>
        </w:tc>
        <w:tc>
          <w:tcPr>
            <w:tcW w:w="231" w:type="pct"/>
            <w:tcMar>
              <w:top w:w="80" w:type="dxa"/>
              <w:left w:w="80" w:type="dxa"/>
              <w:bottom w:w="80" w:type="dxa"/>
              <w:right w:w="80" w:type="dxa"/>
            </w:tcMar>
            <w:vAlign w:val="center"/>
          </w:tcPr>
          <w:p w14:paraId="7D26F02F" w14:textId="77777777" w:rsidR="00820880" w:rsidRPr="002E5934" w:rsidRDefault="00820880"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Include</w:t>
            </w:r>
          </w:p>
        </w:tc>
        <w:tc>
          <w:tcPr>
            <w:tcW w:w="995" w:type="pct"/>
            <w:tcBorders>
              <w:right w:val="nil"/>
            </w:tcBorders>
            <w:tcMar>
              <w:top w:w="80" w:type="dxa"/>
              <w:left w:w="80" w:type="dxa"/>
              <w:bottom w:w="80" w:type="dxa"/>
              <w:right w:w="80" w:type="dxa"/>
            </w:tcMar>
            <w:vAlign w:val="center"/>
          </w:tcPr>
          <w:p w14:paraId="59D93D13" w14:textId="77777777" w:rsidR="00820880" w:rsidRPr="002E5934" w:rsidRDefault="00820880"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sz w:val="18"/>
                <w:szCs w:val="18"/>
              </w:rPr>
              <w:t>This research demonstrates a clear cause and effect relationship between the AI prompts and successful task completion. While conducted in a facility, the study serves as a critical proof of concept for community based aging in place. The methodology for measuring outcomes is highly reliable and utilizes inter rater agreement to ensure data quality.</w:t>
            </w:r>
          </w:p>
        </w:tc>
      </w:tr>
      <w:tr w:rsidR="00820880" w:rsidRPr="0099294E" w14:paraId="277CF877" w14:textId="77777777" w:rsidTr="00786157">
        <w:trPr>
          <w:trHeight w:val="20"/>
        </w:trPr>
        <w:tc>
          <w:tcPr>
            <w:tcW w:w="473" w:type="pct"/>
            <w:vMerge w:val="restart"/>
            <w:tcMar>
              <w:top w:w="80" w:type="dxa"/>
              <w:left w:w="80" w:type="dxa"/>
              <w:bottom w:w="80" w:type="dxa"/>
              <w:right w:w="80" w:type="dxa"/>
            </w:tcMar>
            <w:vAlign w:val="center"/>
            <w:hideMark/>
          </w:tcPr>
          <w:p w14:paraId="35BD4FDE" w14:textId="77777777" w:rsidR="00820880" w:rsidRPr="0099294E" w:rsidRDefault="00820880" w:rsidP="0047725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(Romanopoulou et al., 2021)</w:t>
            </w:r>
          </w:p>
        </w:tc>
        <w:tc>
          <w:tcPr>
            <w:tcW w:w="150" w:type="pct"/>
            <w:tcMar>
              <w:top w:w="80" w:type="dxa"/>
              <w:left w:w="80" w:type="dxa"/>
              <w:bottom w:w="80" w:type="dxa"/>
              <w:right w:w="80" w:type="dxa"/>
            </w:tcMar>
            <w:vAlign w:val="center"/>
            <w:hideMark/>
          </w:tcPr>
          <w:p w14:paraId="3AADCAE5"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144" w:type="pct"/>
            <w:tcMar>
              <w:top w:w="80" w:type="dxa"/>
              <w:left w:w="80" w:type="dxa"/>
              <w:bottom w:w="80" w:type="dxa"/>
              <w:right w:w="80" w:type="dxa"/>
            </w:tcMar>
            <w:vAlign w:val="center"/>
            <w:hideMark/>
          </w:tcPr>
          <w:p w14:paraId="384D8577"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383" w:type="pct"/>
            <w:tcMar>
              <w:top w:w="80" w:type="dxa"/>
              <w:left w:w="80" w:type="dxa"/>
              <w:bottom w:w="80" w:type="dxa"/>
              <w:right w:w="80" w:type="dxa"/>
            </w:tcMar>
            <w:vAlign w:val="center"/>
            <w:hideMark/>
          </w:tcPr>
          <w:p w14:paraId="1105EAA5"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A comparison control group of community-dwelling older adults </w:t>
            </w:r>
            <w:r>
              <w:rPr>
                <w:rFonts w:ascii="Times New Roman" w:eastAsia="等线" w:hAnsi="Times New Roman" w:cs="Times New Roman"/>
                <w:color w:val="1F1F1F"/>
                <w:kern w:val="0"/>
                <w:sz w:val="18"/>
                <w:szCs w:val="18"/>
                <w14:ligatures w14:val="none"/>
              </w:rPr>
              <w:lastRenderedPageBreak/>
              <w:t>was included to evaluate the effects of the AI technology against standard conditions.</w:t>
            </w:r>
          </w:p>
        </w:tc>
        <w:tc>
          <w:tcPr>
            <w:tcW w:w="156" w:type="pct"/>
            <w:tcMar>
              <w:top w:w="80" w:type="dxa"/>
              <w:left w:w="80" w:type="dxa"/>
              <w:bottom w:w="80" w:type="dxa"/>
              <w:right w:w="80" w:type="dxa"/>
            </w:tcMar>
            <w:vAlign w:val="center"/>
            <w:hideMark/>
          </w:tcPr>
          <w:p w14:paraId="2B076933"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Yes</w:t>
            </w:r>
          </w:p>
        </w:tc>
        <w:tc>
          <w:tcPr>
            <w:tcW w:w="442" w:type="pct"/>
            <w:tcMar>
              <w:top w:w="80" w:type="dxa"/>
              <w:left w:w="80" w:type="dxa"/>
              <w:bottom w:w="80" w:type="dxa"/>
              <w:right w:w="80" w:type="dxa"/>
            </w:tcMar>
            <w:vAlign w:val="center"/>
            <w:hideMark/>
          </w:tcPr>
          <w:p w14:paraId="565B9847"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Participants in both the experimental and control groups received the same </w:t>
            </w:r>
            <w:r>
              <w:rPr>
                <w:rFonts w:ascii="Times New Roman" w:eastAsia="等线" w:hAnsi="Times New Roman" w:cs="Times New Roman"/>
                <w:color w:val="1F1F1F"/>
                <w:kern w:val="0"/>
                <w:sz w:val="18"/>
                <w:szCs w:val="18"/>
                <w14:ligatures w14:val="none"/>
              </w:rPr>
              <w:lastRenderedPageBreak/>
              <w:t>baseline standard of community care, differing only by the installation of the AI-based monitoring system.</w:t>
            </w:r>
          </w:p>
        </w:tc>
        <w:tc>
          <w:tcPr>
            <w:tcW w:w="144" w:type="pct"/>
            <w:tcMar>
              <w:top w:w="80" w:type="dxa"/>
              <w:left w:w="80" w:type="dxa"/>
              <w:bottom w:w="80" w:type="dxa"/>
              <w:right w:w="80" w:type="dxa"/>
            </w:tcMar>
            <w:vAlign w:val="center"/>
            <w:hideMark/>
          </w:tcPr>
          <w:p w14:paraId="12EDB1F7"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Yes</w:t>
            </w:r>
          </w:p>
        </w:tc>
        <w:tc>
          <w:tcPr>
            <w:tcW w:w="594" w:type="pct"/>
            <w:tcMar>
              <w:top w:w="80" w:type="dxa"/>
              <w:left w:w="80" w:type="dxa"/>
              <w:bottom w:w="80" w:type="dxa"/>
              <w:right w:w="80" w:type="dxa"/>
            </w:tcMar>
            <w:vAlign w:val="center"/>
            <w:hideMark/>
          </w:tcPr>
          <w:p w14:paraId="43D0FFDC"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Yes. The outcomes (functional independence, safety events, and well-being) were measured using the same standardized protocols </w:t>
            </w:r>
            <w:r>
              <w:rPr>
                <w:rFonts w:ascii="Times New Roman" w:eastAsia="等线" w:hAnsi="Times New Roman" w:cs="Times New Roman"/>
                <w:color w:val="1F1F1F"/>
                <w:kern w:val="0"/>
                <w:sz w:val="18"/>
                <w:szCs w:val="18"/>
                <w14:ligatures w14:val="none"/>
              </w:rPr>
              <w:lastRenderedPageBreak/>
              <w:t>and assessment schedules for both groups.</w:t>
            </w:r>
          </w:p>
        </w:tc>
        <w:tc>
          <w:tcPr>
            <w:tcW w:w="828" w:type="pct"/>
            <w:tcMar>
              <w:top w:w="80" w:type="dxa"/>
              <w:left w:w="80" w:type="dxa"/>
              <w:bottom w:w="80" w:type="dxa"/>
              <w:right w:w="80" w:type="dxa"/>
            </w:tcMar>
            <w:vAlign w:val="center"/>
            <w:hideMark/>
          </w:tcPr>
          <w:p w14:paraId="43F47E6D"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Yes. Outcomes were measured reliably using validated clinical assessment scales and objective, continuous data logs generated by the AI sensors.</w:t>
            </w:r>
          </w:p>
        </w:tc>
        <w:tc>
          <w:tcPr>
            <w:tcW w:w="231" w:type="pct"/>
            <w:tcMar>
              <w:top w:w="80" w:type="dxa"/>
              <w:left w:w="80" w:type="dxa"/>
              <w:bottom w:w="80" w:type="dxa"/>
              <w:right w:w="80" w:type="dxa"/>
            </w:tcMar>
            <w:vAlign w:val="center"/>
            <w:hideMark/>
          </w:tcPr>
          <w:p w14:paraId="15A2FDD5"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0" w:type="pct"/>
            <w:tcMar>
              <w:top w:w="80" w:type="dxa"/>
              <w:left w:w="80" w:type="dxa"/>
              <w:bottom w:w="80" w:type="dxa"/>
              <w:right w:w="80" w:type="dxa"/>
            </w:tcMar>
            <w:vAlign w:val="center"/>
            <w:hideMark/>
          </w:tcPr>
          <w:p w14:paraId="28F08CE0"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1" w:type="pct"/>
            <w:tcMar>
              <w:top w:w="80" w:type="dxa"/>
              <w:left w:w="80" w:type="dxa"/>
              <w:bottom w:w="80" w:type="dxa"/>
              <w:right w:w="80" w:type="dxa"/>
            </w:tcMar>
            <w:vAlign w:val="center"/>
            <w:hideMark/>
          </w:tcPr>
          <w:p w14:paraId="2F594591"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995" w:type="pct"/>
            <w:tcBorders>
              <w:right w:val="nil"/>
            </w:tcBorders>
            <w:tcMar>
              <w:top w:w="80" w:type="dxa"/>
              <w:left w:w="80" w:type="dxa"/>
              <w:bottom w:w="80" w:type="dxa"/>
              <w:right w:w="80" w:type="dxa"/>
            </w:tcMar>
            <w:vAlign w:val="center"/>
            <w:hideMark/>
          </w:tcPr>
          <w:p w14:paraId="0ECE9D80"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study demonstrates a robust quasi-experimental design. The clear comparison between the AI intervention group and the control group, combined with longitudinal follow-up, provides strong evidence regarding the technology’s impact on aging in place.</w:t>
            </w:r>
          </w:p>
        </w:tc>
      </w:tr>
      <w:tr w:rsidR="00820880" w:rsidRPr="0099294E" w14:paraId="2F0DA8BA" w14:textId="77777777" w:rsidTr="00E70E40">
        <w:trPr>
          <w:trHeight w:val="2829"/>
        </w:trPr>
        <w:tc>
          <w:tcPr>
            <w:tcW w:w="473" w:type="pct"/>
            <w:vMerge/>
            <w:tcBorders>
              <w:bottom w:val="single" w:sz="8" w:space="0" w:color="auto"/>
            </w:tcBorders>
            <w:hideMark/>
          </w:tcPr>
          <w:p w14:paraId="0054B338" w14:textId="77777777" w:rsidR="00820880" w:rsidRPr="0099294E" w:rsidRDefault="00820880" w:rsidP="00477252">
            <w:pPr>
              <w:widowControl/>
              <w:jc w:val="left"/>
              <w:rPr>
                <w:rFonts w:ascii="Times New Roman" w:eastAsia="等线" w:hAnsi="Times New Roman" w:cs="Times New Roman"/>
                <w:color w:val="000000"/>
                <w:kern w:val="0"/>
                <w:sz w:val="18"/>
                <w:szCs w:val="18"/>
                <w14:ligatures w14:val="none"/>
              </w:rPr>
            </w:pPr>
          </w:p>
        </w:tc>
        <w:tc>
          <w:tcPr>
            <w:tcW w:w="150" w:type="pct"/>
            <w:tcBorders>
              <w:bottom w:val="single" w:sz="8" w:space="0" w:color="auto"/>
            </w:tcBorders>
            <w:tcMar>
              <w:top w:w="80" w:type="dxa"/>
              <w:left w:w="80" w:type="dxa"/>
              <w:bottom w:w="80" w:type="dxa"/>
              <w:right w:w="80" w:type="dxa"/>
            </w:tcMar>
            <w:vAlign w:val="center"/>
            <w:hideMark/>
          </w:tcPr>
          <w:p w14:paraId="4C6C117B"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144" w:type="pct"/>
            <w:tcBorders>
              <w:bottom w:val="single" w:sz="8" w:space="0" w:color="auto"/>
            </w:tcBorders>
            <w:tcMar>
              <w:top w:w="80" w:type="dxa"/>
              <w:left w:w="80" w:type="dxa"/>
              <w:bottom w:w="80" w:type="dxa"/>
              <w:right w:w="80" w:type="dxa"/>
            </w:tcMar>
            <w:vAlign w:val="center"/>
            <w:hideMark/>
          </w:tcPr>
          <w:p w14:paraId="68E786FB"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383" w:type="pct"/>
            <w:tcBorders>
              <w:bottom w:val="single" w:sz="8" w:space="0" w:color="auto"/>
            </w:tcBorders>
            <w:tcMar>
              <w:top w:w="80" w:type="dxa"/>
              <w:left w:w="80" w:type="dxa"/>
              <w:bottom w:w="80" w:type="dxa"/>
              <w:right w:w="80" w:type="dxa"/>
            </w:tcMar>
            <w:vAlign w:val="center"/>
            <w:hideMark/>
          </w:tcPr>
          <w:p w14:paraId="1532379C"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The research design utilized a standard care control group comprising older adults aged 60+ to compare against the experimental AI cohort.</w:t>
            </w:r>
          </w:p>
        </w:tc>
        <w:tc>
          <w:tcPr>
            <w:tcW w:w="156" w:type="pct"/>
            <w:tcBorders>
              <w:bottom w:val="single" w:sz="8" w:space="0" w:color="auto"/>
            </w:tcBorders>
            <w:tcMar>
              <w:top w:w="80" w:type="dxa"/>
              <w:left w:w="80" w:type="dxa"/>
              <w:bottom w:w="80" w:type="dxa"/>
              <w:right w:w="80" w:type="dxa"/>
            </w:tcMar>
            <w:vAlign w:val="center"/>
            <w:hideMark/>
          </w:tcPr>
          <w:p w14:paraId="428C08C7"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442" w:type="pct"/>
            <w:tcBorders>
              <w:bottom w:val="single" w:sz="8" w:space="0" w:color="auto"/>
            </w:tcBorders>
            <w:tcMar>
              <w:top w:w="80" w:type="dxa"/>
              <w:left w:w="80" w:type="dxa"/>
              <w:bottom w:w="80" w:type="dxa"/>
              <w:right w:w="80" w:type="dxa"/>
            </w:tcMar>
            <w:vAlign w:val="center"/>
            <w:hideMark/>
          </w:tcPr>
          <w:p w14:paraId="1139A179"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Ongoing care support and environmental factors were equivalent across both cohorts, with the AI system implementation being the sole differing variable.</w:t>
            </w:r>
          </w:p>
        </w:tc>
        <w:tc>
          <w:tcPr>
            <w:tcW w:w="144" w:type="pct"/>
            <w:tcBorders>
              <w:bottom w:val="single" w:sz="8" w:space="0" w:color="auto"/>
            </w:tcBorders>
            <w:tcMar>
              <w:top w:w="80" w:type="dxa"/>
              <w:left w:w="80" w:type="dxa"/>
              <w:bottom w:w="80" w:type="dxa"/>
              <w:right w:w="80" w:type="dxa"/>
            </w:tcMar>
            <w:vAlign w:val="center"/>
            <w:hideMark/>
          </w:tcPr>
          <w:p w14:paraId="6AF45700"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594" w:type="pct"/>
            <w:tcBorders>
              <w:bottom w:val="single" w:sz="8" w:space="0" w:color="auto"/>
            </w:tcBorders>
            <w:tcMar>
              <w:top w:w="80" w:type="dxa"/>
              <w:left w:w="80" w:type="dxa"/>
              <w:bottom w:w="80" w:type="dxa"/>
              <w:right w:w="80" w:type="dxa"/>
            </w:tcMar>
            <w:vAlign w:val="center"/>
            <w:hideMark/>
          </w:tcPr>
          <w:p w14:paraId="3ABA961C"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Outcome measures, including quality of life surveys and ADL (Activities of Daily Living) tracking, were consistently applied to both the experimental and control arms at identical time points.</w:t>
            </w:r>
          </w:p>
        </w:tc>
        <w:tc>
          <w:tcPr>
            <w:tcW w:w="828" w:type="pct"/>
            <w:tcBorders>
              <w:bottom w:val="single" w:sz="8" w:space="0" w:color="auto"/>
            </w:tcBorders>
            <w:tcMar>
              <w:top w:w="80" w:type="dxa"/>
              <w:left w:w="80" w:type="dxa"/>
              <w:bottom w:w="80" w:type="dxa"/>
              <w:right w:w="80" w:type="dxa"/>
            </w:tcMar>
            <w:vAlign w:val="center"/>
            <w:hideMark/>
          </w:tcPr>
          <w:p w14:paraId="231D746F"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 The study employed reliable quantitative instruments for self-reported health alongside objective algorithmic data for activity tracking, ensuring high data integrity.</w:t>
            </w:r>
          </w:p>
        </w:tc>
        <w:tc>
          <w:tcPr>
            <w:tcW w:w="231" w:type="pct"/>
            <w:tcBorders>
              <w:bottom w:val="single" w:sz="8" w:space="0" w:color="auto"/>
            </w:tcBorders>
            <w:tcMar>
              <w:top w:w="80" w:type="dxa"/>
              <w:left w:w="80" w:type="dxa"/>
              <w:bottom w:w="80" w:type="dxa"/>
              <w:right w:w="80" w:type="dxa"/>
            </w:tcMar>
            <w:vAlign w:val="center"/>
            <w:hideMark/>
          </w:tcPr>
          <w:p w14:paraId="3C088C02"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0" w:type="pct"/>
            <w:tcBorders>
              <w:bottom w:val="single" w:sz="8" w:space="0" w:color="auto"/>
            </w:tcBorders>
            <w:tcMar>
              <w:top w:w="80" w:type="dxa"/>
              <w:left w:w="80" w:type="dxa"/>
              <w:bottom w:w="80" w:type="dxa"/>
              <w:right w:w="80" w:type="dxa"/>
            </w:tcMar>
            <w:vAlign w:val="center"/>
            <w:hideMark/>
          </w:tcPr>
          <w:p w14:paraId="2EEFFFB8"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231" w:type="pct"/>
            <w:tcBorders>
              <w:bottom w:val="single" w:sz="8" w:space="0" w:color="auto"/>
            </w:tcBorders>
            <w:tcMar>
              <w:top w:w="80" w:type="dxa"/>
              <w:left w:w="80" w:type="dxa"/>
              <w:bottom w:w="80" w:type="dxa"/>
              <w:right w:w="80" w:type="dxa"/>
            </w:tcMar>
            <w:vAlign w:val="center"/>
            <w:hideMark/>
          </w:tcPr>
          <w:p w14:paraId="48320B43" w14:textId="77777777" w:rsidR="00820880" w:rsidRPr="0099294E" w:rsidRDefault="00820880" w:rsidP="0047725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995" w:type="pct"/>
            <w:tcBorders>
              <w:bottom w:val="single" w:sz="8" w:space="0" w:color="auto"/>
              <w:right w:val="nil"/>
            </w:tcBorders>
            <w:tcMar>
              <w:top w:w="80" w:type="dxa"/>
              <w:left w:w="80" w:type="dxa"/>
              <w:bottom w:w="80" w:type="dxa"/>
              <w:right w:w="80" w:type="dxa"/>
            </w:tcMar>
            <w:vAlign w:val="center"/>
            <w:hideMark/>
          </w:tcPr>
          <w:p w14:paraId="42E6E5E0" w14:textId="77777777" w:rsidR="00820880" w:rsidRPr="0099294E" w:rsidRDefault="00820880" w:rsidP="00477252">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methodology is sound and highly appropriate for evaluating SHT/AI interventions. The use of a distinct control group and reliable, mixed-methods outcome tracking thoroughly justifies its inclusion in the systematic review.</w:t>
            </w:r>
          </w:p>
        </w:tc>
      </w:tr>
    </w:tbl>
    <w:p w14:paraId="3A0EC60E" w14:textId="77777777" w:rsidR="00D71C38" w:rsidRDefault="00D71C38" w:rsidP="005520CB">
      <w:pPr>
        <w:jc w:val="left"/>
        <w:rPr>
          <w:rFonts w:ascii="Times New Roman" w:eastAsia="等线" w:hAnsi="Times New Roman" w:cs="Times New Roman"/>
          <w:b/>
          <w:bCs/>
          <w:color w:val="1F1F1F"/>
          <w:kern w:val="0"/>
          <w:sz w:val="24"/>
          <w:szCs w:val="24"/>
          <w14:ligatures w14:val="none"/>
        </w:rPr>
      </w:pPr>
    </w:p>
    <w:p w14:paraId="63D0E2CC" w14:textId="23211A16" w:rsidR="005520CB" w:rsidRPr="005520CB" w:rsidRDefault="005B4CDC" w:rsidP="005520CB">
      <w:pPr>
        <w:jc w:val="left"/>
        <w:rPr>
          <w:rFonts w:ascii="Times New Roman" w:eastAsia="等线" w:hAnsi="Times New Roman" w:cs="Times New Roman"/>
          <w:b/>
          <w:bCs/>
          <w:color w:val="1F1F1F"/>
          <w:kern w:val="0"/>
          <w:sz w:val="24"/>
          <w:szCs w:val="24"/>
          <w14:ligatures w14:val="none"/>
        </w:rPr>
      </w:pPr>
      <w:r>
        <w:rPr>
          <w:rFonts w:ascii="Times New Roman" w:hAnsi="Times New Roman" w:cs="Times New Roman"/>
          <w:b/>
          <w:bCs/>
          <w:sz w:val="24"/>
          <w:szCs w:val="24"/>
        </w:rPr>
        <w:t>C6</w:t>
      </w:r>
      <w:r w:rsidR="005520CB">
        <w:rPr>
          <w:rFonts w:ascii="Times New Roman" w:hAnsi="Times New Roman" w:cs="Times New Roman"/>
          <w:b/>
          <w:bCs/>
          <w:sz w:val="24"/>
          <w:szCs w:val="24"/>
        </w:rPr>
        <w:t>. Theoretical Research (Expert Opinion)</w:t>
      </w:r>
    </w:p>
    <w:p w14:paraId="5F999289" w14:textId="40307E21" w:rsidR="004B4B3B" w:rsidRPr="005520CB" w:rsidRDefault="005520CB" w:rsidP="00CA4F76">
      <w:pPr>
        <w:jc w:val="lef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 xml:space="preserve">Textual evidence, specifically expert opinions and theoretical research, was evaluated using the JBI critical appraisal tool for narrative, opinion, and policy (McArthur et al., 2025). Table </w:t>
      </w:r>
      <w:r w:rsidR="005B4CDC">
        <w:rPr>
          <w:rFonts w:ascii="Times New Roman" w:eastAsia="等线" w:hAnsi="Times New Roman" w:cs="Times New Roman"/>
          <w:color w:val="1F1F1F"/>
          <w:kern w:val="0"/>
          <w:sz w:val="24"/>
          <w:szCs w:val="24"/>
          <w14:ligatures w14:val="none"/>
        </w:rPr>
        <w:t>C6</w:t>
      </w:r>
      <w:r>
        <w:rPr>
          <w:rFonts w:ascii="Times New Roman" w:eastAsia="等线" w:hAnsi="Times New Roman" w:cs="Times New Roman"/>
          <w:color w:val="1F1F1F"/>
          <w:kern w:val="0"/>
          <w:sz w:val="24"/>
          <w:szCs w:val="24"/>
          <w14:ligatures w14:val="none"/>
        </w:rPr>
        <w:t>b contains the corresponding risk of bias assessment results based on this method.</w:t>
      </w:r>
    </w:p>
    <w:p w14:paraId="69B7BA59" w14:textId="4A14E13B" w:rsidR="00CD0B91" w:rsidRPr="005520CB" w:rsidRDefault="00CD0B91" w:rsidP="00CD0B91">
      <w:pPr>
        <w:widowControl/>
        <w:spacing w:line="278" w:lineRule="auto"/>
        <w:jc w:val="center"/>
        <w:rPr>
          <w:rFonts w:ascii="Times New Roman" w:eastAsia="等线" w:hAnsi="Times New Roman" w:cs="Times New Roman"/>
          <w:b/>
          <w:bCs/>
          <w:color w:val="1F1F1F"/>
          <w:kern w:val="0"/>
          <w:sz w:val="24"/>
          <w:szCs w:val="24"/>
          <w14:ligatures w14:val="none"/>
        </w:rPr>
      </w:pPr>
      <w:r>
        <w:rPr>
          <w:rFonts w:ascii="Times New Roman" w:eastAsia="等线" w:hAnsi="Times New Roman" w:cs="Times New Roman" w:hint="eastAsia"/>
          <w:b/>
          <w:bCs/>
          <w:color w:val="1F1F1F"/>
          <w:kern w:val="0"/>
          <w:sz w:val="24"/>
          <w:szCs w:val="24"/>
          <w14:ligatures w14:val="none"/>
        </w:rPr>
        <w:t xml:space="preserve">Table </w:t>
      </w:r>
      <w:r w:rsidR="005B4CDC">
        <w:rPr>
          <w:rFonts w:ascii="Times New Roman" w:eastAsia="等线" w:hAnsi="Times New Roman" w:cs="Times New Roman" w:hint="eastAsia"/>
          <w:b/>
          <w:bCs/>
          <w:color w:val="1F1F1F"/>
          <w:kern w:val="0"/>
          <w:sz w:val="24"/>
          <w:szCs w:val="24"/>
          <w14:ligatures w14:val="none"/>
        </w:rPr>
        <w:t>C6</w:t>
      </w:r>
      <w:r>
        <w:rPr>
          <w:rFonts w:ascii="Times New Roman" w:eastAsia="等线" w:hAnsi="Times New Roman" w:cs="Times New Roman" w:hint="eastAsia"/>
          <w:b/>
          <w:bCs/>
          <w:color w:val="1F1F1F"/>
          <w:kern w:val="0"/>
          <w:sz w:val="24"/>
          <w:szCs w:val="24"/>
          <w14:ligatures w14:val="none"/>
        </w:rPr>
        <w:t>a.</w:t>
      </w:r>
      <w:r>
        <w:rPr>
          <w:rFonts w:ascii="Times New Roman" w:eastAsia="等线" w:hAnsi="Times New Roman" w:cs="Times New Roman" w:hint="eastAsia"/>
          <w:color w:val="1F1F1F"/>
          <w:kern w:val="0"/>
          <w:sz w:val="24"/>
          <w:szCs w:val="24"/>
          <w14:ligatures w14:val="none"/>
        </w:rPr>
        <w:t xml:space="preserve"> JBI Critical Appraisal Checklist for E</w:t>
      </w:r>
      <w:r>
        <w:rPr>
          <w:rFonts w:ascii="Times New Roman" w:eastAsia="等线" w:hAnsi="Times New Roman" w:cs="Times New Roman"/>
          <w:color w:val="1F1F1F"/>
          <w:kern w:val="0"/>
          <w:sz w:val="24"/>
          <w:szCs w:val="24"/>
          <w14:ligatures w14:val="none"/>
        </w:rPr>
        <w:t xml:space="preserve">xpert </w:t>
      </w:r>
      <w:r>
        <w:rPr>
          <w:rFonts w:ascii="Times New Roman" w:eastAsia="等线" w:hAnsi="Times New Roman" w:cs="Times New Roman" w:hint="eastAsia"/>
          <w:color w:val="1F1F1F"/>
          <w:kern w:val="0"/>
          <w:sz w:val="24"/>
          <w:szCs w:val="24"/>
          <w14:ligatures w14:val="none"/>
        </w:rPr>
        <w:t>O</w:t>
      </w:r>
      <w:r>
        <w:rPr>
          <w:rFonts w:ascii="Times New Roman" w:eastAsia="等线" w:hAnsi="Times New Roman" w:cs="Times New Roman"/>
          <w:color w:val="1F1F1F"/>
          <w:kern w:val="0"/>
          <w:sz w:val="24"/>
          <w:szCs w:val="24"/>
          <w14:ligatures w14:val="none"/>
        </w:rPr>
        <w:t>pinion</w:t>
      </w:r>
    </w:p>
    <w:tbl>
      <w:tblPr>
        <w:tblStyle w:val="21"/>
        <w:tblW w:w="0" w:type="auto"/>
        <w:jc w:val="center"/>
        <w:tblLook w:val="04A0" w:firstRow="1" w:lastRow="0" w:firstColumn="1" w:lastColumn="0" w:noHBand="0" w:noVBand="1"/>
      </w:tblPr>
      <w:tblGrid>
        <w:gridCol w:w="1070"/>
        <w:gridCol w:w="9396"/>
      </w:tblGrid>
      <w:tr w:rsidR="00CD0B91" w:rsidRPr="00D92F0F" w14:paraId="5C5FCB52" w14:textId="77777777" w:rsidTr="00666A2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hideMark/>
          </w:tcPr>
          <w:p w14:paraId="4874D56D" w14:textId="77777777" w:rsidR="00CD0B91" w:rsidRPr="00D92F0F" w:rsidRDefault="00CD0B91" w:rsidP="00666A2F">
            <w:pPr>
              <w:jc w:val="lef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Number</w:t>
            </w:r>
          </w:p>
        </w:tc>
        <w:tc>
          <w:tcPr>
            <w:tcW w:w="0" w:type="auto"/>
            <w:tcBorders>
              <w:top w:val="single" w:sz="8" w:space="0" w:color="auto"/>
              <w:bottom w:val="single" w:sz="8" w:space="0" w:color="auto"/>
            </w:tcBorders>
            <w:hideMark/>
          </w:tcPr>
          <w:p w14:paraId="452CA26B" w14:textId="77777777" w:rsidR="00CD0B91" w:rsidRPr="00D92F0F" w:rsidRDefault="00CD0B91" w:rsidP="00666A2F">
            <w:pPr>
              <w:jc w:val="left"/>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Question</w:t>
            </w:r>
          </w:p>
        </w:tc>
      </w:tr>
      <w:tr w:rsidR="00CD0B91" w:rsidRPr="00D92F0F" w14:paraId="049D32B3"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nil"/>
            </w:tcBorders>
            <w:hideMark/>
          </w:tcPr>
          <w:p w14:paraId="6207EA92" w14:textId="77777777" w:rsidR="00CD0B91" w:rsidRPr="00D92F0F" w:rsidRDefault="00CD0B91"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1</w:t>
            </w:r>
          </w:p>
        </w:tc>
        <w:tc>
          <w:tcPr>
            <w:tcW w:w="0" w:type="auto"/>
            <w:tcBorders>
              <w:top w:val="single" w:sz="8" w:space="0" w:color="auto"/>
              <w:bottom w:val="nil"/>
            </w:tcBorders>
            <w:vAlign w:val="center"/>
            <w:hideMark/>
          </w:tcPr>
          <w:p w14:paraId="64BEBE73" w14:textId="77777777" w:rsidR="00CD0B91" w:rsidRPr="00CA4F76" w:rsidRDefault="00CD0B91"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Is the source of the opinion clearly identified?</w:t>
            </w:r>
          </w:p>
        </w:tc>
      </w:tr>
      <w:tr w:rsidR="00CD0B91" w:rsidRPr="00D92F0F" w14:paraId="4DDCB423"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1DAEA63E" w14:textId="77777777" w:rsidR="00CD0B91" w:rsidRPr="00D92F0F" w:rsidRDefault="00CD0B91"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2</w:t>
            </w:r>
          </w:p>
        </w:tc>
        <w:tc>
          <w:tcPr>
            <w:tcW w:w="0" w:type="auto"/>
            <w:tcBorders>
              <w:top w:val="nil"/>
              <w:bottom w:val="nil"/>
            </w:tcBorders>
            <w:vAlign w:val="center"/>
            <w:hideMark/>
          </w:tcPr>
          <w:p w14:paraId="502C4841" w14:textId="77777777" w:rsidR="00CD0B91" w:rsidRPr="00CA4F76" w:rsidRDefault="00CD0B91"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Does the source of opinion have standing in the field of expertise?</w:t>
            </w:r>
          </w:p>
        </w:tc>
      </w:tr>
      <w:tr w:rsidR="00CD0B91" w:rsidRPr="00D92F0F" w14:paraId="1BA84A40"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6F78A58" w14:textId="77777777" w:rsidR="00CD0B91" w:rsidRPr="00D92F0F" w:rsidRDefault="00CD0B91"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lastRenderedPageBreak/>
              <w:t>3</w:t>
            </w:r>
          </w:p>
        </w:tc>
        <w:tc>
          <w:tcPr>
            <w:tcW w:w="0" w:type="auto"/>
            <w:tcBorders>
              <w:top w:val="nil"/>
              <w:bottom w:val="nil"/>
            </w:tcBorders>
            <w:vAlign w:val="center"/>
            <w:hideMark/>
          </w:tcPr>
          <w:p w14:paraId="01830D77" w14:textId="77777777" w:rsidR="00CD0B91" w:rsidRPr="00CA4F76" w:rsidRDefault="00CD0B91"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Are the interests of the relevant population the central focus of the opinion?</w:t>
            </w:r>
          </w:p>
        </w:tc>
      </w:tr>
      <w:tr w:rsidR="00CD0B91" w:rsidRPr="00D92F0F" w14:paraId="71AFDF65"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2353FB0" w14:textId="77777777" w:rsidR="00CD0B91" w:rsidRPr="00D92F0F" w:rsidRDefault="00CD0B91"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4</w:t>
            </w:r>
          </w:p>
        </w:tc>
        <w:tc>
          <w:tcPr>
            <w:tcW w:w="0" w:type="auto"/>
            <w:tcBorders>
              <w:top w:val="nil"/>
              <w:bottom w:val="nil"/>
            </w:tcBorders>
            <w:vAlign w:val="center"/>
            <w:hideMark/>
          </w:tcPr>
          <w:p w14:paraId="6FD8F806" w14:textId="77777777" w:rsidR="00CD0B91" w:rsidRPr="00CA4F76" w:rsidRDefault="00CD0B91"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 xml:space="preserve">Does the opinion demonstrate a logically defended argument to support the conclusions drawn?              </w:t>
            </w:r>
          </w:p>
        </w:tc>
      </w:tr>
      <w:tr w:rsidR="00CD0B91" w:rsidRPr="00D92F0F" w14:paraId="73824C7C" w14:textId="77777777" w:rsidTr="00666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031A2CCB" w14:textId="77777777" w:rsidR="00CD0B91" w:rsidRPr="00D92F0F" w:rsidRDefault="00CD0B91"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5</w:t>
            </w:r>
          </w:p>
        </w:tc>
        <w:tc>
          <w:tcPr>
            <w:tcW w:w="0" w:type="auto"/>
            <w:tcBorders>
              <w:top w:val="nil"/>
              <w:bottom w:val="nil"/>
            </w:tcBorders>
            <w:vAlign w:val="center"/>
            <w:hideMark/>
          </w:tcPr>
          <w:p w14:paraId="1E35080B" w14:textId="77777777" w:rsidR="00CD0B91" w:rsidRPr="00CA4F76" w:rsidRDefault="00CD0B91"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Is there reference to the extant literature?</w:t>
            </w:r>
          </w:p>
        </w:tc>
      </w:tr>
      <w:tr w:rsidR="00CD0B91" w:rsidRPr="00D92F0F" w14:paraId="20DD1535" w14:textId="77777777" w:rsidTr="00666A2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8" w:space="0" w:color="auto"/>
            </w:tcBorders>
            <w:hideMark/>
          </w:tcPr>
          <w:p w14:paraId="68BD349E" w14:textId="77777777" w:rsidR="00CD0B91" w:rsidRPr="00D92F0F" w:rsidRDefault="00CD0B91" w:rsidP="00666A2F">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6</w:t>
            </w:r>
          </w:p>
        </w:tc>
        <w:tc>
          <w:tcPr>
            <w:tcW w:w="0" w:type="auto"/>
            <w:tcBorders>
              <w:top w:val="nil"/>
              <w:bottom w:val="single" w:sz="8" w:space="0" w:color="auto"/>
            </w:tcBorders>
            <w:vAlign w:val="center"/>
            <w:hideMark/>
          </w:tcPr>
          <w:p w14:paraId="3D98901A" w14:textId="77777777" w:rsidR="00CD0B91" w:rsidRPr="00CA4F76" w:rsidRDefault="00CD0B91"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8"/>
                <w14:ligatures w14:val="none"/>
              </w:rPr>
            </w:pPr>
            <w:r>
              <w:rPr>
                <w:rFonts w:ascii="Times New Roman" w:hAnsi="Times New Roman" w:cs="Times New Roman"/>
                <w:sz w:val="24"/>
                <w:szCs w:val="28"/>
              </w:rPr>
              <w:t xml:space="preserve">Is any incongruence with the literature/sources logically defended? </w:t>
            </w:r>
          </w:p>
        </w:tc>
      </w:tr>
    </w:tbl>
    <w:p w14:paraId="29B937CF" w14:textId="77777777" w:rsidR="00CD0B91" w:rsidRDefault="00CD0B91" w:rsidP="004B4B3B">
      <w:pPr>
        <w:jc w:val="center"/>
        <w:rPr>
          <w:rFonts w:ascii="Times New Roman" w:eastAsia="等线" w:hAnsi="Times New Roman" w:cs="Times New Roman"/>
          <w:b/>
          <w:bCs/>
          <w:color w:val="1F1F1F"/>
          <w:kern w:val="0"/>
          <w:sz w:val="24"/>
          <w:szCs w:val="24"/>
          <w14:ligatures w14:val="none"/>
        </w:rPr>
      </w:pPr>
    </w:p>
    <w:p w14:paraId="04A41461" w14:textId="77777777" w:rsidR="00CD0B91" w:rsidRDefault="00CD0B91" w:rsidP="004B4B3B">
      <w:pPr>
        <w:jc w:val="center"/>
        <w:rPr>
          <w:rFonts w:ascii="Times New Roman" w:eastAsia="等线" w:hAnsi="Times New Roman" w:cs="Times New Roman"/>
          <w:b/>
          <w:bCs/>
          <w:color w:val="1F1F1F"/>
          <w:kern w:val="0"/>
          <w:sz w:val="24"/>
          <w:szCs w:val="24"/>
          <w14:ligatures w14:val="none"/>
        </w:rPr>
      </w:pPr>
    </w:p>
    <w:p w14:paraId="13F1F42D" w14:textId="1D72A899" w:rsidR="00085735" w:rsidRPr="004B4B3B" w:rsidRDefault="004B4B3B" w:rsidP="004B4B3B">
      <w:pPr>
        <w:jc w:val="center"/>
        <w:rPr>
          <w:rFonts w:ascii="Times New Roman" w:hAnsi="Times New Roman" w:cs="Times New Roman"/>
          <w:sz w:val="24"/>
          <w:szCs w:val="24"/>
        </w:rPr>
      </w:pPr>
      <w:r>
        <w:rPr>
          <w:rFonts w:ascii="Times New Roman" w:eastAsia="等线" w:hAnsi="Times New Roman" w:cs="Times New Roman" w:hint="eastAsia"/>
          <w:b/>
          <w:bCs/>
          <w:color w:val="1F1F1F"/>
          <w:kern w:val="0"/>
          <w:sz w:val="24"/>
          <w:szCs w:val="24"/>
          <w14:ligatures w14:val="none"/>
        </w:rPr>
        <w:t xml:space="preserve">Table </w:t>
      </w:r>
      <w:r w:rsidR="005B4CDC">
        <w:rPr>
          <w:rFonts w:ascii="Times New Roman" w:eastAsia="等线" w:hAnsi="Times New Roman" w:cs="Times New Roman" w:hint="eastAsia"/>
          <w:b/>
          <w:bCs/>
          <w:color w:val="1F1F1F"/>
          <w:kern w:val="0"/>
          <w:sz w:val="24"/>
          <w:szCs w:val="24"/>
          <w14:ligatures w14:val="none"/>
        </w:rPr>
        <w:t>C6</w:t>
      </w:r>
      <w:r>
        <w:rPr>
          <w:rFonts w:ascii="Times New Roman" w:eastAsia="等线" w:hAnsi="Times New Roman" w:cs="Times New Roman" w:hint="eastAsia"/>
          <w:b/>
          <w:bCs/>
          <w:color w:val="1F1F1F"/>
          <w:kern w:val="0"/>
          <w:sz w:val="24"/>
          <w:szCs w:val="24"/>
          <w14:ligatures w14:val="none"/>
        </w:rPr>
        <w:t>b.</w:t>
      </w:r>
      <w:r>
        <w:rPr>
          <w:rFonts w:ascii="Times New Roman" w:eastAsia="等线" w:hAnsi="Times New Roman" w:cs="Times New Roman" w:hint="eastAsia"/>
          <w:color w:val="1F1F1F"/>
          <w:kern w:val="0"/>
          <w:sz w:val="24"/>
          <w:szCs w:val="24"/>
          <w14:ligatures w14:val="none"/>
        </w:rPr>
        <w:t xml:space="preserve"> </w:t>
      </w:r>
      <w:r>
        <w:rPr>
          <w:rFonts w:ascii="Times New Roman" w:hAnsi="Times New Roman" w:cs="Times New Roman" w:hint="eastAsia"/>
          <w:sz w:val="24"/>
          <w:szCs w:val="24"/>
        </w:rPr>
        <w:t>JBI Guidelines on the Assessment of Risk of Bias in Textual Evidence for Expert Opinion (For Theoretical Research)</w:t>
      </w:r>
    </w:p>
    <w:tbl>
      <w:tblPr>
        <w:tblStyle w:val="af3"/>
        <w:tblW w:w="0" w:type="auto"/>
        <w:tblLook w:val="04A0" w:firstRow="1" w:lastRow="0" w:firstColumn="1" w:lastColumn="0" w:noHBand="0" w:noVBand="1"/>
      </w:tblPr>
      <w:tblGrid>
        <w:gridCol w:w="1364"/>
        <w:gridCol w:w="460"/>
        <w:gridCol w:w="440"/>
        <w:gridCol w:w="440"/>
        <w:gridCol w:w="440"/>
        <w:gridCol w:w="730"/>
        <w:gridCol w:w="730"/>
        <w:gridCol w:w="900"/>
        <w:gridCol w:w="750"/>
        <w:gridCol w:w="9144"/>
      </w:tblGrid>
      <w:tr w:rsidR="00085735" w:rsidRPr="00085735" w14:paraId="51CF99E7" w14:textId="77777777" w:rsidTr="009A1852">
        <w:trPr>
          <w:trHeight w:val="344"/>
          <w:tblHeader/>
        </w:trPr>
        <w:tc>
          <w:tcPr>
            <w:tcW w:w="0" w:type="auto"/>
            <w:tcBorders>
              <w:top w:val="single" w:sz="8" w:space="0" w:color="auto"/>
              <w:left w:val="nil"/>
              <w:bottom w:val="single" w:sz="8" w:space="0" w:color="auto"/>
              <w:right w:val="nil"/>
            </w:tcBorders>
            <w:noWrap/>
            <w:tcMar>
              <w:top w:w="80" w:type="dxa"/>
              <w:left w:w="80" w:type="dxa"/>
              <w:bottom w:w="80" w:type="dxa"/>
              <w:right w:w="80" w:type="dxa"/>
            </w:tcMar>
            <w:vAlign w:val="center"/>
            <w:hideMark/>
          </w:tcPr>
          <w:p w14:paraId="44312077" w14:textId="77777777" w:rsidR="00085735" w:rsidRPr="00085735" w:rsidRDefault="00085735" w:rsidP="00085735">
            <w:pPr>
              <w:widowControl/>
              <w:jc w:val="center"/>
              <w:rPr>
                <w:rFonts w:ascii="宋体" w:eastAsia="宋体" w:hAnsi="宋体" w:cs="宋体" w:hint="eastAsia"/>
                <w:kern w:val="0"/>
                <w:sz w:val="18"/>
                <w:szCs w:val="18"/>
                <w14:ligatures w14:val="none"/>
              </w:rPr>
            </w:pP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2BB73EF6" w14:textId="77777777" w:rsidR="00085735" w:rsidRPr="00085735" w:rsidRDefault="00085735" w:rsidP="00085735">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Rev</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2FF73304" w14:textId="77777777" w:rsidR="00085735" w:rsidRPr="00085735" w:rsidRDefault="00085735" w:rsidP="00085735">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396CFD84" w14:textId="77777777" w:rsidR="00085735" w:rsidRPr="00085735" w:rsidRDefault="00085735" w:rsidP="00085735">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2</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25467B5C" w14:textId="77777777" w:rsidR="00085735" w:rsidRPr="00085735" w:rsidRDefault="00085735" w:rsidP="00085735">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3</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1BF73A10" w14:textId="77777777" w:rsidR="00085735" w:rsidRPr="00085735" w:rsidRDefault="00085735" w:rsidP="00085735">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4</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767B2FC8" w14:textId="77777777" w:rsidR="00085735" w:rsidRPr="00085735" w:rsidRDefault="00085735" w:rsidP="00085735">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5</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6EE4FFCB" w14:textId="77777777" w:rsidR="00085735" w:rsidRPr="00085735" w:rsidRDefault="00085735" w:rsidP="00085735">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6</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6235FD90" w14:textId="77777777" w:rsidR="00085735" w:rsidRPr="00085735" w:rsidRDefault="00085735" w:rsidP="00085735">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
                <w:bCs/>
                <w:color w:val="1F1F1F"/>
                <w:kern w:val="0"/>
                <w:sz w:val="18"/>
                <w:szCs w:val="18"/>
                <w14:ligatures w14:val="none"/>
              </w:rPr>
              <w:t>OA</w:t>
            </w:r>
          </w:p>
        </w:tc>
        <w:tc>
          <w:tcPr>
            <w:tcW w:w="0" w:type="auto"/>
            <w:tcBorders>
              <w:top w:val="single" w:sz="8" w:space="0" w:color="auto"/>
              <w:left w:val="nil"/>
              <w:bottom w:val="single" w:sz="8" w:space="0" w:color="auto"/>
              <w:right w:val="nil"/>
            </w:tcBorders>
            <w:tcMar>
              <w:top w:w="80" w:type="dxa"/>
              <w:left w:w="80" w:type="dxa"/>
              <w:bottom w:w="80" w:type="dxa"/>
              <w:right w:w="80" w:type="dxa"/>
            </w:tcMar>
            <w:vAlign w:val="center"/>
            <w:hideMark/>
          </w:tcPr>
          <w:p w14:paraId="4C4D7007" w14:textId="77777777" w:rsidR="00085735" w:rsidRPr="00085735" w:rsidRDefault="00085735" w:rsidP="00085735">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Comments</w:t>
            </w:r>
          </w:p>
        </w:tc>
      </w:tr>
      <w:tr w:rsidR="00820880" w:rsidRPr="00085735" w14:paraId="6A10636D" w14:textId="77777777" w:rsidTr="009A1852">
        <w:trPr>
          <w:trHeight w:val="703"/>
        </w:trPr>
        <w:tc>
          <w:tcPr>
            <w:tcW w:w="0" w:type="auto"/>
            <w:vMerge w:val="restart"/>
            <w:tcBorders>
              <w:top w:val="single" w:sz="8" w:space="0" w:color="auto"/>
              <w:left w:val="nil"/>
            </w:tcBorders>
            <w:tcMar>
              <w:top w:w="80" w:type="dxa"/>
              <w:left w:w="80" w:type="dxa"/>
              <w:bottom w:w="80" w:type="dxa"/>
              <w:right w:w="80" w:type="dxa"/>
            </w:tcMar>
            <w:vAlign w:val="center"/>
            <w:hideMark/>
          </w:tcPr>
          <w:p w14:paraId="24501932" w14:textId="77777777" w:rsidR="00820880" w:rsidRPr="00085735" w:rsidRDefault="00820880" w:rsidP="00085735">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(Anghel et al., 2025)</w:t>
            </w:r>
          </w:p>
        </w:tc>
        <w:tc>
          <w:tcPr>
            <w:tcW w:w="0" w:type="auto"/>
            <w:tcBorders>
              <w:top w:val="single" w:sz="8" w:space="0" w:color="auto"/>
            </w:tcBorders>
            <w:tcMar>
              <w:top w:w="80" w:type="dxa"/>
              <w:left w:w="80" w:type="dxa"/>
              <w:bottom w:w="80" w:type="dxa"/>
              <w:right w:w="80" w:type="dxa"/>
            </w:tcMar>
            <w:vAlign w:val="center"/>
            <w:hideMark/>
          </w:tcPr>
          <w:p w14:paraId="2FE36AAE" w14:textId="77777777" w:rsidR="00820880" w:rsidRPr="00085735" w:rsidRDefault="00820880" w:rsidP="00085735">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0" w:type="auto"/>
            <w:tcBorders>
              <w:top w:val="single" w:sz="8" w:space="0" w:color="auto"/>
            </w:tcBorders>
            <w:tcMar>
              <w:top w:w="80" w:type="dxa"/>
              <w:left w:w="80" w:type="dxa"/>
              <w:bottom w:w="80" w:type="dxa"/>
              <w:right w:w="80" w:type="dxa"/>
            </w:tcMar>
            <w:vAlign w:val="center"/>
            <w:hideMark/>
          </w:tcPr>
          <w:p w14:paraId="4280750B"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55170D0C"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705C6E55"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25019F14"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4A4080D5"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279B388F"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top w:val="single" w:sz="8" w:space="0" w:color="auto"/>
            </w:tcBorders>
            <w:tcMar>
              <w:top w:w="80" w:type="dxa"/>
              <w:left w:w="80" w:type="dxa"/>
              <w:bottom w:w="80" w:type="dxa"/>
              <w:right w:w="80" w:type="dxa"/>
            </w:tcMar>
            <w:vAlign w:val="center"/>
            <w:hideMark/>
          </w:tcPr>
          <w:p w14:paraId="08D57CE0"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top w:val="single" w:sz="8" w:space="0" w:color="auto"/>
              <w:right w:val="nil"/>
            </w:tcBorders>
            <w:tcMar>
              <w:top w:w="80" w:type="dxa"/>
              <w:left w:w="80" w:type="dxa"/>
              <w:bottom w:w="80" w:type="dxa"/>
              <w:right w:w="80" w:type="dxa"/>
            </w:tcMar>
            <w:vAlign w:val="center"/>
            <w:hideMark/>
          </w:tcPr>
          <w:p w14:paraId="01245653" w14:textId="77777777" w:rsidR="00820880" w:rsidRPr="00085735" w:rsidRDefault="00820880" w:rsidP="00085735">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source is clearly identified with author affiliations from technical and health institutes. The focus is squarely on older adults facing care transitions. The authors logically defend their proposed AI-enhanced pathway using robust literature.</w:t>
            </w:r>
          </w:p>
        </w:tc>
      </w:tr>
      <w:tr w:rsidR="00820880" w:rsidRPr="00085735" w14:paraId="7878E9E0" w14:textId="77777777" w:rsidTr="009A1852">
        <w:trPr>
          <w:trHeight w:val="691"/>
        </w:trPr>
        <w:tc>
          <w:tcPr>
            <w:tcW w:w="0" w:type="auto"/>
            <w:vMerge/>
            <w:tcBorders>
              <w:left w:val="nil"/>
              <w:bottom w:val="single" w:sz="4" w:space="0" w:color="BFBFBF" w:themeColor="background1" w:themeShade="BF"/>
            </w:tcBorders>
            <w:noWrap/>
            <w:hideMark/>
          </w:tcPr>
          <w:p w14:paraId="11C32C10" w14:textId="77777777" w:rsidR="00820880" w:rsidRPr="00085735" w:rsidRDefault="00820880" w:rsidP="00085735">
            <w:pPr>
              <w:widowControl/>
              <w:rPr>
                <w:rFonts w:ascii="Times New Roman" w:eastAsia="等线" w:hAnsi="Times New Roman" w:cs="Times New Roman"/>
                <w:color w:val="000000"/>
                <w:kern w:val="0"/>
                <w:sz w:val="18"/>
                <w:szCs w:val="18"/>
                <w14:ligatures w14:val="none"/>
              </w:rPr>
            </w:pP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077E0A21" w14:textId="77777777" w:rsidR="00820880" w:rsidRPr="00085735" w:rsidRDefault="00820880" w:rsidP="00085735">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09573CD4"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72C54444"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14D8C7D6"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5B771C35"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0381F154"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2B13CF5A"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Not applicable</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32066D23"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bottom w:val="single" w:sz="4" w:space="0" w:color="BFBFBF" w:themeColor="background1" w:themeShade="BF"/>
              <w:right w:val="nil"/>
            </w:tcBorders>
            <w:tcMar>
              <w:top w:w="80" w:type="dxa"/>
              <w:left w:w="80" w:type="dxa"/>
              <w:bottom w:w="80" w:type="dxa"/>
              <w:right w:w="80" w:type="dxa"/>
            </w:tcMar>
            <w:vAlign w:val="center"/>
            <w:hideMark/>
          </w:tcPr>
          <w:p w14:paraId="3B95AF75" w14:textId="77777777" w:rsidR="00820880" w:rsidRPr="00085735" w:rsidRDefault="00820880" w:rsidP="00085735">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paper provides a clear, logically defended argument for using AI and digital assistants to reduce hospital readmissions. It heavily references extant literature. Q6 is marked “Not applicable” because the paper builds upon existing literature gaps rather than incongruences.</w:t>
            </w:r>
          </w:p>
        </w:tc>
      </w:tr>
      <w:tr w:rsidR="007F435E" w14:paraId="1E764401" w14:textId="77777777" w:rsidTr="007F435E">
        <w:tc>
          <w:tcPr>
            <w:tcW w:w="1364" w:type="dxa"/>
            <w:vMerge w:val="restart"/>
            <w:tcMar>
              <w:top w:w="80" w:type="dxa"/>
              <w:left w:w="80" w:type="dxa"/>
              <w:bottom w:w="80" w:type="dxa"/>
              <w:right w:w="80" w:type="dxa"/>
            </w:tcMar>
            <w:vAlign w:val="center"/>
          </w:tcPr>
          <w:p w14:paraId="51B1366D" w14:textId="77777777" w:rsidR="007F435E" w:rsidRDefault="007F435E">
            <w:pPr>
              <w:jc w:val="center"/>
              <w:rPr>
                <w:rFonts w:hint="eastAsia"/>
              </w:rPr>
            </w:pPr>
            <w:r>
              <w:rPr>
                <w:rFonts w:ascii="Times New Roman" w:hAnsi="Times New Roman" w:cs="Times New Roman"/>
                <w:sz w:val="18"/>
              </w:rPr>
              <w:t>(Beristain Iraola et al., 2021)</w:t>
            </w:r>
          </w:p>
        </w:tc>
        <w:tc>
          <w:tcPr>
            <w:tcW w:w="460" w:type="dxa"/>
            <w:tcMar>
              <w:top w:w="80" w:type="dxa"/>
              <w:left w:w="80" w:type="dxa"/>
              <w:bottom w:w="80" w:type="dxa"/>
              <w:right w:w="80" w:type="dxa"/>
            </w:tcMar>
            <w:vAlign w:val="center"/>
          </w:tcPr>
          <w:p w14:paraId="1681DDC6" w14:textId="77777777" w:rsidR="007F435E" w:rsidRDefault="007F435E">
            <w:pPr>
              <w:jc w:val="center"/>
              <w:rPr>
                <w:rFonts w:hint="eastAsia"/>
              </w:rPr>
            </w:pPr>
            <w:r>
              <w:rPr>
                <w:rFonts w:ascii="Times New Roman" w:hAnsi="Times New Roman" w:cs="Times New Roman"/>
                <w:sz w:val="18"/>
              </w:rPr>
              <w:t>R1</w:t>
            </w:r>
          </w:p>
        </w:tc>
        <w:tc>
          <w:tcPr>
            <w:tcW w:w="440" w:type="dxa"/>
            <w:tcMar>
              <w:top w:w="80" w:type="dxa"/>
              <w:left w:w="80" w:type="dxa"/>
              <w:bottom w:w="80" w:type="dxa"/>
              <w:right w:w="80" w:type="dxa"/>
            </w:tcMar>
            <w:vAlign w:val="center"/>
          </w:tcPr>
          <w:p w14:paraId="0F25B72B"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34F0B5FA"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11820AFE"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44EC7D94" w14:textId="77777777" w:rsidR="007F435E" w:rsidRDefault="007F435E">
            <w:pPr>
              <w:jc w:val="center"/>
              <w:rPr>
                <w:rFonts w:hint="eastAsia"/>
              </w:rPr>
            </w:pPr>
            <w:r>
              <w:rPr>
                <w:rFonts w:ascii="Times New Roman" w:hAnsi="Times New Roman" w:cs="Times New Roman"/>
                <w:sz w:val="18"/>
              </w:rPr>
              <w:t>Unclear</w:t>
            </w:r>
          </w:p>
        </w:tc>
        <w:tc>
          <w:tcPr>
            <w:tcW w:w="730" w:type="dxa"/>
            <w:tcMar>
              <w:top w:w="80" w:type="dxa"/>
              <w:left w:w="80" w:type="dxa"/>
              <w:bottom w:w="80" w:type="dxa"/>
              <w:right w:w="80" w:type="dxa"/>
            </w:tcMar>
            <w:vAlign w:val="center"/>
          </w:tcPr>
          <w:p w14:paraId="3F9A5F4C" w14:textId="77777777" w:rsidR="007F435E" w:rsidRDefault="007F435E">
            <w:pPr>
              <w:jc w:val="center"/>
              <w:rPr>
                <w:rFonts w:hint="eastAsia"/>
              </w:rPr>
            </w:pPr>
            <w:r>
              <w:rPr>
                <w:rFonts w:ascii="Times New Roman" w:hAnsi="Times New Roman" w:cs="Times New Roman"/>
                <w:sz w:val="18"/>
              </w:rPr>
              <w:t>Yes</w:t>
            </w:r>
          </w:p>
        </w:tc>
        <w:tc>
          <w:tcPr>
            <w:tcW w:w="900" w:type="dxa"/>
            <w:tcMar>
              <w:top w:w="80" w:type="dxa"/>
              <w:left w:w="80" w:type="dxa"/>
              <w:bottom w:w="80" w:type="dxa"/>
              <w:right w:w="80" w:type="dxa"/>
            </w:tcMar>
            <w:vAlign w:val="center"/>
          </w:tcPr>
          <w:p w14:paraId="2046B9DB"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5454D8D4"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560F27CA" w14:textId="77777777" w:rsidR="007F435E" w:rsidRDefault="007F435E">
            <w:pPr>
              <w:jc w:val="left"/>
              <w:rPr>
                <w:rFonts w:hint="eastAsia"/>
              </w:rPr>
            </w:pPr>
            <w:r>
              <w:rPr>
                <w:rFonts w:ascii="Times New Roman" w:hAnsi="Times New Roman" w:cs="Times New Roman"/>
                <w:sz w:val="18"/>
              </w:rPr>
              <w:t>The paper is relevant and the source expertise is clear, but the exclusion rests on weak appraisal items. Q4 is Unclear because the argument mainly describes the CAPTAIN virtual coach, SMART goals, and I-Change logic rather than demonstrating that the home intervention improves outcomes. Q6 is No because conflicting or negative evidence about virtual coaching is not critically resolved.</w:t>
            </w:r>
          </w:p>
        </w:tc>
      </w:tr>
      <w:tr w:rsidR="007F435E" w14:paraId="7F3E1B41" w14:textId="77777777" w:rsidTr="007F435E">
        <w:tc>
          <w:tcPr>
            <w:tcW w:w="1364" w:type="dxa"/>
            <w:vMerge/>
            <w:tcMar>
              <w:top w:w="80" w:type="dxa"/>
              <w:left w:w="80" w:type="dxa"/>
              <w:bottom w:w="80" w:type="dxa"/>
              <w:right w:w="80" w:type="dxa"/>
            </w:tcMar>
            <w:vAlign w:val="center"/>
          </w:tcPr>
          <w:p w14:paraId="3A1BA91D" w14:textId="77777777" w:rsidR="007F435E" w:rsidRDefault="007F435E">
            <w:pPr>
              <w:jc w:val="center"/>
              <w:rPr>
                <w:rFonts w:hint="eastAsia"/>
              </w:rPr>
            </w:pPr>
          </w:p>
        </w:tc>
        <w:tc>
          <w:tcPr>
            <w:tcW w:w="460" w:type="dxa"/>
            <w:tcMar>
              <w:top w:w="80" w:type="dxa"/>
              <w:left w:w="80" w:type="dxa"/>
              <w:bottom w:w="80" w:type="dxa"/>
              <w:right w:w="80" w:type="dxa"/>
            </w:tcMar>
            <w:vAlign w:val="center"/>
          </w:tcPr>
          <w:p w14:paraId="523393B4" w14:textId="77777777" w:rsidR="007F435E" w:rsidRDefault="007F435E">
            <w:pPr>
              <w:jc w:val="center"/>
              <w:rPr>
                <w:rFonts w:hint="eastAsia"/>
              </w:rPr>
            </w:pPr>
            <w:r>
              <w:rPr>
                <w:rFonts w:ascii="Times New Roman" w:hAnsi="Times New Roman" w:cs="Times New Roman"/>
                <w:sz w:val="18"/>
              </w:rPr>
              <w:t>R2</w:t>
            </w:r>
          </w:p>
        </w:tc>
        <w:tc>
          <w:tcPr>
            <w:tcW w:w="440" w:type="dxa"/>
            <w:tcMar>
              <w:top w:w="80" w:type="dxa"/>
              <w:left w:w="80" w:type="dxa"/>
              <w:bottom w:w="80" w:type="dxa"/>
              <w:right w:w="80" w:type="dxa"/>
            </w:tcMar>
            <w:vAlign w:val="center"/>
          </w:tcPr>
          <w:p w14:paraId="1FB635E3"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2C3E029C"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61F6D68A"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55914AFE"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41F6CA77" w14:textId="77777777" w:rsidR="007F435E" w:rsidRDefault="007F435E">
            <w:pPr>
              <w:jc w:val="center"/>
              <w:rPr>
                <w:rFonts w:hint="eastAsia"/>
              </w:rPr>
            </w:pPr>
            <w:r>
              <w:rPr>
                <w:rFonts w:ascii="Times New Roman" w:hAnsi="Times New Roman" w:cs="Times New Roman"/>
                <w:sz w:val="18"/>
              </w:rPr>
              <w:t>Unclear</w:t>
            </w:r>
          </w:p>
        </w:tc>
        <w:tc>
          <w:tcPr>
            <w:tcW w:w="900" w:type="dxa"/>
            <w:tcMar>
              <w:top w:w="80" w:type="dxa"/>
              <w:left w:w="80" w:type="dxa"/>
              <w:bottom w:w="80" w:type="dxa"/>
              <w:right w:w="80" w:type="dxa"/>
            </w:tcMar>
            <w:vAlign w:val="center"/>
          </w:tcPr>
          <w:p w14:paraId="33C2090E"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35E21F0D"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3ECDFBB5" w14:textId="77777777" w:rsidR="007F435E" w:rsidRDefault="007F435E">
            <w:pPr>
              <w:jc w:val="left"/>
              <w:rPr>
                <w:rFonts w:hint="eastAsia"/>
              </w:rPr>
            </w:pPr>
            <w:r>
              <w:rPr>
                <w:rFonts w:ascii="Times New Roman" w:hAnsi="Times New Roman" w:cs="Times New Roman"/>
                <w:sz w:val="18"/>
              </w:rPr>
              <w:t>The study provides a detailed user-centered virtual coaching framework for older adults at home, but it remains primarily a design and intervention-delivery paper. Q5 is Unclear because the cited behavior-change literature is not consistently tied to measured effectiveness of the implemented goal catalog, and Q6 is No because inconsistency with prior evidence is not explicitly discussed.</w:t>
            </w:r>
          </w:p>
        </w:tc>
      </w:tr>
      <w:tr w:rsidR="007F435E" w14:paraId="43DAB89B" w14:textId="77777777" w:rsidTr="007F435E">
        <w:tc>
          <w:tcPr>
            <w:tcW w:w="1364" w:type="dxa"/>
            <w:vMerge w:val="restart"/>
            <w:tcMar>
              <w:top w:w="80" w:type="dxa"/>
              <w:left w:w="80" w:type="dxa"/>
              <w:bottom w:w="80" w:type="dxa"/>
              <w:right w:w="80" w:type="dxa"/>
            </w:tcMar>
            <w:vAlign w:val="center"/>
          </w:tcPr>
          <w:p w14:paraId="0CA877EA" w14:textId="77777777" w:rsidR="007F435E" w:rsidRDefault="007F435E">
            <w:pPr>
              <w:jc w:val="center"/>
              <w:rPr>
                <w:rFonts w:hint="eastAsia"/>
              </w:rPr>
            </w:pPr>
            <w:r>
              <w:rPr>
                <w:rFonts w:ascii="Times New Roman" w:hAnsi="Times New Roman" w:cs="Times New Roman"/>
                <w:sz w:val="18"/>
              </w:rPr>
              <w:t>(Cantone et al., 2023)</w:t>
            </w:r>
          </w:p>
        </w:tc>
        <w:tc>
          <w:tcPr>
            <w:tcW w:w="460" w:type="dxa"/>
            <w:tcMar>
              <w:top w:w="80" w:type="dxa"/>
              <w:left w:w="80" w:type="dxa"/>
              <w:bottom w:w="80" w:type="dxa"/>
              <w:right w:w="80" w:type="dxa"/>
            </w:tcMar>
            <w:vAlign w:val="center"/>
          </w:tcPr>
          <w:p w14:paraId="360D03AE" w14:textId="77777777" w:rsidR="007F435E" w:rsidRDefault="007F435E">
            <w:pPr>
              <w:jc w:val="center"/>
              <w:rPr>
                <w:rFonts w:hint="eastAsia"/>
              </w:rPr>
            </w:pPr>
            <w:r>
              <w:rPr>
                <w:rFonts w:ascii="Times New Roman" w:hAnsi="Times New Roman" w:cs="Times New Roman"/>
                <w:sz w:val="18"/>
              </w:rPr>
              <w:t>R1</w:t>
            </w:r>
          </w:p>
        </w:tc>
        <w:tc>
          <w:tcPr>
            <w:tcW w:w="440" w:type="dxa"/>
            <w:tcMar>
              <w:top w:w="80" w:type="dxa"/>
              <w:left w:w="80" w:type="dxa"/>
              <w:bottom w:w="80" w:type="dxa"/>
              <w:right w:w="80" w:type="dxa"/>
            </w:tcMar>
            <w:vAlign w:val="center"/>
          </w:tcPr>
          <w:p w14:paraId="2C53027A"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0792DB1D"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27ECA461"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3C6AE399" w14:textId="77777777" w:rsidR="007F435E" w:rsidRDefault="007F435E">
            <w:pPr>
              <w:jc w:val="center"/>
              <w:rPr>
                <w:rFonts w:hint="eastAsia"/>
              </w:rPr>
            </w:pPr>
            <w:r>
              <w:rPr>
                <w:rFonts w:ascii="Times New Roman" w:hAnsi="Times New Roman" w:cs="Times New Roman"/>
                <w:sz w:val="18"/>
              </w:rPr>
              <w:t>Unclear</w:t>
            </w:r>
          </w:p>
        </w:tc>
        <w:tc>
          <w:tcPr>
            <w:tcW w:w="730" w:type="dxa"/>
            <w:tcMar>
              <w:top w:w="80" w:type="dxa"/>
              <w:left w:w="80" w:type="dxa"/>
              <w:bottom w:w="80" w:type="dxa"/>
              <w:right w:w="80" w:type="dxa"/>
            </w:tcMar>
            <w:vAlign w:val="center"/>
          </w:tcPr>
          <w:p w14:paraId="6BAA2D8F" w14:textId="77777777" w:rsidR="007F435E" w:rsidRDefault="007F435E">
            <w:pPr>
              <w:jc w:val="center"/>
              <w:rPr>
                <w:rFonts w:hint="eastAsia"/>
              </w:rPr>
            </w:pPr>
            <w:r>
              <w:rPr>
                <w:rFonts w:ascii="Times New Roman" w:hAnsi="Times New Roman" w:cs="Times New Roman"/>
                <w:sz w:val="18"/>
              </w:rPr>
              <w:t>Yes</w:t>
            </w:r>
          </w:p>
        </w:tc>
        <w:tc>
          <w:tcPr>
            <w:tcW w:w="900" w:type="dxa"/>
            <w:tcMar>
              <w:top w:w="80" w:type="dxa"/>
              <w:left w:w="80" w:type="dxa"/>
              <w:bottom w:w="80" w:type="dxa"/>
              <w:right w:w="80" w:type="dxa"/>
            </w:tcMar>
            <w:vAlign w:val="center"/>
          </w:tcPr>
          <w:p w14:paraId="7AA2C400"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51463A58"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0E393609" w14:textId="77777777" w:rsidR="007F435E" w:rsidRDefault="007F435E">
            <w:pPr>
              <w:jc w:val="left"/>
              <w:rPr>
                <w:rFonts w:hint="eastAsia"/>
              </w:rPr>
            </w:pPr>
            <w:r>
              <w:rPr>
                <w:rFonts w:ascii="Times New Roman" w:hAnsi="Times New Roman" w:cs="Times New Roman"/>
                <w:sz w:val="18"/>
              </w:rPr>
              <w:t>This article clearly identifies an IoRT architecture that combines robots, sensors, AI, caregivers, and clinicians for home monitoring. However, Q4 is Unclear because the claimed health-monitoring benefit is argued from system architecture rather than empirical deployment with older adults. Q6 is No because the paper does not address contradictory evidence or implementation risks in the literature.</w:t>
            </w:r>
          </w:p>
        </w:tc>
      </w:tr>
      <w:tr w:rsidR="007F435E" w14:paraId="4D01C1CD" w14:textId="77777777" w:rsidTr="007F435E">
        <w:tc>
          <w:tcPr>
            <w:tcW w:w="1364" w:type="dxa"/>
            <w:vMerge/>
            <w:tcMar>
              <w:top w:w="80" w:type="dxa"/>
              <w:left w:w="80" w:type="dxa"/>
              <w:bottom w:w="80" w:type="dxa"/>
              <w:right w:w="80" w:type="dxa"/>
            </w:tcMar>
            <w:vAlign w:val="center"/>
          </w:tcPr>
          <w:p w14:paraId="38E8FB22" w14:textId="77777777" w:rsidR="007F435E" w:rsidRDefault="007F435E">
            <w:pPr>
              <w:jc w:val="center"/>
              <w:rPr>
                <w:rFonts w:hint="eastAsia"/>
              </w:rPr>
            </w:pPr>
          </w:p>
        </w:tc>
        <w:tc>
          <w:tcPr>
            <w:tcW w:w="460" w:type="dxa"/>
            <w:tcMar>
              <w:top w:w="80" w:type="dxa"/>
              <w:left w:w="80" w:type="dxa"/>
              <w:bottom w:w="80" w:type="dxa"/>
              <w:right w:w="80" w:type="dxa"/>
            </w:tcMar>
            <w:vAlign w:val="center"/>
          </w:tcPr>
          <w:p w14:paraId="5CF7259C" w14:textId="77777777" w:rsidR="007F435E" w:rsidRDefault="007F435E">
            <w:pPr>
              <w:jc w:val="center"/>
              <w:rPr>
                <w:rFonts w:hint="eastAsia"/>
              </w:rPr>
            </w:pPr>
            <w:r>
              <w:rPr>
                <w:rFonts w:ascii="Times New Roman" w:hAnsi="Times New Roman" w:cs="Times New Roman"/>
                <w:sz w:val="18"/>
              </w:rPr>
              <w:t>R2</w:t>
            </w:r>
          </w:p>
        </w:tc>
        <w:tc>
          <w:tcPr>
            <w:tcW w:w="440" w:type="dxa"/>
            <w:tcMar>
              <w:top w:w="80" w:type="dxa"/>
              <w:left w:w="80" w:type="dxa"/>
              <w:bottom w:w="80" w:type="dxa"/>
              <w:right w:w="80" w:type="dxa"/>
            </w:tcMar>
            <w:vAlign w:val="center"/>
          </w:tcPr>
          <w:p w14:paraId="106ABED8"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6A2830E5"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22E8A586"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5222C179"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1A6516DA" w14:textId="77777777" w:rsidR="007F435E" w:rsidRDefault="007F435E">
            <w:pPr>
              <w:jc w:val="center"/>
              <w:rPr>
                <w:rFonts w:hint="eastAsia"/>
              </w:rPr>
            </w:pPr>
            <w:r>
              <w:rPr>
                <w:rFonts w:ascii="Times New Roman" w:hAnsi="Times New Roman" w:cs="Times New Roman"/>
                <w:sz w:val="18"/>
              </w:rPr>
              <w:t>Unclear</w:t>
            </w:r>
          </w:p>
        </w:tc>
        <w:tc>
          <w:tcPr>
            <w:tcW w:w="900" w:type="dxa"/>
            <w:tcMar>
              <w:top w:w="80" w:type="dxa"/>
              <w:left w:w="80" w:type="dxa"/>
              <w:bottom w:w="80" w:type="dxa"/>
              <w:right w:w="80" w:type="dxa"/>
            </w:tcMar>
            <w:vAlign w:val="center"/>
          </w:tcPr>
          <w:p w14:paraId="332A5F25"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7B90DFE3"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7FE9F24F" w14:textId="77777777" w:rsidR="007F435E" w:rsidRDefault="007F435E">
            <w:pPr>
              <w:jc w:val="left"/>
              <w:rPr>
                <w:rFonts w:hint="eastAsia"/>
              </w:rPr>
            </w:pPr>
            <w:r>
              <w:rPr>
                <w:rFonts w:ascii="Times New Roman" w:hAnsi="Times New Roman" w:cs="Times New Roman"/>
                <w:sz w:val="18"/>
              </w:rPr>
              <w:t>Although the paper is directly relevant to autonomous elderly home monitoring, it is mainly a conceptual architecture for a four-actor robotic and sensor system. Q5 is Unclear because prior studies are used to justify the architecture more than to test its assumptions, and Q6 is No because inconsistencies in robotic-care evidence are not critically examined.</w:t>
            </w:r>
          </w:p>
        </w:tc>
      </w:tr>
      <w:tr w:rsidR="007F435E" w14:paraId="557EE2D4" w14:textId="77777777" w:rsidTr="007F435E">
        <w:tc>
          <w:tcPr>
            <w:tcW w:w="1364" w:type="dxa"/>
            <w:vMerge w:val="restart"/>
            <w:tcMar>
              <w:top w:w="80" w:type="dxa"/>
              <w:left w:w="80" w:type="dxa"/>
              <w:bottom w:w="80" w:type="dxa"/>
              <w:right w:w="80" w:type="dxa"/>
            </w:tcMar>
            <w:vAlign w:val="center"/>
          </w:tcPr>
          <w:p w14:paraId="5774AE1D" w14:textId="77777777" w:rsidR="007F435E" w:rsidRDefault="007F435E">
            <w:pPr>
              <w:jc w:val="center"/>
              <w:rPr>
                <w:rFonts w:hint="eastAsia"/>
              </w:rPr>
            </w:pPr>
            <w:r>
              <w:rPr>
                <w:rFonts w:ascii="Times New Roman" w:hAnsi="Times New Roman" w:cs="Times New Roman"/>
                <w:sz w:val="18"/>
              </w:rPr>
              <w:lastRenderedPageBreak/>
              <w:t>(Garcia Vazquez et al., n.d.)</w:t>
            </w:r>
          </w:p>
        </w:tc>
        <w:tc>
          <w:tcPr>
            <w:tcW w:w="460" w:type="dxa"/>
            <w:tcMar>
              <w:top w:w="80" w:type="dxa"/>
              <w:left w:w="80" w:type="dxa"/>
              <w:bottom w:w="80" w:type="dxa"/>
              <w:right w:w="80" w:type="dxa"/>
            </w:tcMar>
            <w:vAlign w:val="center"/>
          </w:tcPr>
          <w:p w14:paraId="324863CE" w14:textId="77777777" w:rsidR="007F435E" w:rsidRDefault="007F435E">
            <w:pPr>
              <w:jc w:val="center"/>
              <w:rPr>
                <w:rFonts w:hint="eastAsia"/>
              </w:rPr>
            </w:pPr>
            <w:r>
              <w:rPr>
                <w:rFonts w:ascii="Times New Roman" w:hAnsi="Times New Roman" w:cs="Times New Roman"/>
                <w:sz w:val="18"/>
              </w:rPr>
              <w:t>R1</w:t>
            </w:r>
          </w:p>
        </w:tc>
        <w:tc>
          <w:tcPr>
            <w:tcW w:w="440" w:type="dxa"/>
            <w:tcMar>
              <w:top w:w="80" w:type="dxa"/>
              <w:left w:w="80" w:type="dxa"/>
              <w:bottom w:w="80" w:type="dxa"/>
              <w:right w:w="80" w:type="dxa"/>
            </w:tcMar>
            <w:vAlign w:val="center"/>
          </w:tcPr>
          <w:p w14:paraId="1E29A470"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3E9624EB"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2113291C"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771CD390" w14:textId="77777777" w:rsidR="007F435E" w:rsidRDefault="007F435E">
            <w:pPr>
              <w:jc w:val="center"/>
              <w:rPr>
                <w:rFonts w:hint="eastAsia"/>
              </w:rPr>
            </w:pPr>
            <w:r>
              <w:rPr>
                <w:rFonts w:ascii="Times New Roman" w:hAnsi="Times New Roman" w:cs="Times New Roman"/>
                <w:sz w:val="18"/>
              </w:rPr>
              <w:t>Unclear</w:t>
            </w:r>
          </w:p>
        </w:tc>
        <w:tc>
          <w:tcPr>
            <w:tcW w:w="730" w:type="dxa"/>
            <w:tcMar>
              <w:top w:w="80" w:type="dxa"/>
              <w:left w:w="80" w:type="dxa"/>
              <w:bottom w:w="80" w:type="dxa"/>
              <w:right w:w="80" w:type="dxa"/>
            </w:tcMar>
            <w:vAlign w:val="center"/>
          </w:tcPr>
          <w:p w14:paraId="27ED2497" w14:textId="77777777" w:rsidR="007F435E" w:rsidRDefault="007F435E">
            <w:pPr>
              <w:jc w:val="center"/>
              <w:rPr>
                <w:rFonts w:hint="eastAsia"/>
              </w:rPr>
            </w:pPr>
            <w:r>
              <w:rPr>
                <w:rFonts w:ascii="Times New Roman" w:hAnsi="Times New Roman" w:cs="Times New Roman"/>
                <w:sz w:val="18"/>
              </w:rPr>
              <w:t>Yes</w:t>
            </w:r>
          </w:p>
        </w:tc>
        <w:tc>
          <w:tcPr>
            <w:tcW w:w="900" w:type="dxa"/>
            <w:tcMar>
              <w:top w:w="80" w:type="dxa"/>
              <w:left w:w="80" w:type="dxa"/>
              <w:bottom w:w="80" w:type="dxa"/>
              <w:right w:w="80" w:type="dxa"/>
            </w:tcMar>
            <w:vAlign w:val="center"/>
          </w:tcPr>
          <w:p w14:paraId="4FA17046"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7F5D08D7"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2F291106" w14:textId="77777777" w:rsidR="007F435E" w:rsidRDefault="007F435E">
            <w:pPr>
              <w:jc w:val="left"/>
              <w:rPr>
                <w:rFonts w:hint="eastAsia"/>
              </w:rPr>
            </w:pPr>
            <w:r>
              <w:rPr>
                <w:rFonts w:ascii="Times New Roman" w:hAnsi="Times New Roman" w:cs="Times New Roman"/>
                <w:sz w:val="18"/>
              </w:rPr>
              <w:t>The paper proposes an agent-based architecture for activity-aware AAL systems and is clearly focused on supporting ageing in place. Q4 is Unclear because the logical defence centers on software architecture and activity modelling, with limited empirical evidence that the system improves elder assistance in real homes. Q6 is No because competing findings or limitations are not systematically discussed.</w:t>
            </w:r>
          </w:p>
        </w:tc>
      </w:tr>
      <w:tr w:rsidR="007F435E" w14:paraId="12C6E50B" w14:textId="77777777" w:rsidTr="007F435E">
        <w:tc>
          <w:tcPr>
            <w:tcW w:w="1364" w:type="dxa"/>
            <w:vMerge/>
            <w:tcMar>
              <w:top w:w="80" w:type="dxa"/>
              <w:left w:w="80" w:type="dxa"/>
              <w:bottom w:w="80" w:type="dxa"/>
              <w:right w:w="80" w:type="dxa"/>
            </w:tcMar>
            <w:vAlign w:val="center"/>
          </w:tcPr>
          <w:p w14:paraId="7FD0BC13" w14:textId="77777777" w:rsidR="007F435E" w:rsidRDefault="007F435E">
            <w:pPr>
              <w:jc w:val="center"/>
              <w:rPr>
                <w:rFonts w:hint="eastAsia"/>
              </w:rPr>
            </w:pPr>
          </w:p>
        </w:tc>
        <w:tc>
          <w:tcPr>
            <w:tcW w:w="460" w:type="dxa"/>
            <w:tcMar>
              <w:top w:w="80" w:type="dxa"/>
              <w:left w:w="80" w:type="dxa"/>
              <w:bottom w:w="80" w:type="dxa"/>
              <w:right w:w="80" w:type="dxa"/>
            </w:tcMar>
            <w:vAlign w:val="center"/>
          </w:tcPr>
          <w:p w14:paraId="05CC15AC" w14:textId="77777777" w:rsidR="007F435E" w:rsidRDefault="007F435E">
            <w:pPr>
              <w:jc w:val="center"/>
              <w:rPr>
                <w:rFonts w:hint="eastAsia"/>
              </w:rPr>
            </w:pPr>
            <w:r>
              <w:rPr>
                <w:rFonts w:ascii="Times New Roman" w:hAnsi="Times New Roman" w:cs="Times New Roman"/>
                <w:sz w:val="18"/>
              </w:rPr>
              <w:t>R2</w:t>
            </w:r>
          </w:p>
        </w:tc>
        <w:tc>
          <w:tcPr>
            <w:tcW w:w="440" w:type="dxa"/>
            <w:tcMar>
              <w:top w:w="80" w:type="dxa"/>
              <w:left w:w="80" w:type="dxa"/>
              <w:bottom w:w="80" w:type="dxa"/>
              <w:right w:w="80" w:type="dxa"/>
            </w:tcMar>
            <w:vAlign w:val="center"/>
          </w:tcPr>
          <w:p w14:paraId="01682933"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14014878"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1045ED41"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65AB846E"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00045FCC" w14:textId="77777777" w:rsidR="007F435E" w:rsidRDefault="007F435E">
            <w:pPr>
              <w:jc w:val="center"/>
              <w:rPr>
                <w:rFonts w:hint="eastAsia"/>
              </w:rPr>
            </w:pPr>
            <w:r>
              <w:rPr>
                <w:rFonts w:ascii="Times New Roman" w:hAnsi="Times New Roman" w:cs="Times New Roman"/>
                <w:sz w:val="18"/>
              </w:rPr>
              <w:t>Unclear</w:t>
            </w:r>
          </w:p>
        </w:tc>
        <w:tc>
          <w:tcPr>
            <w:tcW w:w="900" w:type="dxa"/>
            <w:tcMar>
              <w:top w:w="80" w:type="dxa"/>
              <w:left w:w="80" w:type="dxa"/>
              <w:bottom w:w="80" w:type="dxa"/>
              <w:right w:w="80" w:type="dxa"/>
            </w:tcMar>
            <w:vAlign w:val="center"/>
          </w:tcPr>
          <w:p w14:paraId="42DBB93A"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025DAEAE"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5F030AEC" w14:textId="77777777" w:rsidR="007F435E" w:rsidRDefault="007F435E">
            <w:pPr>
              <w:jc w:val="left"/>
              <w:rPr>
                <w:rFonts w:hint="eastAsia"/>
              </w:rPr>
            </w:pPr>
            <w:r>
              <w:rPr>
                <w:rFonts w:ascii="Times New Roman" w:hAnsi="Times New Roman" w:cs="Times New Roman"/>
                <w:sz w:val="18"/>
              </w:rPr>
              <w:t>The source is technically relevant, but it functions mainly as an architecture paper for developers of activity-aware smart environments. Q5 is Unclear because the literature establishes the need for AAL middleware but provides limited direct support for the proposed implementation, and Q6 is No because inconsistency with existing approaches is not appraised.</w:t>
            </w:r>
          </w:p>
        </w:tc>
      </w:tr>
      <w:tr w:rsidR="007F435E" w14:paraId="154EAA66" w14:textId="77777777" w:rsidTr="007F435E">
        <w:tc>
          <w:tcPr>
            <w:tcW w:w="1364" w:type="dxa"/>
            <w:vMerge w:val="restart"/>
            <w:tcMar>
              <w:top w:w="80" w:type="dxa"/>
              <w:left w:w="80" w:type="dxa"/>
              <w:bottom w:w="80" w:type="dxa"/>
              <w:right w:w="80" w:type="dxa"/>
            </w:tcMar>
            <w:vAlign w:val="center"/>
          </w:tcPr>
          <w:p w14:paraId="734D914A" w14:textId="77777777" w:rsidR="007F435E" w:rsidRDefault="007F435E">
            <w:pPr>
              <w:jc w:val="center"/>
              <w:rPr>
                <w:rFonts w:hint="eastAsia"/>
              </w:rPr>
            </w:pPr>
            <w:r>
              <w:rPr>
                <w:rFonts w:ascii="Times New Roman" w:hAnsi="Times New Roman" w:cs="Times New Roman"/>
                <w:sz w:val="18"/>
              </w:rPr>
              <w:t>(Jansson and Hakala, 2020)</w:t>
            </w:r>
          </w:p>
        </w:tc>
        <w:tc>
          <w:tcPr>
            <w:tcW w:w="460" w:type="dxa"/>
            <w:tcMar>
              <w:top w:w="80" w:type="dxa"/>
              <w:left w:w="80" w:type="dxa"/>
              <w:bottom w:w="80" w:type="dxa"/>
              <w:right w:w="80" w:type="dxa"/>
            </w:tcMar>
            <w:vAlign w:val="center"/>
          </w:tcPr>
          <w:p w14:paraId="01CBA9DD" w14:textId="77777777" w:rsidR="007F435E" w:rsidRDefault="007F435E">
            <w:pPr>
              <w:jc w:val="center"/>
              <w:rPr>
                <w:rFonts w:hint="eastAsia"/>
              </w:rPr>
            </w:pPr>
            <w:r>
              <w:rPr>
                <w:rFonts w:ascii="Times New Roman" w:hAnsi="Times New Roman" w:cs="Times New Roman"/>
                <w:sz w:val="18"/>
              </w:rPr>
              <w:t>R1</w:t>
            </w:r>
          </w:p>
        </w:tc>
        <w:tc>
          <w:tcPr>
            <w:tcW w:w="440" w:type="dxa"/>
            <w:tcMar>
              <w:top w:w="80" w:type="dxa"/>
              <w:left w:w="80" w:type="dxa"/>
              <w:bottom w:w="80" w:type="dxa"/>
              <w:right w:w="80" w:type="dxa"/>
            </w:tcMar>
            <w:vAlign w:val="center"/>
          </w:tcPr>
          <w:p w14:paraId="7D403F00"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24BDDA4A"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226C1A08"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282F73E2" w14:textId="77777777" w:rsidR="007F435E" w:rsidRDefault="007F435E">
            <w:pPr>
              <w:jc w:val="center"/>
              <w:rPr>
                <w:rFonts w:hint="eastAsia"/>
              </w:rPr>
            </w:pPr>
            <w:r>
              <w:rPr>
                <w:rFonts w:ascii="Times New Roman" w:hAnsi="Times New Roman" w:cs="Times New Roman"/>
                <w:sz w:val="18"/>
              </w:rPr>
              <w:t>Unclear</w:t>
            </w:r>
          </w:p>
        </w:tc>
        <w:tc>
          <w:tcPr>
            <w:tcW w:w="730" w:type="dxa"/>
            <w:tcMar>
              <w:top w:w="80" w:type="dxa"/>
              <w:left w:w="80" w:type="dxa"/>
              <w:bottom w:w="80" w:type="dxa"/>
              <w:right w:w="80" w:type="dxa"/>
            </w:tcMar>
            <w:vAlign w:val="center"/>
          </w:tcPr>
          <w:p w14:paraId="3F7D69D0" w14:textId="77777777" w:rsidR="007F435E" w:rsidRDefault="007F435E">
            <w:pPr>
              <w:jc w:val="center"/>
              <w:rPr>
                <w:rFonts w:hint="eastAsia"/>
              </w:rPr>
            </w:pPr>
            <w:r>
              <w:rPr>
                <w:rFonts w:ascii="Times New Roman" w:hAnsi="Times New Roman" w:cs="Times New Roman"/>
                <w:sz w:val="18"/>
              </w:rPr>
              <w:t>Yes</w:t>
            </w:r>
          </w:p>
        </w:tc>
        <w:tc>
          <w:tcPr>
            <w:tcW w:w="900" w:type="dxa"/>
            <w:tcMar>
              <w:top w:w="80" w:type="dxa"/>
              <w:left w:w="80" w:type="dxa"/>
              <w:bottom w:w="80" w:type="dxa"/>
              <w:right w:w="80" w:type="dxa"/>
            </w:tcMar>
            <w:vAlign w:val="center"/>
          </w:tcPr>
          <w:p w14:paraId="495119B1"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47537FEE"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695FA520" w14:textId="77777777" w:rsidR="007F435E" w:rsidRDefault="007F435E">
            <w:pPr>
              <w:jc w:val="left"/>
              <w:rPr>
                <w:rFonts w:hint="eastAsia"/>
              </w:rPr>
            </w:pPr>
            <w:r>
              <w:rPr>
                <w:rFonts w:ascii="Times New Roman" w:hAnsi="Times New Roman" w:cs="Times New Roman"/>
                <w:sz w:val="18"/>
              </w:rPr>
              <w:t>The article describes a sparse-sensor smart home data-streaming approach for elder-care activity recognition. It was excluded because Q4 is Unclear: the reasoning from stream processing and unsupervised room-presence logic to reliable wellness monitoring is only partly defended. Q6 is No because the paper proposes future anomaly detection and failure handling without resolving conflicting evidence from denser sensor or machine-learning approaches.</w:t>
            </w:r>
          </w:p>
        </w:tc>
      </w:tr>
      <w:tr w:rsidR="007F435E" w14:paraId="0D29965A" w14:textId="77777777" w:rsidTr="007F435E">
        <w:tc>
          <w:tcPr>
            <w:tcW w:w="1364" w:type="dxa"/>
            <w:vMerge/>
            <w:tcMar>
              <w:top w:w="80" w:type="dxa"/>
              <w:left w:w="80" w:type="dxa"/>
              <w:bottom w:w="80" w:type="dxa"/>
              <w:right w:w="80" w:type="dxa"/>
            </w:tcMar>
            <w:vAlign w:val="center"/>
          </w:tcPr>
          <w:p w14:paraId="05EBC281" w14:textId="77777777" w:rsidR="007F435E" w:rsidRDefault="007F435E">
            <w:pPr>
              <w:jc w:val="center"/>
              <w:rPr>
                <w:rFonts w:hint="eastAsia"/>
              </w:rPr>
            </w:pPr>
          </w:p>
        </w:tc>
        <w:tc>
          <w:tcPr>
            <w:tcW w:w="460" w:type="dxa"/>
            <w:tcMar>
              <w:top w:w="80" w:type="dxa"/>
              <w:left w:w="80" w:type="dxa"/>
              <w:bottom w:w="80" w:type="dxa"/>
              <w:right w:w="80" w:type="dxa"/>
            </w:tcMar>
            <w:vAlign w:val="center"/>
          </w:tcPr>
          <w:p w14:paraId="40919239" w14:textId="77777777" w:rsidR="007F435E" w:rsidRDefault="007F435E">
            <w:pPr>
              <w:jc w:val="center"/>
              <w:rPr>
                <w:rFonts w:hint="eastAsia"/>
              </w:rPr>
            </w:pPr>
            <w:r>
              <w:rPr>
                <w:rFonts w:ascii="Times New Roman" w:hAnsi="Times New Roman" w:cs="Times New Roman"/>
                <w:sz w:val="18"/>
              </w:rPr>
              <w:t>R2</w:t>
            </w:r>
          </w:p>
        </w:tc>
        <w:tc>
          <w:tcPr>
            <w:tcW w:w="440" w:type="dxa"/>
            <w:tcMar>
              <w:top w:w="80" w:type="dxa"/>
              <w:left w:w="80" w:type="dxa"/>
              <w:bottom w:w="80" w:type="dxa"/>
              <w:right w:w="80" w:type="dxa"/>
            </w:tcMar>
            <w:vAlign w:val="center"/>
          </w:tcPr>
          <w:p w14:paraId="2BA379DD"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3986CF01"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03C02A4A"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7E2312F3"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229AEBB7" w14:textId="77777777" w:rsidR="007F435E" w:rsidRDefault="007F435E">
            <w:pPr>
              <w:jc w:val="center"/>
              <w:rPr>
                <w:rFonts w:hint="eastAsia"/>
              </w:rPr>
            </w:pPr>
            <w:r>
              <w:rPr>
                <w:rFonts w:ascii="Times New Roman" w:hAnsi="Times New Roman" w:cs="Times New Roman"/>
                <w:sz w:val="18"/>
              </w:rPr>
              <w:t>Unclear</w:t>
            </w:r>
          </w:p>
        </w:tc>
        <w:tc>
          <w:tcPr>
            <w:tcW w:w="900" w:type="dxa"/>
            <w:tcMar>
              <w:top w:w="80" w:type="dxa"/>
              <w:left w:w="80" w:type="dxa"/>
              <w:bottom w:w="80" w:type="dxa"/>
              <w:right w:w="80" w:type="dxa"/>
            </w:tcMar>
            <w:vAlign w:val="center"/>
          </w:tcPr>
          <w:p w14:paraId="2C5193A3"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5099AAFB"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32414610" w14:textId="77777777" w:rsidR="007F435E" w:rsidRDefault="007F435E">
            <w:pPr>
              <w:jc w:val="left"/>
              <w:rPr>
                <w:rFonts w:hint="eastAsia"/>
              </w:rPr>
            </w:pPr>
            <w:r>
              <w:rPr>
                <w:rFonts w:ascii="Times New Roman" w:hAnsi="Times New Roman" w:cs="Times New Roman"/>
                <w:sz w:val="18"/>
              </w:rPr>
              <w:t>The system design is relevant and the source is identifiable, but the paper is stronger as a technical data-management account than as defensible textual evidence for aging-in-place outcomes. Q5 is Unclear because the support for sparse unsupervised sensing is not fully benchmarked against alternatives, and Q6 is No because inconsistencies in sensor failure and missing packets are acknowledged but not critically settled.</w:t>
            </w:r>
          </w:p>
        </w:tc>
      </w:tr>
      <w:tr w:rsidR="007F435E" w14:paraId="5A7C57D1" w14:textId="77777777" w:rsidTr="007F435E">
        <w:tc>
          <w:tcPr>
            <w:tcW w:w="1364" w:type="dxa"/>
            <w:vMerge w:val="restart"/>
            <w:tcMar>
              <w:top w:w="80" w:type="dxa"/>
              <w:left w:w="80" w:type="dxa"/>
              <w:bottom w:w="80" w:type="dxa"/>
              <w:right w:w="80" w:type="dxa"/>
            </w:tcMar>
            <w:vAlign w:val="center"/>
          </w:tcPr>
          <w:p w14:paraId="0F79B990" w14:textId="77777777" w:rsidR="007F435E" w:rsidRDefault="007F435E">
            <w:pPr>
              <w:jc w:val="center"/>
              <w:rPr>
                <w:rFonts w:hint="eastAsia"/>
              </w:rPr>
            </w:pPr>
            <w:r>
              <w:rPr>
                <w:rFonts w:ascii="Times New Roman" w:hAnsi="Times New Roman" w:cs="Times New Roman"/>
                <w:sz w:val="18"/>
              </w:rPr>
              <w:t>(Kurnianingsih et al., 2015)</w:t>
            </w:r>
          </w:p>
        </w:tc>
        <w:tc>
          <w:tcPr>
            <w:tcW w:w="460" w:type="dxa"/>
            <w:tcMar>
              <w:top w:w="80" w:type="dxa"/>
              <w:left w:w="80" w:type="dxa"/>
              <w:bottom w:w="80" w:type="dxa"/>
              <w:right w:w="80" w:type="dxa"/>
            </w:tcMar>
            <w:vAlign w:val="center"/>
          </w:tcPr>
          <w:p w14:paraId="4BD08C00" w14:textId="77777777" w:rsidR="007F435E" w:rsidRDefault="007F435E">
            <w:pPr>
              <w:jc w:val="center"/>
              <w:rPr>
                <w:rFonts w:hint="eastAsia"/>
              </w:rPr>
            </w:pPr>
            <w:r>
              <w:rPr>
                <w:rFonts w:ascii="Times New Roman" w:hAnsi="Times New Roman" w:cs="Times New Roman"/>
                <w:sz w:val="18"/>
              </w:rPr>
              <w:t>R1</w:t>
            </w:r>
          </w:p>
        </w:tc>
        <w:tc>
          <w:tcPr>
            <w:tcW w:w="440" w:type="dxa"/>
            <w:tcMar>
              <w:top w:w="80" w:type="dxa"/>
              <w:left w:w="80" w:type="dxa"/>
              <w:bottom w:w="80" w:type="dxa"/>
              <w:right w:w="80" w:type="dxa"/>
            </w:tcMar>
            <w:vAlign w:val="center"/>
          </w:tcPr>
          <w:p w14:paraId="1A97A8CE"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4733A148"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22BF14B6"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178A3D85" w14:textId="77777777" w:rsidR="007F435E" w:rsidRDefault="007F435E">
            <w:pPr>
              <w:jc w:val="center"/>
              <w:rPr>
                <w:rFonts w:hint="eastAsia"/>
              </w:rPr>
            </w:pPr>
            <w:r>
              <w:rPr>
                <w:rFonts w:ascii="Times New Roman" w:hAnsi="Times New Roman" w:cs="Times New Roman"/>
                <w:sz w:val="18"/>
              </w:rPr>
              <w:t>Unclear</w:t>
            </w:r>
          </w:p>
        </w:tc>
        <w:tc>
          <w:tcPr>
            <w:tcW w:w="730" w:type="dxa"/>
            <w:tcMar>
              <w:top w:w="80" w:type="dxa"/>
              <w:left w:w="80" w:type="dxa"/>
              <w:bottom w:w="80" w:type="dxa"/>
              <w:right w:w="80" w:type="dxa"/>
            </w:tcMar>
            <w:vAlign w:val="center"/>
          </w:tcPr>
          <w:p w14:paraId="2D66E205" w14:textId="77777777" w:rsidR="007F435E" w:rsidRDefault="007F435E">
            <w:pPr>
              <w:jc w:val="center"/>
              <w:rPr>
                <w:rFonts w:hint="eastAsia"/>
              </w:rPr>
            </w:pPr>
            <w:r>
              <w:rPr>
                <w:rFonts w:ascii="Times New Roman" w:hAnsi="Times New Roman" w:cs="Times New Roman"/>
                <w:sz w:val="18"/>
              </w:rPr>
              <w:t>Yes</w:t>
            </w:r>
          </w:p>
        </w:tc>
        <w:tc>
          <w:tcPr>
            <w:tcW w:w="900" w:type="dxa"/>
            <w:tcMar>
              <w:top w:w="80" w:type="dxa"/>
              <w:left w:w="80" w:type="dxa"/>
              <w:bottom w:w="80" w:type="dxa"/>
              <w:right w:w="80" w:type="dxa"/>
            </w:tcMar>
            <w:vAlign w:val="center"/>
          </w:tcPr>
          <w:p w14:paraId="5EF9B753"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2CFADF5E"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2F57E86D" w14:textId="77777777" w:rsidR="007F435E" w:rsidRDefault="007F435E">
            <w:pPr>
              <w:jc w:val="left"/>
              <w:rPr>
                <w:rFonts w:hint="eastAsia"/>
              </w:rPr>
            </w:pPr>
            <w:r>
              <w:rPr>
                <w:rFonts w:ascii="Times New Roman" w:hAnsi="Times New Roman" w:cs="Times New Roman"/>
                <w:sz w:val="18"/>
              </w:rPr>
              <w:t>ReSCUE is presented as a ubiquitous home-care model using wearable sensors, ambient intelligence, medical references, and elder preferences. Q4 is Unclear because the argument is based on a proposed model and design properties rather than a completed evaluation with older users. Q6 is No because the paper does not engage conflicting evidence about feasibility, reliability, or user acceptance.</w:t>
            </w:r>
          </w:p>
        </w:tc>
      </w:tr>
      <w:tr w:rsidR="007F435E" w14:paraId="37DDC073" w14:textId="77777777" w:rsidTr="007F435E">
        <w:tc>
          <w:tcPr>
            <w:tcW w:w="1364" w:type="dxa"/>
            <w:vMerge/>
            <w:tcMar>
              <w:top w:w="80" w:type="dxa"/>
              <w:left w:w="80" w:type="dxa"/>
              <w:bottom w:w="80" w:type="dxa"/>
              <w:right w:w="80" w:type="dxa"/>
            </w:tcMar>
            <w:vAlign w:val="center"/>
          </w:tcPr>
          <w:p w14:paraId="6F41CBEF" w14:textId="77777777" w:rsidR="007F435E" w:rsidRDefault="007F435E">
            <w:pPr>
              <w:jc w:val="center"/>
              <w:rPr>
                <w:rFonts w:hint="eastAsia"/>
              </w:rPr>
            </w:pPr>
          </w:p>
        </w:tc>
        <w:tc>
          <w:tcPr>
            <w:tcW w:w="460" w:type="dxa"/>
            <w:tcMar>
              <w:top w:w="80" w:type="dxa"/>
              <w:left w:w="80" w:type="dxa"/>
              <w:bottom w:w="80" w:type="dxa"/>
              <w:right w:w="80" w:type="dxa"/>
            </w:tcMar>
            <w:vAlign w:val="center"/>
          </w:tcPr>
          <w:p w14:paraId="4A3975F4" w14:textId="77777777" w:rsidR="007F435E" w:rsidRDefault="007F435E">
            <w:pPr>
              <w:jc w:val="center"/>
              <w:rPr>
                <w:rFonts w:hint="eastAsia"/>
              </w:rPr>
            </w:pPr>
            <w:r>
              <w:rPr>
                <w:rFonts w:ascii="Times New Roman" w:hAnsi="Times New Roman" w:cs="Times New Roman"/>
                <w:sz w:val="18"/>
              </w:rPr>
              <w:t>R2</w:t>
            </w:r>
          </w:p>
        </w:tc>
        <w:tc>
          <w:tcPr>
            <w:tcW w:w="440" w:type="dxa"/>
            <w:tcMar>
              <w:top w:w="80" w:type="dxa"/>
              <w:left w:w="80" w:type="dxa"/>
              <w:bottom w:w="80" w:type="dxa"/>
              <w:right w:w="80" w:type="dxa"/>
            </w:tcMar>
            <w:vAlign w:val="center"/>
          </w:tcPr>
          <w:p w14:paraId="196EDB4C"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4CDFBB4A"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3E20E711"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0F4D4135"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21CB536A" w14:textId="77777777" w:rsidR="007F435E" w:rsidRDefault="007F435E">
            <w:pPr>
              <w:jc w:val="center"/>
              <w:rPr>
                <w:rFonts w:hint="eastAsia"/>
              </w:rPr>
            </w:pPr>
            <w:r>
              <w:rPr>
                <w:rFonts w:ascii="Times New Roman" w:hAnsi="Times New Roman" w:cs="Times New Roman"/>
                <w:sz w:val="18"/>
              </w:rPr>
              <w:t>Unclear</w:t>
            </w:r>
          </w:p>
        </w:tc>
        <w:tc>
          <w:tcPr>
            <w:tcW w:w="900" w:type="dxa"/>
            <w:tcMar>
              <w:top w:w="80" w:type="dxa"/>
              <w:left w:w="80" w:type="dxa"/>
              <w:bottom w:w="80" w:type="dxa"/>
              <w:right w:w="80" w:type="dxa"/>
            </w:tcMar>
            <w:vAlign w:val="center"/>
          </w:tcPr>
          <w:p w14:paraId="104BD616"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4860D5E5"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45FA8C1B" w14:textId="77777777" w:rsidR="007F435E" w:rsidRDefault="007F435E">
            <w:pPr>
              <w:jc w:val="left"/>
              <w:rPr>
                <w:rFonts w:hint="eastAsia"/>
              </w:rPr>
            </w:pPr>
            <w:r>
              <w:rPr>
                <w:rFonts w:ascii="Times New Roman" w:hAnsi="Times New Roman" w:cs="Times New Roman"/>
                <w:sz w:val="18"/>
              </w:rPr>
              <w:t>The paper has an appropriate elderly home-care focus, but it mainly specifies the ReSCUE concept and desired ubiquitous-computing properties. Q5 is Unclear because references support the general design rationale but not validated effectiveness of the proposed sensing-conditioning loop, and Q6 is No because limitations and inconsistencies in prior systems are not critically discussed.</w:t>
            </w:r>
          </w:p>
        </w:tc>
      </w:tr>
      <w:tr w:rsidR="007F435E" w14:paraId="275FAD45" w14:textId="77777777" w:rsidTr="007F435E">
        <w:tc>
          <w:tcPr>
            <w:tcW w:w="1364" w:type="dxa"/>
            <w:vMerge w:val="restart"/>
            <w:tcMar>
              <w:top w:w="80" w:type="dxa"/>
              <w:left w:w="80" w:type="dxa"/>
              <w:bottom w:w="80" w:type="dxa"/>
              <w:right w:w="80" w:type="dxa"/>
            </w:tcMar>
            <w:vAlign w:val="center"/>
          </w:tcPr>
          <w:p w14:paraId="512CD10C" w14:textId="77777777" w:rsidR="007F435E" w:rsidRDefault="007F435E" w:rsidP="007F435E">
            <w:pPr>
              <w:jc w:val="center"/>
              <w:rPr>
                <w:rFonts w:hint="eastAsia"/>
              </w:rPr>
            </w:pPr>
            <w:r>
              <w:rPr>
                <w:rFonts w:ascii="Times New Roman" w:hAnsi="Times New Roman" w:cs="Times New Roman"/>
                <w:sz w:val="18"/>
              </w:rPr>
              <w:t>(Resch et al., 2024)</w:t>
            </w:r>
          </w:p>
        </w:tc>
        <w:tc>
          <w:tcPr>
            <w:tcW w:w="460" w:type="dxa"/>
            <w:tcMar>
              <w:top w:w="80" w:type="dxa"/>
              <w:left w:w="80" w:type="dxa"/>
              <w:bottom w:w="80" w:type="dxa"/>
              <w:right w:w="80" w:type="dxa"/>
            </w:tcMar>
            <w:vAlign w:val="center"/>
          </w:tcPr>
          <w:p w14:paraId="3F5C87F6" w14:textId="77777777" w:rsidR="007F435E" w:rsidRDefault="007F435E">
            <w:pPr>
              <w:jc w:val="center"/>
              <w:rPr>
                <w:rFonts w:hint="eastAsia"/>
              </w:rPr>
            </w:pPr>
            <w:r>
              <w:rPr>
                <w:rFonts w:ascii="Times New Roman" w:hAnsi="Times New Roman" w:cs="Times New Roman"/>
                <w:sz w:val="18"/>
              </w:rPr>
              <w:t>R1</w:t>
            </w:r>
          </w:p>
        </w:tc>
        <w:tc>
          <w:tcPr>
            <w:tcW w:w="440" w:type="dxa"/>
            <w:tcMar>
              <w:top w:w="80" w:type="dxa"/>
              <w:left w:w="80" w:type="dxa"/>
              <w:bottom w:w="80" w:type="dxa"/>
              <w:right w:w="80" w:type="dxa"/>
            </w:tcMar>
            <w:vAlign w:val="center"/>
          </w:tcPr>
          <w:p w14:paraId="5BD8B099"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22FBBB52"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2E4DF52F"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7FC3CEFB" w14:textId="77777777" w:rsidR="007F435E" w:rsidRDefault="007F435E">
            <w:pPr>
              <w:jc w:val="center"/>
              <w:rPr>
                <w:rFonts w:hint="eastAsia"/>
              </w:rPr>
            </w:pPr>
            <w:r>
              <w:rPr>
                <w:rFonts w:ascii="Times New Roman" w:hAnsi="Times New Roman" w:cs="Times New Roman"/>
                <w:sz w:val="18"/>
              </w:rPr>
              <w:t>Unclear</w:t>
            </w:r>
          </w:p>
        </w:tc>
        <w:tc>
          <w:tcPr>
            <w:tcW w:w="730" w:type="dxa"/>
            <w:tcMar>
              <w:top w:w="80" w:type="dxa"/>
              <w:left w:w="80" w:type="dxa"/>
              <w:bottom w:w="80" w:type="dxa"/>
              <w:right w:w="80" w:type="dxa"/>
            </w:tcMar>
            <w:vAlign w:val="center"/>
          </w:tcPr>
          <w:p w14:paraId="15E87B42" w14:textId="77777777" w:rsidR="007F435E" w:rsidRDefault="007F435E">
            <w:pPr>
              <w:jc w:val="center"/>
              <w:rPr>
                <w:rFonts w:hint="eastAsia"/>
              </w:rPr>
            </w:pPr>
            <w:r>
              <w:rPr>
                <w:rFonts w:ascii="Times New Roman" w:hAnsi="Times New Roman" w:cs="Times New Roman"/>
                <w:sz w:val="18"/>
              </w:rPr>
              <w:t>Yes</w:t>
            </w:r>
          </w:p>
        </w:tc>
        <w:tc>
          <w:tcPr>
            <w:tcW w:w="900" w:type="dxa"/>
            <w:tcMar>
              <w:top w:w="80" w:type="dxa"/>
              <w:left w:w="80" w:type="dxa"/>
              <w:bottom w:w="80" w:type="dxa"/>
              <w:right w:w="80" w:type="dxa"/>
            </w:tcMar>
            <w:vAlign w:val="center"/>
          </w:tcPr>
          <w:p w14:paraId="12CD4110"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6745AB1F"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76C2B9D2" w14:textId="77777777" w:rsidR="007F435E" w:rsidRDefault="007F435E">
            <w:pPr>
              <w:jc w:val="left"/>
              <w:rPr>
                <w:rFonts w:hint="eastAsia"/>
              </w:rPr>
            </w:pPr>
            <w:r>
              <w:rPr>
                <w:rFonts w:ascii="Times New Roman" w:hAnsi="Times New Roman" w:cs="Times New Roman"/>
                <w:sz w:val="18"/>
              </w:rPr>
              <w:t>This one-page conference proceeding proposes a haptic walking aid combined with a smart foot orthosis. Exclusion is warranted because Q4 is Unclear: the effectiveness, usability, and acceptance study is described as planned rather than completed. Q6 is No because there is no substantive discussion of inconsistent evidence or possible harms from haptic feedback in older users.</w:t>
            </w:r>
          </w:p>
        </w:tc>
      </w:tr>
      <w:tr w:rsidR="007F435E" w14:paraId="596A5988" w14:textId="77777777" w:rsidTr="007F435E">
        <w:tc>
          <w:tcPr>
            <w:tcW w:w="1364" w:type="dxa"/>
            <w:vMerge/>
            <w:tcMar>
              <w:top w:w="80" w:type="dxa"/>
              <w:left w:w="80" w:type="dxa"/>
              <w:bottom w:w="80" w:type="dxa"/>
              <w:right w:w="80" w:type="dxa"/>
            </w:tcMar>
            <w:vAlign w:val="center"/>
          </w:tcPr>
          <w:p w14:paraId="1C86ECD6" w14:textId="77777777" w:rsidR="007F435E" w:rsidRDefault="007F435E">
            <w:pPr>
              <w:jc w:val="center"/>
              <w:rPr>
                <w:rFonts w:hint="eastAsia"/>
              </w:rPr>
            </w:pPr>
          </w:p>
        </w:tc>
        <w:tc>
          <w:tcPr>
            <w:tcW w:w="460" w:type="dxa"/>
            <w:tcMar>
              <w:top w:w="80" w:type="dxa"/>
              <w:left w:w="80" w:type="dxa"/>
              <w:bottom w:w="80" w:type="dxa"/>
              <w:right w:w="80" w:type="dxa"/>
            </w:tcMar>
            <w:vAlign w:val="center"/>
          </w:tcPr>
          <w:p w14:paraId="7F388D21" w14:textId="77777777" w:rsidR="007F435E" w:rsidRDefault="007F435E">
            <w:pPr>
              <w:jc w:val="center"/>
              <w:rPr>
                <w:rFonts w:hint="eastAsia"/>
              </w:rPr>
            </w:pPr>
            <w:r>
              <w:rPr>
                <w:rFonts w:ascii="Times New Roman" w:hAnsi="Times New Roman" w:cs="Times New Roman"/>
                <w:sz w:val="18"/>
              </w:rPr>
              <w:t>R2</w:t>
            </w:r>
          </w:p>
        </w:tc>
        <w:tc>
          <w:tcPr>
            <w:tcW w:w="440" w:type="dxa"/>
            <w:tcMar>
              <w:top w:w="80" w:type="dxa"/>
              <w:left w:w="80" w:type="dxa"/>
              <w:bottom w:w="80" w:type="dxa"/>
              <w:right w:w="80" w:type="dxa"/>
            </w:tcMar>
            <w:vAlign w:val="center"/>
          </w:tcPr>
          <w:p w14:paraId="378B1E74"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6F1C1E88"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24CC31CE"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489F82FA"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2A70942D" w14:textId="77777777" w:rsidR="007F435E" w:rsidRDefault="007F435E">
            <w:pPr>
              <w:jc w:val="center"/>
              <w:rPr>
                <w:rFonts w:hint="eastAsia"/>
              </w:rPr>
            </w:pPr>
            <w:r>
              <w:rPr>
                <w:rFonts w:ascii="Times New Roman" w:hAnsi="Times New Roman" w:cs="Times New Roman"/>
                <w:sz w:val="18"/>
              </w:rPr>
              <w:t>Unclear</w:t>
            </w:r>
          </w:p>
        </w:tc>
        <w:tc>
          <w:tcPr>
            <w:tcW w:w="900" w:type="dxa"/>
            <w:tcMar>
              <w:top w:w="80" w:type="dxa"/>
              <w:left w:w="80" w:type="dxa"/>
              <w:bottom w:w="80" w:type="dxa"/>
              <w:right w:w="80" w:type="dxa"/>
            </w:tcMar>
            <w:vAlign w:val="center"/>
          </w:tcPr>
          <w:p w14:paraId="3BF156A4"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3495B8AE"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6EDAC2A6" w14:textId="77777777" w:rsidR="007F435E" w:rsidRDefault="007F435E">
            <w:pPr>
              <w:jc w:val="left"/>
              <w:rPr>
                <w:rFonts w:hint="eastAsia"/>
              </w:rPr>
            </w:pPr>
            <w:r>
              <w:rPr>
                <w:rFonts w:ascii="Times New Roman" w:hAnsi="Times New Roman" w:cs="Times New Roman"/>
                <w:sz w:val="18"/>
              </w:rPr>
              <w:t>The concept is relevant to fall-risk prevention, but the article reports a proposed technical development and future within-subject evaluation rather than evidence from the target population. Q5 is Unclear because the cited gap supports the idea but not its effectiveness, and Q6 is No because uncertainties about gait feedback, orthosis use, and acceptance are not critically reconciled.</w:t>
            </w:r>
          </w:p>
        </w:tc>
      </w:tr>
      <w:tr w:rsidR="00820880" w:rsidRPr="00085735" w14:paraId="7C769EE5" w14:textId="77777777" w:rsidTr="00610D45">
        <w:trPr>
          <w:trHeight w:val="1105"/>
        </w:trPr>
        <w:tc>
          <w:tcPr>
            <w:tcW w:w="0" w:type="auto"/>
            <w:vMerge w:val="restart"/>
            <w:tcBorders>
              <w:left w:val="single" w:sz="4" w:space="0" w:color="BFBFBF" w:themeColor="background1" w:themeShade="BF"/>
            </w:tcBorders>
            <w:tcMar>
              <w:top w:w="80" w:type="dxa"/>
              <w:left w:w="80" w:type="dxa"/>
              <w:bottom w:w="80" w:type="dxa"/>
              <w:right w:w="80" w:type="dxa"/>
            </w:tcMar>
            <w:vAlign w:val="center"/>
            <w:hideMark/>
          </w:tcPr>
          <w:p w14:paraId="5FF9A0BA" w14:textId="77777777" w:rsidR="00820880" w:rsidRPr="00085735" w:rsidRDefault="00820880" w:rsidP="00085735">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(Rocha et al., 2013)</w:t>
            </w:r>
          </w:p>
        </w:tc>
        <w:tc>
          <w:tcPr>
            <w:tcW w:w="0" w:type="auto"/>
            <w:tcMar>
              <w:top w:w="80" w:type="dxa"/>
              <w:left w:w="80" w:type="dxa"/>
              <w:bottom w:w="80" w:type="dxa"/>
              <w:right w:w="80" w:type="dxa"/>
            </w:tcMar>
            <w:vAlign w:val="center"/>
            <w:hideMark/>
          </w:tcPr>
          <w:p w14:paraId="0697F61C" w14:textId="77777777" w:rsidR="00820880" w:rsidRPr="00085735" w:rsidRDefault="00820880" w:rsidP="00085735">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0" w:type="auto"/>
            <w:tcMar>
              <w:top w:w="80" w:type="dxa"/>
              <w:left w:w="80" w:type="dxa"/>
              <w:bottom w:w="80" w:type="dxa"/>
              <w:right w:w="80" w:type="dxa"/>
            </w:tcMar>
            <w:vAlign w:val="center"/>
            <w:hideMark/>
          </w:tcPr>
          <w:p w14:paraId="0EC9514A"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5C403170"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25B58050"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F0842BF"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3AF57061"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74E50EA7"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Mar>
              <w:top w:w="80" w:type="dxa"/>
              <w:left w:w="80" w:type="dxa"/>
              <w:bottom w:w="80" w:type="dxa"/>
              <w:right w:w="80" w:type="dxa"/>
            </w:tcMar>
            <w:vAlign w:val="center"/>
            <w:hideMark/>
          </w:tcPr>
          <w:p w14:paraId="12701F92"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right w:val="single" w:sz="4" w:space="0" w:color="BFBFBF" w:themeColor="background1" w:themeShade="BF"/>
            </w:tcBorders>
            <w:tcMar>
              <w:top w:w="80" w:type="dxa"/>
              <w:left w:w="80" w:type="dxa"/>
              <w:bottom w:w="80" w:type="dxa"/>
              <w:right w:w="80" w:type="dxa"/>
            </w:tcMar>
            <w:vAlign w:val="center"/>
            <w:hideMark/>
          </w:tcPr>
          <w:p w14:paraId="7277E41A" w14:textId="77777777" w:rsidR="00820880" w:rsidRPr="00085735" w:rsidRDefault="00820880" w:rsidP="00085735">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source is clearly identified with authors from established research institutes and tech organizations. The paper’s central focus is the elderly population and their ability to live autonomously. The authors thoroughly review existing literature and logically defend how their AI and system architecture improves upon previous projects.</w:t>
            </w:r>
          </w:p>
        </w:tc>
      </w:tr>
      <w:tr w:rsidR="00820880" w:rsidRPr="00085735" w14:paraId="272CA891" w14:textId="77777777" w:rsidTr="00610D45">
        <w:trPr>
          <w:trHeight w:val="955"/>
        </w:trPr>
        <w:tc>
          <w:tcPr>
            <w:tcW w:w="0" w:type="auto"/>
            <w:vMerge/>
            <w:tcBorders>
              <w:left w:val="single" w:sz="4" w:space="0" w:color="BFBFBF" w:themeColor="background1" w:themeShade="BF"/>
              <w:bottom w:val="single" w:sz="4" w:space="0" w:color="BFBFBF" w:themeColor="background1" w:themeShade="BF"/>
            </w:tcBorders>
            <w:noWrap/>
            <w:hideMark/>
          </w:tcPr>
          <w:p w14:paraId="6DBAB54B" w14:textId="77777777" w:rsidR="00820880" w:rsidRPr="00085735" w:rsidRDefault="00820880" w:rsidP="00085735">
            <w:pPr>
              <w:widowControl/>
              <w:rPr>
                <w:rFonts w:ascii="Times New Roman" w:eastAsia="等线" w:hAnsi="Times New Roman" w:cs="Times New Roman"/>
                <w:color w:val="000000"/>
                <w:kern w:val="0"/>
                <w:sz w:val="18"/>
                <w:szCs w:val="18"/>
                <w14:ligatures w14:val="none"/>
              </w:rPr>
            </w:pP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2EC9F310" w14:textId="77777777" w:rsidR="00820880" w:rsidRPr="00085735" w:rsidRDefault="00820880" w:rsidP="00085735">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147E672F"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50493CA8"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24A8D6EB"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7C49BFB2"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344C170F"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661D7CFA"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Yes</w:t>
            </w:r>
          </w:p>
        </w:tc>
        <w:tc>
          <w:tcPr>
            <w:tcW w:w="0" w:type="auto"/>
            <w:tcBorders>
              <w:bottom w:val="single" w:sz="4" w:space="0" w:color="BFBFBF" w:themeColor="background1" w:themeShade="BF"/>
            </w:tcBorders>
            <w:tcMar>
              <w:top w:w="80" w:type="dxa"/>
              <w:left w:w="80" w:type="dxa"/>
              <w:bottom w:w="80" w:type="dxa"/>
              <w:right w:w="80" w:type="dxa"/>
            </w:tcMar>
            <w:vAlign w:val="center"/>
            <w:hideMark/>
          </w:tcPr>
          <w:p w14:paraId="14507D8E" w14:textId="77777777" w:rsidR="00820880" w:rsidRPr="00085735" w:rsidRDefault="00820880" w:rsidP="00085735">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c>
          <w:tcPr>
            <w:tcW w:w="0" w:type="auto"/>
            <w:tcBorders>
              <w:bottom w:val="single" w:sz="4" w:space="0" w:color="BFBFBF" w:themeColor="background1" w:themeShade="BF"/>
              <w:right w:val="single" w:sz="4" w:space="0" w:color="BFBFBF" w:themeColor="background1" w:themeShade="BF"/>
            </w:tcBorders>
            <w:tcMar>
              <w:top w:w="80" w:type="dxa"/>
              <w:left w:w="80" w:type="dxa"/>
              <w:bottom w:w="80" w:type="dxa"/>
              <w:right w:w="80" w:type="dxa"/>
            </w:tcMar>
            <w:vAlign w:val="center"/>
            <w:hideMark/>
          </w:tcPr>
          <w:p w14:paraId="6EED784A" w14:textId="77777777" w:rsidR="00820880" w:rsidRPr="00085735" w:rsidRDefault="00820880" w:rsidP="00085735">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paper provides a logically defended argument for the CAALYX system’s design, heavily referencing extant literature to establish the state of the art. The authors specifically contrast their system with existing projects (like MobiHealth and Persona) to justify their novel AI and mobile monitoring approaches.</w:t>
            </w:r>
          </w:p>
        </w:tc>
      </w:tr>
      <w:tr w:rsidR="007F435E" w14:paraId="4349869E" w14:textId="77777777" w:rsidTr="007F435E">
        <w:tc>
          <w:tcPr>
            <w:tcW w:w="1364" w:type="dxa"/>
            <w:vMerge w:val="restart"/>
            <w:tcBorders>
              <w:top w:val="single" w:sz="4" w:space="0" w:color="BFBFBF" w:themeColor="background1" w:themeShade="BF"/>
            </w:tcBorders>
            <w:tcMar>
              <w:top w:w="80" w:type="dxa"/>
              <w:left w:w="80" w:type="dxa"/>
              <w:bottom w:w="80" w:type="dxa"/>
              <w:right w:w="80" w:type="dxa"/>
            </w:tcMar>
            <w:vAlign w:val="center"/>
          </w:tcPr>
          <w:p w14:paraId="774B9BEA" w14:textId="77777777" w:rsidR="007F435E" w:rsidRDefault="007F435E">
            <w:pPr>
              <w:jc w:val="center"/>
              <w:rPr>
                <w:rFonts w:hint="eastAsia"/>
              </w:rPr>
            </w:pPr>
            <w:r>
              <w:rPr>
                <w:rFonts w:ascii="Times New Roman" w:hAnsi="Times New Roman" w:cs="Times New Roman"/>
                <w:sz w:val="18"/>
              </w:rPr>
              <w:t>(Sansen et al., 2016)</w:t>
            </w:r>
          </w:p>
        </w:tc>
        <w:tc>
          <w:tcPr>
            <w:tcW w:w="460" w:type="dxa"/>
            <w:tcBorders>
              <w:top w:val="single" w:sz="4" w:space="0" w:color="BFBFBF" w:themeColor="background1" w:themeShade="BF"/>
            </w:tcBorders>
            <w:tcMar>
              <w:top w:w="80" w:type="dxa"/>
              <w:left w:w="80" w:type="dxa"/>
              <w:bottom w:w="80" w:type="dxa"/>
              <w:right w:w="80" w:type="dxa"/>
            </w:tcMar>
            <w:vAlign w:val="center"/>
          </w:tcPr>
          <w:p w14:paraId="2AA946A9" w14:textId="77777777" w:rsidR="007F435E" w:rsidRDefault="007F435E">
            <w:pPr>
              <w:jc w:val="center"/>
              <w:rPr>
                <w:rFonts w:hint="eastAsia"/>
              </w:rPr>
            </w:pPr>
            <w:r>
              <w:rPr>
                <w:rFonts w:ascii="Times New Roman" w:hAnsi="Times New Roman" w:cs="Times New Roman"/>
                <w:sz w:val="18"/>
              </w:rPr>
              <w:t>R1</w:t>
            </w:r>
          </w:p>
        </w:tc>
        <w:tc>
          <w:tcPr>
            <w:tcW w:w="440" w:type="dxa"/>
            <w:tcBorders>
              <w:top w:val="single" w:sz="4" w:space="0" w:color="BFBFBF" w:themeColor="background1" w:themeShade="BF"/>
            </w:tcBorders>
            <w:tcMar>
              <w:top w:w="80" w:type="dxa"/>
              <w:left w:w="80" w:type="dxa"/>
              <w:bottom w:w="80" w:type="dxa"/>
              <w:right w:w="80" w:type="dxa"/>
            </w:tcMar>
            <w:vAlign w:val="center"/>
          </w:tcPr>
          <w:p w14:paraId="3B08958A" w14:textId="77777777" w:rsidR="007F435E" w:rsidRDefault="007F435E">
            <w:pPr>
              <w:jc w:val="center"/>
              <w:rPr>
                <w:rFonts w:hint="eastAsia"/>
              </w:rPr>
            </w:pPr>
            <w:r>
              <w:rPr>
                <w:rFonts w:ascii="Times New Roman" w:hAnsi="Times New Roman" w:cs="Times New Roman"/>
                <w:sz w:val="18"/>
              </w:rPr>
              <w:t>Yes</w:t>
            </w:r>
          </w:p>
        </w:tc>
        <w:tc>
          <w:tcPr>
            <w:tcW w:w="440" w:type="dxa"/>
            <w:tcBorders>
              <w:top w:val="single" w:sz="4" w:space="0" w:color="BFBFBF" w:themeColor="background1" w:themeShade="BF"/>
            </w:tcBorders>
            <w:tcMar>
              <w:top w:w="80" w:type="dxa"/>
              <w:left w:w="80" w:type="dxa"/>
              <w:bottom w:w="80" w:type="dxa"/>
              <w:right w:w="80" w:type="dxa"/>
            </w:tcMar>
            <w:vAlign w:val="center"/>
          </w:tcPr>
          <w:p w14:paraId="535DA84C" w14:textId="77777777" w:rsidR="007F435E" w:rsidRDefault="007F435E">
            <w:pPr>
              <w:jc w:val="center"/>
              <w:rPr>
                <w:rFonts w:hint="eastAsia"/>
              </w:rPr>
            </w:pPr>
            <w:r>
              <w:rPr>
                <w:rFonts w:ascii="Times New Roman" w:hAnsi="Times New Roman" w:cs="Times New Roman"/>
                <w:sz w:val="18"/>
              </w:rPr>
              <w:t>Yes</w:t>
            </w:r>
          </w:p>
        </w:tc>
        <w:tc>
          <w:tcPr>
            <w:tcW w:w="440" w:type="dxa"/>
            <w:tcBorders>
              <w:top w:val="single" w:sz="4" w:space="0" w:color="BFBFBF" w:themeColor="background1" w:themeShade="BF"/>
            </w:tcBorders>
            <w:tcMar>
              <w:top w:w="80" w:type="dxa"/>
              <w:left w:w="80" w:type="dxa"/>
              <w:bottom w:w="80" w:type="dxa"/>
              <w:right w:w="80" w:type="dxa"/>
            </w:tcMar>
            <w:vAlign w:val="center"/>
          </w:tcPr>
          <w:p w14:paraId="4B0E4B4B" w14:textId="77777777" w:rsidR="007F435E" w:rsidRDefault="007F435E">
            <w:pPr>
              <w:jc w:val="center"/>
              <w:rPr>
                <w:rFonts w:hint="eastAsia"/>
              </w:rPr>
            </w:pPr>
            <w:r>
              <w:rPr>
                <w:rFonts w:ascii="Times New Roman" w:hAnsi="Times New Roman" w:cs="Times New Roman"/>
                <w:sz w:val="18"/>
              </w:rPr>
              <w:t>Yes</w:t>
            </w:r>
          </w:p>
        </w:tc>
        <w:tc>
          <w:tcPr>
            <w:tcW w:w="730" w:type="dxa"/>
            <w:tcBorders>
              <w:top w:val="single" w:sz="4" w:space="0" w:color="BFBFBF" w:themeColor="background1" w:themeShade="BF"/>
            </w:tcBorders>
            <w:tcMar>
              <w:top w:w="80" w:type="dxa"/>
              <w:left w:w="80" w:type="dxa"/>
              <w:bottom w:w="80" w:type="dxa"/>
              <w:right w:w="80" w:type="dxa"/>
            </w:tcMar>
            <w:vAlign w:val="center"/>
          </w:tcPr>
          <w:p w14:paraId="7E6B545C" w14:textId="77777777" w:rsidR="007F435E" w:rsidRDefault="007F435E">
            <w:pPr>
              <w:jc w:val="center"/>
              <w:rPr>
                <w:rFonts w:hint="eastAsia"/>
              </w:rPr>
            </w:pPr>
            <w:r>
              <w:rPr>
                <w:rFonts w:ascii="Times New Roman" w:hAnsi="Times New Roman" w:cs="Times New Roman"/>
                <w:sz w:val="18"/>
              </w:rPr>
              <w:t>Unclear</w:t>
            </w:r>
          </w:p>
        </w:tc>
        <w:tc>
          <w:tcPr>
            <w:tcW w:w="730" w:type="dxa"/>
            <w:tcBorders>
              <w:top w:val="single" w:sz="4" w:space="0" w:color="BFBFBF" w:themeColor="background1" w:themeShade="BF"/>
            </w:tcBorders>
            <w:tcMar>
              <w:top w:w="80" w:type="dxa"/>
              <w:left w:w="80" w:type="dxa"/>
              <w:bottom w:w="80" w:type="dxa"/>
              <w:right w:w="80" w:type="dxa"/>
            </w:tcMar>
            <w:vAlign w:val="center"/>
          </w:tcPr>
          <w:p w14:paraId="76903EA3" w14:textId="77777777" w:rsidR="007F435E" w:rsidRDefault="007F435E">
            <w:pPr>
              <w:jc w:val="center"/>
              <w:rPr>
                <w:rFonts w:hint="eastAsia"/>
              </w:rPr>
            </w:pPr>
            <w:r>
              <w:rPr>
                <w:rFonts w:ascii="Times New Roman" w:hAnsi="Times New Roman" w:cs="Times New Roman"/>
                <w:sz w:val="18"/>
              </w:rPr>
              <w:t>Yes</w:t>
            </w:r>
          </w:p>
        </w:tc>
        <w:tc>
          <w:tcPr>
            <w:tcW w:w="900" w:type="dxa"/>
            <w:tcBorders>
              <w:top w:val="single" w:sz="4" w:space="0" w:color="BFBFBF" w:themeColor="background1" w:themeShade="BF"/>
            </w:tcBorders>
            <w:tcMar>
              <w:top w:w="80" w:type="dxa"/>
              <w:left w:w="80" w:type="dxa"/>
              <w:bottom w:w="80" w:type="dxa"/>
              <w:right w:w="80" w:type="dxa"/>
            </w:tcMar>
            <w:vAlign w:val="center"/>
          </w:tcPr>
          <w:p w14:paraId="16BFDEBD" w14:textId="77777777" w:rsidR="007F435E" w:rsidRDefault="007F435E">
            <w:pPr>
              <w:jc w:val="center"/>
              <w:rPr>
                <w:rFonts w:hint="eastAsia"/>
              </w:rPr>
            </w:pPr>
            <w:r>
              <w:rPr>
                <w:rFonts w:ascii="Times New Roman" w:hAnsi="Times New Roman" w:cs="Times New Roman"/>
                <w:sz w:val="18"/>
              </w:rPr>
              <w:t>No</w:t>
            </w:r>
          </w:p>
        </w:tc>
        <w:tc>
          <w:tcPr>
            <w:tcW w:w="750" w:type="dxa"/>
            <w:tcBorders>
              <w:top w:val="single" w:sz="4" w:space="0" w:color="BFBFBF" w:themeColor="background1" w:themeShade="BF"/>
            </w:tcBorders>
            <w:tcMar>
              <w:top w:w="80" w:type="dxa"/>
              <w:left w:w="80" w:type="dxa"/>
              <w:bottom w:w="80" w:type="dxa"/>
              <w:right w:w="80" w:type="dxa"/>
            </w:tcMar>
            <w:vAlign w:val="center"/>
          </w:tcPr>
          <w:p w14:paraId="59D0C550" w14:textId="77777777" w:rsidR="007F435E" w:rsidRDefault="007F435E">
            <w:pPr>
              <w:jc w:val="center"/>
              <w:rPr>
                <w:rFonts w:hint="eastAsia"/>
              </w:rPr>
            </w:pPr>
            <w:r>
              <w:rPr>
                <w:rFonts w:ascii="Times New Roman" w:hAnsi="Times New Roman" w:cs="Times New Roman"/>
                <w:sz w:val="18"/>
              </w:rPr>
              <w:t>Exclude</w:t>
            </w:r>
          </w:p>
        </w:tc>
        <w:tc>
          <w:tcPr>
            <w:tcW w:w="9144" w:type="dxa"/>
            <w:tcBorders>
              <w:top w:val="single" w:sz="4" w:space="0" w:color="BFBFBF" w:themeColor="background1" w:themeShade="BF"/>
            </w:tcBorders>
            <w:tcMar>
              <w:top w:w="80" w:type="dxa"/>
              <w:left w:w="80" w:type="dxa"/>
              <w:bottom w:w="80" w:type="dxa"/>
              <w:right w:w="80" w:type="dxa"/>
            </w:tcMar>
            <w:vAlign w:val="center"/>
          </w:tcPr>
          <w:p w14:paraId="392E60EF" w14:textId="77777777" w:rsidR="007F435E" w:rsidRDefault="007F435E">
            <w:pPr>
              <w:jc w:val="left"/>
              <w:rPr>
                <w:rFonts w:hint="eastAsia"/>
              </w:rPr>
            </w:pPr>
            <w:r>
              <w:rPr>
                <w:rFonts w:ascii="Times New Roman" w:hAnsi="Times New Roman" w:cs="Times New Roman"/>
                <w:sz w:val="18"/>
              </w:rPr>
              <w:t>The Roberta IRONSIDE paper addresses social contact and physical coaching for dependent older people, but the argument remains project-oriented. Q4 is Unclear because the authors themselves note that the added value of robot technology is difficult to quantify, and the paper does not provide outcome validation. Q6 is No because unresolved inconsistencies about robot benefit are not critically addressed.</w:t>
            </w:r>
          </w:p>
        </w:tc>
      </w:tr>
      <w:tr w:rsidR="007F435E" w14:paraId="089FC783" w14:textId="77777777" w:rsidTr="007F435E">
        <w:tc>
          <w:tcPr>
            <w:tcW w:w="1364" w:type="dxa"/>
            <w:vMerge/>
            <w:tcMar>
              <w:top w:w="80" w:type="dxa"/>
              <w:left w:w="80" w:type="dxa"/>
              <w:bottom w:w="80" w:type="dxa"/>
              <w:right w:w="80" w:type="dxa"/>
            </w:tcMar>
            <w:vAlign w:val="center"/>
          </w:tcPr>
          <w:p w14:paraId="76BE3469" w14:textId="77777777" w:rsidR="007F435E" w:rsidRDefault="007F435E">
            <w:pPr>
              <w:jc w:val="center"/>
              <w:rPr>
                <w:rFonts w:hint="eastAsia"/>
              </w:rPr>
            </w:pPr>
          </w:p>
        </w:tc>
        <w:tc>
          <w:tcPr>
            <w:tcW w:w="460" w:type="dxa"/>
            <w:tcMar>
              <w:top w:w="80" w:type="dxa"/>
              <w:left w:w="80" w:type="dxa"/>
              <w:bottom w:w="80" w:type="dxa"/>
              <w:right w:w="80" w:type="dxa"/>
            </w:tcMar>
            <w:vAlign w:val="center"/>
          </w:tcPr>
          <w:p w14:paraId="79ED9840" w14:textId="77777777" w:rsidR="007F435E" w:rsidRDefault="007F435E">
            <w:pPr>
              <w:jc w:val="center"/>
              <w:rPr>
                <w:rFonts w:hint="eastAsia"/>
              </w:rPr>
            </w:pPr>
            <w:r>
              <w:rPr>
                <w:rFonts w:ascii="Times New Roman" w:hAnsi="Times New Roman" w:cs="Times New Roman"/>
                <w:sz w:val="18"/>
              </w:rPr>
              <w:t>R2</w:t>
            </w:r>
          </w:p>
        </w:tc>
        <w:tc>
          <w:tcPr>
            <w:tcW w:w="440" w:type="dxa"/>
            <w:tcMar>
              <w:top w:w="80" w:type="dxa"/>
              <w:left w:w="80" w:type="dxa"/>
              <w:bottom w:w="80" w:type="dxa"/>
              <w:right w:w="80" w:type="dxa"/>
            </w:tcMar>
            <w:vAlign w:val="center"/>
          </w:tcPr>
          <w:p w14:paraId="2AF6D60C"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5A7E5B81"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3C895934"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7C2FE499"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5461B113" w14:textId="77777777" w:rsidR="007F435E" w:rsidRDefault="007F435E">
            <w:pPr>
              <w:jc w:val="center"/>
              <w:rPr>
                <w:rFonts w:hint="eastAsia"/>
              </w:rPr>
            </w:pPr>
            <w:r>
              <w:rPr>
                <w:rFonts w:ascii="Times New Roman" w:hAnsi="Times New Roman" w:cs="Times New Roman"/>
                <w:sz w:val="18"/>
              </w:rPr>
              <w:t>Unclear</w:t>
            </w:r>
          </w:p>
        </w:tc>
        <w:tc>
          <w:tcPr>
            <w:tcW w:w="900" w:type="dxa"/>
            <w:tcMar>
              <w:top w:w="80" w:type="dxa"/>
              <w:left w:w="80" w:type="dxa"/>
              <w:bottom w:w="80" w:type="dxa"/>
              <w:right w:w="80" w:type="dxa"/>
            </w:tcMar>
            <w:vAlign w:val="center"/>
          </w:tcPr>
          <w:p w14:paraId="42D30A88"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3547DB13"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20AC2F50" w14:textId="77777777" w:rsidR="007F435E" w:rsidRDefault="007F435E">
            <w:pPr>
              <w:jc w:val="left"/>
              <w:rPr>
                <w:rFonts w:hint="eastAsia"/>
              </w:rPr>
            </w:pPr>
            <w:r>
              <w:rPr>
                <w:rFonts w:ascii="Times New Roman" w:hAnsi="Times New Roman" w:cs="Times New Roman"/>
                <w:sz w:val="18"/>
              </w:rPr>
              <w:t>The source and population focus are clear, and the robotic coach concept is relevant to aging at home or in sheltered settings. It was excluded because Q5 is Unclear: the references justify system components more than the claimed care benefit. Q6 is No because the paper does not resolve competing views about whether a robot adds value beyond non-robotic support.</w:t>
            </w:r>
          </w:p>
        </w:tc>
      </w:tr>
      <w:tr w:rsidR="007F435E" w14:paraId="5CE69FCF" w14:textId="77777777" w:rsidTr="007F435E">
        <w:tc>
          <w:tcPr>
            <w:tcW w:w="1364" w:type="dxa"/>
            <w:vMerge w:val="restart"/>
            <w:tcMar>
              <w:top w:w="80" w:type="dxa"/>
              <w:left w:w="80" w:type="dxa"/>
              <w:bottom w:w="80" w:type="dxa"/>
              <w:right w:w="80" w:type="dxa"/>
            </w:tcMar>
            <w:vAlign w:val="center"/>
          </w:tcPr>
          <w:p w14:paraId="74B5AFF3" w14:textId="77777777" w:rsidR="007F435E" w:rsidRDefault="007F435E">
            <w:pPr>
              <w:jc w:val="center"/>
              <w:rPr>
                <w:rFonts w:hint="eastAsia"/>
              </w:rPr>
            </w:pPr>
            <w:r>
              <w:rPr>
                <w:rFonts w:ascii="Times New Roman" w:hAnsi="Times New Roman" w:cs="Times New Roman"/>
                <w:sz w:val="18"/>
              </w:rPr>
              <w:t>(Spoladore et al., 2022)</w:t>
            </w:r>
          </w:p>
        </w:tc>
        <w:tc>
          <w:tcPr>
            <w:tcW w:w="460" w:type="dxa"/>
            <w:tcMar>
              <w:top w:w="80" w:type="dxa"/>
              <w:left w:w="80" w:type="dxa"/>
              <w:bottom w:w="80" w:type="dxa"/>
              <w:right w:w="80" w:type="dxa"/>
            </w:tcMar>
            <w:vAlign w:val="center"/>
          </w:tcPr>
          <w:p w14:paraId="792BE26D" w14:textId="77777777" w:rsidR="007F435E" w:rsidRDefault="007F435E">
            <w:pPr>
              <w:jc w:val="center"/>
              <w:rPr>
                <w:rFonts w:hint="eastAsia"/>
              </w:rPr>
            </w:pPr>
            <w:r>
              <w:rPr>
                <w:rFonts w:ascii="Times New Roman" w:hAnsi="Times New Roman" w:cs="Times New Roman"/>
                <w:sz w:val="18"/>
              </w:rPr>
              <w:t>R1</w:t>
            </w:r>
          </w:p>
        </w:tc>
        <w:tc>
          <w:tcPr>
            <w:tcW w:w="440" w:type="dxa"/>
            <w:tcMar>
              <w:top w:w="80" w:type="dxa"/>
              <w:left w:w="80" w:type="dxa"/>
              <w:bottom w:w="80" w:type="dxa"/>
              <w:right w:w="80" w:type="dxa"/>
            </w:tcMar>
            <w:vAlign w:val="center"/>
          </w:tcPr>
          <w:p w14:paraId="239A7832"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7801CEBB"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7864E174"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512A135B" w14:textId="77777777" w:rsidR="007F435E" w:rsidRDefault="007F435E">
            <w:pPr>
              <w:jc w:val="center"/>
              <w:rPr>
                <w:rFonts w:hint="eastAsia"/>
              </w:rPr>
            </w:pPr>
            <w:r>
              <w:rPr>
                <w:rFonts w:ascii="Times New Roman" w:hAnsi="Times New Roman" w:cs="Times New Roman"/>
                <w:sz w:val="18"/>
              </w:rPr>
              <w:t>Unclear</w:t>
            </w:r>
          </w:p>
        </w:tc>
        <w:tc>
          <w:tcPr>
            <w:tcW w:w="730" w:type="dxa"/>
            <w:tcMar>
              <w:top w:w="80" w:type="dxa"/>
              <w:left w:w="80" w:type="dxa"/>
              <w:bottom w:w="80" w:type="dxa"/>
              <w:right w:w="80" w:type="dxa"/>
            </w:tcMar>
            <w:vAlign w:val="center"/>
          </w:tcPr>
          <w:p w14:paraId="56355968" w14:textId="77777777" w:rsidR="007F435E" w:rsidRDefault="007F435E">
            <w:pPr>
              <w:jc w:val="center"/>
              <w:rPr>
                <w:rFonts w:hint="eastAsia"/>
              </w:rPr>
            </w:pPr>
            <w:r>
              <w:rPr>
                <w:rFonts w:ascii="Times New Roman" w:hAnsi="Times New Roman" w:cs="Times New Roman"/>
                <w:sz w:val="18"/>
              </w:rPr>
              <w:t>Yes</w:t>
            </w:r>
          </w:p>
        </w:tc>
        <w:tc>
          <w:tcPr>
            <w:tcW w:w="900" w:type="dxa"/>
            <w:tcMar>
              <w:top w:w="80" w:type="dxa"/>
              <w:left w:w="80" w:type="dxa"/>
              <w:bottom w:w="80" w:type="dxa"/>
              <w:right w:w="80" w:type="dxa"/>
            </w:tcMar>
            <w:vAlign w:val="center"/>
          </w:tcPr>
          <w:p w14:paraId="57B3D255"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2898E1C5"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0C1A02B5" w14:textId="77777777" w:rsidR="007F435E" w:rsidRDefault="007F435E">
            <w:pPr>
              <w:jc w:val="left"/>
              <w:rPr>
                <w:rFonts w:hint="eastAsia"/>
              </w:rPr>
            </w:pPr>
            <w:r>
              <w:rPr>
                <w:rFonts w:ascii="Times New Roman" w:hAnsi="Times New Roman" w:cs="Times New Roman"/>
                <w:sz w:val="18"/>
              </w:rPr>
              <w:t>DOMUS presents an ontology-managed ubiquitous system for frail dwellers and ADL support in smart homes. Q4 is Unclear because the paper mainly demonstrates semantic modelling and system integration, while evidence for improved autonomy or health outcomes remains limited. Q6 is No because the paper does not critically compare inconsistent smart-home or ontology evidence.</w:t>
            </w:r>
          </w:p>
        </w:tc>
      </w:tr>
      <w:tr w:rsidR="007F435E" w14:paraId="5CEC3A5F" w14:textId="77777777" w:rsidTr="007F435E">
        <w:tc>
          <w:tcPr>
            <w:tcW w:w="1364" w:type="dxa"/>
            <w:vMerge/>
            <w:tcMar>
              <w:top w:w="80" w:type="dxa"/>
              <w:left w:w="80" w:type="dxa"/>
              <w:bottom w:w="80" w:type="dxa"/>
              <w:right w:w="80" w:type="dxa"/>
            </w:tcMar>
            <w:vAlign w:val="center"/>
          </w:tcPr>
          <w:p w14:paraId="168DC209" w14:textId="77777777" w:rsidR="007F435E" w:rsidRDefault="007F435E">
            <w:pPr>
              <w:jc w:val="center"/>
              <w:rPr>
                <w:rFonts w:hint="eastAsia"/>
              </w:rPr>
            </w:pPr>
          </w:p>
        </w:tc>
        <w:tc>
          <w:tcPr>
            <w:tcW w:w="460" w:type="dxa"/>
            <w:tcMar>
              <w:top w:w="80" w:type="dxa"/>
              <w:left w:w="80" w:type="dxa"/>
              <w:bottom w:w="80" w:type="dxa"/>
              <w:right w:w="80" w:type="dxa"/>
            </w:tcMar>
            <w:vAlign w:val="center"/>
          </w:tcPr>
          <w:p w14:paraId="57599415" w14:textId="77777777" w:rsidR="007F435E" w:rsidRDefault="007F435E">
            <w:pPr>
              <w:jc w:val="center"/>
              <w:rPr>
                <w:rFonts w:hint="eastAsia"/>
              </w:rPr>
            </w:pPr>
            <w:r>
              <w:rPr>
                <w:rFonts w:ascii="Times New Roman" w:hAnsi="Times New Roman" w:cs="Times New Roman"/>
                <w:sz w:val="18"/>
              </w:rPr>
              <w:t>R2</w:t>
            </w:r>
          </w:p>
        </w:tc>
        <w:tc>
          <w:tcPr>
            <w:tcW w:w="440" w:type="dxa"/>
            <w:tcMar>
              <w:top w:w="80" w:type="dxa"/>
              <w:left w:w="80" w:type="dxa"/>
              <w:bottom w:w="80" w:type="dxa"/>
              <w:right w:w="80" w:type="dxa"/>
            </w:tcMar>
            <w:vAlign w:val="center"/>
          </w:tcPr>
          <w:p w14:paraId="2292C80A"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7410FC60"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4AAED96C"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30D7E977"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66243CEA" w14:textId="77777777" w:rsidR="007F435E" w:rsidRDefault="007F435E">
            <w:pPr>
              <w:jc w:val="center"/>
              <w:rPr>
                <w:rFonts w:hint="eastAsia"/>
              </w:rPr>
            </w:pPr>
            <w:r>
              <w:rPr>
                <w:rFonts w:ascii="Times New Roman" w:hAnsi="Times New Roman" w:cs="Times New Roman"/>
                <w:sz w:val="18"/>
              </w:rPr>
              <w:t>Unclear</w:t>
            </w:r>
          </w:p>
        </w:tc>
        <w:tc>
          <w:tcPr>
            <w:tcW w:w="900" w:type="dxa"/>
            <w:tcMar>
              <w:top w:w="80" w:type="dxa"/>
              <w:left w:w="80" w:type="dxa"/>
              <w:bottom w:w="80" w:type="dxa"/>
              <w:right w:w="80" w:type="dxa"/>
            </w:tcMar>
            <w:vAlign w:val="center"/>
          </w:tcPr>
          <w:p w14:paraId="1741D02D"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52DC08CA"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5E4A214C" w14:textId="77777777" w:rsidR="007F435E" w:rsidRDefault="007F435E">
            <w:pPr>
              <w:jc w:val="left"/>
              <w:rPr>
                <w:rFonts w:hint="eastAsia"/>
              </w:rPr>
            </w:pPr>
            <w:r>
              <w:rPr>
                <w:rFonts w:ascii="Times New Roman" w:hAnsi="Times New Roman" w:cs="Times New Roman"/>
                <w:sz w:val="18"/>
              </w:rPr>
              <w:t>The article is clearly situated in Ambient Assisted Living and smart-home research, but it is primarily a system and ontology paper. Q5 is Unclear because the literature supports the technical domains yet does not establish effectiveness for the DOMUS implementation, and Q6 is No because limitations or conflicting findings around smart-home assistance are not sufficiently examined.</w:t>
            </w:r>
          </w:p>
        </w:tc>
      </w:tr>
      <w:tr w:rsidR="007F435E" w14:paraId="4B670DA7" w14:textId="77777777" w:rsidTr="007F435E">
        <w:tc>
          <w:tcPr>
            <w:tcW w:w="1364" w:type="dxa"/>
            <w:vMerge w:val="restart"/>
            <w:tcMar>
              <w:top w:w="80" w:type="dxa"/>
              <w:left w:w="80" w:type="dxa"/>
              <w:bottom w:w="80" w:type="dxa"/>
              <w:right w:w="80" w:type="dxa"/>
            </w:tcMar>
            <w:vAlign w:val="center"/>
          </w:tcPr>
          <w:p w14:paraId="6D883F93" w14:textId="77777777" w:rsidR="007F435E" w:rsidRDefault="007F435E">
            <w:pPr>
              <w:jc w:val="center"/>
              <w:rPr>
                <w:rFonts w:hint="eastAsia"/>
              </w:rPr>
            </w:pPr>
            <w:r>
              <w:rPr>
                <w:rFonts w:ascii="Times New Roman" w:hAnsi="Times New Roman" w:cs="Times New Roman"/>
                <w:sz w:val="18"/>
              </w:rPr>
              <w:lastRenderedPageBreak/>
              <w:t>(Ujager et al., 2016)</w:t>
            </w:r>
          </w:p>
        </w:tc>
        <w:tc>
          <w:tcPr>
            <w:tcW w:w="460" w:type="dxa"/>
            <w:tcMar>
              <w:top w:w="80" w:type="dxa"/>
              <w:left w:w="80" w:type="dxa"/>
              <w:bottom w:w="80" w:type="dxa"/>
              <w:right w:w="80" w:type="dxa"/>
            </w:tcMar>
            <w:vAlign w:val="center"/>
          </w:tcPr>
          <w:p w14:paraId="1EFBEE47" w14:textId="77777777" w:rsidR="007F435E" w:rsidRDefault="007F435E">
            <w:pPr>
              <w:jc w:val="center"/>
              <w:rPr>
                <w:rFonts w:hint="eastAsia"/>
              </w:rPr>
            </w:pPr>
            <w:r>
              <w:rPr>
                <w:rFonts w:ascii="Times New Roman" w:hAnsi="Times New Roman" w:cs="Times New Roman"/>
                <w:sz w:val="18"/>
              </w:rPr>
              <w:t>R1</w:t>
            </w:r>
          </w:p>
        </w:tc>
        <w:tc>
          <w:tcPr>
            <w:tcW w:w="440" w:type="dxa"/>
            <w:tcMar>
              <w:top w:w="80" w:type="dxa"/>
              <w:left w:w="80" w:type="dxa"/>
              <w:bottom w:w="80" w:type="dxa"/>
              <w:right w:w="80" w:type="dxa"/>
            </w:tcMar>
            <w:vAlign w:val="center"/>
          </w:tcPr>
          <w:p w14:paraId="41F0E7A5"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51F37437"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03BE4291"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350C6D53" w14:textId="77777777" w:rsidR="007F435E" w:rsidRDefault="007F435E">
            <w:pPr>
              <w:jc w:val="center"/>
              <w:rPr>
                <w:rFonts w:hint="eastAsia"/>
              </w:rPr>
            </w:pPr>
            <w:r>
              <w:rPr>
                <w:rFonts w:ascii="Times New Roman" w:hAnsi="Times New Roman" w:cs="Times New Roman"/>
                <w:sz w:val="18"/>
              </w:rPr>
              <w:t>Unclear</w:t>
            </w:r>
          </w:p>
        </w:tc>
        <w:tc>
          <w:tcPr>
            <w:tcW w:w="730" w:type="dxa"/>
            <w:tcMar>
              <w:top w:w="80" w:type="dxa"/>
              <w:left w:w="80" w:type="dxa"/>
              <w:bottom w:w="80" w:type="dxa"/>
              <w:right w:w="80" w:type="dxa"/>
            </w:tcMar>
            <w:vAlign w:val="center"/>
          </w:tcPr>
          <w:p w14:paraId="38CAC8EB" w14:textId="77777777" w:rsidR="007F435E" w:rsidRDefault="007F435E">
            <w:pPr>
              <w:jc w:val="center"/>
              <w:rPr>
                <w:rFonts w:hint="eastAsia"/>
              </w:rPr>
            </w:pPr>
            <w:r>
              <w:rPr>
                <w:rFonts w:ascii="Times New Roman" w:hAnsi="Times New Roman" w:cs="Times New Roman"/>
                <w:sz w:val="18"/>
              </w:rPr>
              <w:t>Yes</w:t>
            </w:r>
          </w:p>
        </w:tc>
        <w:tc>
          <w:tcPr>
            <w:tcW w:w="900" w:type="dxa"/>
            <w:tcMar>
              <w:top w:w="80" w:type="dxa"/>
              <w:left w:w="80" w:type="dxa"/>
              <w:bottom w:w="80" w:type="dxa"/>
              <w:right w:w="80" w:type="dxa"/>
            </w:tcMar>
            <w:vAlign w:val="center"/>
          </w:tcPr>
          <w:p w14:paraId="568AA8F3"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20805A5B"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771713FF" w14:textId="77777777" w:rsidR="007F435E" w:rsidRDefault="007F435E">
            <w:pPr>
              <w:jc w:val="left"/>
              <w:rPr>
                <w:rFonts w:hint="eastAsia"/>
              </w:rPr>
            </w:pPr>
            <w:r>
              <w:rPr>
                <w:rFonts w:ascii="Times New Roman" w:hAnsi="Times New Roman" w:cs="Times New Roman"/>
                <w:sz w:val="18"/>
              </w:rPr>
              <w:t>This paper reviews wellness detection in smart homes and proposes an association-rules model for simple and complex activities. Q4 is Unclear because the proposed model is not supported by adequate participant-level validation for comprehensive elderly wellness. Q6 is No because the critical review identifies gaps but does not resolve inconsistent definitions, datasets, or activity-recognition assumptions.</w:t>
            </w:r>
          </w:p>
        </w:tc>
      </w:tr>
      <w:tr w:rsidR="007F435E" w14:paraId="507A7067" w14:textId="77777777" w:rsidTr="007F435E">
        <w:tc>
          <w:tcPr>
            <w:tcW w:w="1364" w:type="dxa"/>
            <w:vMerge/>
            <w:tcMar>
              <w:top w:w="80" w:type="dxa"/>
              <w:left w:w="80" w:type="dxa"/>
              <w:bottom w:w="80" w:type="dxa"/>
              <w:right w:w="80" w:type="dxa"/>
            </w:tcMar>
            <w:vAlign w:val="center"/>
          </w:tcPr>
          <w:p w14:paraId="4B83AEC9" w14:textId="77777777" w:rsidR="007F435E" w:rsidRDefault="007F435E">
            <w:pPr>
              <w:jc w:val="center"/>
              <w:rPr>
                <w:rFonts w:hint="eastAsia"/>
              </w:rPr>
            </w:pPr>
          </w:p>
        </w:tc>
        <w:tc>
          <w:tcPr>
            <w:tcW w:w="460" w:type="dxa"/>
            <w:tcMar>
              <w:top w:w="80" w:type="dxa"/>
              <w:left w:w="80" w:type="dxa"/>
              <w:bottom w:w="80" w:type="dxa"/>
              <w:right w:w="80" w:type="dxa"/>
            </w:tcMar>
            <w:vAlign w:val="center"/>
          </w:tcPr>
          <w:p w14:paraId="15D53D2C" w14:textId="77777777" w:rsidR="007F435E" w:rsidRDefault="007F435E">
            <w:pPr>
              <w:jc w:val="center"/>
              <w:rPr>
                <w:rFonts w:hint="eastAsia"/>
              </w:rPr>
            </w:pPr>
            <w:r>
              <w:rPr>
                <w:rFonts w:ascii="Times New Roman" w:hAnsi="Times New Roman" w:cs="Times New Roman"/>
                <w:sz w:val="18"/>
              </w:rPr>
              <w:t>R2</w:t>
            </w:r>
          </w:p>
        </w:tc>
        <w:tc>
          <w:tcPr>
            <w:tcW w:w="440" w:type="dxa"/>
            <w:tcMar>
              <w:top w:w="80" w:type="dxa"/>
              <w:left w:w="80" w:type="dxa"/>
              <w:bottom w:w="80" w:type="dxa"/>
              <w:right w:w="80" w:type="dxa"/>
            </w:tcMar>
            <w:vAlign w:val="center"/>
          </w:tcPr>
          <w:p w14:paraId="309886E5"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667BC4B9"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3536DCA0"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14BAC3CA"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5BF5D1CE" w14:textId="77777777" w:rsidR="007F435E" w:rsidRDefault="007F435E">
            <w:pPr>
              <w:jc w:val="center"/>
              <w:rPr>
                <w:rFonts w:hint="eastAsia"/>
              </w:rPr>
            </w:pPr>
            <w:r>
              <w:rPr>
                <w:rFonts w:ascii="Times New Roman" w:hAnsi="Times New Roman" w:cs="Times New Roman"/>
                <w:sz w:val="18"/>
              </w:rPr>
              <w:t>Unclear</w:t>
            </w:r>
          </w:p>
        </w:tc>
        <w:tc>
          <w:tcPr>
            <w:tcW w:w="900" w:type="dxa"/>
            <w:tcMar>
              <w:top w:w="80" w:type="dxa"/>
              <w:left w:w="80" w:type="dxa"/>
              <w:bottom w:w="80" w:type="dxa"/>
              <w:right w:w="80" w:type="dxa"/>
            </w:tcMar>
            <w:vAlign w:val="center"/>
          </w:tcPr>
          <w:p w14:paraId="007EB93C"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1894EDC5"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2472502C" w14:textId="77777777" w:rsidR="007F435E" w:rsidRDefault="007F435E">
            <w:pPr>
              <w:jc w:val="left"/>
              <w:rPr>
                <w:rFonts w:hint="eastAsia"/>
              </w:rPr>
            </w:pPr>
            <w:r>
              <w:rPr>
                <w:rFonts w:ascii="Times New Roman" w:hAnsi="Times New Roman" w:cs="Times New Roman"/>
                <w:sz w:val="18"/>
              </w:rPr>
              <w:t>The topic is relevant to independent living, but the paper is mainly a technique proposal built from a review of prior wellness and activity-recognition work. Q5 is Unclear because the supporting evidence is heterogeneous and not directly validated for the proposed complex-activity model, and Q6 is No because conflicting prior findings are summarized rather than critically reconciled.</w:t>
            </w:r>
          </w:p>
        </w:tc>
      </w:tr>
      <w:tr w:rsidR="007F435E" w14:paraId="7E42AF57" w14:textId="77777777" w:rsidTr="007F435E">
        <w:tc>
          <w:tcPr>
            <w:tcW w:w="1364" w:type="dxa"/>
            <w:vMerge w:val="restart"/>
            <w:tcMar>
              <w:top w:w="80" w:type="dxa"/>
              <w:left w:w="80" w:type="dxa"/>
              <w:bottom w:w="80" w:type="dxa"/>
              <w:right w:w="80" w:type="dxa"/>
            </w:tcMar>
            <w:vAlign w:val="center"/>
          </w:tcPr>
          <w:p w14:paraId="0436FB65" w14:textId="77777777" w:rsidR="007F435E" w:rsidRDefault="007F435E">
            <w:pPr>
              <w:jc w:val="center"/>
              <w:rPr>
                <w:rFonts w:hint="eastAsia"/>
              </w:rPr>
            </w:pPr>
            <w:r>
              <w:rPr>
                <w:rFonts w:ascii="Times New Roman" w:hAnsi="Times New Roman" w:cs="Times New Roman"/>
                <w:sz w:val="18"/>
              </w:rPr>
              <w:t>(Valero et al., 2014)</w:t>
            </w:r>
          </w:p>
        </w:tc>
        <w:tc>
          <w:tcPr>
            <w:tcW w:w="460" w:type="dxa"/>
            <w:tcMar>
              <w:top w:w="80" w:type="dxa"/>
              <w:left w:w="80" w:type="dxa"/>
              <w:bottom w:w="80" w:type="dxa"/>
              <w:right w:w="80" w:type="dxa"/>
            </w:tcMar>
            <w:vAlign w:val="center"/>
          </w:tcPr>
          <w:p w14:paraId="4C5716ED" w14:textId="77777777" w:rsidR="007F435E" w:rsidRDefault="007F435E">
            <w:pPr>
              <w:jc w:val="center"/>
              <w:rPr>
                <w:rFonts w:hint="eastAsia"/>
              </w:rPr>
            </w:pPr>
            <w:r>
              <w:rPr>
                <w:rFonts w:ascii="Times New Roman" w:hAnsi="Times New Roman" w:cs="Times New Roman"/>
                <w:sz w:val="18"/>
              </w:rPr>
              <w:t>R1</w:t>
            </w:r>
          </w:p>
        </w:tc>
        <w:tc>
          <w:tcPr>
            <w:tcW w:w="440" w:type="dxa"/>
            <w:tcMar>
              <w:top w:w="80" w:type="dxa"/>
              <w:left w:w="80" w:type="dxa"/>
              <w:bottom w:w="80" w:type="dxa"/>
              <w:right w:w="80" w:type="dxa"/>
            </w:tcMar>
            <w:vAlign w:val="center"/>
          </w:tcPr>
          <w:p w14:paraId="441755A5"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4E3D62B9"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24012D7F"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5C3B3641" w14:textId="77777777" w:rsidR="007F435E" w:rsidRDefault="007F435E">
            <w:pPr>
              <w:jc w:val="center"/>
              <w:rPr>
                <w:rFonts w:hint="eastAsia"/>
              </w:rPr>
            </w:pPr>
            <w:r>
              <w:rPr>
                <w:rFonts w:ascii="Times New Roman" w:hAnsi="Times New Roman" w:cs="Times New Roman"/>
                <w:sz w:val="18"/>
              </w:rPr>
              <w:t>Unclear</w:t>
            </w:r>
          </w:p>
        </w:tc>
        <w:tc>
          <w:tcPr>
            <w:tcW w:w="730" w:type="dxa"/>
            <w:tcMar>
              <w:top w:w="80" w:type="dxa"/>
              <w:left w:w="80" w:type="dxa"/>
              <w:bottom w:w="80" w:type="dxa"/>
              <w:right w:w="80" w:type="dxa"/>
            </w:tcMar>
            <w:vAlign w:val="center"/>
          </w:tcPr>
          <w:p w14:paraId="669D42A3" w14:textId="77777777" w:rsidR="007F435E" w:rsidRDefault="007F435E">
            <w:pPr>
              <w:jc w:val="center"/>
              <w:rPr>
                <w:rFonts w:hint="eastAsia"/>
              </w:rPr>
            </w:pPr>
            <w:r>
              <w:rPr>
                <w:rFonts w:ascii="Times New Roman" w:hAnsi="Times New Roman" w:cs="Times New Roman"/>
                <w:sz w:val="18"/>
              </w:rPr>
              <w:t>Yes</w:t>
            </w:r>
          </w:p>
        </w:tc>
        <w:tc>
          <w:tcPr>
            <w:tcW w:w="900" w:type="dxa"/>
            <w:tcMar>
              <w:top w:w="80" w:type="dxa"/>
              <w:left w:w="80" w:type="dxa"/>
              <w:bottom w:w="80" w:type="dxa"/>
              <w:right w:w="80" w:type="dxa"/>
            </w:tcMar>
            <w:vAlign w:val="center"/>
          </w:tcPr>
          <w:p w14:paraId="3A125E0D"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6DAEF5B5"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6C150A8D" w14:textId="77777777" w:rsidR="007F435E" w:rsidRDefault="007F435E">
            <w:pPr>
              <w:jc w:val="left"/>
              <w:rPr>
                <w:rFonts w:hint="eastAsia"/>
              </w:rPr>
            </w:pPr>
            <w:r>
              <w:rPr>
                <w:rFonts w:ascii="Times New Roman" w:hAnsi="Times New Roman" w:cs="Times New Roman"/>
                <w:sz w:val="18"/>
              </w:rPr>
              <w:t>The paper integrates biomedical telemonitoring, environmental sensing, accessibility, and authentication subsystems within the TALISMAN+ smart-home framework. Q4 is Unclear because the argument moves from technical integration to personal autonomy without robust older-adult outcome evaluation. Q6 is No because the paper does not critically discuss inconsistent evidence across the heterogeneous sensor and reasoning components.</w:t>
            </w:r>
          </w:p>
        </w:tc>
      </w:tr>
      <w:tr w:rsidR="007F435E" w14:paraId="6A505D8E" w14:textId="77777777" w:rsidTr="007F435E">
        <w:tc>
          <w:tcPr>
            <w:tcW w:w="1364" w:type="dxa"/>
            <w:vMerge/>
            <w:tcMar>
              <w:top w:w="80" w:type="dxa"/>
              <w:left w:w="80" w:type="dxa"/>
              <w:bottom w:w="80" w:type="dxa"/>
              <w:right w:w="80" w:type="dxa"/>
            </w:tcMar>
            <w:vAlign w:val="center"/>
          </w:tcPr>
          <w:p w14:paraId="5F4DA101" w14:textId="77777777" w:rsidR="007F435E" w:rsidRDefault="007F435E">
            <w:pPr>
              <w:jc w:val="center"/>
              <w:rPr>
                <w:rFonts w:hint="eastAsia"/>
              </w:rPr>
            </w:pPr>
          </w:p>
        </w:tc>
        <w:tc>
          <w:tcPr>
            <w:tcW w:w="460" w:type="dxa"/>
            <w:tcMar>
              <w:top w:w="80" w:type="dxa"/>
              <w:left w:w="80" w:type="dxa"/>
              <w:bottom w:w="80" w:type="dxa"/>
              <w:right w:w="80" w:type="dxa"/>
            </w:tcMar>
            <w:vAlign w:val="center"/>
          </w:tcPr>
          <w:p w14:paraId="40267BB4" w14:textId="77777777" w:rsidR="007F435E" w:rsidRDefault="007F435E">
            <w:pPr>
              <w:jc w:val="center"/>
              <w:rPr>
                <w:rFonts w:hint="eastAsia"/>
              </w:rPr>
            </w:pPr>
            <w:r>
              <w:rPr>
                <w:rFonts w:ascii="Times New Roman" w:hAnsi="Times New Roman" w:cs="Times New Roman"/>
                <w:sz w:val="18"/>
              </w:rPr>
              <w:t>R2</w:t>
            </w:r>
          </w:p>
        </w:tc>
        <w:tc>
          <w:tcPr>
            <w:tcW w:w="440" w:type="dxa"/>
            <w:tcMar>
              <w:top w:w="80" w:type="dxa"/>
              <w:left w:w="80" w:type="dxa"/>
              <w:bottom w:w="80" w:type="dxa"/>
              <w:right w:w="80" w:type="dxa"/>
            </w:tcMar>
            <w:vAlign w:val="center"/>
          </w:tcPr>
          <w:p w14:paraId="1F648827"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6EC7F8E3" w14:textId="77777777" w:rsidR="007F435E" w:rsidRDefault="007F435E">
            <w:pPr>
              <w:jc w:val="center"/>
              <w:rPr>
                <w:rFonts w:hint="eastAsia"/>
              </w:rPr>
            </w:pPr>
            <w:r>
              <w:rPr>
                <w:rFonts w:ascii="Times New Roman" w:hAnsi="Times New Roman" w:cs="Times New Roman"/>
                <w:sz w:val="18"/>
              </w:rPr>
              <w:t>Yes</w:t>
            </w:r>
          </w:p>
        </w:tc>
        <w:tc>
          <w:tcPr>
            <w:tcW w:w="440" w:type="dxa"/>
            <w:tcMar>
              <w:top w:w="80" w:type="dxa"/>
              <w:left w:w="80" w:type="dxa"/>
              <w:bottom w:w="80" w:type="dxa"/>
              <w:right w:w="80" w:type="dxa"/>
            </w:tcMar>
            <w:vAlign w:val="center"/>
          </w:tcPr>
          <w:p w14:paraId="08A40990"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180F9EC6" w14:textId="77777777" w:rsidR="007F435E" w:rsidRDefault="007F435E">
            <w:pPr>
              <w:jc w:val="center"/>
              <w:rPr>
                <w:rFonts w:hint="eastAsia"/>
              </w:rPr>
            </w:pPr>
            <w:r>
              <w:rPr>
                <w:rFonts w:ascii="Times New Roman" w:hAnsi="Times New Roman" w:cs="Times New Roman"/>
                <w:sz w:val="18"/>
              </w:rPr>
              <w:t>Yes</w:t>
            </w:r>
          </w:p>
        </w:tc>
        <w:tc>
          <w:tcPr>
            <w:tcW w:w="730" w:type="dxa"/>
            <w:tcMar>
              <w:top w:w="80" w:type="dxa"/>
              <w:left w:w="80" w:type="dxa"/>
              <w:bottom w:w="80" w:type="dxa"/>
              <w:right w:w="80" w:type="dxa"/>
            </w:tcMar>
            <w:vAlign w:val="center"/>
          </w:tcPr>
          <w:p w14:paraId="2A4AD405" w14:textId="77777777" w:rsidR="007F435E" w:rsidRDefault="007F435E">
            <w:pPr>
              <w:jc w:val="center"/>
              <w:rPr>
                <w:rFonts w:hint="eastAsia"/>
              </w:rPr>
            </w:pPr>
            <w:r>
              <w:rPr>
                <w:rFonts w:ascii="Times New Roman" w:hAnsi="Times New Roman" w:cs="Times New Roman"/>
                <w:sz w:val="18"/>
              </w:rPr>
              <w:t>Unclear</w:t>
            </w:r>
          </w:p>
        </w:tc>
        <w:tc>
          <w:tcPr>
            <w:tcW w:w="900" w:type="dxa"/>
            <w:tcMar>
              <w:top w:w="80" w:type="dxa"/>
              <w:left w:w="80" w:type="dxa"/>
              <w:bottom w:w="80" w:type="dxa"/>
              <w:right w:w="80" w:type="dxa"/>
            </w:tcMar>
            <w:vAlign w:val="center"/>
          </w:tcPr>
          <w:p w14:paraId="13B47F3D" w14:textId="77777777" w:rsidR="007F435E" w:rsidRDefault="007F435E">
            <w:pPr>
              <w:jc w:val="center"/>
              <w:rPr>
                <w:rFonts w:hint="eastAsia"/>
              </w:rPr>
            </w:pPr>
            <w:r>
              <w:rPr>
                <w:rFonts w:ascii="Times New Roman" w:hAnsi="Times New Roman" w:cs="Times New Roman"/>
                <w:sz w:val="18"/>
              </w:rPr>
              <w:t>No</w:t>
            </w:r>
          </w:p>
        </w:tc>
        <w:tc>
          <w:tcPr>
            <w:tcW w:w="750" w:type="dxa"/>
            <w:tcMar>
              <w:top w:w="80" w:type="dxa"/>
              <w:left w:w="80" w:type="dxa"/>
              <w:bottom w:w="80" w:type="dxa"/>
              <w:right w:w="80" w:type="dxa"/>
            </w:tcMar>
            <w:vAlign w:val="center"/>
          </w:tcPr>
          <w:p w14:paraId="0E81FC36" w14:textId="77777777" w:rsidR="007F435E" w:rsidRDefault="007F435E">
            <w:pPr>
              <w:jc w:val="center"/>
              <w:rPr>
                <w:rFonts w:hint="eastAsia"/>
              </w:rPr>
            </w:pPr>
            <w:r>
              <w:rPr>
                <w:rFonts w:ascii="Times New Roman" w:hAnsi="Times New Roman" w:cs="Times New Roman"/>
                <w:sz w:val="18"/>
              </w:rPr>
              <w:t>Exclude</w:t>
            </w:r>
          </w:p>
        </w:tc>
        <w:tc>
          <w:tcPr>
            <w:tcW w:w="9144" w:type="dxa"/>
            <w:tcMar>
              <w:top w:w="80" w:type="dxa"/>
              <w:left w:w="80" w:type="dxa"/>
              <w:bottom w:w="80" w:type="dxa"/>
              <w:right w:w="80" w:type="dxa"/>
            </w:tcMar>
            <w:vAlign w:val="center"/>
          </w:tcPr>
          <w:p w14:paraId="2BB56E2C" w14:textId="77777777" w:rsidR="007F435E" w:rsidRDefault="007F435E">
            <w:pPr>
              <w:jc w:val="left"/>
              <w:rPr>
                <w:rFonts w:hint="eastAsia"/>
              </w:rPr>
            </w:pPr>
            <w:r>
              <w:rPr>
                <w:rFonts w:ascii="Times New Roman" w:hAnsi="Times New Roman" w:cs="Times New Roman"/>
                <w:sz w:val="18"/>
              </w:rPr>
              <w:t>The smart-home integration is relevant and technically detailed, but it provides system-level validation more than defensible evidence of aging-in-place benefit. Q5 is Unclear because the cited literature supports component choices rather than the combined framework's effectiveness, and Q6 is No because competing limitations in multisensor reasoning and privacy-preserving monitoring are not explicitly resolved.</w:t>
            </w:r>
          </w:p>
        </w:tc>
      </w:tr>
    </w:tbl>
    <w:p w14:paraId="28220D0B" w14:textId="77777777" w:rsidR="004D4E9C" w:rsidRDefault="004D4E9C" w:rsidP="00454A54">
      <w:pPr>
        <w:rPr>
          <w:rFonts w:hint="eastAsia"/>
        </w:rPr>
      </w:pPr>
    </w:p>
    <w:p w14:paraId="3D5B2D85" w14:textId="77777777" w:rsidR="004D4E9C" w:rsidRDefault="004D4E9C" w:rsidP="00454A54">
      <w:pPr>
        <w:rPr>
          <w:rFonts w:hint="eastAsia"/>
        </w:rPr>
      </w:pPr>
    </w:p>
    <w:p w14:paraId="6DEE2EF1" w14:textId="77777777" w:rsidR="004D4E9C" w:rsidRDefault="007D2DDD" w:rsidP="007D2DDD">
      <w:pPr>
        <w:widowControl/>
        <w:spacing w:after="160" w:line="278" w:lineRule="auto"/>
        <w:jc w:val="left"/>
        <w:rPr>
          <w:rFonts w:hint="eastAsia"/>
        </w:rPr>
      </w:pPr>
      <w:r>
        <w:rPr>
          <w:rFonts w:ascii="Times New Roman" w:hAnsi="Times New Roman" w:hint="eastAsia"/>
        </w:rPr>
        <w:br w:type="page"/>
      </w:r>
    </w:p>
    <w:p w14:paraId="658BB568" w14:textId="5D509D7E" w:rsidR="00313DE6" w:rsidRPr="00313DE6" w:rsidRDefault="005B4CDC" w:rsidP="00313DE6">
      <w:pPr>
        <w:jc w:val="left"/>
        <w:rPr>
          <w:rFonts w:ascii="Times New Roman" w:hAnsi="Times New Roman" w:cs="Times New Roman"/>
        </w:rPr>
      </w:pPr>
      <w:r>
        <w:rPr>
          <w:rFonts w:ascii="Times New Roman" w:hAnsi="Times New Roman" w:cs="Times New Roman"/>
          <w:b/>
          <w:bCs/>
          <w:sz w:val="24"/>
          <w:szCs w:val="24"/>
        </w:rPr>
        <w:lastRenderedPageBreak/>
        <w:t>C7</w:t>
      </w:r>
      <w:r w:rsidR="00313DE6">
        <w:rPr>
          <w:rFonts w:ascii="Times New Roman" w:hAnsi="Times New Roman" w:cs="Times New Roman"/>
          <w:b/>
          <w:bCs/>
          <w:sz w:val="24"/>
          <w:szCs w:val="24"/>
        </w:rPr>
        <w:t>. Mixed-Methods Research</w:t>
      </w:r>
    </w:p>
    <w:p w14:paraId="3BBB3950" w14:textId="17456557" w:rsidR="00313DE6" w:rsidRPr="00313DE6" w:rsidRDefault="00313DE6" w:rsidP="00313DE6">
      <w:pPr>
        <w:jc w:val="left"/>
        <w:rPr>
          <w:rFonts w:ascii="Times New Roman" w:hAnsi="Times New Roman" w:cs="Times New Roman"/>
        </w:rPr>
      </w:pPr>
      <w:r>
        <w:rPr>
          <w:rFonts w:ascii="Times New Roman" w:hAnsi="Times New Roman" w:cs="Times New Roman"/>
        </w:rPr>
        <w:t xml:space="preserve">The risk of bias in mixed-methods research was rigorously appraised using the Mixed Methods Appraisal Tool (MMAT) version 2018 (Hong et al., 2018). </w:t>
      </w:r>
      <w:r>
        <w:rPr>
          <w:rFonts w:ascii="Times New Roman" w:hAnsi="Times New Roman" w:cs="Times New Roman"/>
          <w:b/>
          <w:bCs/>
        </w:rPr>
        <w:t xml:space="preserve">Table </w:t>
      </w:r>
      <w:r w:rsidR="005B4CDC">
        <w:rPr>
          <w:rFonts w:ascii="Times New Roman" w:hAnsi="Times New Roman" w:cs="Times New Roman"/>
          <w:b/>
          <w:bCs/>
        </w:rPr>
        <w:t>C7</w:t>
      </w:r>
      <w:r>
        <w:rPr>
          <w:rFonts w:ascii="Times New Roman" w:hAnsi="Times New Roman" w:cs="Times New Roman"/>
        </w:rPr>
        <w:t xml:space="preserve"> delineates the detailed evaluation results based on the corresponding MMAT guidelines.</w:t>
      </w:r>
    </w:p>
    <w:p w14:paraId="1892866F" w14:textId="77777777" w:rsidR="00085735" w:rsidRDefault="004D4E9C" w:rsidP="00342344">
      <w:pPr>
        <w:jc w:val="center"/>
        <w:rPr>
          <w:rFonts w:hint="eastAsia"/>
        </w:rPr>
      </w:pPr>
      <w:r>
        <w:rPr>
          <w:rFonts w:ascii="Times New Roman" w:hAnsi="Times New Roman"/>
          <w:noProof/>
        </w:rPr>
        <w:drawing>
          <wp:inline distT="0" distB="0" distL="0" distR="0" wp14:anchorId="072CC3A2" wp14:editId="0637403C">
            <wp:extent cx="9270748" cy="4536032"/>
            <wp:effectExtent l="0" t="0" r="6985" b="0"/>
            <wp:docPr id="20766330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633081" name=""/>
                    <pic:cNvPicPr/>
                  </pic:nvPicPr>
                  <pic:blipFill>
                    <a:blip r:embed="rId8"/>
                    <a:stretch>
                      <a:fillRect/>
                    </a:stretch>
                  </pic:blipFill>
                  <pic:spPr>
                    <a:xfrm>
                      <a:off x="0" y="0"/>
                      <a:ext cx="9279966" cy="4540542"/>
                    </a:xfrm>
                    <a:prstGeom prst="rect">
                      <a:avLst/>
                    </a:prstGeom>
                  </pic:spPr>
                </pic:pic>
              </a:graphicData>
            </a:graphic>
          </wp:inline>
        </w:drawing>
      </w:r>
    </w:p>
    <w:p w14:paraId="483C1808" w14:textId="3235789C" w:rsidR="00342344" w:rsidRDefault="004D4E9C" w:rsidP="00342344">
      <w:pPr>
        <w:jc w:val="center"/>
        <w:rPr>
          <w:rFonts w:ascii="Times New Roman" w:hAnsi="Times New Roman" w:cs="Times New Roman"/>
          <w:sz w:val="24"/>
          <w:szCs w:val="24"/>
        </w:rPr>
      </w:pPr>
      <w:r>
        <w:rPr>
          <w:rFonts w:ascii="Times New Roman" w:hAnsi="Times New Roman" w:cs="Times New Roman" w:hint="eastAsia"/>
          <w:b/>
          <w:bCs/>
          <w:sz w:val="24"/>
          <w:szCs w:val="24"/>
        </w:rPr>
        <w:t xml:space="preserve">Figure </w:t>
      </w:r>
      <w:r w:rsidR="008B68BF">
        <w:rPr>
          <w:rFonts w:ascii="Times New Roman" w:hAnsi="Times New Roman" w:cs="Times New Roman" w:hint="eastAsia"/>
          <w:b/>
          <w:bCs/>
          <w:sz w:val="24"/>
          <w:szCs w:val="24"/>
        </w:rPr>
        <w:t>C</w:t>
      </w:r>
      <w:r>
        <w:rPr>
          <w:rFonts w:ascii="Times New Roman" w:hAnsi="Times New Roman" w:cs="Times New Roman" w:hint="eastAsia"/>
          <w:b/>
          <w:bCs/>
          <w:sz w:val="24"/>
          <w:szCs w:val="24"/>
        </w:rPr>
        <w:t xml:space="preserve">1. </w:t>
      </w:r>
      <w:r>
        <w:rPr>
          <w:rFonts w:ascii="Times New Roman" w:hAnsi="Times New Roman" w:cs="Times New Roman"/>
          <w:sz w:val="24"/>
          <w:szCs w:val="24"/>
        </w:rPr>
        <w:t>Mixed Methods Appraisal Too</w:t>
      </w:r>
      <w:r>
        <w:rPr>
          <w:rFonts w:ascii="Times New Roman" w:hAnsi="Times New Roman" w:cs="Times New Roman" w:hint="eastAsia"/>
          <w:sz w:val="24"/>
          <w:szCs w:val="24"/>
        </w:rPr>
        <w:t>l (MMAT)</w:t>
      </w:r>
    </w:p>
    <w:p w14:paraId="4472BE3A" w14:textId="77777777" w:rsidR="00342344" w:rsidRPr="007E7D18" w:rsidRDefault="00342344" w:rsidP="00342344">
      <w:pPr>
        <w:jc w:val="center"/>
        <w:rPr>
          <w:rFonts w:ascii="Times New Roman" w:hAnsi="Times New Roman" w:cs="Times New Roman"/>
          <w:sz w:val="24"/>
          <w:szCs w:val="24"/>
        </w:rPr>
      </w:pPr>
    </w:p>
    <w:p w14:paraId="00F89050" w14:textId="20C17619" w:rsidR="008A5FFB" w:rsidRPr="00050E07" w:rsidRDefault="00050E07" w:rsidP="00050E07">
      <w:pPr>
        <w:jc w:val="center"/>
        <w:rPr>
          <w:rFonts w:ascii="Times New Roman" w:hAnsi="Times New Roman" w:cs="Times New Roman"/>
          <w:sz w:val="24"/>
          <w:szCs w:val="28"/>
        </w:rPr>
      </w:pPr>
      <w:r>
        <w:rPr>
          <w:rFonts w:ascii="Times New Roman" w:hAnsi="Times New Roman" w:cs="Times New Roman" w:hint="eastAsia"/>
          <w:b/>
          <w:bCs/>
          <w:sz w:val="24"/>
          <w:szCs w:val="28"/>
        </w:rPr>
        <w:t xml:space="preserve">Table </w:t>
      </w:r>
      <w:r w:rsidR="005B4CDC">
        <w:rPr>
          <w:rFonts w:ascii="Times New Roman" w:hAnsi="Times New Roman" w:cs="Times New Roman" w:hint="eastAsia"/>
          <w:b/>
          <w:bCs/>
          <w:sz w:val="24"/>
          <w:szCs w:val="28"/>
        </w:rPr>
        <w:t>C7</w:t>
      </w:r>
      <w:r>
        <w:rPr>
          <w:rFonts w:ascii="Times New Roman" w:hAnsi="Times New Roman" w:cs="Times New Roman" w:hint="eastAsia"/>
          <w:b/>
          <w:bCs/>
          <w:sz w:val="24"/>
          <w:szCs w:val="28"/>
        </w:rPr>
        <w:t>.</w:t>
      </w:r>
      <w:r>
        <w:rPr>
          <w:rFonts w:ascii="Times New Roman" w:hAnsi="Times New Roman" w:cs="Times New Roman" w:hint="eastAsia"/>
          <w:sz w:val="24"/>
          <w:szCs w:val="28"/>
        </w:rPr>
        <w:t xml:space="preserve"> MMAT Guidelines on the Assessment of Risk of Bias in Mixed-Methods Research Papers</w:t>
      </w:r>
    </w:p>
    <w:tbl>
      <w:tblPr>
        <w:tblStyle w:val="af3"/>
        <w:tblW w:w="0" w:type="auto"/>
        <w:tblLayout w:type="fixed"/>
        <w:tblLook w:val="04A0" w:firstRow="1" w:lastRow="0" w:firstColumn="1" w:lastColumn="0" w:noHBand="0" w:noVBand="1"/>
      </w:tblPr>
      <w:tblGrid>
        <w:gridCol w:w="1696"/>
        <w:gridCol w:w="567"/>
        <w:gridCol w:w="1560"/>
        <w:gridCol w:w="1490"/>
        <w:gridCol w:w="576"/>
        <w:gridCol w:w="769"/>
        <w:gridCol w:w="653"/>
        <w:gridCol w:w="576"/>
        <w:gridCol w:w="576"/>
        <w:gridCol w:w="526"/>
        <w:gridCol w:w="754"/>
        <w:gridCol w:w="526"/>
        <w:gridCol w:w="754"/>
        <w:gridCol w:w="526"/>
        <w:gridCol w:w="565"/>
        <w:gridCol w:w="564"/>
        <w:gridCol w:w="564"/>
        <w:gridCol w:w="826"/>
        <w:gridCol w:w="564"/>
        <w:gridCol w:w="756"/>
      </w:tblGrid>
      <w:tr w:rsidR="00C432CC" w:rsidRPr="00036F81" w14:paraId="65BE8D7D" w14:textId="77777777" w:rsidTr="00E3003F">
        <w:trPr>
          <w:trHeight w:val="283"/>
          <w:tblHeader/>
        </w:trPr>
        <w:tc>
          <w:tcPr>
            <w:tcW w:w="1696"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5AC50D5A" w14:textId="77777777" w:rsidR="00C432CC" w:rsidRPr="00120633" w:rsidRDefault="00C432CC" w:rsidP="00C432CC">
            <w:pPr>
              <w:widowControl/>
              <w:jc w:val="center"/>
              <w:rPr>
                <w:rFonts w:ascii="宋体" w:eastAsia="宋体" w:hAnsi="宋体" w:cs="宋体" w:hint="eastAsia"/>
                <w:kern w:val="0"/>
                <w:sz w:val="18"/>
                <w:szCs w:val="18"/>
                <w14:ligatures w14:val="none"/>
              </w:rPr>
            </w:pPr>
          </w:p>
        </w:tc>
        <w:tc>
          <w:tcPr>
            <w:tcW w:w="567"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549E09B1"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Rev</w:t>
            </w:r>
          </w:p>
        </w:tc>
        <w:tc>
          <w:tcPr>
            <w:tcW w:w="1560"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4DE6A1FE"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S1</w:t>
            </w:r>
          </w:p>
        </w:tc>
        <w:tc>
          <w:tcPr>
            <w:tcW w:w="1490"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23E16D2F"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S2</w:t>
            </w:r>
          </w:p>
        </w:tc>
        <w:tc>
          <w:tcPr>
            <w:tcW w:w="576"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1A266ABC"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1.1</w:t>
            </w:r>
          </w:p>
        </w:tc>
        <w:tc>
          <w:tcPr>
            <w:tcW w:w="769"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4ED96CC9"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1.2</w:t>
            </w:r>
          </w:p>
        </w:tc>
        <w:tc>
          <w:tcPr>
            <w:tcW w:w="653"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062F4798"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1.3</w:t>
            </w:r>
          </w:p>
        </w:tc>
        <w:tc>
          <w:tcPr>
            <w:tcW w:w="576"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5EDA4D43"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1.4</w:t>
            </w:r>
          </w:p>
        </w:tc>
        <w:tc>
          <w:tcPr>
            <w:tcW w:w="576"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77D2E245"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1.5</w:t>
            </w:r>
          </w:p>
        </w:tc>
        <w:tc>
          <w:tcPr>
            <w:tcW w:w="526"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703F7696"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4.1</w:t>
            </w:r>
          </w:p>
        </w:tc>
        <w:tc>
          <w:tcPr>
            <w:tcW w:w="754"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4DB54CB5"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4.2</w:t>
            </w:r>
          </w:p>
        </w:tc>
        <w:tc>
          <w:tcPr>
            <w:tcW w:w="526"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3F4C8B1A"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4.3</w:t>
            </w:r>
          </w:p>
        </w:tc>
        <w:tc>
          <w:tcPr>
            <w:tcW w:w="754"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76814BFE"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4.4</w:t>
            </w:r>
          </w:p>
        </w:tc>
        <w:tc>
          <w:tcPr>
            <w:tcW w:w="526"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594D5086"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4.5</w:t>
            </w:r>
          </w:p>
        </w:tc>
        <w:tc>
          <w:tcPr>
            <w:tcW w:w="565"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06170B43"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5.1</w:t>
            </w:r>
          </w:p>
        </w:tc>
        <w:tc>
          <w:tcPr>
            <w:tcW w:w="564"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3D17B001"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5.2</w:t>
            </w:r>
          </w:p>
        </w:tc>
        <w:tc>
          <w:tcPr>
            <w:tcW w:w="564"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50C7E5B6"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5.3</w:t>
            </w:r>
          </w:p>
        </w:tc>
        <w:tc>
          <w:tcPr>
            <w:tcW w:w="826"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1FC45EAC"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5.4</w:t>
            </w:r>
          </w:p>
        </w:tc>
        <w:tc>
          <w:tcPr>
            <w:tcW w:w="564"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4B70A102" w14:textId="77777777" w:rsidR="00C432CC" w:rsidRPr="00120633" w:rsidRDefault="00C432CC"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5.5</w:t>
            </w:r>
          </w:p>
        </w:tc>
        <w:tc>
          <w:tcPr>
            <w:tcW w:w="756" w:type="dxa"/>
            <w:tcBorders>
              <w:top w:val="single" w:sz="8" w:space="0" w:color="auto"/>
              <w:left w:val="nil"/>
              <w:bottom w:val="single" w:sz="8" w:space="0" w:color="auto"/>
              <w:right w:val="nil"/>
            </w:tcBorders>
            <w:noWrap/>
            <w:tcMar>
              <w:top w:w="80" w:type="dxa"/>
              <w:left w:w="80" w:type="dxa"/>
              <w:bottom w:w="80" w:type="dxa"/>
              <w:right w:w="80" w:type="dxa"/>
            </w:tcMar>
            <w:vAlign w:val="center"/>
            <w:hideMark/>
          </w:tcPr>
          <w:p w14:paraId="3ADDB03B" w14:textId="77777777" w:rsidR="00C432CC" w:rsidRPr="00120633" w:rsidRDefault="00C432CC" w:rsidP="00C432CC">
            <w:pPr>
              <w:widowControl/>
              <w:jc w:val="center"/>
              <w:rPr>
                <w:rFonts w:ascii="Times New Roman" w:eastAsia="等线" w:hAnsi="Times New Roman" w:cs="Times New Roman"/>
                <w:b/>
                <w:bCs/>
                <w:color w:val="000000"/>
                <w:kern w:val="0"/>
                <w:sz w:val="18"/>
                <w:szCs w:val="18"/>
                <w14:ligatures w14:val="none"/>
              </w:rPr>
            </w:pPr>
            <w:r>
              <w:rPr>
                <w:rFonts w:ascii="Times New Roman" w:eastAsia="等线" w:hAnsi="Times New Roman" w:cs="Times New Roman"/>
                <w:b/>
                <w:bCs/>
                <w:color w:val="000000"/>
                <w:kern w:val="0"/>
                <w:sz w:val="18"/>
                <w:szCs w:val="18"/>
                <w14:ligatures w14:val="none"/>
              </w:rPr>
              <w:t>OA</w:t>
            </w:r>
          </w:p>
        </w:tc>
      </w:tr>
      <w:tr w:rsidR="00DF0001" w:rsidRPr="00036F81" w14:paraId="41C50CE1" w14:textId="77777777" w:rsidTr="00E3003F">
        <w:trPr>
          <w:trHeight w:val="283"/>
        </w:trPr>
        <w:tc>
          <w:tcPr>
            <w:tcW w:w="1696" w:type="dxa"/>
            <w:vMerge w:val="restart"/>
            <w:tcBorders>
              <w:left w:val="nil"/>
            </w:tcBorders>
            <w:tcMar>
              <w:top w:w="80" w:type="dxa"/>
              <w:left w:w="80" w:type="dxa"/>
              <w:bottom w:w="80" w:type="dxa"/>
              <w:right w:w="80" w:type="dxa"/>
            </w:tcMar>
            <w:vAlign w:val="center"/>
            <w:hideMark/>
          </w:tcPr>
          <w:p w14:paraId="5A46EE3E" w14:textId="77777777" w:rsidR="00DF0001" w:rsidRPr="00120633" w:rsidRDefault="00DF0001" w:rsidP="00C432CC">
            <w:pPr>
              <w:jc w:val="center"/>
              <w:rPr>
                <w:rFonts w:ascii="Times New Roman" w:eastAsia="Times New Roman" w:hAnsi="Times New Roman" w:cs="Times New Roman"/>
                <w:kern w:val="0"/>
                <w:sz w:val="18"/>
                <w:szCs w:val="18"/>
                <w14:ligatures w14:val="none"/>
              </w:rPr>
            </w:pPr>
            <w:r>
              <w:rPr>
                <w:rFonts w:ascii="Times New Roman" w:eastAsia="等线" w:hAnsi="Times New Roman" w:cs="Times New Roman"/>
                <w:color w:val="000000"/>
                <w:kern w:val="0"/>
                <w:sz w:val="18"/>
                <w:szCs w:val="18"/>
                <w14:ligatures w14:val="none"/>
              </w:rPr>
              <w:t>(Alotaibi &amp; Alshahre, 2024)</w:t>
            </w:r>
          </w:p>
        </w:tc>
        <w:tc>
          <w:tcPr>
            <w:tcW w:w="567" w:type="dxa"/>
            <w:vMerge w:val="restart"/>
            <w:tcMar>
              <w:top w:w="80" w:type="dxa"/>
              <w:left w:w="80" w:type="dxa"/>
              <w:bottom w:w="80" w:type="dxa"/>
              <w:right w:w="80" w:type="dxa"/>
            </w:tcMar>
            <w:vAlign w:val="center"/>
            <w:hideMark/>
          </w:tcPr>
          <w:p w14:paraId="6E2EA7B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Mar>
              <w:top w:w="80" w:type="dxa"/>
              <w:left w:w="80" w:type="dxa"/>
              <w:bottom w:w="80" w:type="dxa"/>
              <w:right w:w="80" w:type="dxa"/>
            </w:tcMar>
            <w:vAlign w:val="center"/>
            <w:hideMark/>
          </w:tcPr>
          <w:p w14:paraId="0EE45C7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69BB096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4765AB8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22717F4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772DAE7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E8A46D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09CBC66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6987F8C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2060829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317F154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73601BA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Can’t tell</w:t>
            </w:r>
          </w:p>
        </w:tc>
        <w:tc>
          <w:tcPr>
            <w:tcW w:w="526" w:type="dxa"/>
            <w:tcMar>
              <w:top w:w="80" w:type="dxa"/>
              <w:left w:w="80" w:type="dxa"/>
              <w:bottom w:w="80" w:type="dxa"/>
              <w:right w:w="80" w:type="dxa"/>
            </w:tcMar>
            <w:vAlign w:val="center"/>
            <w:hideMark/>
          </w:tcPr>
          <w:p w14:paraId="491103B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2CC7A89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029B9C6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26CBABF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6E91752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Can’t tell</w:t>
            </w:r>
          </w:p>
        </w:tc>
        <w:tc>
          <w:tcPr>
            <w:tcW w:w="564" w:type="dxa"/>
            <w:tcMar>
              <w:top w:w="80" w:type="dxa"/>
              <w:left w:w="80" w:type="dxa"/>
              <w:bottom w:w="80" w:type="dxa"/>
              <w:right w:w="80" w:type="dxa"/>
            </w:tcMar>
            <w:vAlign w:val="center"/>
            <w:hideMark/>
          </w:tcPr>
          <w:p w14:paraId="5D4765A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1712A809"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514745E6" w14:textId="77777777" w:rsidTr="00E3003F">
        <w:trPr>
          <w:trHeight w:val="1132"/>
        </w:trPr>
        <w:tc>
          <w:tcPr>
            <w:tcW w:w="1696" w:type="dxa"/>
            <w:vMerge/>
            <w:tcBorders>
              <w:left w:val="nil"/>
            </w:tcBorders>
            <w:noWrap/>
            <w:hideMark/>
          </w:tcPr>
          <w:p w14:paraId="3F8BE2A3"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74826B51"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4A5BF60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Clear aims </w:t>
            </w:r>
          </w:p>
          <w:p w14:paraId="44FAC1F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Survey data collected </w:t>
            </w:r>
          </w:p>
        </w:tc>
        <w:tc>
          <w:tcPr>
            <w:tcW w:w="3150" w:type="dxa"/>
            <w:gridSpan w:val="5"/>
            <w:tcMar>
              <w:top w:w="80" w:type="dxa"/>
              <w:left w:w="80" w:type="dxa"/>
              <w:bottom w:w="80" w:type="dxa"/>
              <w:right w:w="80" w:type="dxa"/>
            </w:tcMar>
            <w:vAlign w:val="center"/>
            <w:hideMark/>
          </w:tcPr>
          <w:p w14:paraId="62EFDC8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Thematic analysis used </w:t>
            </w:r>
          </w:p>
          <w:p w14:paraId="26EBD89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Open-ended replies </w:t>
            </w:r>
          </w:p>
          <w:p w14:paraId="40E0355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Themes drawn from text </w:t>
            </w:r>
          </w:p>
          <w:p w14:paraId="746B8F2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Interpretations substantiated </w:t>
            </w:r>
          </w:p>
          <w:p w14:paraId="5D5F42ED"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Coherent structure </w:t>
            </w:r>
          </w:p>
        </w:tc>
        <w:tc>
          <w:tcPr>
            <w:tcW w:w="3086" w:type="dxa"/>
            <w:gridSpan w:val="5"/>
            <w:tcMar>
              <w:top w:w="80" w:type="dxa"/>
              <w:left w:w="80" w:type="dxa"/>
              <w:bottom w:w="80" w:type="dxa"/>
              <w:right w:w="80" w:type="dxa"/>
            </w:tcMar>
            <w:vAlign w:val="center"/>
            <w:hideMark/>
          </w:tcPr>
          <w:p w14:paraId="2A9758D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Systematic strategy </w:t>
            </w:r>
          </w:p>
          <w:p w14:paraId="0B37E25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Diverse representation </w:t>
            </w:r>
          </w:p>
          <w:p w14:paraId="79F1BEF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Demographics measured </w:t>
            </w:r>
          </w:p>
          <w:p w14:paraId="4A3935B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No response rate detailed </w:t>
            </w:r>
          </w:p>
          <w:p w14:paraId="0FCEC21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Correlations analyzed </w:t>
            </w:r>
          </w:p>
        </w:tc>
        <w:tc>
          <w:tcPr>
            <w:tcW w:w="3083" w:type="dxa"/>
            <w:gridSpan w:val="5"/>
            <w:tcMar>
              <w:top w:w="80" w:type="dxa"/>
              <w:left w:w="80" w:type="dxa"/>
              <w:bottom w:w="80" w:type="dxa"/>
              <w:right w:w="80" w:type="dxa"/>
            </w:tcMar>
            <w:vAlign w:val="center"/>
            <w:hideMark/>
          </w:tcPr>
          <w:p w14:paraId="09F7C11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Explicit mixed design </w:t>
            </w:r>
          </w:p>
          <w:p w14:paraId="00B6A08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Effectively integrated </w:t>
            </w:r>
          </w:p>
          <w:p w14:paraId="79398F2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Adequately evaluated </w:t>
            </w:r>
          </w:p>
          <w:p w14:paraId="303657F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No divergence explicitly noted </w:t>
            </w:r>
          </w:p>
          <w:p w14:paraId="2FD8662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Adheres to tradition </w:t>
            </w:r>
          </w:p>
        </w:tc>
        <w:tc>
          <w:tcPr>
            <w:tcW w:w="756" w:type="dxa"/>
            <w:tcBorders>
              <w:right w:val="nil"/>
            </w:tcBorders>
            <w:tcMar>
              <w:top w:w="80" w:type="dxa"/>
              <w:left w:w="80" w:type="dxa"/>
              <w:bottom w:w="80" w:type="dxa"/>
              <w:right w:w="80" w:type="dxa"/>
            </w:tcMar>
            <w:vAlign w:val="center"/>
            <w:hideMark/>
          </w:tcPr>
          <w:p w14:paraId="1BD4E44E"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6AB20F36" w14:textId="77777777" w:rsidTr="00E3003F">
        <w:trPr>
          <w:trHeight w:val="283"/>
        </w:trPr>
        <w:tc>
          <w:tcPr>
            <w:tcW w:w="1696" w:type="dxa"/>
            <w:vMerge/>
            <w:tcBorders>
              <w:left w:val="nil"/>
            </w:tcBorders>
            <w:hideMark/>
          </w:tcPr>
          <w:p w14:paraId="36515FEC"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6AD9B2A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Mar>
              <w:top w:w="80" w:type="dxa"/>
              <w:left w:w="80" w:type="dxa"/>
              <w:bottom w:w="80" w:type="dxa"/>
              <w:right w:w="80" w:type="dxa"/>
            </w:tcMar>
            <w:vAlign w:val="center"/>
            <w:hideMark/>
          </w:tcPr>
          <w:p w14:paraId="3CA6B8C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630BB8E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53C082F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1B6D989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Can’t tell</w:t>
            </w:r>
          </w:p>
        </w:tc>
        <w:tc>
          <w:tcPr>
            <w:tcW w:w="653" w:type="dxa"/>
            <w:tcMar>
              <w:top w:w="80" w:type="dxa"/>
              <w:left w:w="80" w:type="dxa"/>
              <w:bottom w:w="80" w:type="dxa"/>
              <w:right w:w="80" w:type="dxa"/>
            </w:tcMar>
            <w:vAlign w:val="center"/>
            <w:hideMark/>
          </w:tcPr>
          <w:p w14:paraId="5683EF0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1E75203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0E623E9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6A08FC4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75C40C0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7D0F7F7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569A580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Can’t tell</w:t>
            </w:r>
          </w:p>
        </w:tc>
        <w:tc>
          <w:tcPr>
            <w:tcW w:w="526" w:type="dxa"/>
            <w:tcMar>
              <w:top w:w="80" w:type="dxa"/>
              <w:left w:w="80" w:type="dxa"/>
              <w:bottom w:w="80" w:type="dxa"/>
              <w:right w:w="80" w:type="dxa"/>
            </w:tcMar>
            <w:vAlign w:val="center"/>
            <w:hideMark/>
          </w:tcPr>
          <w:p w14:paraId="7A30670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2DEE3B6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2768FA8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0160551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67AD9F8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Can’t tell</w:t>
            </w:r>
          </w:p>
        </w:tc>
        <w:tc>
          <w:tcPr>
            <w:tcW w:w="564" w:type="dxa"/>
            <w:tcMar>
              <w:top w:w="80" w:type="dxa"/>
              <w:left w:w="80" w:type="dxa"/>
              <w:bottom w:w="80" w:type="dxa"/>
              <w:right w:w="80" w:type="dxa"/>
            </w:tcMar>
            <w:vAlign w:val="center"/>
            <w:hideMark/>
          </w:tcPr>
          <w:p w14:paraId="0ACE237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213433C0"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75D2EBAA" w14:textId="77777777" w:rsidTr="00E3003F">
        <w:trPr>
          <w:trHeight w:val="1132"/>
        </w:trPr>
        <w:tc>
          <w:tcPr>
            <w:tcW w:w="1696" w:type="dxa"/>
            <w:vMerge/>
            <w:tcBorders>
              <w:left w:val="nil"/>
            </w:tcBorders>
            <w:hideMark/>
          </w:tcPr>
          <w:p w14:paraId="4BFE68E0" w14:textId="77777777" w:rsidR="00DF0001" w:rsidRPr="00120633" w:rsidRDefault="00DF0001" w:rsidP="00C432CC">
            <w:pPr>
              <w:widowControl/>
              <w:rPr>
                <w:rFonts w:ascii="Times New Roman" w:eastAsia="等线" w:hAnsi="Times New Roman" w:cs="Times New Roman"/>
                <w:color w:val="1F1F1F"/>
                <w:kern w:val="0"/>
                <w:sz w:val="18"/>
                <w:szCs w:val="18"/>
                <w14:ligatures w14:val="none"/>
              </w:rPr>
            </w:pPr>
          </w:p>
        </w:tc>
        <w:tc>
          <w:tcPr>
            <w:tcW w:w="567" w:type="dxa"/>
            <w:vMerge/>
            <w:hideMark/>
          </w:tcPr>
          <w:p w14:paraId="7A0A468B"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7741354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Aims are stated </w:t>
            </w:r>
          </w:p>
          <w:p w14:paraId="1BA615D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Mixed methods address S1 </w:t>
            </w:r>
          </w:p>
        </w:tc>
        <w:tc>
          <w:tcPr>
            <w:tcW w:w="3150" w:type="dxa"/>
            <w:gridSpan w:val="5"/>
            <w:tcMar>
              <w:top w:w="80" w:type="dxa"/>
              <w:left w:w="80" w:type="dxa"/>
              <w:bottom w:w="80" w:type="dxa"/>
              <w:right w:w="80" w:type="dxa"/>
            </w:tcMar>
            <w:vAlign w:val="center"/>
            <w:hideMark/>
          </w:tcPr>
          <w:p w14:paraId="4DA1081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Qualitative is appropriate </w:t>
            </w:r>
          </w:p>
          <w:p w14:paraId="35BF2CA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Surveys may lack qualitative depth </w:t>
            </w:r>
          </w:p>
          <w:p w14:paraId="02219AAE"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Derived from user data </w:t>
            </w:r>
          </w:p>
          <w:p w14:paraId="5E37B0A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Interpretations are valid </w:t>
            </w:r>
          </w:p>
          <w:p w14:paraId="1981777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Method aligns </w:t>
            </w:r>
          </w:p>
        </w:tc>
        <w:tc>
          <w:tcPr>
            <w:tcW w:w="3086" w:type="dxa"/>
            <w:gridSpan w:val="5"/>
            <w:tcMar>
              <w:top w:w="80" w:type="dxa"/>
              <w:left w:w="80" w:type="dxa"/>
              <w:bottom w:w="80" w:type="dxa"/>
              <w:right w:w="80" w:type="dxa"/>
            </w:tcMar>
            <w:vAlign w:val="center"/>
            <w:hideMark/>
          </w:tcPr>
          <w:p w14:paraId="16D053C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Online systematic sampling </w:t>
            </w:r>
          </w:p>
          <w:p w14:paraId="512A49A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Representative gender </w:t>
            </w:r>
          </w:p>
          <w:p w14:paraId="5E57DE5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Variables measured well </w:t>
            </w:r>
          </w:p>
          <w:p w14:paraId="6BF9673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Bias unknown </w:t>
            </w:r>
          </w:p>
          <w:p w14:paraId="59F9073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Statistical checks done </w:t>
            </w:r>
          </w:p>
        </w:tc>
        <w:tc>
          <w:tcPr>
            <w:tcW w:w="3083" w:type="dxa"/>
            <w:gridSpan w:val="5"/>
            <w:tcMar>
              <w:top w:w="80" w:type="dxa"/>
              <w:left w:w="80" w:type="dxa"/>
              <w:bottom w:w="80" w:type="dxa"/>
              <w:right w:w="80" w:type="dxa"/>
            </w:tcMar>
            <w:vAlign w:val="center"/>
            <w:hideMark/>
          </w:tcPr>
          <w:p w14:paraId="4195996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Rationale provided </w:t>
            </w:r>
          </w:p>
          <w:p w14:paraId="232BAE0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Combines findings well </w:t>
            </w:r>
          </w:p>
          <w:p w14:paraId="5DC0550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Outputs are clear </w:t>
            </w:r>
          </w:p>
          <w:p w14:paraId="368ACB8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Inconsistencies not discussed </w:t>
            </w:r>
          </w:p>
          <w:p w14:paraId="05ADE52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Standard quality met </w:t>
            </w:r>
          </w:p>
        </w:tc>
        <w:tc>
          <w:tcPr>
            <w:tcW w:w="756" w:type="dxa"/>
            <w:tcBorders>
              <w:right w:val="nil"/>
            </w:tcBorders>
            <w:tcMar>
              <w:top w:w="80" w:type="dxa"/>
              <w:left w:w="80" w:type="dxa"/>
              <w:bottom w:w="80" w:type="dxa"/>
              <w:right w:w="80" w:type="dxa"/>
            </w:tcMar>
            <w:vAlign w:val="center"/>
            <w:hideMark/>
          </w:tcPr>
          <w:p w14:paraId="7B3D32CD"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1AD09B1A" w14:textId="77777777" w:rsidTr="00E3003F">
        <w:trPr>
          <w:trHeight w:val="283"/>
        </w:trPr>
        <w:tc>
          <w:tcPr>
            <w:tcW w:w="1696" w:type="dxa"/>
            <w:vMerge w:val="restart"/>
            <w:tcBorders>
              <w:left w:val="nil"/>
            </w:tcBorders>
            <w:tcMar>
              <w:top w:w="80" w:type="dxa"/>
              <w:left w:w="80" w:type="dxa"/>
              <w:bottom w:w="80" w:type="dxa"/>
              <w:right w:w="80" w:type="dxa"/>
            </w:tcMar>
            <w:vAlign w:val="center"/>
            <w:hideMark/>
          </w:tcPr>
          <w:p w14:paraId="37A7C913" w14:textId="77777777" w:rsidR="00DF0001" w:rsidRPr="00B87EB9" w:rsidRDefault="00DF0001" w:rsidP="00C432CC">
            <w:pPr>
              <w:jc w:val="center"/>
              <w:rPr>
                <w:rFonts w:ascii="Times New Roman" w:eastAsia="Times New Roman" w:hAnsi="Times New Roman" w:cs="Times New Roman"/>
                <w:kern w:val="0"/>
                <w:sz w:val="18"/>
                <w:szCs w:val="18"/>
                <w14:ligatures w14:val="none"/>
              </w:rPr>
            </w:pPr>
            <w:r>
              <w:rPr>
                <w:rFonts w:ascii="Times New Roman" w:eastAsia="等线" w:hAnsi="Times New Roman" w:cs="Times New Roman"/>
                <w:color w:val="000000"/>
                <w:kern w:val="0"/>
                <w:sz w:val="18"/>
                <w:szCs w:val="18"/>
                <w14:ligatures w14:val="none"/>
              </w:rPr>
              <w:t>(Daniels et al., 2025)</w:t>
            </w:r>
          </w:p>
        </w:tc>
        <w:tc>
          <w:tcPr>
            <w:tcW w:w="567" w:type="dxa"/>
            <w:vMerge w:val="restart"/>
            <w:tcMar>
              <w:top w:w="80" w:type="dxa"/>
              <w:left w:w="80" w:type="dxa"/>
              <w:bottom w:w="80" w:type="dxa"/>
              <w:right w:w="80" w:type="dxa"/>
            </w:tcMar>
            <w:vAlign w:val="center"/>
            <w:hideMark/>
          </w:tcPr>
          <w:p w14:paraId="3AD9C28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Mar>
              <w:top w:w="80" w:type="dxa"/>
              <w:left w:w="80" w:type="dxa"/>
              <w:bottom w:w="80" w:type="dxa"/>
              <w:right w:w="80" w:type="dxa"/>
            </w:tcMar>
            <w:vAlign w:val="center"/>
            <w:hideMark/>
          </w:tcPr>
          <w:p w14:paraId="4F08B31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1BCAA75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48815F8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2639E7F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16843A6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69C2700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635126E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3B4EE5C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5CD2E0E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210B12A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40D7598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20914C4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012741C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5A12C21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1CAD981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4AAFBF0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5341781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11A8FBCD"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5C7D4BB6" w14:textId="77777777" w:rsidTr="00E3003F">
        <w:trPr>
          <w:trHeight w:val="1415"/>
        </w:trPr>
        <w:tc>
          <w:tcPr>
            <w:tcW w:w="1696" w:type="dxa"/>
            <w:vMerge/>
            <w:tcBorders>
              <w:left w:val="nil"/>
            </w:tcBorders>
            <w:hideMark/>
          </w:tcPr>
          <w:p w14:paraId="4FDAEDB1"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1CDD7073"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762FBAC0"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 focus on feasibility/usability.</w:t>
            </w:r>
          </w:p>
          <w:p w14:paraId="201C42D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Mixed dataset addresses aims.</w:t>
            </w:r>
          </w:p>
        </w:tc>
        <w:tc>
          <w:tcPr>
            <w:tcW w:w="3150" w:type="dxa"/>
            <w:gridSpan w:val="5"/>
            <w:tcMar>
              <w:top w:w="80" w:type="dxa"/>
              <w:left w:w="80" w:type="dxa"/>
              <w:bottom w:w="80" w:type="dxa"/>
              <w:right w:w="80" w:type="dxa"/>
            </w:tcMar>
            <w:vAlign w:val="center"/>
            <w:hideMark/>
          </w:tcPr>
          <w:p w14:paraId="773C61DB"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Qualitative approach (think-aloud) is justified.</w:t>
            </w:r>
          </w:p>
          <w:p w14:paraId="6282FA27"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Interviews/observations are adequate.</w:t>
            </w:r>
          </w:p>
          <w:p w14:paraId="55C3A41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Themes derived via thematic analysis.</w:t>
            </w:r>
          </w:p>
          <w:p w14:paraId="4D7A5B0C"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Well-substantiated by quotes.</w:t>
            </w:r>
          </w:p>
          <w:p w14:paraId="6A03B5A5"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Strong design coherence.</w:t>
            </w:r>
          </w:p>
        </w:tc>
        <w:tc>
          <w:tcPr>
            <w:tcW w:w="3086" w:type="dxa"/>
            <w:gridSpan w:val="5"/>
            <w:tcMar>
              <w:top w:w="80" w:type="dxa"/>
              <w:left w:w="80" w:type="dxa"/>
              <w:bottom w:w="80" w:type="dxa"/>
              <w:right w:w="80" w:type="dxa"/>
            </w:tcMar>
            <w:vAlign w:val="center"/>
            <w:hideMark/>
          </w:tcPr>
          <w:p w14:paraId="2B5C766D"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Purposive sampling of target age.</w:t>
            </w:r>
          </w:p>
          <w:p w14:paraId="1537F444"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Small sample (n=12) limits generalizability.</w:t>
            </w:r>
          </w:p>
          <w:p w14:paraId="1EA27ED1"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Validated scales (SUS, TAM-3).</w:t>
            </w:r>
          </w:p>
          <w:p w14:paraId="5AE7CE8C"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High adherence over 5 weeks.</w:t>
            </w:r>
          </w:p>
          <w:p w14:paraId="09EBBAA9"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Descriptive statistics appropriate.</w:t>
            </w:r>
          </w:p>
        </w:tc>
        <w:tc>
          <w:tcPr>
            <w:tcW w:w="3083" w:type="dxa"/>
            <w:gridSpan w:val="5"/>
            <w:tcMar>
              <w:top w:w="80" w:type="dxa"/>
              <w:left w:w="80" w:type="dxa"/>
              <w:bottom w:w="80" w:type="dxa"/>
              <w:right w:w="80" w:type="dxa"/>
            </w:tcMar>
            <w:vAlign w:val="center"/>
            <w:hideMark/>
          </w:tcPr>
          <w:p w14:paraId="3364AB27"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 rationale for mixed methods.</w:t>
            </w:r>
          </w:p>
          <w:p w14:paraId="3806D521"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Components effectively integrated.</w:t>
            </w:r>
          </w:p>
          <w:p w14:paraId="792B2448"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Outputs adequately interpreted.</w:t>
            </w:r>
          </w:p>
          <w:p w14:paraId="071BE16F"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Divergences (e.g., technical barriers) addressed.</w:t>
            </w:r>
          </w:p>
          <w:p w14:paraId="53A41BCA"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 quality standards.</w:t>
            </w:r>
          </w:p>
        </w:tc>
        <w:tc>
          <w:tcPr>
            <w:tcW w:w="756" w:type="dxa"/>
            <w:tcBorders>
              <w:right w:val="nil"/>
            </w:tcBorders>
            <w:tcMar>
              <w:top w:w="80" w:type="dxa"/>
              <w:left w:w="80" w:type="dxa"/>
              <w:bottom w:w="80" w:type="dxa"/>
              <w:right w:w="80" w:type="dxa"/>
            </w:tcMar>
            <w:vAlign w:val="center"/>
            <w:hideMark/>
          </w:tcPr>
          <w:p w14:paraId="59CB04A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45876FC7" w14:textId="77777777" w:rsidTr="00E3003F">
        <w:trPr>
          <w:trHeight w:val="283"/>
        </w:trPr>
        <w:tc>
          <w:tcPr>
            <w:tcW w:w="1696" w:type="dxa"/>
            <w:vMerge/>
            <w:tcBorders>
              <w:left w:val="nil"/>
            </w:tcBorders>
            <w:hideMark/>
          </w:tcPr>
          <w:p w14:paraId="4DCE59EF"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005D175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Mar>
              <w:top w:w="80" w:type="dxa"/>
              <w:left w:w="80" w:type="dxa"/>
              <w:bottom w:w="80" w:type="dxa"/>
              <w:right w:w="80" w:type="dxa"/>
            </w:tcMar>
            <w:vAlign w:val="center"/>
            <w:hideMark/>
          </w:tcPr>
          <w:p w14:paraId="0E55459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785A80C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430C185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420F766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663D7C3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5FD267E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5E8C55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6DE650F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37BD422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Can’t tell</w:t>
            </w:r>
          </w:p>
        </w:tc>
        <w:tc>
          <w:tcPr>
            <w:tcW w:w="526" w:type="dxa"/>
            <w:tcMar>
              <w:top w:w="80" w:type="dxa"/>
              <w:left w:w="80" w:type="dxa"/>
              <w:bottom w:w="80" w:type="dxa"/>
              <w:right w:w="80" w:type="dxa"/>
            </w:tcMar>
            <w:vAlign w:val="center"/>
            <w:hideMark/>
          </w:tcPr>
          <w:p w14:paraId="72A019B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0306DD1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395BA48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0BC3903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6881195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3BB5629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389401B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2113830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0497904C"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6AEBA4F9" w14:textId="77777777" w:rsidTr="00E3003F">
        <w:trPr>
          <w:trHeight w:val="1132"/>
        </w:trPr>
        <w:tc>
          <w:tcPr>
            <w:tcW w:w="1696" w:type="dxa"/>
            <w:vMerge/>
            <w:tcBorders>
              <w:left w:val="nil"/>
              <w:bottom w:val="single" w:sz="4" w:space="0" w:color="BFBFBF" w:themeColor="background1" w:themeShade="BF"/>
            </w:tcBorders>
            <w:hideMark/>
          </w:tcPr>
          <w:p w14:paraId="77D7F9A9" w14:textId="77777777" w:rsidR="00DF0001" w:rsidRPr="00120633" w:rsidRDefault="00DF0001" w:rsidP="00C432CC">
            <w:pPr>
              <w:widowControl/>
              <w:rPr>
                <w:rFonts w:ascii="Times New Roman" w:eastAsia="等线" w:hAnsi="Times New Roman" w:cs="Times New Roman"/>
                <w:color w:val="1F1F1F"/>
                <w:kern w:val="0"/>
                <w:sz w:val="18"/>
                <w:szCs w:val="18"/>
                <w14:ligatures w14:val="none"/>
              </w:rPr>
            </w:pPr>
          </w:p>
        </w:tc>
        <w:tc>
          <w:tcPr>
            <w:tcW w:w="567" w:type="dxa"/>
            <w:vMerge/>
            <w:hideMark/>
          </w:tcPr>
          <w:p w14:paraId="3391B677"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7811C69F"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Explicit research questions.</w:t>
            </w:r>
          </w:p>
          <w:p w14:paraId="5CFDC855"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Data allows addressing S1.</w:t>
            </w:r>
          </w:p>
        </w:tc>
        <w:tc>
          <w:tcPr>
            <w:tcW w:w="3150" w:type="dxa"/>
            <w:gridSpan w:val="5"/>
            <w:tcMar>
              <w:top w:w="80" w:type="dxa"/>
              <w:left w:w="80" w:type="dxa"/>
              <w:bottom w:w="80" w:type="dxa"/>
              <w:right w:w="80" w:type="dxa"/>
            </w:tcMar>
            <w:vAlign w:val="center"/>
            <w:hideMark/>
          </w:tcPr>
          <w:p w14:paraId="0EFB476A"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Qualitative is appropriate for UX.</w:t>
            </w:r>
          </w:p>
          <w:p w14:paraId="58EF5B8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Methods capture deep insights.</w:t>
            </w:r>
          </w:p>
          <w:p w14:paraId="71969EA8"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 analysis process.</w:t>
            </w:r>
          </w:p>
          <w:p w14:paraId="3A518CB7"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Findings substantiated.</w:t>
            </w:r>
          </w:p>
          <w:p w14:paraId="659021B8"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Coherent structure.</w:t>
            </w:r>
          </w:p>
        </w:tc>
        <w:tc>
          <w:tcPr>
            <w:tcW w:w="3086" w:type="dxa"/>
            <w:gridSpan w:val="5"/>
            <w:tcMar>
              <w:top w:w="80" w:type="dxa"/>
              <w:left w:w="80" w:type="dxa"/>
              <w:bottom w:w="80" w:type="dxa"/>
              <w:right w:w="80" w:type="dxa"/>
            </w:tcMar>
            <w:vAlign w:val="center"/>
            <w:hideMark/>
          </w:tcPr>
          <w:p w14:paraId="656A767E"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Relevant strategy.</w:t>
            </w:r>
          </w:p>
          <w:p w14:paraId="4050BA22"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Convenience sample from a local center.</w:t>
            </w:r>
          </w:p>
          <w:p w14:paraId="74017594"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Measurements are standard.</w:t>
            </w:r>
          </w:p>
          <w:p w14:paraId="770896B0"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risk of non-response bias.</w:t>
            </w:r>
          </w:p>
          <w:p w14:paraId="1F89DBBF"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Appropriate for pilot data.</w:t>
            </w:r>
          </w:p>
        </w:tc>
        <w:tc>
          <w:tcPr>
            <w:tcW w:w="3083" w:type="dxa"/>
            <w:gridSpan w:val="5"/>
            <w:tcMar>
              <w:top w:w="80" w:type="dxa"/>
              <w:left w:w="80" w:type="dxa"/>
              <w:bottom w:w="80" w:type="dxa"/>
              <w:right w:w="80" w:type="dxa"/>
            </w:tcMar>
            <w:vAlign w:val="center"/>
            <w:hideMark/>
          </w:tcPr>
          <w:p w14:paraId="06BFE0F8"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Solid integration rationale.</w:t>
            </w:r>
          </w:p>
          <w:p w14:paraId="0A262E8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Well-combined data.</w:t>
            </w:r>
          </w:p>
          <w:p w14:paraId="75D315B4"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Sound interpretation.</w:t>
            </w:r>
          </w:p>
          <w:p w14:paraId="3DF48A7C"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Addressed inconsistencies.</w:t>
            </w:r>
          </w:p>
          <w:p w14:paraId="697186B2"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High methodological quality.</w:t>
            </w:r>
          </w:p>
        </w:tc>
        <w:tc>
          <w:tcPr>
            <w:tcW w:w="756" w:type="dxa"/>
            <w:tcBorders>
              <w:right w:val="nil"/>
            </w:tcBorders>
            <w:tcMar>
              <w:top w:w="80" w:type="dxa"/>
              <w:left w:w="80" w:type="dxa"/>
              <w:bottom w:w="80" w:type="dxa"/>
              <w:right w:w="80" w:type="dxa"/>
            </w:tcMar>
            <w:vAlign w:val="center"/>
            <w:hideMark/>
          </w:tcPr>
          <w:p w14:paraId="434937B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E3003F" w14:paraId="2A2EA338" w14:textId="77777777" w:rsidTr="00E3003F">
        <w:tc>
          <w:tcPr>
            <w:tcW w:w="1696" w:type="dxa"/>
            <w:vMerge w:val="restart"/>
            <w:tcBorders>
              <w:left w:val="nil"/>
            </w:tcBorders>
            <w:tcMar>
              <w:top w:w="80" w:type="dxa"/>
              <w:left w:w="80" w:type="dxa"/>
              <w:bottom w:w="80" w:type="dxa"/>
              <w:right w:w="80" w:type="dxa"/>
            </w:tcMar>
            <w:vAlign w:val="center"/>
          </w:tcPr>
          <w:p w14:paraId="6D24CC74" w14:textId="77777777" w:rsidR="00E3003F" w:rsidRDefault="00E3003F" w:rsidP="0019188D">
            <w:pPr>
              <w:jc w:val="center"/>
              <w:rPr>
                <w:rFonts w:hint="eastAsia"/>
              </w:rPr>
            </w:pPr>
            <w:r>
              <w:rPr>
                <w:rFonts w:ascii="Times New Roman" w:hAnsi="Times New Roman" w:cs="Times New Roman"/>
                <w:sz w:val="18"/>
              </w:rPr>
              <w:lastRenderedPageBreak/>
              <w:t>(Demiris et al., 2025)</w:t>
            </w:r>
          </w:p>
        </w:tc>
        <w:tc>
          <w:tcPr>
            <w:tcW w:w="567" w:type="dxa"/>
            <w:tcMar>
              <w:top w:w="80" w:type="dxa"/>
              <w:left w:w="80" w:type="dxa"/>
              <w:bottom w:w="80" w:type="dxa"/>
              <w:right w:w="80" w:type="dxa"/>
            </w:tcMar>
            <w:vAlign w:val="center"/>
          </w:tcPr>
          <w:p w14:paraId="37C482D7" w14:textId="77777777" w:rsidR="00E3003F" w:rsidRDefault="00E3003F">
            <w:pPr>
              <w:jc w:val="center"/>
              <w:rPr>
                <w:rFonts w:hint="eastAsia"/>
              </w:rPr>
            </w:pPr>
            <w:r>
              <w:rPr>
                <w:rFonts w:ascii="Times New Roman" w:hAnsi="Times New Roman" w:cs="Times New Roman"/>
                <w:sz w:val="18"/>
              </w:rPr>
              <w:t>R1</w:t>
            </w:r>
          </w:p>
        </w:tc>
        <w:tc>
          <w:tcPr>
            <w:tcW w:w="1560" w:type="dxa"/>
            <w:tcMar>
              <w:top w:w="80" w:type="dxa"/>
              <w:left w:w="80" w:type="dxa"/>
              <w:bottom w:w="80" w:type="dxa"/>
              <w:right w:w="80" w:type="dxa"/>
            </w:tcMar>
            <w:vAlign w:val="center"/>
          </w:tcPr>
          <w:p w14:paraId="08DC3FF6" w14:textId="77777777" w:rsidR="00E3003F" w:rsidRDefault="00E3003F">
            <w:pPr>
              <w:jc w:val="center"/>
              <w:rPr>
                <w:rFonts w:hint="eastAsia"/>
              </w:rPr>
            </w:pPr>
            <w:r>
              <w:rPr>
                <w:rFonts w:ascii="Times New Roman" w:hAnsi="Times New Roman" w:cs="Times New Roman"/>
                <w:sz w:val="18"/>
              </w:rPr>
              <w:t>Yes</w:t>
            </w:r>
          </w:p>
        </w:tc>
        <w:tc>
          <w:tcPr>
            <w:tcW w:w="1490" w:type="dxa"/>
            <w:tcMar>
              <w:top w:w="80" w:type="dxa"/>
              <w:left w:w="80" w:type="dxa"/>
              <w:bottom w:w="80" w:type="dxa"/>
              <w:right w:w="80" w:type="dxa"/>
            </w:tcMar>
            <w:vAlign w:val="center"/>
          </w:tcPr>
          <w:p w14:paraId="048E6948" w14:textId="77777777" w:rsidR="00E3003F" w:rsidRDefault="00E3003F">
            <w:pPr>
              <w:jc w:val="center"/>
              <w:rPr>
                <w:rFonts w:hint="eastAsia"/>
              </w:rPr>
            </w:pPr>
            <w:r>
              <w:rPr>
                <w:rFonts w:ascii="Times New Roman" w:hAnsi="Times New Roman" w:cs="Times New Roman"/>
                <w:sz w:val="18"/>
              </w:rPr>
              <w:t>Yes</w:t>
            </w:r>
          </w:p>
        </w:tc>
        <w:tc>
          <w:tcPr>
            <w:tcW w:w="576" w:type="dxa"/>
            <w:tcMar>
              <w:top w:w="80" w:type="dxa"/>
              <w:left w:w="80" w:type="dxa"/>
              <w:bottom w:w="80" w:type="dxa"/>
              <w:right w:w="80" w:type="dxa"/>
            </w:tcMar>
            <w:vAlign w:val="center"/>
          </w:tcPr>
          <w:p w14:paraId="6669A960" w14:textId="77777777" w:rsidR="00E3003F" w:rsidRDefault="00E3003F">
            <w:pPr>
              <w:jc w:val="center"/>
              <w:rPr>
                <w:rFonts w:hint="eastAsia"/>
              </w:rPr>
            </w:pPr>
            <w:r>
              <w:rPr>
                <w:rFonts w:ascii="Times New Roman" w:hAnsi="Times New Roman" w:cs="Times New Roman"/>
                <w:sz w:val="18"/>
              </w:rPr>
              <w:t>Yes</w:t>
            </w:r>
          </w:p>
        </w:tc>
        <w:tc>
          <w:tcPr>
            <w:tcW w:w="769" w:type="dxa"/>
            <w:tcMar>
              <w:top w:w="80" w:type="dxa"/>
              <w:left w:w="80" w:type="dxa"/>
              <w:bottom w:w="80" w:type="dxa"/>
              <w:right w:w="80" w:type="dxa"/>
            </w:tcMar>
            <w:vAlign w:val="center"/>
          </w:tcPr>
          <w:p w14:paraId="7E93A6E1" w14:textId="77777777" w:rsidR="00E3003F" w:rsidRDefault="00E3003F">
            <w:pPr>
              <w:jc w:val="center"/>
              <w:rPr>
                <w:rFonts w:hint="eastAsia"/>
              </w:rPr>
            </w:pPr>
            <w:r>
              <w:rPr>
                <w:rFonts w:ascii="Times New Roman" w:hAnsi="Times New Roman" w:cs="Times New Roman"/>
                <w:sz w:val="18"/>
              </w:rPr>
              <w:t>Yes</w:t>
            </w:r>
          </w:p>
        </w:tc>
        <w:tc>
          <w:tcPr>
            <w:tcW w:w="653" w:type="dxa"/>
            <w:tcMar>
              <w:top w:w="80" w:type="dxa"/>
              <w:left w:w="80" w:type="dxa"/>
              <w:bottom w:w="80" w:type="dxa"/>
              <w:right w:w="80" w:type="dxa"/>
            </w:tcMar>
            <w:vAlign w:val="center"/>
          </w:tcPr>
          <w:p w14:paraId="0176123C" w14:textId="77777777" w:rsidR="00E3003F" w:rsidRDefault="00E3003F">
            <w:pPr>
              <w:jc w:val="center"/>
              <w:rPr>
                <w:rFonts w:hint="eastAsia"/>
              </w:rPr>
            </w:pPr>
            <w:r>
              <w:rPr>
                <w:rFonts w:ascii="Times New Roman" w:hAnsi="Times New Roman" w:cs="Times New Roman"/>
                <w:sz w:val="18"/>
              </w:rPr>
              <w:t>Yes</w:t>
            </w:r>
          </w:p>
        </w:tc>
        <w:tc>
          <w:tcPr>
            <w:tcW w:w="576" w:type="dxa"/>
            <w:tcMar>
              <w:top w:w="80" w:type="dxa"/>
              <w:left w:w="80" w:type="dxa"/>
              <w:bottom w:w="80" w:type="dxa"/>
              <w:right w:w="80" w:type="dxa"/>
            </w:tcMar>
            <w:vAlign w:val="center"/>
          </w:tcPr>
          <w:p w14:paraId="29A62B17" w14:textId="77777777" w:rsidR="00E3003F" w:rsidRDefault="00E3003F">
            <w:pPr>
              <w:jc w:val="center"/>
              <w:rPr>
                <w:rFonts w:hint="eastAsia"/>
              </w:rPr>
            </w:pPr>
            <w:r>
              <w:rPr>
                <w:rFonts w:ascii="Times New Roman" w:hAnsi="Times New Roman" w:cs="Times New Roman"/>
                <w:sz w:val="18"/>
              </w:rPr>
              <w:t>Yes</w:t>
            </w:r>
          </w:p>
        </w:tc>
        <w:tc>
          <w:tcPr>
            <w:tcW w:w="576" w:type="dxa"/>
            <w:tcMar>
              <w:top w:w="80" w:type="dxa"/>
              <w:left w:w="80" w:type="dxa"/>
              <w:bottom w:w="80" w:type="dxa"/>
              <w:right w:w="80" w:type="dxa"/>
            </w:tcMar>
            <w:vAlign w:val="center"/>
          </w:tcPr>
          <w:p w14:paraId="66CFDA09" w14:textId="77777777" w:rsidR="00E3003F" w:rsidRDefault="00E3003F">
            <w:pPr>
              <w:jc w:val="center"/>
              <w:rPr>
                <w:rFonts w:hint="eastAsia"/>
              </w:rPr>
            </w:pPr>
            <w:r>
              <w:rPr>
                <w:rFonts w:ascii="Times New Roman" w:hAnsi="Times New Roman" w:cs="Times New Roman"/>
                <w:sz w:val="18"/>
              </w:rPr>
              <w:t>Yes</w:t>
            </w:r>
          </w:p>
        </w:tc>
        <w:tc>
          <w:tcPr>
            <w:tcW w:w="526" w:type="dxa"/>
            <w:tcMar>
              <w:top w:w="80" w:type="dxa"/>
              <w:left w:w="80" w:type="dxa"/>
              <w:bottom w:w="80" w:type="dxa"/>
              <w:right w:w="80" w:type="dxa"/>
            </w:tcMar>
            <w:vAlign w:val="center"/>
          </w:tcPr>
          <w:p w14:paraId="4EEC77F4" w14:textId="77777777" w:rsidR="00E3003F" w:rsidRDefault="00E3003F">
            <w:pPr>
              <w:jc w:val="center"/>
              <w:rPr>
                <w:rFonts w:hint="eastAsia"/>
              </w:rPr>
            </w:pPr>
            <w:r>
              <w:rPr>
                <w:rFonts w:ascii="Times New Roman" w:hAnsi="Times New Roman" w:cs="Times New Roman"/>
                <w:sz w:val="18"/>
              </w:rPr>
              <w:t>Yes</w:t>
            </w:r>
          </w:p>
        </w:tc>
        <w:tc>
          <w:tcPr>
            <w:tcW w:w="754" w:type="dxa"/>
            <w:tcMar>
              <w:top w:w="80" w:type="dxa"/>
              <w:left w:w="80" w:type="dxa"/>
              <w:bottom w:w="80" w:type="dxa"/>
              <w:right w:w="80" w:type="dxa"/>
            </w:tcMar>
            <w:vAlign w:val="center"/>
          </w:tcPr>
          <w:p w14:paraId="60C2A45B" w14:textId="77777777" w:rsidR="00E3003F" w:rsidRDefault="00E3003F">
            <w:pPr>
              <w:jc w:val="center"/>
              <w:rPr>
                <w:rFonts w:hint="eastAsia"/>
              </w:rPr>
            </w:pPr>
            <w:r>
              <w:rPr>
                <w:rFonts w:ascii="Times New Roman" w:hAnsi="Times New Roman" w:cs="Times New Roman"/>
                <w:sz w:val="18"/>
              </w:rPr>
              <w:t>Yes</w:t>
            </w:r>
          </w:p>
        </w:tc>
        <w:tc>
          <w:tcPr>
            <w:tcW w:w="526" w:type="dxa"/>
            <w:tcMar>
              <w:top w:w="80" w:type="dxa"/>
              <w:left w:w="80" w:type="dxa"/>
              <w:bottom w:w="80" w:type="dxa"/>
              <w:right w:w="80" w:type="dxa"/>
            </w:tcMar>
            <w:vAlign w:val="center"/>
          </w:tcPr>
          <w:p w14:paraId="2628134C" w14:textId="77777777" w:rsidR="00E3003F" w:rsidRDefault="00E3003F">
            <w:pPr>
              <w:jc w:val="center"/>
              <w:rPr>
                <w:rFonts w:hint="eastAsia"/>
              </w:rPr>
            </w:pPr>
            <w:r>
              <w:rPr>
                <w:rFonts w:ascii="Times New Roman" w:hAnsi="Times New Roman" w:cs="Times New Roman"/>
                <w:sz w:val="18"/>
              </w:rPr>
              <w:t>Yes</w:t>
            </w:r>
          </w:p>
        </w:tc>
        <w:tc>
          <w:tcPr>
            <w:tcW w:w="754" w:type="dxa"/>
            <w:tcMar>
              <w:top w:w="80" w:type="dxa"/>
              <w:left w:w="80" w:type="dxa"/>
              <w:bottom w:w="80" w:type="dxa"/>
              <w:right w:w="80" w:type="dxa"/>
            </w:tcMar>
            <w:vAlign w:val="center"/>
          </w:tcPr>
          <w:p w14:paraId="6A791516" w14:textId="77777777" w:rsidR="00E3003F" w:rsidRDefault="00E3003F">
            <w:pPr>
              <w:jc w:val="center"/>
              <w:rPr>
                <w:rFonts w:hint="eastAsia"/>
              </w:rPr>
            </w:pPr>
            <w:r>
              <w:rPr>
                <w:rFonts w:ascii="Times New Roman" w:hAnsi="Times New Roman" w:cs="Times New Roman"/>
                <w:sz w:val="18"/>
              </w:rPr>
              <w:t>Yes</w:t>
            </w:r>
          </w:p>
        </w:tc>
        <w:tc>
          <w:tcPr>
            <w:tcW w:w="526" w:type="dxa"/>
            <w:tcMar>
              <w:top w:w="80" w:type="dxa"/>
              <w:left w:w="80" w:type="dxa"/>
              <w:bottom w:w="80" w:type="dxa"/>
              <w:right w:w="80" w:type="dxa"/>
            </w:tcMar>
            <w:vAlign w:val="center"/>
          </w:tcPr>
          <w:p w14:paraId="422ADBF6" w14:textId="77777777" w:rsidR="00E3003F" w:rsidRDefault="00E3003F">
            <w:pPr>
              <w:jc w:val="center"/>
              <w:rPr>
                <w:rFonts w:hint="eastAsia"/>
              </w:rPr>
            </w:pPr>
            <w:r>
              <w:rPr>
                <w:rFonts w:ascii="Times New Roman" w:hAnsi="Times New Roman" w:cs="Times New Roman"/>
                <w:sz w:val="18"/>
              </w:rPr>
              <w:t>Yes</w:t>
            </w:r>
          </w:p>
        </w:tc>
        <w:tc>
          <w:tcPr>
            <w:tcW w:w="565" w:type="dxa"/>
            <w:tcMar>
              <w:top w:w="80" w:type="dxa"/>
              <w:left w:w="80" w:type="dxa"/>
              <w:bottom w:w="80" w:type="dxa"/>
              <w:right w:w="80" w:type="dxa"/>
            </w:tcMar>
            <w:vAlign w:val="center"/>
          </w:tcPr>
          <w:p w14:paraId="01454696" w14:textId="77777777" w:rsidR="00E3003F" w:rsidRDefault="00E3003F">
            <w:pPr>
              <w:jc w:val="center"/>
              <w:rPr>
                <w:rFonts w:hint="eastAsia"/>
              </w:rPr>
            </w:pPr>
            <w:r>
              <w:rPr>
                <w:rFonts w:ascii="Times New Roman" w:hAnsi="Times New Roman" w:cs="Times New Roman"/>
                <w:sz w:val="18"/>
              </w:rPr>
              <w:t>No</w:t>
            </w:r>
          </w:p>
        </w:tc>
        <w:tc>
          <w:tcPr>
            <w:tcW w:w="564" w:type="dxa"/>
            <w:tcMar>
              <w:top w:w="80" w:type="dxa"/>
              <w:left w:w="80" w:type="dxa"/>
              <w:bottom w:w="80" w:type="dxa"/>
              <w:right w:w="80" w:type="dxa"/>
            </w:tcMar>
            <w:vAlign w:val="center"/>
          </w:tcPr>
          <w:p w14:paraId="59B19047" w14:textId="77777777" w:rsidR="00E3003F" w:rsidRDefault="00E3003F">
            <w:pPr>
              <w:jc w:val="center"/>
              <w:rPr>
                <w:rFonts w:hint="eastAsia"/>
              </w:rPr>
            </w:pPr>
            <w:r>
              <w:rPr>
                <w:rFonts w:ascii="Times New Roman" w:hAnsi="Times New Roman" w:cs="Times New Roman"/>
                <w:sz w:val="18"/>
              </w:rPr>
              <w:t>No</w:t>
            </w:r>
          </w:p>
        </w:tc>
        <w:tc>
          <w:tcPr>
            <w:tcW w:w="564" w:type="dxa"/>
            <w:tcMar>
              <w:top w:w="80" w:type="dxa"/>
              <w:left w:w="80" w:type="dxa"/>
              <w:bottom w:w="80" w:type="dxa"/>
              <w:right w:w="80" w:type="dxa"/>
            </w:tcMar>
            <w:vAlign w:val="center"/>
          </w:tcPr>
          <w:p w14:paraId="0BF8DEF2" w14:textId="77777777" w:rsidR="00E3003F" w:rsidRDefault="00E3003F">
            <w:pPr>
              <w:jc w:val="center"/>
              <w:rPr>
                <w:rFonts w:hint="eastAsia"/>
              </w:rPr>
            </w:pPr>
            <w:r>
              <w:rPr>
                <w:rFonts w:ascii="Times New Roman" w:hAnsi="Times New Roman" w:cs="Times New Roman"/>
                <w:sz w:val="18"/>
              </w:rPr>
              <w:t>Can’t tell</w:t>
            </w:r>
          </w:p>
        </w:tc>
        <w:tc>
          <w:tcPr>
            <w:tcW w:w="826" w:type="dxa"/>
            <w:tcMar>
              <w:top w:w="80" w:type="dxa"/>
              <w:left w:w="80" w:type="dxa"/>
              <w:bottom w:w="80" w:type="dxa"/>
              <w:right w:w="80" w:type="dxa"/>
            </w:tcMar>
            <w:vAlign w:val="center"/>
          </w:tcPr>
          <w:p w14:paraId="658D9F1C" w14:textId="77777777" w:rsidR="00E3003F" w:rsidRDefault="00E3003F">
            <w:pPr>
              <w:jc w:val="center"/>
              <w:rPr>
                <w:rFonts w:hint="eastAsia"/>
              </w:rPr>
            </w:pPr>
            <w:r>
              <w:rPr>
                <w:rFonts w:ascii="Times New Roman" w:hAnsi="Times New Roman" w:cs="Times New Roman"/>
                <w:sz w:val="18"/>
              </w:rPr>
              <w:t>Yes</w:t>
            </w:r>
          </w:p>
        </w:tc>
        <w:tc>
          <w:tcPr>
            <w:tcW w:w="564" w:type="dxa"/>
            <w:tcMar>
              <w:top w:w="80" w:type="dxa"/>
              <w:left w:w="80" w:type="dxa"/>
              <w:bottom w:w="80" w:type="dxa"/>
              <w:right w:w="80" w:type="dxa"/>
            </w:tcMar>
            <w:vAlign w:val="center"/>
          </w:tcPr>
          <w:p w14:paraId="051DF408" w14:textId="77777777" w:rsidR="00E3003F" w:rsidRDefault="00E3003F">
            <w:pPr>
              <w:jc w:val="center"/>
              <w:rPr>
                <w:rFonts w:hint="eastAsia"/>
              </w:rPr>
            </w:pPr>
            <w:r>
              <w:rPr>
                <w:rFonts w:ascii="Times New Roman" w:hAnsi="Times New Roman" w:cs="Times New Roman"/>
                <w:sz w:val="18"/>
              </w:rPr>
              <w:t>Can’t tell</w:t>
            </w:r>
          </w:p>
        </w:tc>
        <w:tc>
          <w:tcPr>
            <w:tcW w:w="756" w:type="dxa"/>
            <w:tcBorders>
              <w:right w:val="nil"/>
            </w:tcBorders>
            <w:tcMar>
              <w:top w:w="80" w:type="dxa"/>
              <w:left w:w="80" w:type="dxa"/>
              <w:bottom w:w="80" w:type="dxa"/>
              <w:right w:w="80" w:type="dxa"/>
            </w:tcMar>
            <w:vAlign w:val="center"/>
          </w:tcPr>
          <w:p w14:paraId="692777DF" w14:textId="77777777" w:rsidR="00E3003F" w:rsidRDefault="00E3003F">
            <w:pPr>
              <w:jc w:val="center"/>
              <w:rPr>
                <w:rFonts w:hint="eastAsia"/>
              </w:rPr>
            </w:pPr>
            <w:r>
              <w:rPr>
                <w:rFonts w:ascii="Times New Roman" w:hAnsi="Times New Roman" w:cs="Times New Roman"/>
                <w:sz w:val="18"/>
              </w:rPr>
              <w:t>Exclude</w:t>
            </w:r>
          </w:p>
        </w:tc>
      </w:tr>
      <w:tr w:rsidR="00E3003F" w14:paraId="753ACD19" w14:textId="77777777" w:rsidTr="00E3003F">
        <w:tc>
          <w:tcPr>
            <w:tcW w:w="1696" w:type="dxa"/>
            <w:vMerge/>
            <w:tcBorders>
              <w:left w:val="nil"/>
            </w:tcBorders>
            <w:tcMar>
              <w:top w:w="80" w:type="dxa"/>
              <w:left w:w="80" w:type="dxa"/>
              <w:bottom w:w="80" w:type="dxa"/>
              <w:right w:w="80" w:type="dxa"/>
            </w:tcMar>
            <w:vAlign w:val="center"/>
          </w:tcPr>
          <w:p w14:paraId="5A3862D3" w14:textId="77777777" w:rsidR="00E3003F" w:rsidRDefault="00E3003F" w:rsidP="0019188D">
            <w:pPr>
              <w:jc w:val="left"/>
              <w:rPr>
                <w:rFonts w:ascii="Times New Roman" w:hAnsi="Times New Roman" w:cs="Times New Roman"/>
                <w:sz w:val="18"/>
              </w:rPr>
            </w:pPr>
          </w:p>
        </w:tc>
        <w:tc>
          <w:tcPr>
            <w:tcW w:w="567" w:type="dxa"/>
            <w:tcMar>
              <w:top w:w="80" w:type="dxa"/>
              <w:left w:w="80" w:type="dxa"/>
              <w:bottom w:w="80" w:type="dxa"/>
              <w:right w:w="80" w:type="dxa"/>
            </w:tcMar>
            <w:vAlign w:val="center"/>
          </w:tcPr>
          <w:p w14:paraId="40341D6E" w14:textId="77777777" w:rsidR="00E3003F" w:rsidRDefault="00E3003F">
            <w:pPr>
              <w:jc w:val="center"/>
              <w:rPr>
                <w:rFonts w:ascii="Times New Roman" w:hAnsi="Times New Roman" w:cs="Times New Roman"/>
                <w:sz w:val="18"/>
              </w:rPr>
            </w:pPr>
          </w:p>
        </w:tc>
        <w:tc>
          <w:tcPr>
            <w:tcW w:w="3050" w:type="dxa"/>
            <w:gridSpan w:val="2"/>
            <w:tcMar>
              <w:top w:w="80" w:type="dxa"/>
              <w:left w:w="80" w:type="dxa"/>
              <w:bottom w:w="80" w:type="dxa"/>
              <w:right w:w="80" w:type="dxa"/>
            </w:tcMar>
            <w:vAlign w:val="center"/>
          </w:tcPr>
          <w:p w14:paraId="2A59EA91" w14:textId="77777777" w:rsidR="00E3003F" w:rsidRDefault="00E3003F">
            <w:pPr>
              <w:jc w:val="left"/>
              <w:rPr>
                <w:rFonts w:ascii="Times New Roman" w:hAnsi="Times New Roman" w:cs="Times New Roman"/>
                <w:sz w:val="18"/>
              </w:rPr>
            </w:pPr>
            <w:r>
              <w:rPr>
                <w:rFonts w:ascii="Times New Roman" w:hAnsi="Times New Roman" w:cs="Times New Roman"/>
                <w:sz w:val="18"/>
              </w:rPr>
              <w:t>Clear feasibility and acceptability aims. The 3-month Sense4Safety pilot and participant interviews address the review question.</w:t>
            </w:r>
          </w:p>
        </w:tc>
        <w:tc>
          <w:tcPr>
            <w:tcW w:w="3150" w:type="dxa"/>
            <w:gridSpan w:val="5"/>
            <w:tcMar>
              <w:top w:w="80" w:type="dxa"/>
              <w:left w:w="80" w:type="dxa"/>
              <w:bottom w:w="80" w:type="dxa"/>
              <w:right w:w="80" w:type="dxa"/>
            </w:tcMar>
            <w:vAlign w:val="center"/>
          </w:tcPr>
          <w:p w14:paraId="56887BD7" w14:textId="77777777" w:rsidR="00E3003F" w:rsidRDefault="00E3003F">
            <w:pPr>
              <w:jc w:val="left"/>
              <w:rPr>
                <w:rFonts w:ascii="Times New Roman" w:hAnsi="Times New Roman" w:cs="Times New Roman"/>
                <w:sz w:val="18"/>
              </w:rPr>
            </w:pPr>
            <w:r>
              <w:rPr>
                <w:rFonts w:ascii="Times New Roman" w:hAnsi="Times New Roman" w:cs="Times New Roman"/>
                <w:sz w:val="18"/>
              </w:rPr>
              <w:t>Interviews are appropriate for acceptability. Data came from low-income older adults with MCI; qualitative findings are supported, but reflexive detail is limited.</w:t>
            </w:r>
          </w:p>
        </w:tc>
        <w:tc>
          <w:tcPr>
            <w:tcW w:w="3086" w:type="dxa"/>
            <w:gridSpan w:val="5"/>
            <w:tcMar>
              <w:top w:w="80" w:type="dxa"/>
              <w:left w:w="80" w:type="dxa"/>
              <w:bottom w:w="80" w:type="dxa"/>
              <w:right w:w="80" w:type="dxa"/>
            </w:tcMar>
            <w:vAlign w:val="center"/>
          </w:tcPr>
          <w:p w14:paraId="4D03C5AA" w14:textId="77777777" w:rsidR="00E3003F" w:rsidRDefault="00E3003F">
            <w:pPr>
              <w:jc w:val="left"/>
              <w:rPr>
                <w:rFonts w:ascii="Times New Roman" w:hAnsi="Times New Roman" w:cs="Times New Roman"/>
                <w:sz w:val="18"/>
              </w:rPr>
            </w:pPr>
            <w:r>
              <w:rPr>
                <w:rFonts w:ascii="Times New Roman" w:hAnsi="Times New Roman" w:cs="Times New Roman"/>
                <w:sz w:val="18"/>
              </w:rPr>
              <w:t>Targeted pilot sample (n=11). Descriptive feasibility rates are suitable, but the small single-region sample limits representativeness.</w:t>
            </w:r>
          </w:p>
        </w:tc>
        <w:tc>
          <w:tcPr>
            <w:tcW w:w="3083" w:type="dxa"/>
            <w:gridSpan w:val="5"/>
            <w:tcMar>
              <w:top w:w="80" w:type="dxa"/>
              <w:left w:w="80" w:type="dxa"/>
              <w:bottom w:w="80" w:type="dxa"/>
              <w:right w:w="80" w:type="dxa"/>
            </w:tcMar>
            <w:vAlign w:val="center"/>
          </w:tcPr>
          <w:p w14:paraId="24C2ED71" w14:textId="77777777" w:rsidR="00E3003F" w:rsidRDefault="00E3003F">
            <w:pPr>
              <w:jc w:val="left"/>
              <w:rPr>
                <w:rFonts w:ascii="Times New Roman" w:hAnsi="Times New Roman" w:cs="Times New Roman"/>
                <w:sz w:val="18"/>
              </w:rPr>
            </w:pPr>
            <w:r>
              <w:rPr>
                <w:rFonts w:ascii="Times New Roman" w:hAnsi="Times New Roman" w:cs="Times New Roman"/>
                <w:sz w:val="18"/>
              </w:rPr>
              <w:t>Mixed-methods rationale is not fully explicit. Integration between sensor-derived feasibility data and interviews is limited; divergence is partly discussed, but overall mixed-method quality is uncertain.</w:t>
            </w:r>
          </w:p>
        </w:tc>
        <w:tc>
          <w:tcPr>
            <w:tcW w:w="756" w:type="dxa"/>
            <w:tcBorders>
              <w:right w:val="nil"/>
            </w:tcBorders>
            <w:tcMar>
              <w:top w:w="80" w:type="dxa"/>
              <w:left w:w="80" w:type="dxa"/>
              <w:bottom w:w="80" w:type="dxa"/>
              <w:right w:w="80" w:type="dxa"/>
            </w:tcMar>
            <w:vAlign w:val="center"/>
          </w:tcPr>
          <w:p w14:paraId="651BC3FE" w14:textId="77777777" w:rsidR="00E3003F" w:rsidRDefault="00E3003F">
            <w:pPr>
              <w:jc w:val="left"/>
              <w:rPr>
                <w:rFonts w:ascii="Times New Roman" w:hAnsi="Times New Roman" w:cs="Times New Roman"/>
                <w:sz w:val="18"/>
              </w:rPr>
            </w:pPr>
          </w:p>
        </w:tc>
      </w:tr>
      <w:tr w:rsidR="00E3003F" w14:paraId="4CEADC2B" w14:textId="77777777" w:rsidTr="00E3003F">
        <w:tc>
          <w:tcPr>
            <w:tcW w:w="1696" w:type="dxa"/>
            <w:vMerge/>
            <w:tcBorders>
              <w:left w:val="nil"/>
            </w:tcBorders>
            <w:tcMar>
              <w:top w:w="80" w:type="dxa"/>
              <w:left w:w="80" w:type="dxa"/>
              <w:bottom w:w="80" w:type="dxa"/>
              <w:right w:w="80" w:type="dxa"/>
            </w:tcMar>
            <w:vAlign w:val="center"/>
          </w:tcPr>
          <w:p w14:paraId="6BDB3283" w14:textId="77777777" w:rsidR="00E3003F" w:rsidRDefault="00E3003F">
            <w:pPr>
              <w:jc w:val="left"/>
              <w:rPr>
                <w:rFonts w:hint="eastAsia"/>
              </w:rPr>
            </w:pPr>
          </w:p>
        </w:tc>
        <w:tc>
          <w:tcPr>
            <w:tcW w:w="567" w:type="dxa"/>
            <w:vMerge w:val="restart"/>
            <w:tcMar>
              <w:top w:w="80" w:type="dxa"/>
              <w:left w:w="80" w:type="dxa"/>
              <w:bottom w:w="80" w:type="dxa"/>
              <w:right w:w="80" w:type="dxa"/>
            </w:tcMar>
            <w:vAlign w:val="center"/>
          </w:tcPr>
          <w:p w14:paraId="532DC44C" w14:textId="77777777" w:rsidR="00E3003F" w:rsidRDefault="00E3003F">
            <w:pPr>
              <w:jc w:val="center"/>
              <w:rPr>
                <w:rFonts w:hint="eastAsia"/>
              </w:rPr>
            </w:pPr>
            <w:r>
              <w:rPr>
                <w:rFonts w:ascii="Times New Roman" w:hAnsi="Times New Roman" w:cs="Times New Roman"/>
                <w:sz w:val="18"/>
              </w:rPr>
              <w:t>R2</w:t>
            </w:r>
          </w:p>
        </w:tc>
        <w:tc>
          <w:tcPr>
            <w:tcW w:w="1560" w:type="dxa"/>
            <w:tcMar>
              <w:top w:w="80" w:type="dxa"/>
              <w:left w:w="80" w:type="dxa"/>
              <w:bottom w:w="80" w:type="dxa"/>
              <w:right w:w="80" w:type="dxa"/>
            </w:tcMar>
            <w:vAlign w:val="center"/>
          </w:tcPr>
          <w:p w14:paraId="1DD0896E" w14:textId="77777777" w:rsidR="00E3003F" w:rsidRDefault="00E3003F">
            <w:pPr>
              <w:jc w:val="center"/>
              <w:rPr>
                <w:rFonts w:hint="eastAsia"/>
              </w:rPr>
            </w:pPr>
            <w:r>
              <w:rPr>
                <w:rFonts w:ascii="Times New Roman" w:hAnsi="Times New Roman" w:cs="Times New Roman"/>
                <w:sz w:val="18"/>
              </w:rPr>
              <w:t>Yes</w:t>
            </w:r>
          </w:p>
        </w:tc>
        <w:tc>
          <w:tcPr>
            <w:tcW w:w="1490" w:type="dxa"/>
            <w:tcMar>
              <w:top w:w="80" w:type="dxa"/>
              <w:left w:w="80" w:type="dxa"/>
              <w:bottom w:w="80" w:type="dxa"/>
              <w:right w:w="80" w:type="dxa"/>
            </w:tcMar>
            <w:vAlign w:val="center"/>
          </w:tcPr>
          <w:p w14:paraId="6434F110" w14:textId="77777777" w:rsidR="00E3003F" w:rsidRDefault="00E3003F">
            <w:pPr>
              <w:jc w:val="center"/>
              <w:rPr>
                <w:rFonts w:hint="eastAsia"/>
              </w:rPr>
            </w:pPr>
            <w:r>
              <w:rPr>
                <w:rFonts w:ascii="Times New Roman" w:hAnsi="Times New Roman" w:cs="Times New Roman"/>
                <w:sz w:val="18"/>
              </w:rPr>
              <w:t>Yes</w:t>
            </w:r>
          </w:p>
        </w:tc>
        <w:tc>
          <w:tcPr>
            <w:tcW w:w="576" w:type="dxa"/>
            <w:tcMar>
              <w:top w:w="80" w:type="dxa"/>
              <w:left w:w="80" w:type="dxa"/>
              <w:bottom w:w="80" w:type="dxa"/>
              <w:right w:w="80" w:type="dxa"/>
            </w:tcMar>
            <w:vAlign w:val="center"/>
          </w:tcPr>
          <w:p w14:paraId="5E10E42D" w14:textId="77777777" w:rsidR="00E3003F" w:rsidRDefault="00E3003F">
            <w:pPr>
              <w:jc w:val="center"/>
              <w:rPr>
                <w:rFonts w:hint="eastAsia"/>
              </w:rPr>
            </w:pPr>
            <w:r>
              <w:rPr>
                <w:rFonts w:ascii="Times New Roman" w:hAnsi="Times New Roman" w:cs="Times New Roman"/>
                <w:sz w:val="18"/>
              </w:rPr>
              <w:t>Yes</w:t>
            </w:r>
          </w:p>
        </w:tc>
        <w:tc>
          <w:tcPr>
            <w:tcW w:w="769" w:type="dxa"/>
            <w:tcMar>
              <w:top w:w="80" w:type="dxa"/>
              <w:left w:w="80" w:type="dxa"/>
              <w:bottom w:w="80" w:type="dxa"/>
              <w:right w:w="80" w:type="dxa"/>
            </w:tcMar>
            <w:vAlign w:val="center"/>
          </w:tcPr>
          <w:p w14:paraId="490E8BBB" w14:textId="77777777" w:rsidR="00E3003F" w:rsidRDefault="00E3003F">
            <w:pPr>
              <w:jc w:val="center"/>
              <w:rPr>
                <w:rFonts w:hint="eastAsia"/>
              </w:rPr>
            </w:pPr>
            <w:r>
              <w:rPr>
                <w:rFonts w:ascii="Times New Roman" w:hAnsi="Times New Roman" w:cs="Times New Roman"/>
                <w:sz w:val="18"/>
              </w:rPr>
              <w:t>Yes</w:t>
            </w:r>
          </w:p>
        </w:tc>
        <w:tc>
          <w:tcPr>
            <w:tcW w:w="653" w:type="dxa"/>
            <w:tcMar>
              <w:top w:w="80" w:type="dxa"/>
              <w:left w:w="80" w:type="dxa"/>
              <w:bottom w:w="80" w:type="dxa"/>
              <w:right w:w="80" w:type="dxa"/>
            </w:tcMar>
            <w:vAlign w:val="center"/>
          </w:tcPr>
          <w:p w14:paraId="4E1368AA" w14:textId="77777777" w:rsidR="00E3003F" w:rsidRDefault="00E3003F">
            <w:pPr>
              <w:jc w:val="center"/>
              <w:rPr>
                <w:rFonts w:hint="eastAsia"/>
              </w:rPr>
            </w:pPr>
            <w:r>
              <w:rPr>
                <w:rFonts w:ascii="Times New Roman" w:hAnsi="Times New Roman" w:cs="Times New Roman"/>
                <w:sz w:val="18"/>
              </w:rPr>
              <w:t>Yes</w:t>
            </w:r>
          </w:p>
        </w:tc>
        <w:tc>
          <w:tcPr>
            <w:tcW w:w="576" w:type="dxa"/>
            <w:tcMar>
              <w:top w:w="80" w:type="dxa"/>
              <w:left w:w="80" w:type="dxa"/>
              <w:bottom w:w="80" w:type="dxa"/>
              <w:right w:w="80" w:type="dxa"/>
            </w:tcMar>
            <w:vAlign w:val="center"/>
          </w:tcPr>
          <w:p w14:paraId="59A31287" w14:textId="77777777" w:rsidR="00E3003F" w:rsidRDefault="00E3003F">
            <w:pPr>
              <w:jc w:val="center"/>
              <w:rPr>
                <w:rFonts w:hint="eastAsia"/>
              </w:rPr>
            </w:pPr>
            <w:r>
              <w:rPr>
                <w:rFonts w:ascii="Times New Roman" w:hAnsi="Times New Roman" w:cs="Times New Roman"/>
                <w:sz w:val="18"/>
              </w:rPr>
              <w:t>Yes</w:t>
            </w:r>
          </w:p>
        </w:tc>
        <w:tc>
          <w:tcPr>
            <w:tcW w:w="576" w:type="dxa"/>
            <w:tcMar>
              <w:top w:w="80" w:type="dxa"/>
              <w:left w:w="80" w:type="dxa"/>
              <w:bottom w:w="80" w:type="dxa"/>
              <w:right w:w="80" w:type="dxa"/>
            </w:tcMar>
            <w:vAlign w:val="center"/>
          </w:tcPr>
          <w:p w14:paraId="600ABDE7" w14:textId="77777777" w:rsidR="00E3003F" w:rsidRDefault="00E3003F">
            <w:pPr>
              <w:jc w:val="center"/>
              <w:rPr>
                <w:rFonts w:hint="eastAsia"/>
              </w:rPr>
            </w:pPr>
            <w:r>
              <w:rPr>
                <w:rFonts w:ascii="Times New Roman" w:hAnsi="Times New Roman" w:cs="Times New Roman"/>
                <w:sz w:val="18"/>
              </w:rPr>
              <w:t>Yes</w:t>
            </w:r>
          </w:p>
        </w:tc>
        <w:tc>
          <w:tcPr>
            <w:tcW w:w="526" w:type="dxa"/>
            <w:tcMar>
              <w:top w:w="80" w:type="dxa"/>
              <w:left w:w="80" w:type="dxa"/>
              <w:bottom w:w="80" w:type="dxa"/>
              <w:right w:w="80" w:type="dxa"/>
            </w:tcMar>
            <w:vAlign w:val="center"/>
          </w:tcPr>
          <w:p w14:paraId="1724203C" w14:textId="77777777" w:rsidR="00E3003F" w:rsidRDefault="00E3003F">
            <w:pPr>
              <w:jc w:val="center"/>
              <w:rPr>
                <w:rFonts w:hint="eastAsia"/>
              </w:rPr>
            </w:pPr>
            <w:r>
              <w:rPr>
                <w:rFonts w:ascii="Times New Roman" w:hAnsi="Times New Roman" w:cs="Times New Roman"/>
                <w:sz w:val="18"/>
              </w:rPr>
              <w:t>Yes</w:t>
            </w:r>
          </w:p>
        </w:tc>
        <w:tc>
          <w:tcPr>
            <w:tcW w:w="754" w:type="dxa"/>
            <w:tcMar>
              <w:top w:w="80" w:type="dxa"/>
              <w:left w:w="80" w:type="dxa"/>
              <w:bottom w:w="80" w:type="dxa"/>
              <w:right w:w="80" w:type="dxa"/>
            </w:tcMar>
            <w:vAlign w:val="center"/>
          </w:tcPr>
          <w:p w14:paraId="5FF5650D" w14:textId="77777777" w:rsidR="00E3003F" w:rsidRDefault="00E3003F">
            <w:pPr>
              <w:jc w:val="center"/>
              <w:rPr>
                <w:rFonts w:hint="eastAsia"/>
              </w:rPr>
            </w:pPr>
            <w:r>
              <w:rPr>
                <w:rFonts w:ascii="Times New Roman" w:hAnsi="Times New Roman" w:cs="Times New Roman"/>
                <w:sz w:val="18"/>
              </w:rPr>
              <w:t>Yes</w:t>
            </w:r>
          </w:p>
        </w:tc>
        <w:tc>
          <w:tcPr>
            <w:tcW w:w="526" w:type="dxa"/>
            <w:tcMar>
              <w:top w:w="80" w:type="dxa"/>
              <w:left w:w="80" w:type="dxa"/>
              <w:bottom w:w="80" w:type="dxa"/>
              <w:right w:w="80" w:type="dxa"/>
            </w:tcMar>
            <w:vAlign w:val="center"/>
          </w:tcPr>
          <w:p w14:paraId="643299F5" w14:textId="77777777" w:rsidR="00E3003F" w:rsidRDefault="00E3003F">
            <w:pPr>
              <w:jc w:val="center"/>
              <w:rPr>
                <w:rFonts w:hint="eastAsia"/>
              </w:rPr>
            </w:pPr>
            <w:r>
              <w:rPr>
                <w:rFonts w:ascii="Times New Roman" w:hAnsi="Times New Roman" w:cs="Times New Roman"/>
                <w:sz w:val="18"/>
              </w:rPr>
              <w:t>Yes</w:t>
            </w:r>
          </w:p>
        </w:tc>
        <w:tc>
          <w:tcPr>
            <w:tcW w:w="754" w:type="dxa"/>
            <w:tcMar>
              <w:top w:w="80" w:type="dxa"/>
              <w:left w:w="80" w:type="dxa"/>
              <w:bottom w:w="80" w:type="dxa"/>
              <w:right w:w="80" w:type="dxa"/>
            </w:tcMar>
            <w:vAlign w:val="center"/>
          </w:tcPr>
          <w:p w14:paraId="04493DF9" w14:textId="77777777" w:rsidR="00E3003F" w:rsidRDefault="00E3003F">
            <w:pPr>
              <w:jc w:val="center"/>
              <w:rPr>
                <w:rFonts w:hint="eastAsia"/>
              </w:rPr>
            </w:pPr>
            <w:r>
              <w:rPr>
                <w:rFonts w:ascii="Times New Roman" w:hAnsi="Times New Roman" w:cs="Times New Roman"/>
                <w:sz w:val="18"/>
              </w:rPr>
              <w:t>Yes</w:t>
            </w:r>
          </w:p>
        </w:tc>
        <w:tc>
          <w:tcPr>
            <w:tcW w:w="526" w:type="dxa"/>
            <w:tcMar>
              <w:top w:w="80" w:type="dxa"/>
              <w:left w:w="80" w:type="dxa"/>
              <w:bottom w:w="80" w:type="dxa"/>
              <w:right w:w="80" w:type="dxa"/>
            </w:tcMar>
            <w:vAlign w:val="center"/>
          </w:tcPr>
          <w:p w14:paraId="08DB3780" w14:textId="77777777" w:rsidR="00E3003F" w:rsidRDefault="00E3003F">
            <w:pPr>
              <w:jc w:val="center"/>
              <w:rPr>
                <w:rFonts w:hint="eastAsia"/>
              </w:rPr>
            </w:pPr>
            <w:r>
              <w:rPr>
                <w:rFonts w:ascii="Times New Roman" w:hAnsi="Times New Roman" w:cs="Times New Roman"/>
                <w:sz w:val="18"/>
              </w:rPr>
              <w:t>Yes</w:t>
            </w:r>
          </w:p>
        </w:tc>
        <w:tc>
          <w:tcPr>
            <w:tcW w:w="565" w:type="dxa"/>
            <w:tcMar>
              <w:top w:w="80" w:type="dxa"/>
              <w:left w:w="80" w:type="dxa"/>
              <w:bottom w:w="80" w:type="dxa"/>
              <w:right w:w="80" w:type="dxa"/>
            </w:tcMar>
            <w:vAlign w:val="center"/>
          </w:tcPr>
          <w:p w14:paraId="5CECEC42" w14:textId="77777777" w:rsidR="00E3003F" w:rsidRDefault="00E3003F">
            <w:pPr>
              <w:jc w:val="center"/>
              <w:rPr>
                <w:rFonts w:hint="eastAsia"/>
              </w:rPr>
            </w:pPr>
            <w:r>
              <w:rPr>
                <w:rFonts w:ascii="Times New Roman" w:hAnsi="Times New Roman" w:cs="Times New Roman"/>
                <w:sz w:val="18"/>
              </w:rPr>
              <w:t>Can’t tell</w:t>
            </w:r>
          </w:p>
        </w:tc>
        <w:tc>
          <w:tcPr>
            <w:tcW w:w="564" w:type="dxa"/>
            <w:tcMar>
              <w:top w:w="80" w:type="dxa"/>
              <w:left w:w="80" w:type="dxa"/>
              <w:bottom w:w="80" w:type="dxa"/>
              <w:right w:w="80" w:type="dxa"/>
            </w:tcMar>
            <w:vAlign w:val="center"/>
          </w:tcPr>
          <w:p w14:paraId="08309A1D" w14:textId="77777777" w:rsidR="00E3003F" w:rsidRDefault="00E3003F">
            <w:pPr>
              <w:jc w:val="center"/>
              <w:rPr>
                <w:rFonts w:hint="eastAsia"/>
              </w:rPr>
            </w:pPr>
            <w:r>
              <w:rPr>
                <w:rFonts w:ascii="Times New Roman" w:hAnsi="Times New Roman" w:cs="Times New Roman"/>
                <w:sz w:val="18"/>
              </w:rPr>
              <w:t>No</w:t>
            </w:r>
          </w:p>
        </w:tc>
        <w:tc>
          <w:tcPr>
            <w:tcW w:w="564" w:type="dxa"/>
            <w:tcMar>
              <w:top w:w="80" w:type="dxa"/>
              <w:left w:w="80" w:type="dxa"/>
              <w:bottom w:w="80" w:type="dxa"/>
              <w:right w:w="80" w:type="dxa"/>
            </w:tcMar>
            <w:vAlign w:val="center"/>
          </w:tcPr>
          <w:p w14:paraId="4B9500DC" w14:textId="77777777" w:rsidR="00E3003F" w:rsidRDefault="00E3003F">
            <w:pPr>
              <w:jc w:val="center"/>
              <w:rPr>
                <w:rFonts w:hint="eastAsia"/>
              </w:rPr>
            </w:pPr>
            <w:r>
              <w:rPr>
                <w:rFonts w:ascii="Times New Roman" w:hAnsi="Times New Roman" w:cs="Times New Roman"/>
                <w:sz w:val="18"/>
              </w:rPr>
              <w:t>Can’t tell</w:t>
            </w:r>
          </w:p>
        </w:tc>
        <w:tc>
          <w:tcPr>
            <w:tcW w:w="826" w:type="dxa"/>
            <w:tcMar>
              <w:top w:w="80" w:type="dxa"/>
              <w:left w:w="80" w:type="dxa"/>
              <w:bottom w:w="80" w:type="dxa"/>
              <w:right w:w="80" w:type="dxa"/>
            </w:tcMar>
            <w:vAlign w:val="center"/>
          </w:tcPr>
          <w:p w14:paraId="2E4EC5D9" w14:textId="77777777" w:rsidR="00E3003F" w:rsidRDefault="00E3003F">
            <w:pPr>
              <w:jc w:val="center"/>
              <w:rPr>
                <w:rFonts w:hint="eastAsia"/>
              </w:rPr>
            </w:pPr>
            <w:r>
              <w:rPr>
                <w:rFonts w:ascii="Times New Roman" w:hAnsi="Times New Roman" w:cs="Times New Roman"/>
                <w:sz w:val="18"/>
              </w:rPr>
              <w:t>Yes</w:t>
            </w:r>
          </w:p>
        </w:tc>
        <w:tc>
          <w:tcPr>
            <w:tcW w:w="564" w:type="dxa"/>
            <w:tcMar>
              <w:top w:w="80" w:type="dxa"/>
              <w:left w:w="80" w:type="dxa"/>
              <w:bottom w:w="80" w:type="dxa"/>
              <w:right w:w="80" w:type="dxa"/>
            </w:tcMar>
            <w:vAlign w:val="center"/>
          </w:tcPr>
          <w:p w14:paraId="1F08EC14" w14:textId="77777777" w:rsidR="00E3003F" w:rsidRDefault="00E3003F">
            <w:pPr>
              <w:jc w:val="center"/>
              <w:rPr>
                <w:rFonts w:hint="eastAsia"/>
              </w:rPr>
            </w:pPr>
            <w:r>
              <w:rPr>
                <w:rFonts w:ascii="Times New Roman" w:hAnsi="Times New Roman" w:cs="Times New Roman"/>
                <w:sz w:val="18"/>
              </w:rPr>
              <w:t>Can’t tell</w:t>
            </w:r>
          </w:p>
        </w:tc>
        <w:tc>
          <w:tcPr>
            <w:tcW w:w="756" w:type="dxa"/>
            <w:tcBorders>
              <w:right w:val="nil"/>
            </w:tcBorders>
            <w:tcMar>
              <w:top w:w="80" w:type="dxa"/>
              <w:left w:w="80" w:type="dxa"/>
              <w:bottom w:w="80" w:type="dxa"/>
              <w:right w:w="80" w:type="dxa"/>
            </w:tcMar>
            <w:vAlign w:val="center"/>
          </w:tcPr>
          <w:p w14:paraId="3455715D" w14:textId="77777777" w:rsidR="00E3003F" w:rsidRDefault="00E3003F">
            <w:pPr>
              <w:jc w:val="center"/>
              <w:rPr>
                <w:rFonts w:hint="eastAsia"/>
              </w:rPr>
            </w:pPr>
            <w:r>
              <w:rPr>
                <w:rFonts w:ascii="Times New Roman" w:hAnsi="Times New Roman" w:cs="Times New Roman"/>
                <w:sz w:val="18"/>
              </w:rPr>
              <w:t>Exclude</w:t>
            </w:r>
          </w:p>
        </w:tc>
      </w:tr>
      <w:tr w:rsidR="00E3003F" w14:paraId="7B500BF5" w14:textId="77777777" w:rsidTr="00E3003F">
        <w:tc>
          <w:tcPr>
            <w:tcW w:w="1696" w:type="dxa"/>
            <w:vMerge/>
            <w:tcBorders>
              <w:left w:val="nil"/>
            </w:tcBorders>
            <w:tcMar>
              <w:top w:w="80" w:type="dxa"/>
              <w:left w:w="80" w:type="dxa"/>
              <w:bottom w:w="80" w:type="dxa"/>
              <w:right w:w="80" w:type="dxa"/>
            </w:tcMar>
            <w:vAlign w:val="center"/>
          </w:tcPr>
          <w:p w14:paraId="690D4039" w14:textId="77777777" w:rsidR="00E3003F" w:rsidRDefault="00E3003F">
            <w:pPr>
              <w:jc w:val="center"/>
              <w:rPr>
                <w:rFonts w:hint="eastAsia"/>
              </w:rPr>
            </w:pPr>
          </w:p>
        </w:tc>
        <w:tc>
          <w:tcPr>
            <w:tcW w:w="567" w:type="dxa"/>
            <w:vMerge/>
            <w:tcMar>
              <w:top w:w="80" w:type="dxa"/>
              <w:left w:w="80" w:type="dxa"/>
              <w:bottom w:w="80" w:type="dxa"/>
              <w:right w:w="80" w:type="dxa"/>
            </w:tcMar>
            <w:vAlign w:val="center"/>
          </w:tcPr>
          <w:p w14:paraId="3C65CC69" w14:textId="77777777" w:rsidR="00E3003F" w:rsidRDefault="00E3003F">
            <w:pPr>
              <w:jc w:val="center"/>
              <w:rPr>
                <w:rFonts w:ascii="Times New Roman" w:hAnsi="Times New Roman" w:cs="Times New Roman"/>
                <w:sz w:val="18"/>
              </w:rPr>
            </w:pPr>
          </w:p>
        </w:tc>
        <w:tc>
          <w:tcPr>
            <w:tcW w:w="3050" w:type="dxa"/>
            <w:gridSpan w:val="2"/>
            <w:tcMar>
              <w:top w:w="80" w:type="dxa"/>
              <w:left w:w="80" w:type="dxa"/>
              <w:bottom w:w="80" w:type="dxa"/>
              <w:right w:w="80" w:type="dxa"/>
            </w:tcMar>
            <w:vAlign w:val="center"/>
          </w:tcPr>
          <w:p w14:paraId="285F9BBB" w14:textId="77777777" w:rsidR="00E3003F" w:rsidRDefault="00E3003F">
            <w:pPr>
              <w:jc w:val="left"/>
              <w:rPr>
                <w:rFonts w:ascii="Times New Roman" w:hAnsi="Times New Roman" w:cs="Times New Roman"/>
                <w:sz w:val="18"/>
              </w:rPr>
            </w:pPr>
            <w:r>
              <w:rPr>
                <w:rFonts w:ascii="Times New Roman" w:hAnsi="Times New Roman" w:cs="Times New Roman"/>
                <w:sz w:val="18"/>
              </w:rPr>
              <w:t>The question is focused on fall-risk prevention feasibility. Interview and intervention data are relevant to Sense4Safety acceptability.</w:t>
            </w:r>
          </w:p>
        </w:tc>
        <w:tc>
          <w:tcPr>
            <w:tcW w:w="3150" w:type="dxa"/>
            <w:gridSpan w:val="5"/>
            <w:tcMar>
              <w:top w:w="80" w:type="dxa"/>
              <w:left w:w="80" w:type="dxa"/>
              <w:bottom w:w="80" w:type="dxa"/>
              <w:right w:w="80" w:type="dxa"/>
            </w:tcMar>
            <w:vAlign w:val="center"/>
          </w:tcPr>
          <w:p w14:paraId="76E628A0" w14:textId="77777777" w:rsidR="00E3003F" w:rsidRDefault="00E3003F">
            <w:pPr>
              <w:jc w:val="left"/>
              <w:rPr>
                <w:rFonts w:ascii="Times New Roman" w:hAnsi="Times New Roman" w:cs="Times New Roman"/>
                <w:sz w:val="18"/>
              </w:rPr>
            </w:pPr>
            <w:r>
              <w:rPr>
                <w:rFonts w:ascii="Times New Roman" w:hAnsi="Times New Roman" w:cs="Times New Roman"/>
                <w:sz w:val="18"/>
              </w:rPr>
              <w:t>Qualitative participant feedback is appropriate and tied to the findings. Coding/reflexivity detail is thinner than ideal, but the interpretation is coherent.</w:t>
            </w:r>
          </w:p>
        </w:tc>
        <w:tc>
          <w:tcPr>
            <w:tcW w:w="3086" w:type="dxa"/>
            <w:gridSpan w:val="5"/>
            <w:tcMar>
              <w:top w:w="80" w:type="dxa"/>
              <w:left w:w="80" w:type="dxa"/>
              <w:bottom w:w="80" w:type="dxa"/>
              <w:right w:w="80" w:type="dxa"/>
            </w:tcMar>
            <w:vAlign w:val="center"/>
          </w:tcPr>
          <w:p w14:paraId="76B17E34" w14:textId="77777777" w:rsidR="00E3003F" w:rsidRDefault="00E3003F">
            <w:pPr>
              <w:jc w:val="left"/>
              <w:rPr>
                <w:rFonts w:ascii="Times New Roman" w:hAnsi="Times New Roman" w:cs="Times New Roman"/>
                <w:sz w:val="18"/>
              </w:rPr>
            </w:pPr>
            <w:r>
              <w:rPr>
                <w:rFonts w:ascii="Times New Roman" w:hAnsi="Times New Roman" w:cs="Times New Roman"/>
                <w:sz w:val="18"/>
              </w:rPr>
              <w:t>Quantitative reporting fits a feasibility pilot. The sample is very small and selected, but completion and confidence rates are transparently summarized.</w:t>
            </w:r>
          </w:p>
        </w:tc>
        <w:tc>
          <w:tcPr>
            <w:tcW w:w="3083" w:type="dxa"/>
            <w:gridSpan w:val="5"/>
            <w:tcMar>
              <w:top w:w="80" w:type="dxa"/>
              <w:left w:w="80" w:type="dxa"/>
              <w:bottom w:w="80" w:type="dxa"/>
              <w:right w:w="80" w:type="dxa"/>
            </w:tcMar>
            <w:vAlign w:val="center"/>
          </w:tcPr>
          <w:p w14:paraId="1243894E" w14:textId="77777777" w:rsidR="00E3003F" w:rsidRDefault="00E3003F">
            <w:pPr>
              <w:jc w:val="left"/>
              <w:rPr>
                <w:rFonts w:ascii="Times New Roman" w:hAnsi="Times New Roman" w:cs="Times New Roman"/>
                <w:sz w:val="18"/>
              </w:rPr>
            </w:pPr>
            <w:r>
              <w:rPr>
                <w:rFonts w:ascii="Times New Roman" w:hAnsi="Times New Roman" w:cs="Times New Roman"/>
                <w:sz w:val="18"/>
              </w:rPr>
              <w:t>The mixed design is implicit rather than strongly justified. Components are not fully integrated, and small-sample feasibility claims make the mixed-methods conclusions cautious.</w:t>
            </w:r>
          </w:p>
        </w:tc>
        <w:tc>
          <w:tcPr>
            <w:tcW w:w="756" w:type="dxa"/>
            <w:tcBorders>
              <w:right w:val="nil"/>
            </w:tcBorders>
            <w:tcMar>
              <w:top w:w="80" w:type="dxa"/>
              <w:left w:w="80" w:type="dxa"/>
              <w:bottom w:w="80" w:type="dxa"/>
              <w:right w:w="80" w:type="dxa"/>
            </w:tcMar>
            <w:vAlign w:val="center"/>
          </w:tcPr>
          <w:p w14:paraId="43F724EA" w14:textId="77777777" w:rsidR="00E3003F" w:rsidRDefault="00E3003F">
            <w:pPr>
              <w:jc w:val="left"/>
              <w:rPr>
                <w:rFonts w:ascii="Times New Roman" w:hAnsi="Times New Roman" w:cs="Times New Roman"/>
                <w:sz w:val="18"/>
              </w:rPr>
            </w:pPr>
          </w:p>
        </w:tc>
      </w:tr>
      <w:tr w:rsidR="00DF0001" w:rsidRPr="00036F81" w14:paraId="1AE165E8" w14:textId="77777777" w:rsidTr="00E3003F">
        <w:trPr>
          <w:trHeight w:val="283"/>
        </w:trPr>
        <w:tc>
          <w:tcPr>
            <w:tcW w:w="1696" w:type="dxa"/>
            <w:vMerge w:val="restart"/>
            <w:tcBorders>
              <w:left w:val="nil"/>
            </w:tcBorders>
            <w:noWrap/>
            <w:tcMar>
              <w:top w:w="80" w:type="dxa"/>
              <w:left w:w="80" w:type="dxa"/>
              <w:bottom w:w="80" w:type="dxa"/>
              <w:right w:w="80" w:type="dxa"/>
            </w:tcMar>
            <w:vAlign w:val="center"/>
            <w:hideMark/>
          </w:tcPr>
          <w:p w14:paraId="48E7A5DF" w14:textId="77777777" w:rsidR="00DF0001" w:rsidRPr="00120633" w:rsidRDefault="00DF0001" w:rsidP="00C432CC">
            <w:pPr>
              <w:jc w:val="center"/>
              <w:rPr>
                <w:rFonts w:ascii="Times New Roman" w:eastAsia="Times New Roman" w:hAnsi="Times New Roman" w:cs="Times New Roman"/>
                <w:kern w:val="0"/>
                <w:sz w:val="18"/>
                <w:szCs w:val="18"/>
                <w14:ligatures w14:val="none"/>
              </w:rPr>
            </w:pPr>
            <w:r>
              <w:rPr>
                <w:rFonts w:ascii="Times New Roman" w:eastAsia="等线" w:hAnsi="Times New Roman" w:cs="Times New Roman"/>
                <w:color w:val="000000"/>
                <w:kern w:val="0"/>
                <w:sz w:val="18"/>
                <w:szCs w:val="18"/>
                <w14:ligatures w14:val="none"/>
              </w:rPr>
              <w:t>(Fiorini et al., 2020)</w:t>
            </w:r>
          </w:p>
        </w:tc>
        <w:tc>
          <w:tcPr>
            <w:tcW w:w="567" w:type="dxa"/>
            <w:vMerge w:val="restart"/>
            <w:tcMar>
              <w:top w:w="80" w:type="dxa"/>
              <w:left w:w="80" w:type="dxa"/>
              <w:bottom w:w="80" w:type="dxa"/>
              <w:right w:w="80" w:type="dxa"/>
            </w:tcMar>
            <w:vAlign w:val="center"/>
            <w:hideMark/>
          </w:tcPr>
          <w:p w14:paraId="79D33D3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Mar>
              <w:top w:w="80" w:type="dxa"/>
              <w:left w:w="80" w:type="dxa"/>
              <w:bottom w:w="80" w:type="dxa"/>
              <w:right w:w="80" w:type="dxa"/>
            </w:tcMar>
            <w:vAlign w:val="center"/>
            <w:hideMark/>
          </w:tcPr>
          <w:p w14:paraId="37DF713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1206505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17444CB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32406DD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6CC284A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7D67F9A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18E210D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33AC6AA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7884A07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130D1BF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78F5F29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Can’t tell</w:t>
            </w:r>
          </w:p>
        </w:tc>
        <w:tc>
          <w:tcPr>
            <w:tcW w:w="526" w:type="dxa"/>
            <w:tcMar>
              <w:top w:w="80" w:type="dxa"/>
              <w:left w:w="80" w:type="dxa"/>
              <w:bottom w:w="80" w:type="dxa"/>
              <w:right w:w="80" w:type="dxa"/>
            </w:tcMar>
            <w:vAlign w:val="center"/>
            <w:hideMark/>
          </w:tcPr>
          <w:p w14:paraId="0E68AFB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612930E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0445133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68FDDE0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6E3C426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18CB832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5272D850"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6C046AD8" w14:textId="77777777" w:rsidTr="00E3003F">
        <w:trPr>
          <w:trHeight w:val="1415"/>
        </w:trPr>
        <w:tc>
          <w:tcPr>
            <w:tcW w:w="1696" w:type="dxa"/>
            <w:vMerge/>
            <w:tcBorders>
              <w:left w:val="nil"/>
            </w:tcBorders>
            <w:hideMark/>
          </w:tcPr>
          <w:p w14:paraId="540F3DE3"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67C607AD"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33216C5D"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 aim to refine robot design.</w:t>
            </w:r>
          </w:p>
          <w:p w14:paraId="2446F09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Co-creation and evaluation data.</w:t>
            </w:r>
          </w:p>
        </w:tc>
        <w:tc>
          <w:tcPr>
            <w:tcW w:w="3150" w:type="dxa"/>
            <w:gridSpan w:val="5"/>
            <w:tcMar>
              <w:top w:w="80" w:type="dxa"/>
              <w:left w:w="80" w:type="dxa"/>
              <w:bottom w:w="80" w:type="dxa"/>
              <w:right w:w="80" w:type="dxa"/>
            </w:tcMar>
            <w:vAlign w:val="center"/>
            <w:hideMark/>
          </w:tcPr>
          <w:p w14:paraId="5087E12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Co-creation is a valid qualitative tool.</w:t>
            </w:r>
          </w:p>
          <w:p w14:paraId="07D4DC3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Iterative sessions are adequate.</w:t>
            </w:r>
          </w:p>
          <w:p w14:paraId="0C114EC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Findings from feedback derived.</w:t>
            </w:r>
          </w:p>
          <w:p w14:paraId="0F06DFA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Supported by user insights.</w:t>
            </w:r>
          </w:p>
          <w:p w14:paraId="15BE396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Strong coherence.</w:t>
            </w:r>
          </w:p>
        </w:tc>
        <w:tc>
          <w:tcPr>
            <w:tcW w:w="3086" w:type="dxa"/>
            <w:gridSpan w:val="5"/>
            <w:tcMar>
              <w:top w:w="80" w:type="dxa"/>
              <w:left w:w="80" w:type="dxa"/>
              <w:bottom w:w="80" w:type="dxa"/>
              <w:right w:w="80" w:type="dxa"/>
            </w:tcMar>
            <w:vAlign w:val="center"/>
            <w:hideMark/>
          </w:tcPr>
          <w:p w14:paraId="3DADA97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Relevant for design refinement.</w:t>
            </w:r>
          </w:p>
          <w:p w14:paraId="4A4B342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Sample is heterogeneous (mix of users/staff).</w:t>
            </w:r>
          </w:p>
          <w:p w14:paraId="421C10D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UEQ is a validated measure.</w:t>
            </w:r>
          </w:p>
          <w:p w14:paraId="49BFA23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Non-response not detailed.</w:t>
            </w:r>
          </w:p>
          <w:p w14:paraId="57BEC6B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Descriptive analysis appropriate.</w:t>
            </w:r>
          </w:p>
        </w:tc>
        <w:tc>
          <w:tcPr>
            <w:tcW w:w="3083" w:type="dxa"/>
            <w:gridSpan w:val="5"/>
            <w:tcMar>
              <w:top w:w="80" w:type="dxa"/>
              <w:left w:w="80" w:type="dxa"/>
              <w:bottom w:w="80" w:type="dxa"/>
              <w:right w:w="80" w:type="dxa"/>
            </w:tcMar>
            <w:vAlign w:val="center"/>
            <w:hideMark/>
          </w:tcPr>
          <w:p w14:paraId="4CDB015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Rationale for co-design clear.</w:t>
            </w:r>
          </w:p>
          <w:p w14:paraId="08CE9DA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Integrated for final prototype.</w:t>
            </w:r>
          </w:p>
          <w:p w14:paraId="7981E01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Properly interpreted.</w:t>
            </w:r>
          </w:p>
          <w:p w14:paraId="067F7BF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Addressed conflicting design needs.</w:t>
            </w:r>
          </w:p>
          <w:p w14:paraId="63C3C53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Adheres to methods.</w:t>
            </w:r>
          </w:p>
        </w:tc>
        <w:tc>
          <w:tcPr>
            <w:tcW w:w="756" w:type="dxa"/>
            <w:tcBorders>
              <w:right w:val="nil"/>
            </w:tcBorders>
            <w:tcMar>
              <w:top w:w="80" w:type="dxa"/>
              <w:left w:w="80" w:type="dxa"/>
              <w:bottom w:w="80" w:type="dxa"/>
              <w:right w:w="80" w:type="dxa"/>
            </w:tcMar>
            <w:vAlign w:val="center"/>
            <w:hideMark/>
          </w:tcPr>
          <w:p w14:paraId="6871ACF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6D3E93C6" w14:textId="77777777" w:rsidTr="00E3003F">
        <w:trPr>
          <w:trHeight w:val="283"/>
        </w:trPr>
        <w:tc>
          <w:tcPr>
            <w:tcW w:w="1696" w:type="dxa"/>
            <w:vMerge/>
            <w:tcBorders>
              <w:left w:val="nil"/>
            </w:tcBorders>
            <w:hideMark/>
          </w:tcPr>
          <w:p w14:paraId="0083E3BF"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5EC4D2D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Mar>
              <w:top w:w="80" w:type="dxa"/>
              <w:left w:w="80" w:type="dxa"/>
              <w:bottom w:w="80" w:type="dxa"/>
              <w:right w:w="80" w:type="dxa"/>
            </w:tcMar>
            <w:vAlign w:val="center"/>
            <w:hideMark/>
          </w:tcPr>
          <w:p w14:paraId="3FD9E57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2543E2B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385E397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11CF44A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578A6E6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74BA18D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256FAF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7DE7BFD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3EB82FB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3B0C572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63793A4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3CBE9DD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77B9792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216A7EC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0D8F550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4EBD4C6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4F29C07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0FCAAC3F"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38199732" w14:textId="77777777" w:rsidTr="00E3003F">
        <w:trPr>
          <w:trHeight w:val="1132"/>
        </w:trPr>
        <w:tc>
          <w:tcPr>
            <w:tcW w:w="1696" w:type="dxa"/>
            <w:vMerge/>
            <w:tcBorders>
              <w:left w:val="nil"/>
            </w:tcBorders>
            <w:hideMark/>
          </w:tcPr>
          <w:p w14:paraId="14B7F730" w14:textId="77777777" w:rsidR="00DF0001" w:rsidRPr="00120633" w:rsidRDefault="00DF0001" w:rsidP="00C432CC">
            <w:pPr>
              <w:widowControl/>
              <w:rPr>
                <w:rFonts w:ascii="Times New Roman" w:eastAsia="等线" w:hAnsi="Times New Roman" w:cs="Times New Roman"/>
                <w:color w:val="1F1F1F"/>
                <w:kern w:val="0"/>
                <w:sz w:val="18"/>
                <w:szCs w:val="18"/>
                <w14:ligatures w14:val="none"/>
              </w:rPr>
            </w:pPr>
          </w:p>
        </w:tc>
        <w:tc>
          <w:tcPr>
            <w:tcW w:w="567" w:type="dxa"/>
            <w:vMerge/>
            <w:hideMark/>
          </w:tcPr>
          <w:p w14:paraId="7092A169"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4447231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Objectives well-defined.</w:t>
            </w:r>
          </w:p>
          <w:p w14:paraId="781A238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Methods address S1.</w:t>
            </w:r>
          </w:p>
        </w:tc>
        <w:tc>
          <w:tcPr>
            <w:tcW w:w="3150" w:type="dxa"/>
            <w:gridSpan w:val="5"/>
            <w:tcMar>
              <w:top w:w="80" w:type="dxa"/>
              <w:left w:w="80" w:type="dxa"/>
              <w:bottom w:w="80" w:type="dxa"/>
              <w:right w:w="80" w:type="dxa"/>
            </w:tcMar>
            <w:vAlign w:val="center"/>
            <w:hideMark/>
          </w:tcPr>
          <w:p w14:paraId="1DD32EF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Qualitative design appropriate.</w:t>
            </w:r>
          </w:p>
          <w:p w14:paraId="49BDAA0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Data collection methods adequate.</w:t>
            </w:r>
          </w:p>
          <w:p w14:paraId="0C3172E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 derivation from data.</w:t>
            </w:r>
          </w:p>
          <w:p w14:paraId="60124BB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Substantiated results.</w:t>
            </w:r>
          </w:p>
          <w:p w14:paraId="38EF2A4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Coherent structure.</w:t>
            </w:r>
          </w:p>
        </w:tc>
        <w:tc>
          <w:tcPr>
            <w:tcW w:w="3086" w:type="dxa"/>
            <w:gridSpan w:val="5"/>
            <w:tcMar>
              <w:top w:w="80" w:type="dxa"/>
              <w:left w:w="80" w:type="dxa"/>
              <w:bottom w:w="80" w:type="dxa"/>
              <w:right w:w="80" w:type="dxa"/>
            </w:tcMar>
            <w:vAlign w:val="center"/>
            <w:hideMark/>
          </w:tcPr>
          <w:p w14:paraId="4A35E99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Sampling strategy relevant.</w:t>
            </w:r>
          </w:p>
          <w:p w14:paraId="114F331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Broad sample limits specific population focus.</w:t>
            </w:r>
          </w:p>
          <w:p w14:paraId="26683FD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Measurements are appropriate.</w:t>
            </w:r>
          </w:p>
          <w:p w14:paraId="0865FB5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risk of measurement bias.</w:t>
            </w:r>
          </w:p>
          <w:p w14:paraId="4B670E9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Appropriate stats.</w:t>
            </w:r>
          </w:p>
        </w:tc>
        <w:tc>
          <w:tcPr>
            <w:tcW w:w="3083" w:type="dxa"/>
            <w:gridSpan w:val="5"/>
            <w:tcMar>
              <w:top w:w="80" w:type="dxa"/>
              <w:left w:w="80" w:type="dxa"/>
              <w:bottom w:w="80" w:type="dxa"/>
              <w:right w:w="80" w:type="dxa"/>
            </w:tcMar>
            <w:vAlign w:val="center"/>
            <w:hideMark/>
          </w:tcPr>
          <w:p w14:paraId="4BA7B19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Solid rationale.</w:t>
            </w:r>
          </w:p>
          <w:p w14:paraId="7B54B58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Effective integration.</w:t>
            </w:r>
          </w:p>
          <w:p w14:paraId="7BC628A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Adequate output analysis.</w:t>
            </w:r>
          </w:p>
          <w:p w14:paraId="7C11A81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Addressed feedback divergences.</w:t>
            </w:r>
          </w:p>
          <w:p w14:paraId="4C6A611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High tradition adherence.</w:t>
            </w:r>
          </w:p>
        </w:tc>
        <w:tc>
          <w:tcPr>
            <w:tcW w:w="756" w:type="dxa"/>
            <w:tcBorders>
              <w:right w:val="nil"/>
            </w:tcBorders>
            <w:tcMar>
              <w:top w:w="80" w:type="dxa"/>
              <w:left w:w="80" w:type="dxa"/>
              <w:bottom w:w="80" w:type="dxa"/>
              <w:right w:w="80" w:type="dxa"/>
            </w:tcMar>
            <w:vAlign w:val="center"/>
            <w:hideMark/>
          </w:tcPr>
          <w:p w14:paraId="281B3DA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E3003F" w14:paraId="29137D0F" w14:textId="77777777" w:rsidTr="00E3003F">
        <w:tc>
          <w:tcPr>
            <w:tcW w:w="1696" w:type="dxa"/>
            <w:vMerge w:val="restart"/>
            <w:tcBorders>
              <w:left w:val="nil"/>
            </w:tcBorders>
            <w:tcMar>
              <w:top w:w="80" w:type="dxa"/>
              <w:left w:w="80" w:type="dxa"/>
              <w:bottom w:w="80" w:type="dxa"/>
              <w:right w:w="80" w:type="dxa"/>
            </w:tcMar>
            <w:vAlign w:val="center"/>
          </w:tcPr>
          <w:p w14:paraId="48CA3D58" w14:textId="77777777" w:rsidR="00E3003F" w:rsidRDefault="00E3003F">
            <w:pPr>
              <w:jc w:val="center"/>
              <w:rPr>
                <w:rFonts w:hint="eastAsia"/>
              </w:rPr>
            </w:pPr>
            <w:r>
              <w:rPr>
                <w:rFonts w:ascii="Times New Roman" w:hAnsi="Times New Roman" w:cs="Times New Roman"/>
                <w:sz w:val="18"/>
              </w:rPr>
              <w:t>(Fritz and Dermody, 2019)</w:t>
            </w:r>
          </w:p>
          <w:p w14:paraId="11A02D31" w14:textId="77777777" w:rsidR="00E3003F" w:rsidRDefault="00E3003F" w:rsidP="00B91289">
            <w:pPr>
              <w:jc w:val="center"/>
              <w:rPr>
                <w:rFonts w:hint="eastAsia"/>
              </w:rPr>
            </w:pPr>
          </w:p>
        </w:tc>
        <w:tc>
          <w:tcPr>
            <w:tcW w:w="567" w:type="dxa"/>
            <w:vMerge w:val="restart"/>
            <w:tcMar>
              <w:top w:w="80" w:type="dxa"/>
              <w:left w:w="80" w:type="dxa"/>
              <w:bottom w:w="80" w:type="dxa"/>
              <w:right w:w="80" w:type="dxa"/>
            </w:tcMar>
            <w:vAlign w:val="center"/>
          </w:tcPr>
          <w:p w14:paraId="48F26A92" w14:textId="77777777" w:rsidR="00E3003F" w:rsidRDefault="00E3003F" w:rsidP="00E3003F">
            <w:pPr>
              <w:jc w:val="center"/>
              <w:rPr>
                <w:rFonts w:hint="eastAsia"/>
              </w:rPr>
            </w:pPr>
            <w:r>
              <w:rPr>
                <w:rFonts w:ascii="Times New Roman" w:hAnsi="Times New Roman" w:cs="Times New Roman"/>
                <w:sz w:val="18"/>
              </w:rPr>
              <w:t>R1</w:t>
            </w:r>
          </w:p>
        </w:tc>
        <w:tc>
          <w:tcPr>
            <w:tcW w:w="1560" w:type="dxa"/>
            <w:tcMar>
              <w:top w:w="80" w:type="dxa"/>
              <w:left w:w="80" w:type="dxa"/>
              <w:bottom w:w="80" w:type="dxa"/>
              <w:right w:w="80" w:type="dxa"/>
            </w:tcMar>
            <w:vAlign w:val="center"/>
          </w:tcPr>
          <w:p w14:paraId="16EF3E9B" w14:textId="77777777" w:rsidR="00E3003F" w:rsidRDefault="00E3003F">
            <w:pPr>
              <w:jc w:val="center"/>
              <w:rPr>
                <w:rFonts w:hint="eastAsia"/>
              </w:rPr>
            </w:pPr>
            <w:r>
              <w:rPr>
                <w:rFonts w:ascii="Times New Roman" w:hAnsi="Times New Roman" w:cs="Times New Roman"/>
                <w:sz w:val="18"/>
              </w:rPr>
              <w:t>Yes</w:t>
            </w:r>
          </w:p>
        </w:tc>
        <w:tc>
          <w:tcPr>
            <w:tcW w:w="1490" w:type="dxa"/>
            <w:tcMar>
              <w:top w:w="80" w:type="dxa"/>
              <w:left w:w="80" w:type="dxa"/>
              <w:bottom w:w="80" w:type="dxa"/>
              <w:right w:w="80" w:type="dxa"/>
            </w:tcMar>
            <w:vAlign w:val="center"/>
          </w:tcPr>
          <w:p w14:paraId="7341726F" w14:textId="77777777" w:rsidR="00E3003F" w:rsidRDefault="00E3003F">
            <w:pPr>
              <w:jc w:val="center"/>
              <w:rPr>
                <w:rFonts w:hint="eastAsia"/>
              </w:rPr>
            </w:pPr>
            <w:r>
              <w:rPr>
                <w:rFonts w:ascii="Times New Roman" w:hAnsi="Times New Roman" w:cs="Times New Roman"/>
                <w:sz w:val="18"/>
              </w:rPr>
              <w:t>Yes</w:t>
            </w:r>
          </w:p>
        </w:tc>
        <w:tc>
          <w:tcPr>
            <w:tcW w:w="576" w:type="dxa"/>
            <w:tcMar>
              <w:top w:w="80" w:type="dxa"/>
              <w:left w:w="80" w:type="dxa"/>
              <w:bottom w:w="80" w:type="dxa"/>
              <w:right w:w="80" w:type="dxa"/>
            </w:tcMar>
            <w:vAlign w:val="center"/>
          </w:tcPr>
          <w:p w14:paraId="30CFFA05" w14:textId="77777777" w:rsidR="00E3003F" w:rsidRDefault="00E3003F">
            <w:pPr>
              <w:jc w:val="center"/>
              <w:rPr>
                <w:rFonts w:hint="eastAsia"/>
              </w:rPr>
            </w:pPr>
            <w:r>
              <w:rPr>
                <w:rFonts w:ascii="Times New Roman" w:hAnsi="Times New Roman" w:cs="Times New Roman"/>
                <w:sz w:val="18"/>
              </w:rPr>
              <w:t>Yes</w:t>
            </w:r>
          </w:p>
        </w:tc>
        <w:tc>
          <w:tcPr>
            <w:tcW w:w="769" w:type="dxa"/>
            <w:tcMar>
              <w:top w:w="80" w:type="dxa"/>
              <w:left w:w="80" w:type="dxa"/>
              <w:bottom w:w="80" w:type="dxa"/>
              <w:right w:w="80" w:type="dxa"/>
            </w:tcMar>
            <w:vAlign w:val="center"/>
          </w:tcPr>
          <w:p w14:paraId="35B768A9" w14:textId="77777777" w:rsidR="00E3003F" w:rsidRDefault="00E3003F">
            <w:pPr>
              <w:jc w:val="center"/>
              <w:rPr>
                <w:rFonts w:hint="eastAsia"/>
              </w:rPr>
            </w:pPr>
            <w:r>
              <w:rPr>
                <w:rFonts w:ascii="Times New Roman" w:hAnsi="Times New Roman" w:cs="Times New Roman"/>
                <w:sz w:val="18"/>
              </w:rPr>
              <w:t>Yes</w:t>
            </w:r>
          </w:p>
        </w:tc>
        <w:tc>
          <w:tcPr>
            <w:tcW w:w="653" w:type="dxa"/>
            <w:tcMar>
              <w:top w:w="80" w:type="dxa"/>
              <w:left w:w="80" w:type="dxa"/>
              <w:bottom w:w="80" w:type="dxa"/>
              <w:right w:w="80" w:type="dxa"/>
            </w:tcMar>
            <w:vAlign w:val="center"/>
          </w:tcPr>
          <w:p w14:paraId="5836E2E0" w14:textId="77777777" w:rsidR="00E3003F" w:rsidRDefault="00E3003F">
            <w:pPr>
              <w:jc w:val="center"/>
              <w:rPr>
                <w:rFonts w:hint="eastAsia"/>
              </w:rPr>
            </w:pPr>
            <w:r>
              <w:rPr>
                <w:rFonts w:ascii="Times New Roman" w:hAnsi="Times New Roman" w:cs="Times New Roman"/>
                <w:sz w:val="18"/>
              </w:rPr>
              <w:t>Yes</w:t>
            </w:r>
          </w:p>
        </w:tc>
        <w:tc>
          <w:tcPr>
            <w:tcW w:w="576" w:type="dxa"/>
            <w:tcMar>
              <w:top w:w="80" w:type="dxa"/>
              <w:left w:w="80" w:type="dxa"/>
              <w:bottom w:w="80" w:type="dxa"/>
              <w:right w:w="80" w:type="dxa"/>
            </w:tcMar>
            <w:vAlign w:val="center"/>
          </w:tcPr>
          <w:p w14:paraId="4CAA9027" w14:textId="77777777" w:rsidR="00E3003F" w:rsidRDefault="00E3003F">
            <w:pPr>
              <w:jc w:val="center"/>
              <w:rPr>
                <w:rFonts w:hint="eastAsia"/>
              </w:rPr>
            </w:pPr>
            <w:r>
              <w:rPr>
                <w:rFonts w:ascii="Times New Roman" w:hAnsi="Times New Roman" w:cs="Times New Roman"/>
                <w:sz w:val="18"/>
              </w:rPr>
              <w:t>Yes</w:t>
            </w:r>
          </w:p>
        </w:tc>
        <w:tc>
          <w:tcPr>
            <w:tcW w:w="576" w:type="dxa"/>
            <w:tcMar>
              <w:top w:w="80" w:type="dxa"/>
              <w:left w:w="80" w:type="dxa"/>
              <w:bottom w:w="80" w:type="dxa"/>
              <w:right w:w="80" w:type="dxa"/>
            </w:tcMar>
            <w:vAlign w:val="center"/>
          </w:tcPr>
          <w:p w14:paraId="46690DC5" w14:textId="77777777" w:rsidR="00E3003F" w:rsidRDefault="00E3003F">
            <w:pPr>
              <w:jc w:val="center"/>
              <w:rPr>
                <w:rFonts w:hint="eastAsia"/>
              </w:rPr>
            </w:pPr>
            <w:r>
              <w:rPr>
                <w:rFonts w:ascii="Times New Roman" w:hAnsi="Times New Roman" w:cs="Times New Roman"/>
                <w:sz w:val="18"/>
              </w:rPr>
              <w:t>Yes</w:t>
            </w:r>
          </w:p>
        </w:tc>
        <w:tc>
          <w:tcPr>
            <w:tcW w:w="526" w:type="dxa"/>
            <w:tcMar>
              <w:top w:w="80" w:type="dxa"/>
              <w:left w:w="80" w:type="dxa"/>
              <w:bottom w:w="80" w:type="dxa"/>
              <w:right w:w="80" w:type="dxa"/>
            </w:tcMar>
            <w:vAlign w:val="center"/>
          </w:tcPr>
          <w:p w14:paraId="47422418" w14:textId="77777777" w:rsidR="00E3003F" w:rsidRDefault="00E3003F">
            <w:pPr>
              <w:jc w:val="center"/>
              <w:rPr>
                <w:rFonts w:hint="eastAsia"/>
              </w:rPr>
            </w:pPr>
            <w:r>
              <w:rPr>
                <w:rFonts w:ascii="Times New Roman" w:hAnsi="Times New Roman" w:cs="Times New Roman"/>
                <w:sz w:val="18"/>
              </w:rPr>
              <w:t>Yes</w:t>
            </w:r>
          </w:p>
        </w:tc>
        <w:tc>
          <w:tcPr>
            <w:tcW w:w="754" w:type="dxa"/>
            <w:tcMar>
              <w:top w:w="80" w:type="dxa"/>
              <w:left w:w="80" w:type="dxa"/>
              <w:bottom w:w="80" w:type="dxa"/>
              <w:right w:w="80" w:type="dxa"/>
            </w:tcMar>
            <w:vAlign w:val="center"/>
          </w:tcPr>
          <w:p w14:paraId="4F6F8B47" w14:textId="77777777" w:rsidR="00E3003F" w:rsidRDefault="00E3003F">
            <w:pPr>
              <w:jc w:val="center"/>
              <w:rPr>
                <w:rFonts w:hint="eastAsia"/>
              </w:rPr>
            </w:pPr>
            <w:r>
              <w:rPr>
                <w:rFonts w:ascii="Times New Roman" w:hAnsi="Times New Roman" w:cs="Times New Roman"/>
                <w:sz w:val="18"/>
              </w:rPr>
              <w:t>Yes</w:t>
            </w:r>
          </w:p>
        </w:tc>
        <w:tc>
          <w:tcPr>
            <w:tcW w:w="526" w:type="dxa"/>
            <w:tcMar>
              <w:top w:w="80" w:type="dxa"/>
              <w:left w:w="80" w:type="dxa"/>
              <w:bottom w:w="80" w:type="dxa"/>
              <w:right w:w="80" w:type="dxa"/>
            </w:tcMar>
            <w:vAlign w:val="center"/>
          </w:tcPr>
          <w:p w14:paraId="053F057A" w14:textId="77777777" w:rsidR="00E3003F" w:rsidRDefault="00E3003F">
            <w:pPr>
              <w:jc w:val="center"/>
              <w:rPr>
                <w:rFonts w:hint="eastAsia"/>
              </w:rPr>
            </w:pPr>
            <w:r>
              <w:rPr>
                <w:rFonts w:ascii="Times New Roman" w:hAnsi="Times New Roman" w:cs="Times New Roman"/>
                <w:sz w:val="18"/>
              </w:rPr>
              <w:t>Yes</w:t>
            </w:r>
          </w:p>
        </w:tc>
        <w:tc>
          <w:tcPr>
            <w:tcW w:w="754" w:type="dxa"/>
            <w:tcMar>
              <w:top w:w="80" w:type="dxa"/>
              <w:left w:w="80" w:type="dxa"/>
              <w:bottom w:w="80" w:type="dxa"/>
              <w:right w:w="80" w:type="dxa"/>
            </w:tcMar>
            <w:vAlign w:val="center"/>
          </w:tcPr>
          <w:p w14:paraId="5DC1D543" w14:textId="77777777" w:rsidR="00E3003F" w:rsidRDefault="00E3003F">
            <w:pPr>
              <w:jc w:val="center"/>
              <w:rPr>
                <w:rFonts w:hint="eastAsia"/>
              </w:rPr>
            </w:pPr>
            <w:r>
              <w:rPr>
                <w:rFonts w:ascii="Times New Roman" w:hAnsi="Times New Roman" w:cs="Times New Roman"/>
                <w:sz w:val="18"/>
              </w:rPr>
              <w:t>Yes</w:t>
            </w:r>
          </w:p>
        </w:tc>
        <w:tc>
          <w:tcPr>
            <w:tcW w:w="526" w:type="dxa"/>
            <w:tcMar>
              <w:top w:w="80" w:type="dxa"/>
              <w:left w:w="80" w:type="dxa"/>
              <w:bottom w:w="80" w:type="dxa"/>
              <w:right w:w="80" w:type="dxa"/>
            </w:tcMar>
            <w:vAlign w:val="center"/>
          </w:tcPr>
          <w:p w14:paraId="701F512A" w14:textId="77777777" w:rsidR="00E3003F" w:rsidRDefault="00E3003F">
            <w:pPr>
              <w:jc w:val="center"/>
              <w:rPr>
                <w:rFonts w:hint="eastAsia"/>
              </w:rPr>
            </w:pPr>
            <w:r>
              <w:rPr>
                <w:rFonts w:ascii="Times New Roman" w:hAnsi="Times New Roman" w:cs="Times New Roman"/>
                <w:sz w:val="18"/>
              </w:rPr>
              <w:t>Yes</w:t>
            </w:r>
          </w:p>
        </w:tc>
        <w:tc>
          <w:tcPr>
            <w:tcW w:w="565" w:type="dxa"/>
            <w:tcMar>
              <w:top w:w="80" w:type="dxa"/>
              <w:left w:w="80" w:type="dxa"/>
              <w:bottom w:w="80" w:type="dxa"/>
              <w:right w:w="80" w:type="dxa"/>
            </w:tcMar>
            <w:vAlign w:val="center"/>
          </w:tcPr>
          <w:p w14:paraId="7C79B2B0" w14:textId="77777777" w:rsidR="00E3003F" w:rsidRDefault="00E3003F">
            <w:pPr>
              <w:jc w:val="center"/>
              <w:rPr>
                <w:rFonts w:hint="eastAsia"/>
              </w:rPr>
            </w:pPr>
            <w:r>
              <w:rPr>
                <w:rFonts w:ascii="Times New Roman" w:hAnsi="Times New Roman" w:cs="Times New Roman"/>
                <w:sz w:val="18"/>
              </w:rPr>
              <w:t>No</w:t>
            </w:r>
          </w:p>
        </w:tc>
        <w:tc>
          <w:tcPr>
            <w:tcW w:w="564" w:type="dxa"/>
            <w:tcMar>
              <w:top w:w="80" w:type="dxa"/>
              <w:left w:w="80" w:type="dxa"/>
              <w:bottom w:w="80" w:type="dxa"/>
              <w:right w:w="80" w:type="dxa"/>
            </w:tcMar>
            <w:vAlign w:val="center"/>
          </w:tcPr>
          <w:p w14:paraId="63C902A5" w14:textId="77777777" w:rsidR="00E3003F" w:rsidRDefault="00E3003F">
            <w:pPr>
              <w:jc w:val="center"/>
              <w:rPr>
                <w:rFonts w:hint="eastAsia"/>
              </w:rPr>
            </w:pPr>
            <w:r>
              <w:rPr>
                <w:rFonts w:ascii="Times New Roman" w:hAnsi="Times New Roman" w:cs="Times New Roman"/>
                <w:sz w:val="18"/>
              </w:rPr>
              <w:t>No</w:t>
            </w:r>
          </w:p>
        </w:tc>
        <w:tc>
          <w:tcPr>
            <w:tcW w:w="564" w:type="dxa"/>
            <w:tcMar>
              <w:top w:w="80" w:type="dxa"/>
              <w:left w:w="80" w:type="dxa"/>
              <w:bottom w:w="80" w:type="dxa"/>
              <w:right w:w="80" w:type="dxa"/>
            </w:tcMar>
            <w:vAlign w:val="center"/>
          </w:tcPr>
          <w:p w14:paraId="317765C2" w14:textId="77777777" w:rsidR="00E3003F" w:rsidRDefault="00E3003F">
            <w:pPr>
              <w:jc w:val="center"/>
              <w:rPr>
                <w:rFonts w:hint="eastAsia"/>
              </w:rPr>
            </w:pPr>
            <w:r>
              <w:rPr>
                <w:rFonts w:ascii="Times New Roman" w:hAnsi="Times New Roman" w:cs="Times New Roman"/>
                <w:sz w:val="18"/>
              </w:rPr>
              <w:t>Can’t tell</w:t>
            </w:r>
          </w:p>
        </w:tc>
        <w:tc>
          <w:tcPr>
            <w:tcW w:w="826" w:type="dxa"/>
            <w:tcMar>
              <w:top w:w="80" w:type="dxa"/>
              <w:left w:w="80" w:type="dxa"/>
              <w:bottom w:w="80" w:type="dxa"/>
              <w:right w:w="80" w:type="dxa"/>
            </w:tcMar>
            <w:vAlign w:val="center"/>
          </w:tcPr>
          <w:p w14:paraId="4C8799F2" w14:textId="77777777" w:rsidR="00E3003F" w:rsidRDefault="00E3003F">
            <w:pPr>
              <w:jc w:val="center"/>
              <w:rPr>
                <w:rFonts w:hint="eastAsia"/>
              </w:rPr>
            </w:pPr>
            <w:r>
              <w:rPr>
                <w:rFonts w:ascii="Times New Roman" w:hAnsi="Times New Roman" w:cs="Times New Roman"/>
                <w:sz w:val="18"/>
              </w:rPr>
              <w:t>Yes</w:t>
            </w:r>
          </w:p>
        </w:tc>
        <w:tc>
          <w:tcPr>
            <w:tcW w:w="564" w:type="dxa"/>
            <w:tcMar>
              <w:top w:w="80" w:type="dxa"/>
              <w:left w:w="80" w:type="dxa"/>
              <w:bottom w:w="80" w:type="dxa"/>
              <w:right w:w="80" w:type="dxa"/>
            </w:tcMar>
            <w:vAlign w:val="center"/>
          </w:tcPr>
          <w:p w14:paraId="0929A3EC" w14:textId="77777777" w:rsidR="00E3003F" w:rsidRDefault="00E3003F">
            <w:pPr>
              <w:jc w:val="center"/>
              <w:rPr>
                <w:rFonts w:hint="eastAsia"/>
              </w:rPr>
            </w:pPr>
            <w:r>
              <w:rPr>
                <w:rFonts w:ascii="Times New Roman" w:hAnsi="Times New Roman" w:cs="Times New Roman"/>
                <w:sz w:val="18"/>
              </w:rPr>
              <w:t>Can’t tell</w:t>
            </w:r>
          </w:p>
        </w:tc>
        <w:tc>
          <w:tcPr>
            <w:tcW w:w="756" w:type="dxa"/>
            <w:tcBorders>
              <w:right w:val="nil"/>
            </w:tcBorders>
            <w:tcMar>
              <w:top w:w="80" w:type="dxa"/>
              <w:left w:w="80" w:type="dxa"/>
              <w:bottom w:w="80" w:type="dxa"/>
              <w:right w:w="80" w:type="dxa"/>
            </w:tcMar>
            <w:vAlign w:val="center"/>
          </w:tcPr>
          <w:p w14:paraId="1D824165" w14:textId="77777777" w:rsidR="00E3003F" w:rsidRDefault="00E3003F">
            <w:pPr>
              <w:jc w:val="center"/>
              <w:rPr>
                <w:rFonts w:hint="eastAsia"/>
              </w:rPr>
            </w:pPr>
            <w:r>
              <w:rPr>
                <w:rFonts w:ascii="Times New Roman" w:hAnsi="Times New Roman" w:cs="Times New Roman"/>
                <w:sz w:val="18"/>
              </w:rPr>
              <w:t>Exclude</w:t>
            </w:r>
          </w:p>
        </w:tc>
      </w:tr>
      <w:tr w:rsidR="00E3003F" w14:paraId="43B23AB0" w14:textId="77777777" w:rsidTr="00E3003F">
        <w:tc>
          <w:tcPr>
            <w:tcW w:w="1696" w:type="dxa"/>
            <w:vMerge/>
            <w:tcBorders>
              <w:left w:val="nil"/>
            </w:tcBorders>
            <w:tcMar>
              <w:top w:w="80" w:type="dxa"/>
              <w:left w:w="80" w:type="dxa"/>
              <w:bottom w:w="80" w:type="dxa"/>
              <w:right w:w="80" w:type="dxa"/>
            </w:tcMar>
            <w:vAlign w:val="center"/>
          </w:tcPr>
          <w:p w14:paraId="6BB17938" w14:textId="77777777" w:rsidR="00E3003F" w:rsidRDefault="00E3003F">
            <w:pPr>
              <w:jc w:val="left"/>
              <w:rPr>
                <w:rFonts w:ascii="Times New Roman" w:hAnsi="Times New Roman" w:cs="Times New Roman"/>
                <w:sz w:val="18"/>
              </w:rPr>
            </w:pPr>
          </w:p>
        </w:tc>
        <w:tc>
          <w:tcPr>
            <w:tcW w:w="567" w:type="dxa"/>
            <w:vMerge/>
            <w:tcMar>
              <w:top w:w="80" w:type="dxa"/>
              <w:left w:w="80" w:type="dxa"/>
              <w:bottom w:w="80" w:type="dxa"/>
              <w:right w:w="80" w:type="dxa"/>
            </w:tcMar>
            <w:vAlign w:val="center"/>
          </w:tcPr>
          <w:p w14:paraId="12845235" w14:textId="77777777" w:rsidR="00E3003F" w:rsidRDefault="00E3003F">
            <w:pPr>
              <w:jc w:val="center"/>
              <w:rPr>
                <w:rFonts w:ascii="Times New Roman" w:hAnsi="Times New Roman" w:cs="Times New Roman"/>
                <w:sz w:val="18"/>
              </w:rPr>
            </w:pPr>
          </w:p>
        </w:tc>
        <w:tc>
          <w:tcPr>
            <w:tcW w:w="3050" w:type="dxa"/>
            <w:gridSpan w:val="2"/>
            <w:tcMar>
              <w:top w:w="80" w:type="dxa"/>
              <w:left w:w="80" w:type="dxa"/>
              <w:bottom w:w="80" w:type="dxa"/>
              <w:right w:w="80" w:type="dxa"/>
            </w:tcMar>
            <w:vAlign w:val="center"/>
          </w:tcPr>
          <w:p w14:paraId="79526E47" w14:textId="77777777" w:rsidR="00E3003F" w:rsidRDefault="00E3003F">
            <w:pPr>
              <w:jc w:val="left"/>
              <w:rPr>
                <w:rFonts w:ascii="Times New Roman" w:hAnsi="Times New Roman" w:cs="Times New Roman"/>
                <w:sz w:val="18"/>
              </w:rPr>
            </w:pPr>
            <w:r>
              <w:rPr>
                <w:rFonts w:ascii="Times New Roman" w:hAnsi="Times New Roman" w:cs="Times New Roman"/>
                <w:sz w:val="18"/>
              </w:rPr>
              <w:t>The paper has a clear method-development aim for nurse contributions to smart-home AI. Smart-home deployment and nurse annotations address that aim.</w:t>
            </w:r>
          </w:p>
        </w:tc>
        <w:tc>
          <w:tcPr>
            <w:tcW w:w="3150" w:type="dxa"/>
            <w:gridSpan w:val="5"/>
            <w:tcMar>
              <w:top w:w="80" w:type="dxa"/>
              <w:left w:w="80" w:type="dxa"/>
              <w:bottom w:w="80" w:type="dxa"/>
              <w:right w:w="80" w:type="dxa"/>
            </w:tcMar>
            <w:vAlign w:val="center"/>
          </w:tcPr>
          <w:p w14:paraId="6A5D8E61" w14:textId="77777777" w:rsidR="00E3003F" w:rsidRDefault="00E3003F">
            <w:pPr>
              <w:jc w:val="left"/>
              <w:rPr>
                <w:rFonts w:ascii="Times New Roman" w:hAnsi="Times New Roman" w:cs="Times New Roman"/>
                <w:sz w:val="18"/>
              </w:rPr>
            </w:pPr>
            <w:r>
              <w:rPr>
                <w:rFonts w:ascii="Times New Roman" w:hAnsi="Times New Roman" w:cs="Times New Roman"/>
                <w:sz w:val="18"/>
              </w:rPr>
              <w:t>Clinical field observations and nurse annotations are appropriate for practical guidance. Interpretation is coherent, although the paper is more methodological than a full qualitative report.</w:t>
            </w:r>
          </w:p>
        </w:tc>
        <w:tc>
          <w:tcPr>
            <w:tcW w:w="3086" w:type="dxa"/>
            <w:gridSpan w:val="5"/>
            <w:tcMar>
              <w:top w:w="80" w:type="dxa"/>
              <w:left w:w="80" w:type="dxa"/>
              <w:bottom w:w="80" w:type="dxa"/>
              <w:right w:w="80" w:type="dxa"/>
            </w:tcMar>
            <w:vAlign w:val="center"/>
          </w:tcPr>
          <w:p w14:paraId="222C115B" w14:textId="77777777" w:rsidR="00E3003F" w:rsidRDefault="00E3003F">
            <w:pPr>
              <w:jc w:val="left"/>
              <w:rPr>
                <w:rFonts w:ascii="Times New Roman" w:hAnsi="Times New Roman" w:cs="Times New Roman"/>
                <w:sz w:val="18"/>
              </w:rPr>
            </w:pPr>
            <w:r>
              <w:rPr>
                <w:rFonts w:ascii="Times New Roman" w:hAnsi="Times New Roman" w:cs="Times New Roman"/>
                <w:sz w:val="18"/>
              </w:rPr>
              <w:t>Ten health-assistive Smart Homes and multiple sensor streams are described. Quantitative data are mainly illustrative for algorithm training rather than a representative outcomes analysis.</w:t>
            </w:r>
          </w:p>
        </w:tc>
        <w:tc>
          <w:tcPr>
            <w:tcW w:w="3083" w:type="dxa"/>
            <w:gridSpan w:val="5"/>
            <w:tcMar>
              <w:top w:w="80" w:type="dxa"/>
              <w:left w:w="80" w:type="dxa"/>
              <w:bottom w:w="80" w:type="dxa"/>
              <w:right w:w="80" w:type="dxa"/>
            </w:tcMar>
            <w:vAlign w:val="center"/>
          </w:tcPr>
          <w:p w14:paraId="0FA29C0A" w14:textId="77777777" w:rsidR="00E3003F" w:rsidRDefault="00E3003F">
            <w:pPr>
              <w:jc w:val="left"/>
              <w:rPr>
                <w:rFonts w:ascii="Times New Roman" w:hAnsi="Times New Roman" w:cs="Times New Roman"/>
                <w:sz w:val="18"/>
              </w:rPr>
            </w:pPr>
            <w:r>
              <w:rPr>
                <w:rFonts w:ascii="Times New Roman" w:hAnsi="Times New Roman" w:cs="Times New Roman"/>
                <w:sz w:val="18"/>
              </w:rPr>
              <w:t>Mixed-methods quality is weak: the paper offers a practical framework, but integration of qualitative clinical knowledge with sensor data is not evaluated as a complete mixed-methods study.</w:t>
            </w:r>
          </w:p>
        </w:tc>
        <w:tc>
          <w:tcPr>
            <w:tcW w:w="756" w:type="dxa"/>
            <w:tcBorders>
              <w:right w:val="nil"/>
            </w:tcBorders>
            <w:tcMar>
              <w:top w:w="80" w:type="dxa"/>
              <w:left w:w="80" w:type="dxa"/>
              <w:bottom w:w="80" w:type="dxa"/>
              <w:right w:w="80" w:type="dxa"/>
            </w:tcMar>
            <w:vAlign w:val="center"/>
          </w:tcPr>
          <w:p w14:paraId="6C48E626" w14:textId="77777777" w:rsidR="00E3003F" w:rsidRDefault="00E3003F">
            <w:pPr>
              <w:jc w:val="left"/>
              <w:rPr>
                <w:rFonts w:ascii="Times New Roman" w:hAnsi="Times New Roman" w:cs="Times New Roman"/>
                <w:sz w:val="18"/>
              </w:rPr>
            </w:pPr>
          </w:p>
        </w:tc>
      </w:tr>
      <w:tr w:rsidR="00E3003F" w14:paraId="7692F81C" w14:textId="77777777" w:rsidTr="00E3003F">
        <w:tc>
          <w:tcPr>
            <w:tcW w:w="1696" w:type="dxa"/>
            <w:vMerge/>
            <w:tcBorders>
              <w:left w:val="nil"/>
            </w:tcBorders>
            <w:tcMar>
              <w:top w:w="80" w:type="dxa"/>
              <w:left w:w="80" w:type="dxa"/>
              <w:bottom w:w="80" w:type="dxa"/>
              <w:right w:w="80" w:type="dxa"/>
            </w:tcMar>
            <w:vAlign w:val="center"/>
          </w:tcPr>
          <w:p w14:paraId="27824795" w14:textId="77777777" w:rsidR="00E3003F" w:rsidRDefault="00E3003F">
            <w:pPr>
              <w:jc w:val="left"/>
              <w:rPr>
                <w:rFonts w:hint="eastAsia"/>
              </w:rPr>
            </w:pPr>
          </w:p>
        </w:tc>
        <w:tc>
          <w:tcPr>
            <w:tcW w:w="567" w:type="dxa"/>
            <w:vMerge w:val="restart"/>
            <w:tcMar>
              <w:top w:w="80" w:type="dxa"/>
              <w:left w:w="80" w:type="dxa"/>
              <w:bottom w:w="80" w:type="dxa"/>
              <w:right w:w="80" w:type="dxa"/>
            </w:tcMar>
            <w:vAlign w:val="center"/>
          </w:tcPr>
          <w:p w14:paraId="4C00EA35" w14:textId="77777777" w:rsidR="00E3003F" w:rsidRDefault="00E3003F" w:rsidP="00E3003F">
            <w:pPr>
              <w:jc w:val="center"/>
              <w:rPr>
                <w:rFonts w:hint="eastAsia"/>
              </w:rPr>
            </w:pPr>
            <w:r>
              <w:rPr>
                <w:rFonts w:ascii="Times New Roman" w:hAnsi="Times New Roman" w:cs="Times New Roman"/>
                <w:sz w:val="18"/>
              </w:rPr>
              <w:t>R</w:t>
            </w:r>
            <w:r>
              <w:rPr>
                <w:rFonts w:ascii="Times New Roman" w:hAnsi="Times New Roman" w:cs="Times New Roman" w:hint="eastAsia"/>
                <w:sz w:val="18"/>
              </w:rPr>
              <w:t>2</w:t>
            </w:r>
          </w:p>
        </w:tc>
        <w:tc>
          <w:tcPr>
            <w:tcW w:w="1560" w:type="dxa"/>
            <w:tcMar>
              <w:top w:w="80" w:type="dxa"/>
              <w:left w:w="80" w:type="dxa"/>
              <w:bottom w:w="80" w:type="dxa"/>
              <w:right w:w="80" w:type="dxa"/>
            </w:tcMar>
            <w:vAlign w:val="center"/>
          </w:tcPr>
          <w:p w14:paraId="5A25CD3E" w14:textId="77777777" w:rsidR="00E3003F" w:rsidRDefault="00E3003F">
            <w:pPr>
              <w:jc w:val="center"/>
              <w:rPr>
                <w:rFonts w:hint="eastAsia"/>
              </w:rPr>
            </w:pPr>
            <w:r>
              <w:rPr>
                <w:rFonts w:ascii="Times New Roman" w:hAnsi="Times New Roman" w:cs="Times New Roman"/>
                <w:sz w:val="18"/>
              </w:rPr>
              <w:t>Yes</w:t>
            </w:r>
          </w:p>
        </w:tc>
        <w:tc>
          <w:tcPr>
            <w:tcW w:w="1490" w:type="dxa"/>
            <w:tcMar>
              <w:top w:w="80" w:type="dxa"/>
              <w:left w:w="80" w:type="dxa"/>
              <w:bottom w:w="80" w:type="dxa"/>
              <w:right w:w="80" w:type="dxa"/>
            </w:tcMar>
            <w:vAlign w:val="center"/>
          </w:tcPr>
          <w:p w14:paraId="773FA321" w14:textId="77777777" w:rsidR="00E3003F" w:rsidRDefault="00E3003F">
            <w:pPr>
              <w:jc w:val="center"/>
              <w:rPr>
                <w:rFonts w:hint="eastAsia"/>
              </w:rPr>
            </w:pPr>
            <w:r>
              <w:rPr>
                <w:rFonts w:ascii="Times New Roman" w:hAnsi="Times New Roman" w:cs="Times New Roman"/>
                <w:sz w:val="18"/>
              </w:rPr>
              <w:t>Yes</w:t>
            </w:r>
          </w:p>
        </w:tc>
        <w:tc>
          <w:tcPr>
            <w:tcW w:w="576" w:type="dxa"/>
            <w:tcMar>
              <w:top w:w="80" w:type="dxa"/>
              <w:left w:w="80" w:type="dxa"/>
              <w:bottom w:w="80" w:type="dxa"/>
              <w:right w:w="80" w:type="dxa"/>
            </w:tcMar>
            <w:vAlign w:val="center"/>
          </w:tcPr>
          <w:p w14:paraId="5F62207F" w14:textId="77777777" w:rsidR="00E3003F" w:rsidRDefault="00E3003F">
            <w:pPr>
              <w:jc w:val="center"/>
              <w:rPr>
                <w:rFonts w:hint="eastAsia"/>
              </w:rPr>
            </w:pPr>
            <w:r>
              <w:rPr>
                <w:rFonts w:ascii="Times New Roman" w:hAnsi="Times New Roman" w:cs="Times New Roman"/>
                <w:sz w:val="18"/>
              </w:rPr>
              <w:t>Yes</w:t>
            </w:r>
          </w:p>
        </w:tc>
        <w:tc>
          <w:tcPr>
            <w:tcW w:w="769" w:type="dxa"/>
            <w:tcMar>
              <w:top w:w="80" w:type="dxa"/>
              <w:left w:w="80" w:type="dxa"/>
              <w:bottom w:w="80" w:type="dxa"/>
              <w:right w:w="80" w:type="dxa"/>
            </w:tcMar>
            <w:vAlign w:val="center"/>
          </w:tcPr>
          <w:p w14:paraId="52859D8C" w14:textId="77777777" w:rsidR="00E3003F" w:rsidRDefault="00E3003F">
            <w:pPr>
              <w:jc w:val="center"/>
              <w:rPr>
                <w:rFonts w:hint="eastAsia"/>
              </w:rPr>
            </w:pPr>
            <w:r>
              <w:rPr>
                <w:rFonts w:ascii="Times New Roman" w:hAnsi="Times New Roman" w:cs="Times New Roman"/>
                <w:sz w:val="18"/>
              </w:rPr>
              <w:t>Yes</w:t>
            </w:r>
          </w:p>
        </w:tc>
        <w:tc>
          <w:tcPr>
            <w:tcW w:w="653" w:type="dxa"/>
            <w:tcMar>
              <w:top w:w="80" w:type="dxa"/>
              <w:left w:w="80" w:type="dxa"/>
              <w:bottom w:w="80" w:type="dxa"/>
              <w:right w:w="80" w:type="dxa"/>
            </w:tcMar>
            <w:vAlign w:val="center"/>
          </w:tcPr>
          <w:p w14:paraId="6AF9F5E6" w14:textId="77777777" w:rsidR="00E3003F" w:rsidRDefault="00E3003F">
            <w:pPr>
              <w:jc w:val="center"/>
              <w:rPr>
                <w:rFonts w:hint="eastAsia"/>
              </w:rPr>
            </w:pPr>
            <w:r>
              <w:rPr>
                <w:rFonts w:ascii="Times New Roman" w:hAnsi="Times New Roman" w:cs="Times New Roman"/>
                <w:sz w:val="18"/>
              </w:rPr>
              <w:t>Yes</w:t>
            </w:r>
          </w:p>
        </w:tc>
        <w:tc>
          <w:tcPr>
            <w:tcW w:w="576" w:type="dxa"/>
            <w:tcMar>
              <w:top w:w="80" w:type="dxa"/>
              <w:left w:w="80" w:type="dxa"/>
              <w:bottom w:w="80" w:type="dxa"/>
              <w:right w:w="80" w:type="dxa"/>
            </w:tcMar>
            <w:vAlign w:val="center"/>
          </w:tcPr>
          <w:p w14:paraId="125B63EE" w14:textId="77777777" w:rsidR="00E3003F" w:rsidRDefault="00E3003F">
            <w:pPr>
              <w:jc w:val="center"/>
              <w:rPr>
                <w:rFonts w:hint="eastAsia"/>
              </w:rPr>
            </w:pPr>
            <w:r>
              <w:rPr>
                <w:rFonts w:ascii="Times New Roman" w:hAnsi="Times New Roman" w:cs="Times New Roman"/>
                <w:sz w:val="18"/>
              </w:rPr>
              <w:t>Yes</w:t>
            </w:r>
          </w:p>
        </w:tc>
        <w:tc>
          <w:tcPr>
            <w:tcW w:w="576" w:type="dxa"/>
            <w:tcMar>
              <w:top w:w="80" w:type="dxa"/>
              <w:left w:w="80" w:type="dxa"/>
              <w:bottom w:w="80" w:type="dxa"/>
              <w:right w:w="80" w:type="dxa"/>
            </w:tcMar>
            <w:vAlign w:val="center"/>
          </w:tcPr>
          <w:p w14:paraId="5715602D" w14:textId="77777777" w:rsidR="00E3003F" w:rsidRDefault="00E3003F">
            <w:pPr>
              <w:jc w:val="center"/>
              <w:rPr>
                <w:rFonts w:hint="eastAsia"/>
              </w:rPr>
            </w:pPr>
            <w:r>
              <w:rPr>
                <w:rFonts w:ascii="Times New Roman" w:hAnsi="Times New Roman" w:cs="Times New Roman"/>
                <w:sz w:val="18"/>
              </w:rPr>
              <w:t>Yes</w:t>
            </w:r>
          </w:p>
        </w:tc>
        <w:tc>
          <w:tcPr>
            <w:tcW w:w="526" w:type="dxa"/>
            <w:tcMar>
              <w:top w:w="80" w:type="dxa"/>
              <w:left w:w="80" w:type="dxa"/>
              <w:bottom w:w="80" w:type="dxa"/>
              <w:right w:w="80" w:type="dxa"/>
            </w:tcMar>
            <w:vAlign w:val="center"/>
          </w:tcPr>
          <w:p w14:paraId="6A177975" w14:textId="77777777" w:rsidR="00E3003F" w:rsidRDefault="00E3003F">
            <w:pPr>
              <w:jc w:val="center"/>
              <w:rPr>
                <w:rFonts w:hint="eastAsia"/>
              </w:rPr>
            </w:pPr>
            <w:r>
              <w:rPr>
                <w:rFonts w:ascii="Times New Roman" w:hAnsi="Times New Roman" w:cs="Times New Roman"/>
                <w:sz w:val="18"/>
              </w:rPr>
              <w:t>Yes</w:t>
            </w:r>
          </w:p>
        </w:tc>
        <w:tc>
          <w:tcPr>
            <w:tcW w:w="754" w:type="dxa"/>
            <w:tcMar>
              <w:top w:w="80" w:type="dxa"/>
              <w:left w:w="80" w:type="dxa"/>
              <w:bottom w:w="80" w:type="dxa"/>
              <w:right w:w="80" w:type="dxa"/>
            </w:tcMar>
            <w:vAlign w:val="center"/>
          </w:tcPr>
          <w:p w14:paraId="219B78EA" w14:textId="77777777" w:rsidR="00E3003F" w:rsidRDefault="00E3003F">
            <w:pPr>
              <w:jc w:val="center"/>
              <w:rPr>
                <w:rFonts w:hint="eastAsia"/>
              </w:rPr>
            </w:pPr>
            <w:r>
              <w:rPr>
                <w:rFonts w:ascii="Times New Roman" w:hAnsi="Times New Roman" w:cs="Times New Roman"/>
                <w:sz w:val="18"/>
              </w:rPr>
              <w:t>Yes</w:t>
            </w:r>
          </w:p>
        </w:tc>
        <w:tc>
          <w:tcPr>
            <w:tcW w:w="526" w:type="dxa"/>
            <w:tcMar>
              <w:top w:w="80" w:type="dxa"/>
              <w:left w:w="80" w:type="dxa"/>
              <w:bottom w:w="80" w:type="dxa"/>
              <w:right w:w="80" w:type="dxa"/>
            </w:tcMar>
            <w:vAlign w:val="center"/>
          </w:tcPr>
          <w:p w14:paraId="647A62B3" w14:textId="77777777" w:rsidR="00E3003F" w:rsidRDefault="00E3003F">
            <w:pPr>
              <w:jc w:val="center"/>
              <w:rPr>
                <w:rFonts w:hint="eastAsia"/>
              </w:rPr>
            </w:pPr>
            <w:r>
              <w:rPr>
                <w:rFonts w:ascii="Times New Roman" w:hAnsi="Times New Roman" w:cs="Times New Roman"/>
                <w:sz w:val="18"/>
              </w:rPr>
              <w:t>Yes</w:t>
            </w:r>
          </w:p>
        </w:tc>
        <w:tc>
          <w:tcPr>
            <w:tcW w:w="754" w:type="dxa"/>
            <w:tcMar>
              <w:top w:w="80" w:type="dxa"/>
              <w:left w:w="80" w:type="dxa"/>
              <w:bottom w:w="80" w:type="dxa"/>
              <w:right w:w="80" w:type="dxa"/>
            </w:tcMar>
            <w:vAlign w:val="center"/>
          </w:tcPr>
          <w:p w14:paraId="462967FC" w14:textId="77777777" w:rsidR="00E3003F" w:rsidRDefault="00E3003F">
            <w:pPr>
              <w:jc w:val="center"/>
              <w:rPr>
                <w:rFonts w:hint="eastAsia"/>
              </w:rPr>
            </w:pPr>
            <w:r>
              <w:rPr>
                <w:rFonts w:ascii="Times New Roman" w:hAnsi="Times New Roman" w:cs="Times New Roman"/>
                <w:sz w:val="18"/>
              </w:rPr>
              <w:t>Yes</w:t>
            </w:r>
          </w:p>
        </w:tc>
        <w:tc>
          <w:tcPr>
            <w:tcW w:w="526" w:type="dxa"/>
            <w:tcMar>
              <w:top w:w="80" w:type="dxa"/>
              <w:left w:w="80" w:type="dxa"/>
              <w:bottom w:w="80" w:type="dxa"/>
              <w:right w:w="80" w:type="dxa"/>
            </w:tcMar>
            <w:vAlign w:val="center"/>
          </w:tcPr>
          <w:p w14:paraId="3D870B29" w14:textId="77777777" w:rsidR="00E3003F" w:rsidRDefault="00E3003F">
            <w:pPr>
              <w:jc w:val="center"/>
              <w:rPr>
                <w:rFonts w:hint="eastAsia"/>
              </w:rPr>
            </w:pPr>
            <w:r>
              <w:rPr>
                <w:rFonts w:ascii="Times New Roman" w:hAnsi="Times New Roman" w:cs="Times New Roman"/>
                <w:sz w:val="18"/>
              </w:rPr>
              <w:t>Yes</w:t>
            </w:r>
          </w:p>
        </w:tc>
        <w:tc>
          <w:tcPr>
            <w:tcW w:w="565" w:type="dxa"/>
            <w:tcMar>
              <w:top w:w="80" w:type="dxa"/>
              <w:left w:w="80" w:type="dxa"/>
              <w:bottom w:w="80" w:type="dxa"/>
              <w:right w:w="80" w:type="dxa"/>
            </w:tcMar>
            <w:vAlign w:val="center"/>
          </w:tcPr>
          <w:p w14:paraId="00C3EADB" w14:textId="77777777" w:rsidR="00E3003F" w:rsidRDefault="00E3003F">
            <w:pPr>
              <w:jc w:val="center"/>
              <w:rPr>
                <w:rFonts w:hint="eastAsia"/>
              </w:rPr>
            </w:pPr>
            <w:r>
              <w:rPr>
                <w:rFonts w:ascii="Times New Roman" w:hAnsi="Times New Roman" w:cs="Times New Roman"/>
                <w:sz w:val="18"/>
              </w:rPr>
              <w:t>Can’t tell</w:t>
            </w:r>
          </w:p>
        </w:tc>
        <w:tc>
          <w:tcPr>
            <w:tcW w:w="564" w:type="dxa"/>
            <w:tcMar>
              <w:top w:w="80" w:type="dxa"/>
              <w:left w:w="80" w:type="dxa"/>
              <w:bottom w:w="80" w:type="dxa"/>
              <w:right w:w="80" w:type="dxa"/>
            </w:tcMar>
            <w:vAlign w:val="center"/>
          </w:tcPr>
          <w:p w14:paraId="7715878E" w14:textId="77777777" w:rsidR="00E3003F" w:rsidRDefault="00E3003F">
            <w:pPr>
              <w:jc w:val="center"/>
              <w:rPr>
                <w:rFonts w:hint="eastAsia"/>
              </w:rPr>
            </w:pPr>
            <w:r>
              <w:rPr>
                <w:rFonts w:ascii="Times New Roman" w:hAnsi="Times New Roman" w:cs="Times New Roman"/>
                <w:sz w:val="18"/>
              </w:rPr>
              <w:t>No</w:t>
            </w:r>
          </w:p>
        </w:tc>
        <w:tc>
          <w:tcPr>
            <w:tcW w:w="564" w:type="dxa"/>
            <w:tcMar>
              <w:top w:w="80" w:type="dxa"/>
              <w:left w:w="80" w:type="dxa"/>
              <w:bottom w:w="80" w:type="dxa"/>
              <w:right w:w="80" w:type="dxa"/>
            </w:tcMar>
            <w:vAlign w:val="center"/>
          </w:tcPr>
          <w:p w14:paraId="0FFE550A" w14:textId="77777777" w:rsidR="00E3003F" w:rsidRDefault="00E3003F">
            <w:pPr>
              <w:jc w:val="center"/>
              <w:rPr>
                <w:rFonts w:hint="eastAsia"/>
              </w:rPr>
            </w:pPr>
            <w:r>
              <w:rPr>
                <w:rFonts w:ascii="Times New Roman" w:hAnsi="Times New Roman" w:cs="Times New Roman"/>
                <w:sz w:val="18"/>
              </w:rPr>
              <w:t>Can’t tell</w:t>
            </w:r>
          </w:p>
        </w:tc>
        <w:tc>
          <w:tcPr>
            <w:tcW w:w="826" w:type="dxa"/>
            <w:tcMar>
              <w:top w:w="80" w:type="dxa"/>
              <w:left w:w="80" w:type="dxa"/>
              <w:bottom w:w="80" w:type="dxa"/>
              <w:right w:w="80" w:type="dxa"/>
            </w:tcMar>
            <w:vAlign w:val="center"/>
          </w:tcPr>
          <w:p w14:paraId="2B1128CA" w14:textId="77777777" w:rsidR="00E3003F" w:rsidRDefault="00E3003F">
            <w:pPr>
              <w:jc w:val="center"/>
              <w:rPr>
                <w:rFonts w:hint="eastAsia"/>
              </w:rPr>
            </w:pPr>
            <w:r>
              <w:rPr>
                <w:rFonts w:ascii="Times New Roman" w:hAnsi="Times New Roman" w:cs="Times New Roman"/>
                <w:sz w:val="18"/>
              </w:rPr>
              <w:t>Yes</w:t>
            </w:r>
          </w:p>
        </w:tc>
        <w:tc>
          <w:tcPr>
            <w:tcW w:w="564" w:type="dxa"/>
            <w:tcMar>
              <w:top w:w="80" w:type="dxa"/>
              <w:left w:w="80" w:type="dxa"/>
              <w:bottom w:w="80" w:type="dxa"/>
              <w:right w:w="80" w:type="dxa"/>
            </w:tcMar>
            <w:vAlign w:val="center"/>
          </w:tcPr>
          <w:p w14:paraId="4C56A426" w14:textId="77777777" w:rsidR="00E3003F" w:rsidRDefault="00E3003F">
            <w:pPr>
              <w:jc w:val="center"/>
              <w:rPr>
                <w:rFonts w:hint="eastAsia"/>
              </w:rPr>
            </w:pPr>
            <w:r>
              <w:rPr>
                <w:rFonts w:ascii="Times New Roman" w:hAnsi="Times New Roman" w:cs="Times New Roman"/>
                <w:sz w:val="18"/>
              </w:rPr>
              <w:t>Can’t tell</w:t>
            </w:r>
          </w:p>
        </w:tc>
        <w:tc>
          <w:tcPr>
            <w:tcW w:w="756" w:type="dxa"/>
            <w:tcBorders>
              <w:right w:val="nil"/>
            </w:tcBorders>
            <w:tcMar>
              <w:top w:w="80" w:type="dxa"/>
              <w:left w:w="80" w:type="dxa"/>
              <w:bottom w:w="80" w:type="dxa"/>
              <w:right w:w="80" w:type="dxa"/>
            </w:tcMar>
            <w:vAlign w:val="center"/>
          </w:tcPr>
          <w:p w14:paraId="32E42CAF" w14:textId="77777777" w:rsidR="00E3003F" w:rsidRDefault="00E3003F">
            <w:pPr>
              <w:jc w:val="center"/>
              <w:rPr>
                <w:rFonts w:hint="eastAsia"/>
              </w:rPr>
            </w:pPr>
            <w:r>
              <w:rPr>
                <w:rFonts w:ascii="Times New Roman" w:hAnsi="Times New Roman" w:cs="Times New Roman"/>
                <w:sz w:val="18"/>
              </w:rPr>
              <w:t>Exclude</w:t>
            </w:r>
          </w:p>
        </w:tc>
      </w:tr>
      <w:tr w:rsidR="00E3003F" w14:paraId="7202BE06" w14:textId="77777777" w:rsidTr="00E3003F">
        <w:tc>
          <w:tcPr>
            <w:tcW w:w="1696" w:type="dxa"/>
            <w:vMerge/>
            <w:tcBorders>
              <w:left w:val="nil"/>
            </w:tcBorders>
            <w:tcMar>
              <w:top w:w="80" w:type="dxa"/>
              <w:left w:w="80" w:type="dxa"/>
              <w:bottom w:w="80" w:type="dxa"/>
              <w:right w:w="80" w:type="dxa"/>
            </w:tcMar>
            <w:vAlign w:val="center"/>
          </w:tcPr>
          <w:p w14:paraId="7F452F65" w14:textId="77777777" w:rsidR="00E3003F" w:rsidRDefault="00E3003F">
            <w:pPr>
              <w:jc w:val="center"/>
              <w:rPr>
                <w:rFonts w:hint="eastAsia"/>
              </w:rPr>
            </w:pPr>
          </w:p>
        </w:tc>
        <w:tc>
          <w:tcPr>
            <w:tcW w:w="567" w:type="dxa"/>
            <w:vMerge/>
            <w:tcMar>
              <w:top w:w="80" w:type="dxa"/>
              <w:left w:w="80" w:type="dxa"/>
              <w:bottom w:w="80" w:type="dxa"/>
              <w:right w:w="80" w:type="dxa"/>
            </w:tcMar>
            <w:vAlign w:val="center"/>
          </w:tcPr>
          <w:p w14:paraId="1C38452E" w14:textId="77777777" w:rsidR="00E3003F" w:rsidRDefault="00E3003F">
            <w:pPr>
              <w:jc w:val="center"/>
              <w:rPr>
                <w:rFonts w:ascii="Times New Roman" w:hAnsi="Times New Roman" w:cs="Times New Roman"/>
                <w:sz w:val="18"/>
              </w:rPr>
            </w:pPr>
          </w:p>
        </w:tc>
        <w:tc>
          <w:tcPr>
            <w:tcW w:w="3050" w:type="dxa"/>
            <w:gridSpan w:val="2"/>
            <w:tcMar>
              <w:top w:w="80" w:type="dxa"/>
              <w:left w:w="80" w:type="dxa"/>
              <w:bottom w:w="80" w:type="dxa"/>
              <w:right w:w="80" w:type="dxa"/>
            </w:tcMar>
            <w:vAlign w:val="center"/>
          </w:tcPr>
          <w:p w14:paraId="35C2C98F" w14:textId="77777777" w:rsidR="00E3003F" w:rsidRDefault="00E3003F">
            <w:pPr>
              <w:jc w:val="left"/>
              <w:rPr>
                <w:rFonts w:ascii="Times New Roman" w:hAnsi="Times New Roman" w:cs="Times New Roman"/>
                <w:sz w:val="18"/>
              </w:rPr>
            </w:pPr>
            <w:r>
              <w:rPr>
                <w:rFonts w:ascii="Times New Roman" w:hAnsi="Times New Roman" w:cs="Times New Roman"/>
                <w:sz w:val="18"/>
              </w:rPr>
              <w:t>The aim is explicit: guide nurse investigators developing AI for aging-in-place smart homes. The deployed sensor homes and telehealth/home-visit data are relevant.</w:t>
            </w:r>
          </w:p>
        </w:tc>
        <w:tc>
          <w:tcPr>
            <w:tcW w:w="3150" w:type="dxa"/>
            <w:gridSpan w:val="5"/>
            <w:tcMar>
              <w:top w:w="80" w:type="dxa"/>
              <w:left w:w="80" w:type="dxa"/>
              <w:bottom w:w="80" w:type="dxa"/>
              <w:right w:w="80" w:type="dxa"/>
            </w:tcMar>
            <w:vAlign w:val="center"/>
          </w:tcPr>
          <w:p w14:paraId="0CBB303E" w14:textId="77777777" w:rsidR="00E3003F" w:rsidRDefault="00E3003F">
            <w:pPr>
              <w:jc w:val="left"/>
              <w:rPr>
                <w:rFonts w:ascii="Times New Roman" w:hAnsi="Times New Roman" w:cs="Times New Roman"/>
                <w:sz w:val="18"/>
              </w:rPr>
            </w:pPr>
            <w:r>
              <w:rPr>
                <w:rFonts w:ascii="Times New Roman" w:hAnsi="Times New Roman" w:cs="Times New Roman"/>
                <w:sz w:val="18"/>
              </w:rPr>
              <w:t>Nurse-generated field data and ground-truth annotation support the qualitative/pragmatic method claims. Reporting is credible but not centered on participant voice.</w:t>
            </w:r>
          </w:p>
        </w:tc>
        <w:tc>
          <w:tcPr>
            <w:tcW w:w="3086" w:type="dxa"/>
            <w:gridSpan w:val="5"/>
            <w:tcMar>
              <w:top w:w="80" w:type="dxa"/>
              <w:left w:w="80" w:type="dxa"/>
              <w:bottom w:w="80" w:type="dxa"/>
              <w:right w:w="80" w:type="dxa"/>
            </w:tcMar>
            <w:vAlign w:val="center"/>
          </w:tcPr>
          <w:p w14:paraId="04368455" w14:textId="77777777" w:rsidR="00E3003F" w:rsidRDefault="00E3003F">
            <w:pPr>
              <w:jc w:val="left"/>
              <w:rPr>
                <w:rFonts w:ascii="Times New Roman" w:hAnsi="Times New Roman" w:cs="Times New Roman"/>
                <w:sz w:val="18"/>
              </w:rPr>
            </w:pPr>
            <w:r>
              <w:rPr>
                <w:rFonts w:ascii="Times New Roman" w:hAnsi="Times New Roman" w:cs="Times New Roman"/>
                <w:sz w:val="18"/>
              </w:rPr>
              <w:t>The sensor dataset is useful for method illustration, yet the sample is small and the quantitative analysis is not designed to test effectiveness or generalizability.</w:t>
            </w:r>
          </w:p>
        </w:tc>
        <w:tc>
          <w:tcPr>
            <w:tcW w:w="3083" w:type="dxa"/>
            <w:gridSpan w:val="5"/>
            <w:tcMar>
              <w:top w:w="80" w:type="dxa"/>
              <w:left w:w="80" w:type="dxa"/>
              <w:bottom w:w="80" w:type="dxa"/>
              <w:right w:w="80" w:type="dxa"/>
            </w:tcMar>
            <w:vAlign w:val="center"/>
          </w:tcPr>
          <w:p w14:paraId="3A7F6122" w14:textId="77777777" w:rsidR="00E3003F" w:rsidRDefault="00E3003F">
            <w:pPr>
              <w:jc w:val="left"/>
              <w:rPr>
                <w:rFonts w:ascii="Times New Roman" w:hAnsi="Times New Roman" w:cs="Times New Roman"/>
                <w:sz w:val="18"/>
              </w:rPr>
            </w:pPr>
            <w:r>
              <w:rPr>
                <w:rFonts w:ascii="Times New Roman" w:hAnsi="Times New Roman" w:cs="Times New Roman"/>
                <w:sz w:val="18"/>
              </w:rPr>
              <w:t>The article combines clinical and sensor data conceptually, but the mixed-method rationale and integration procedures are not sufficiently evaluated; exclusion is therefore appropriate.</w:t>
            </w:r>
          </w:p>
        </w:tc>
        <w:tc>
          <w:tcPr>
            <w:tcW w:w="756" w:type="dxa"/>
            <w:tcBorders>
              <w:right w:val="nil"/>
            </w:tcBorders>
            <w:tcMar>
              <w:top w:w="80" w:type="dxa"/>
              <w:left w:w="80" w:type="dxa"/>
              <w:bottom w:w="80" w:type="dxa"/>
              <w:right w:w="80" w:type="dxa"/>
            </w:tcMar>
            <w:vAlign w:val="center"/>
          </w:tcPr>
          <w:p w14:paraId="43BE2E4B" w14:textId="77777777" w:rsidR="00E3003F" w:rsidRDefault="00E3003F">
            <w:pPr>
              <w:jc w:val="left"/>
              <w:rPr>
                <w:rFonts w:ascii="Times New Roman" w:hAnsi="Times New Roman" w:cs="Times New Roman"/>
                <w:sz w:val="18"/>
              </w:rPr>
            </w:pPr>
          </w:p>
        </w:tc>
      </w:tr>
      <w:tr w:rsidR="00DF0001" w:rsidRPr="00036F81" w14:paraId="73D4A20F" w14:textId="77777777" w:rsidTr="00E3003F">
        <w:trPr>
          <w:trHeight w:val="283"/>
        </w:trPr>
        <w:tc>
          <w:tcPr>
            <w:tcW w:w="1696" w:type="dxa"/>
            <w:vMerge w:val="restart"/>
            <w:tcBorders>
              <w:left w:val="nil"/>
            </w:tcBorders>
            <w:noWrap/>
            <w:tcMar>
              <w:top w:w="80" w:type="dxa"/>
              <w:left w:w="80" w:type="dxa"/>
              <w:bottom w:w="80" w:type="dxa"/>
              <w:right w:w="80" w:type="dxa"/>
            </w:tcMar>
            <w:vAlign w:val="center"/>
            <w:hideMark/>
          </w:tcPr>
          <w:p w14:paraId="6E40D0A8" w14:textId="77777777" w:rsidR="00DF0001" w:rsidRPr="00120633" w:rsidRDefault="00DF0001" w:rsidP="00C432CC">
            <w:pPr>
              <w:jc w:val="center"/>
              <w:rPr>
                <w:rFonts w:ascii="Times New Roman" w:eastAsia="Times New Roman" w:hAnsi="Times New Roman" w:cs="Times New Roman"/>
                <w:kern w:val="0"/>
                <w:sz w:val="18"/>
                <w:szCs w:val="18"/>
                <w14:ligatures w14:val="none"/>
              </w:rPr>
            </w:pPr>
            <w:r>
              <w:rPr>
                <w:rFonts w:ascii="Times New Roman" w:eastAsia="等线" w:hAnsi="Times New Roman" w:cs="Times New Roman"/>
                <w:color w:val="000000"/>
                <w:kern w:val="0"/>
                <w:sz w:val="18"/>
                <w:szCs w:val="18"/>
                <w14:ligatures w14:val="none"/>
              </w:rPr>
              <w:t>(Fritz et al., 2020)</w:t>
            </w:r>
          </w:p>
        </w:tc>
        <w:tc>
          <w:tcPr>
            <w:tcW w:w="567" w:type="dxa"/>
            <w:vMerge w:val="restart"/>
            <w:tcMar>
              <w:top w:w="80" w:type="dxa"/>
              <w:left w:w="80" w:type="dxa"/>
              <w:bottom w:w="80" w:type="dxa"/>
              <w:right w:w="80" w:type="dxa"/>
            </w:tcMar>
            <w:vAlign w:val="center"/>
            <w:hideMark/>
          </w:tcPr>
          <w:p w14:paraId="4791AD3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Mar>
              <w:top w:w="80" w:type="dxa"/>
              <w:left w:w="80" w:type="dxa"/>
              <w:bottom w:w="80" w:type="dxa"/>
              <w:right w:w="80" w:type="dxa"/>
            </w:tcMar>
            <w:vAlign w:val="center"/>
            <w:hideMark/>
          </w:tcPr>
          <w:p w14:paraId="3AAE543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4CE1C84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0CCC2C4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0FCB37E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022D1EF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1808E4F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84469F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63A1125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3549CB5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6B0A3E0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02FAEE6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6F97FD0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34D367D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2D44642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33C3D27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7A6ECB7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07808E1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69D6E323"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54553738" w14:textId="77777777" w:rsidTr="00E3003F">
        <w:trPr>
          <w:trHeight w:val="2263"/>
        </w:trPr>
        <w:tc>
          <w:tcPr>
            <w:tcW w:w="1696" w:type="dxa"/>
            <w:vMerge/>
            <w:tcBorders>
              <w:left w:val="nil"/>
            </w:tcBorders>
            <w:hideMark/>
          </w:tcPr>
          <w:p w14:paraId="3F5A0C51"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7C97446E"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52293B54"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 research objective on pain-related behavior detection.</w:t>
            </w:r>
          </w:p>
          <w:p w14:paraId="12D5D9AA"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Rich longitudinal sensor and nursing data collected over 1-2 years.</w:t>
            </w:r>
          </w:p>
        </w:tc>
        <w:tc>
          <w:tcPr>
            <w:tcW w:w="3150" w:type="dxa"/>
            <w:gridSpan w:val="5"/>
            <w:tcMar>
              <w:top w:w="80" w:type="dxa"/>
              <w:left w:w="80" w:type="dxa"/>
              <w:bottom w:w="80" w:type="dxa"/>
              <w:right w:w="80" w:type="dxa"/>
            </w:tcMar>
            <w:vAlign w:val="center"/>
            <w:hideMark/>
          </w:tcPr>
          <w:p w14:paraId="310C018F"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Qualitative descriptive method is justified for interpreting sensor patterns.</w:t>
            </w:r>
          </w:p>
          <w:p w14:paraId="34A4AAA2"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Holistic nursing assessments and telehealth interviews are adequate.</w:t>
            </w:r>
          </w:p>
          <w:p w14:paraId="2C32E0F8"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Themes derived via parallel processing of health and sensor data.</w:t>
            </w:r>
          </w:p>
          <w:p w14:paraId="36ED54F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13 behaviors and 6 themes are substantiated by data.</w:t>
            </w:r>
          </w:p>
          <w:p w14:paraId="49E0B35C"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Strong coherence between data sources and nurse-driven analysis.</w:t>
            </w:r>
          </w:p>
        </w:tc>
        <w:tc>
          <w:tcPr>
            <w:tcW w:w="3086" w:type="dxa"/>
            <w:gridSpan w:val="5"/>
            <w:tcMar>
              <w:top w:w="80" w:type="dxa"/>
              <w:left w:w="80" w:type="dxa"/>
              <w:bottom w:w="80" w:type="dxa"/>
              <w:right w:w="80" w:type="dxa"/>
            </w:tcMar>
            <w:vAlign w:val="center"/>
            <w:hideMark/>
          </w:tcPr>
          <w:p w14:paraId="4C4DBC65"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Purposive sampling of independent elders with pain.</w:t>
            </w:r>
          </w:p>
          <w:p w14:paraId="5D413EB7"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Small sample size (N=11) limits representativeness.</w:t>
            </w:r>
          </w:p>
          <w:p w14:paraId="2B0FCC05"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Extensive use of 550 behavioral markers and ML metrics.</w:t>
            </w:r>
          </w:p>
          <w:p w14:paraId="1812B7FB"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Secondary data analysis maintains high completeness.</w:t>
            </w:r>
          </w:p>
          <w:p w14:paraId="2128DBB2"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Random forest and 3-fold cross-validation are appropriate.</w:t>
            </w:r>
          </w:p>
        </w:tc>
        <w:tc>
          <w:tcPr>
            <w:tcW w:w="3083" w:type="dxa"/>
            <w:gridSpan w:val="5"/>
            <w:tcMar>
              <w:top w:w="80" w:type="dxa"/>
              <w:left w:w="80" w:type="dxa"/>
              <w:bottom w:w="80" w:type="dxa"/>
              <w:right w:w="80" w:type="dxa"/>
            </w:tcMar>
            <w:vAlign w:val="center"/>
            <w:hideMark/>
          </w:tcPr>
          <w:p w14:paraId="37810864"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Explicit rationale for clinician-guided ML development.</w:t>
            </w:r>
          </w:p>
          <w:p w14:paraId="6C2BBE2A"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Qualitative themes directly inform ML behavior markers.</w:t>
            </w:r>
          </w:p>
          <w:p w14:paraId="652B494A"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Integration outputs (accuracy 0.70) are adequately interpreted.</w:t>
            </w:r>
          </w:p>
          <w:p w14:paraId="48A79BC9"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Addressed inconsistencies in alignment between methods.</w:t>
            </w:r>
          </w:p>
          <w:p w14:paraId="61104A2E"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Adheres to clinical nursing and CS research traditions.</w:t>
            </w:r>
          </w:p>
        </w:tc>
        <w:tc>
          <w:tcPr>
            <w:tcW w:w="756" w:type="dxa"/>
            <w:tcBorders>
              <w:right w:val="nil"/>
            </w:tcBorders>
            <w:tcMar>
              <w:top w:w="80" w:type="dxa"/>
              <w:left w:w="80" w:type="dxa"/>
              <w:bottom w:w="80" w:type="dxa"/>
              <w:right w:w="80" w:type="dxa"/>
            </w:tcMar>
            <w:vAlign w:val="center"/>
            <w:hideMark/>
          </w:tcPr>
          <w:p w14:paraId="48FAB09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5BF36426" w14:textId="77777777" w:rsidTr="00E3003F">
        <w:trPr>
          <w:trHeight w:val="283"/>
        </w:trPr>
        <w:tc>
          <w:tcPr>
            <w:tcW w:w="1696" w:type="dxa"/>
            <w:vMerge/>
            <w:tcBorders>
              <w:left w:val="nil"/>
            </w:tcBorders>
            <w:hideMark/>
          </w:tcPr>
          <w:p w14:paraId="6434392E"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428291B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Mar>
              <w:top w:w="80" w:type="dxa"/>
              <w:left w:w="80" w:type="dxa"/>
              <w:bottom w:w="80" w:type="dxa"/>
              <w:right w:w="80" w:type="dxa"/>
            </w:tcMar>
            <w:vAlign w:val="center"/>
            <w:hideMark/>
          </w:tcPr>
          <w:p w14:paraId="261E25C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6D9C118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1758E71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48A5699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0CD0ADB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3CA4C92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18C5B33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7377FFF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5DA49F0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0F75647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259B5D4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5455596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6953DFF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51C40A3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68C94AC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0D47A4B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1086DF3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212D250F"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0548D3EB" w14:textId="77777777" w:rsidTr="00E3003F">
        <w:trPr>
          <w:trHeight w:val="1980"/>
        </w:trPr>
        <w:tc>
          <w:tcPr>
            <w:tcW w:w="1696" w:type="dxa"/>
            <w:vMerge/>
            <w:tcBorders>
              <w:left w:val="nil"/>
            </w:tcBorders>
            <w:hideMark/>
          </w:tcPr>
          <w:p w14:paraId="2355EC62" w14:textId="77777777" w:rsidR="00DF0001" w:rsidRPr="00120633" w:rsidRDefault="00DF0001" w:rsidP="00C432CC">
            <w:pPr>
              <w:widowControl/>
              <w:rPr>
                <w:rFonts w:ascii="Times New Roman" w:eastAsia="等线" w:hAnsi="Times New Roman" w:cs="Times New Roman"/>
                <w:color w:val="1F1F1F"/>
                <w:kern w:val="0"/>
                <w:sz w:val="18"/>
                <w:szCs w:val="18"/>
                <w14:ligatures w14:val="none"/>
              </w:rPr>
            </w:pPr>
          </w:p>
        </w:tc>
        <w:tc>
          <w:tcPr>
            <w:tcW w:w="567" w:type="dxa"/>
            <w:vMerge/>
            <w:hideMark/>
          </w:tcPr>
          <w:p w14:paraId="325A38A1"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4A3B47D6"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Specific aims regarding PASH development.</w:t>
            </w:r>
          </w:p>
          <w:p w14:paraId="5F3FC44B"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Existing datasets are sufficient for model training.</w:t>
            </w:r>
          </w:p>
        </w:tc>
        <w:tc>
          <w:tcPr>
            <w:tcW w:w="3150" w:type="dxa"/>
            <w:gridSpan w:val="5"/>
            <w:tcMar>
              <w:top w:w="80" w:type="dxa"/>
              <w:left w:w="80" w:type="dxa"/>
              <w:bottom w:w="80" w:type="dxa"/>
              <w:right w:w="80" w:type="dxa"/>
            </w:tcMar>
            <w:vAlign w:val="center"/>
            <w:hideMark/>
          </w:tcPr>
          <w:p w14:paraId="2C5A4C2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Qualitative approach captures “ground truth” context.</w:t>
            </w:r>
          </w:p>
          <w:p w14:paraId="1F279ADB"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Weekly telehealth/visit intervals provide sufficient depth.</w:t>
            </w:r>
          </w:p>
          <w:p w14:paraId="4D6C899E"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Rigorous comparison between normal and pain weeks.</w:t>
            </w:r>
          </w:p>
          <w:p w14:paraId="57E845DE"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Themes like “Grooming” are well-supported.</w:t>
            </w:r>
          </w:p>
          <w:p w14:paraId="04CD3CD4"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Analytic process is logically integrated.</w:t>
            </w:r>
          </w:p>
        </w:tc>
        <w:tc>
          <w:tcPr>
            <w:tcW w:w="3086" w:type="dxa"/>
            <w:gridSpan w:val="5"/>
            <w:tcMar>
              <w:top w:w="80" w:type="dxa"/>
              <w:left w:w="80" w:type="dxa"/>
              <w:bottom w:w="80" w:type="dxa"/>
              <w:right w:w="80" w:type="dxa"/>
            </w:tcMar>
            <w:vAlign w:val="center"/>
            <w:hideMark/>
          </w:tcPr>
          <w:p w14:paraId="50A34910"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Strategy is relevant for discovering pain markers.</w:t>
            </w:r>
          </w:p>
          <w:p w14:paraId="2336BF8F"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Small and predominantly female convenience sample.</w:t>
            </w:r>
          </w:p>
          <w:p w14:paraId="065F952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Measurements cover circadian rhythms and activity levels.</w:t>
            </w:r>
          </w:p>
          <w:p w14:paraId="1BE91E6F"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Long-term monitoring ensures low response bias.</w:t>
            </w:r>
          </w:p>
          <w:p w14:paraId="59413D1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Statistical modeling used correctly for classification.</w:t>
            </w:r>
          </w:p>
        </w:tc>
        <w:tc>
          <w:tcPr>
            <w:tcW w:w="3083" w:type="dxa"/>
            <w:gridSpan w:val="5"/>
            <w:tcMar>
              <w:top w:w="80" w:type="dxa"/>
              <w:left w:w="80" w:type="dxa"/>
              <w:bottom w:w="80" w:type="dxa"/>
              <w:right w:w="80" w:type="dxa"/>
            </w:tcMar>
            <w:vAlign w:val="center"/>
            <w:hideMark/>
          </w:tcPr>
          <w:p w14:paraId="36D0D6F2"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Justification for combining nursing and CS methods is sound.</w:t>
            </w:r>
          </w:p>
          <w:p w14:paraId="04D2E1FA"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Effective triangulation of sensor and interview data.</w:t>
            </w:r>
          </w:p>
          <w:p w14:paraId="2933E20E"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Proper evaluation of the “expert-guided” advantage.</w:t>
            </w:r>
          </w:p>
          <w:p w14:paraId="4673E955"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Potential overlaps (e.g., depression) discussed.</w:t>
            </w:r>
          </w:p>
          <w:p w14:paraId="67CB4F32"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Methodological quality traditions met.</w:t>
            </w:r>
          </w:p>
        </w:tc>
        <w:tc>
          <w:tcPr>
            <w:tcW w:w="756" w:type="dxa"/>
            <w:tcBorders>
              <w:right w:val="nil"/>
            </w:tcBorders>
            <w:tcMar>
              <w:top w:w="80" w:type="dxa"/>
              <w:left w:w="80" w:type="dxa"/>
              <w:bottom w:w="80" w:type="dxa"/>
              <w:right w:w="80" w:type="dxa"/>
            </w:tcMar>
            <w:vAlign w:val="center"/>
            <w:hideMark/>
          </w:tcPr>
          <w:p w14:paraId="7DAA31E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120633" w14:paraId="6FB276C2" w14:textId="77777777" w:rsidTr="00E3003F">
        <w:trPr>
          <w:trHeight w:val="283"/>
        </w:trPr>
        <w:tc>
          <w:tcPr>
            <w:tcW w:w="1696" w:type="dxa"/>
            <w:vMerge w:val="restart"/>
            <w:tcBorders>
              <w:left w:val="nil"/>
            </w:tcBorders>
            <w:tcMar>
              <w:top w:w="80" w:type="dxa"/>
              <w:left w:w="80" w:type="dxa"/>
              <w:bottom w:w="80" w:type="dxa"/>
              <w:right w:w="80" w:type="dxa"/>
            </w:tcMar>
            <w:vAlign w:val="center"/>
            <w:hideMark/>
          </w:tcPr>
          <w:p w14:paraId="55F69AFD" w14:textId="77777777" w:rsidR="00DF0001" w:rsidRPr="00120633" w:rsidRDefault="00DF0001" w:rsidP="006B66C1">
            <w:pPr>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hint="eastAsia"/>
                <w:color w:val="000000"/>
                <w:kern w:val="0"/>
                <w:sz w:val="18"/>
                <w:szCs w:val="18"/>
                <w14:ligatures w14:val="none"/>
              </w:rPr>
              <w:t>(Gandhi &amp; Goyal, 2020)</w:t>
            </w:r>
          </w:p>
        </w:tc>
        <w:tc>
          <w:tcPr>
            <w:tcW w:w="567" w:type="dxa"/>
            <w:vMerge w:val="restart"/>
            <w:tcMar>
              <w:top w:w="80" w:type="dxa"/>
              <w:left w:w="80" w:type="dxa"/>
              <w:bottom w:w="80" w:type="dxa"/>
              <w:right w:w="80" w:type="dxa"/>
            </w:tcMar>
            <w:vAlign w:val="center"/>
            <w:hideMark/>
          </w:tcPr>
          <w:p w14:paraId="70A4B3B9"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w:t>
            </w:r>
            <w:r>
              <w:rPr>
                <w:rFonts w:ascii="Times New Roman" w:eastAsia="等线" w:hAnsi="Times New Roman" w:cs="Times New Roman" w:hint="eastAsia"/>
                <w:bCs/>
                <w:color w:val="1F1F1F"/>
                <w:kern w:val="0"/>
                <w:sz w:val="18"/>
                <w:szCs w:val="18"/>
                <w14:ligatures w14:val="none"/>
              </w:rPr>
              <w:t>1</w:t>
            </w:r>
          </w:p>
        </w:tc>
        <w:tc>
          <w:tcPr>
            <w:tcW w:w="1560" w:type="dxa"/>
            <w:tcMar>
              <w:top w:w="80" w:type="dxa"/>
              <w:left w:w="80" w:type="dxa"/>
              <w:bottom w:w="80" w:type="dxa"/>
              <w:right w:w="80" w:type="dxa"/>
            </w:tcMar>
            <w:vAlign w:val="center"/>
            <w:hideMark/>
          </w:tcPr>
          <w:p w14:paraId="798FBBE9"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1A28D5A7"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B9932D3"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2F3F833F"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329AE360"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Cs/>
                <w:color w:val="1F1F1F"/>
                <w:kern w:val="0"/>
                <w:sz w:val="18"/>
                <w:szCs w:val="18"/>
                <w14:ligatures w14:val="none"/>
              </w:rPr>
              <w:t>Can</w:t>
            </w:r>
            <w:r>
              <w:rPr>
                <w:rFonts w:ascii="Times New Roman" w:eastAsia="等线" w:hAnsi="Times New Roman" w:cs="Times New Roman"/>
                <w:bCs/>
                <w:color w:val="1F1F1F"/>
                <w:kern w:val="0"/>
                <w:sz w:val="18"/>
                <w:szCs w:val="18"/>
                <w14:ligatures w14:val="none"/>
              </w:rPr>
              <w:t>’</w:t>
            </w:r>
            <w:r>
              <w:rPr>
                <w:rFonts w:ascii="Times New Roman" w:eastAsia="等线" w:hAnsi="Times New Roman" w:cs="Times New Roman" w:hint="eastAsia"/>
                <w:bCs/>
                <w:color w:val="1F1F1F"/>
                <w:kern w:val="0"/>
                <w:sz w:val="18"/>
                <w:szCs w:val="18"/>
                <w14:ligatures w14:val="none"/>
              </w:rPr>
              <w:t>t tell</w:t>
            </w:r>
          </w:p>
        </w:tc>
        <w:tc>
          <w:tcPr>
            <w:tcW w:w="576" w:type="dxa"/>
            <w:tcMar>
              <w:top w:w="80" w:type="dxa"/>
              <w:left w:w="80" w:type="dxa"/>
              <w:bottom w:w="80" w:type="dxa"/>
              <w:right w:w="80" w:type="dxa"/>
            </w:tcMar>
            <w:vAlign w:val="center"/>
            <w:hideMark/>
          </w:tcPr>
          <w:p w14:paraId="7B11AB65"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6FE93381"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Cs/>
                <w:color w:val="1F1F1F"/>
                <w:kern w:val="0"/>
                <w:sz w:val="18"/>
                <w:szCs w:val="18"/>
                <w14:ligatures w14:val="none"/>
              </w:rPr>
              <w:t>No</w:t>
            </w:r>
          </w:p>
        </w:tc>
        <w:tc>
          <w:tcPr>
            <w:tcW w:w="526" w:type="dxa"/>
            <w:tcMar>
              <w:top w:w="80" w:type="dxa"/>
              <w:left w:w="80" w:type="dxa"/>
              <w:bottom w:w="80" w:type="dxa"/>
              <w:right w:w="80" w:type="dxa"/>
            </w:tcMar>
            <w:vAlign w:val="center"/>
            <w:hideMark/>
          </w:tcPr>
          <w:p w14:paraId="6069D8C4"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57ADCF9D"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Cs/>
                <w:color w:val="1F1F1F"/>
                <w:kern w:val="0"/>
                <w:sz w:val="18"/>
                <w:szCs w:val="18"/>
                <w14:ligatures w14:val="none"/>
              </w:rPr>
              <w:t>No</w:t>
            </w:r>
          </w:p>
        </w:tc>
        <w:tc>
          <w:tcPr>
            <w:tcW w:w="526" w:type="dxa"/>
            <w:tcMar>
              <w:top w:w="80" w:type="dxa"/>
              <w:left w:w="80" w:type="dxa"/>
              <w:bottom w:w="80" w:type="dxa"/>
              <w:right w:w="80" w:type="dxa"/>
            </w:tcMar>
            <w:vAlign w:val="center"/>
            <w:hideMark/>
          </w:tcPr>
          <w:p w14:paraId="42028FE7"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775770E6"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Cs/>
                <w:color w:val="1F1F1F"/>
                <w:kern w:val="0"/>
                <w:sz w:val="18"/>
                <w:szCs w:val="18"/>
                <w14:ligatures w14:val="none"/>
              </w:rPr>
              <w:t>Can</w:t>
            </w:r>
            <w:r>
              <w:rPr>
                <w:rFonts w:ascii="Times New Roman" w:eastAsia="等线" w:hAnsi="Times New Roman" w:cs="Times New Roman"/>
                <w:bCs/>
                <w:color w:val="1F1F1F"/>
                <w:kern w:val="0"/>
                <w:sz w:val="18"/>
                <w:szCs w:val="18"/>
                <w14:ligatures w14:val="none"/>
              </w:rPr>
              <w:t>’</w:t>
            </w:r>
            <w:r>
              <w:rPr>
                <w:rFonts w:ascii="Times New Roman" w:eastAsia="等线" w:hAnsi="Times New Roman" w:cs="Times New Roman" w:hint="eastAsia"/>
                <w:bCs/>
                <w:color w:val="1F1F1F"/>
                <w:kern w:val="0"/>
                <w:sz w:val="18"/>
                <w:szCs w:val="18"/>
                <w14:ligatures w14:val="none"/>
              </w:rPr>
              <w:t>t tell</w:t>
            </w:r>
          </w:p>
        </w:tc>
        <w:tc>
          <w:tcPr>
            <w:tcW w:w="526" w:type="dxa"/>
            <w:tcMar>
              <w:top w:w="80" w:type="dxa"/>
              <w:left w:w="80" w:type="dxa"/>
              <w:bottom w:w="80" w:type="dxa"/>
              <w:right w:w="80" w:type="dxa"/>
            </w:tcMar>
            <w:vAlign w:val="center"/>
            <w:hideMark/>
          </w:tcPr>
          <w:p w14:paraId="70931B8B"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5694843A"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1AA19218"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436E6136"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7C941AD2"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Cs/>
                <w:color w:val="1F1F1F"/>
                <w:kern w:val="0"/>
                <w:sz w:val="18"/>
                <w:szCs w:val="18"/>
                <w14:ligatures w14:val="none"/>
              </w:rPr>
              <w:t>Can</w:t>
            </w:r>
            <w:r>
              <w:rPr>
                <w:rFonts w:ascii="Times New Roman" w:eastAsia="等线" w:hAnsi="Times New Roman" w:cs="Times New Roman"/>
                <w:bCs/>
                <w:color w:val="1F1F1F"/>
                <w:kern w:val="0"/>
                <w:sz w:val="18"/>
                <w:szCs w:val="18"/>
                <w14:ligatures w14:val="none"/>
              </w:rPr>
              <w:t>’</w:t>
            </w:r>
            <w:r>
              <w:rPr>
                <w:rFonts w:ascii="Times New Roman" w:eastAsia="等线" w:hAnsi="Times New Roman" w:cs="Times New Roman" w:hint="eastAsia"/>
                <w:bCs/>
                <w:color w:val="1F1F1F"/>
                <w:kern w:val="0"/>
                <w:sz w:val="18"/>
                <w:szCs w:val="18"/>
                <w14:ligatures w14:val="none"/>
              </w:rPr>
              <w:t>t tell</w:t>
            </w:r>
          </w:p>
        </w:tc>
        <w:tc>
          <w:tcPr>
            <w:tcW w:w="564" w:type="dxa"/>
            <w:tcMar>
              <w:top w:w="80" w:type="dxa"/>
              <w:left w:w="80" w:type="dxa"/>
              <w:bottom w:w="80" w:type="dxa"/>
              <w:right w:w="80" w:type="dxa"/>
            </w:tcMar>
            <w:vAlign w:val="center"/>
            <w:hideMark/>
          </w:tcPr>
          <w:p w14:paraId="58D5F20F" w14:textId="77777777" w:rsidR="00DF0001" w:rsidRPr="00120633" w:rsidRDefault="00DF0001" w:rsidP="008A5FFB">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Cs/>
                <w:color w:val="1F1F1F"/>
                <w:kern w:val="0"/>
                <w:sz w:val="18"/>
                <w:szCs w:val="18"/>
                <w14:ligatures w14:val="none"/>
              </w:rPr>
              <w:t>No</w:t>
            </w:r>
          </w:p>
        </w:tc>
        <w:tc>
          <w:tcPr>
            <w:tcW w:w="756" w:type="dxa"/>
            <w:tcBorders>
              <w:right w:val="nil"/>
            </w:tcBorders>
            <w:tcMar>
              <w:top w:w="80" w:type="dxa"/>
              <w:left w:w="80" w:type="dxa"/>
              <w:bottom w:w="80" w:type="dxa"/>
              <w:right w:w="80" w:type="dxa"/>
            </w:tcMar>
            <w:vAlign w:val="center"/>
            <w:hideMark/>
          </w:tcPr>
          <w:p w14:paraId="22B40863" w14:textId="77777777" w:rsidR="00DF0001" w:rsidRPr="00120633" w:rsidRDefault="00DF0001" w:rsidP="008A5FFB">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120633" w14:paraId="4E59CF35" w14:textId="77777777" w:rsidTr="00E3003F">
        <w:trPr>
          <w:trHeight w:val="1415"/>
        </w:trPr>
        <w:tc>
          <w:tcPr>
            <w:tcW w:w="1696" w:type="dxa"/>
            <w:vMerge/>
            <w:tcBorders>
              <w:left w:val="nil"/>
            </w:tcBorders>
            <w:hideMark/>
          </w:tcPr>
          <w:p w14:paraId="2C82E48B" w14:textId="77777777" w:rsidR="00DF0001" w:rsidRPr="00120633" w:rsidRDefault="00DF0001" w:rsidP="006B66C1">
            <w:pPr>
              <w:widowControl/>
              <w:rPr>
                <w:rFonts w:ascii="Times New Roman" w:eastAsia="等线" w:hAnsi="Times New Roman" w:cs="Times New Roman"/>
                <w:color w:val="1F1F1F"/>
                <w:kern w:val="0"/>
                <w:sz w:val="18"/>
                <w:szCs w:val="18"/>
                <w14:ligatures w14:val="none"/>
              </w:rPr>
            </w:pPr>
          </w:p>
        </w:tc>
        <w:tc>
          <w:tcPr>
            <w:tcW w:w="567" w:type="dxa"/>
            <w:vMerge/>
            <w:hideMark/>
          </w:tcPr>
          <w:p w14:paraId="348669E9" w14:textId="77777777" w:rsidR="00DF0001" w:rsidRPr="00120633" w:rsidRDefault="00DF0001" w:rsidP="006B66C1">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2399D914"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Feasibility of biomimetic AI robot. Survey and feedback data address aims.</w:t>
            </w:r>
          </w:p>
        </w:tc>
        <w:tc>
          <w:tcPr>
            <w:tcW w:w="3150" w:type="dxa"/>
            <w:gridSpan w:val="5"/>
            <w:tcMar>
              <w:top w:w="80" w:type="dxa"/>
              <w:left w:w="80" w:type="dxa"/>
              <w:bottom w:w="80" w:type="dxa"/>
              <w:right w:w="80" w:type="dxa"/>
            </w:tcMar>
            <w:vAlign w:val="center"/>
            <w:hideMark/>
          </w:tcPr>
          <w:p w14:paraId="6029880A" w14:textId="77777777" w:rsidR="00DF0001"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Qualitative feedback is appropriate for UX. Open comments during testing.</w:t>
            </w:r>
          </w:p>
          <w:p w14:paraId="3454D52E" w14:textId="77777777" w:rsidR="00DF0001"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No explicit thematic analysis method.</w:t>
            </w:r>
          </w:p>
          <w:p w14:paraId="35830E9E" w14:textId="77777777" w:rsidR="00DF0001"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Interpretation reflects general feedback.</w:t>
            </w:r>
          </w:p>
          <w:p w14:paraId="7FD4931E"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Qualitative process is underdeveloped.</w:t>
            </w:r>
          </w:p>
        </w:tc>
        <w:tc>
          <w:tcPr>
            <w:tcW w:w="3086" w:type="dxa"/>
            <w:gridSpan w:val="5"/>
            <w:tcMar>
              <w:top w:w="80" w:type="dxa"/>
              <w:left w:w="80" w:type="dxa"/>
              <w:bottom w:w="80" w:type="dxa"/>
              <w:right w:w="80" w:type="dxa"/>
            </w:tcMar>
            <w:vAlign w:val="center"/>
            <w:hideMark/>
          </w:tcPr>
          <w:p w14:paraId="191CF04B" w14:textId="77777777" w:rsidR="00DF0001"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Targeted users (65-85 years).</w:t>
            </w:r>
          </w:p>
          <w:p w14:paraId="063B339C" w14:textId="77777777" w:rsidR="00DF0001"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Small convenience sample (n=30).</w:t>
            </w:r>
          </w:p>
          <w:p w14:paraId="28378A4A" w14:textId="77777777" w:rsidR="00DF0001"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Standard Likert scales used.</w:t>
            </w:r>
          </w:p>
          <w:p w14:paraId="75C10F92" w14:textId="77777777" w:rsidR="00DF0001"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Non-response bias not detailed.</w:t>
            </w:r>
          </w:p>
          <w:p w14:paraId="0A7F5A50"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Simple descriptive stats applied.</w:t>
            </w:r>
          </w:p>
        </w:tc>
        <w:tc>
          <w:tcPr>
            <w:tcW w:w="3083" w:type="dxa"/>
            <w:gridSpan w:val="5"/>
            <w:tcMar>
              <w:top w:w="80" w:type="dxa"/>
              <w:left w:w="80" w:type="dxa"/>
              <w:bottom w:w="80" w:type="dxa"/>
              <w:right w:w="80" w:type="dxa"/>
            </w:tcMar>
            <w:vAlign w:val="center"/>
            <w:hideMark/>
          </w:tcPr>
          <w:p w14:paraId="52B875B8" w14:textId="77777777" w:rsidR="00DF0001" w:rsidRDefault="00DF0001" w:rsidP="008A5FFB">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Rationale to combine performance.</w:t>
            </w:r>
          </w:p>
          <w:p w14:paraId="0988F8B3" w14:textId="77777777" w:rsidR="00DF0001"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Feedback reinforces survey scores.</w:t>
            </w:r>
            <w:r>
              <w:rPr>
                <w:rFonts w:ascii="Times New Roman" w:eastAsia="等线" w:hAnsi="Times New Roman" w:cs="Times New Roman" w:hint="eastAsia"/>
                <w:color w:val="1F1F1F"/>
                <w:kern w:val="0"/>
                <w:sz w:val="18"/>
                <w:szCs w:val="18"/>
                <w14:ligatures w14:val="none"/>
              </w:rPr>
              <w:tab/>
            </w:r>
          </w:p>
          <w:p w14:paraId="66B9B13C" w14:textId="77777777" w:rsidR="00DF0001"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Outputs confirm initial acceptance.</w:t>
            </w:r>
          </w:p>
          <w:p w14:paraId="7CD12C33" w14:textId="77777777" w:rsidR="00DF0001"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No conflict reported between methods.</w:t>
            </w:r>
          </w:p>
          <w:p w14:paraId="7F99A5D2" w14:textId="77777777" w:rsidR="00DF0001" w:rsidRPr="008A5FFB"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hint="eastAsia"/>
                <w:color w:val="1F1F1F"/>
                <w:kern w:val="0"/>
                <w:sz w:val="18"/>
                <w:szCs w:val="18"/>
                <w14:ligatures w14:val="none"/>
              </w:rPr>
              <w:t>Qualitative tradition not fully followed.</w:t>
            </w:r>
          </w:p>
        </w:tc>
        <w:tc>
          <w:tcPr>
            <w:tcW w:w="756" w:type="dxa"/>
            <w:tcBorders>
              <w:right w:val="nil"/>
            </w:tcBorders>
            <w:tcMar>
              <w:top w:w="80" w:type="dxa"/>
              <w:left w:w="80" w:type="dxa"/>
              <w:bottom w:w="80" w:type="dxa"/>
              <w:right w:w="80" w:type="dxa"/>
            </w:tcMar>
            <w:vAlign w:val="center"/>
            <w:hideMark/>
          </w:tcPr>
          <w:p w14:paraId="447B6EE3"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p>
        </w:tc>
      </w:tr>
      <w:tr w:rsidR="00DF0001" w:rsidRPr="00120633" w14:paraId="564EAF7E" w14:textId="77777777" w:rsidTr="00E3003F">
        <w:trPr>
          <w:trHeight w:val="283"/>
        </w:trPr>
        <w:tc>
          <w:tcPr>
            <w:tcW w:w="1696" w:type="dxa"/>
            <w:vMerge/>
            <w:tcBorders>
              <w:left w:val="nil"/>
            </w:tcBorders>
            <w:hideMark/>
          </w:tcPr>
          <w:p w14:paraId="666F0ECD" w14:textId="77777777" w:rsidR="00DF0001" w:rsidRPr="00120633" w:rsidRDefault="00DF0001" w:rsidP="006B66C1">
            <w:pPr>
              <w:widowControl/>
              <w:rPr>
                <w:rFonts w:ascii="Times New Roman" w:eastAsia="Times New Roman" w:hAnsi="Times New Roman" w:cs="Times New Roman"/>
                <w:kern w:val="0"/>
                <w:sz w:val="18"/>
                <w:szCs w:val="18"/>
                <w14:ligatures w14:val="none"/>
              </w:rPr>
            </w:pPr>
          </w:p>
        </w:tc>
        <w:tc>
          <w:tcPr>
            <w:tcW w:w="567" w:type="dxa"/>
            <w:vMerge w:val="restart"/>
            <w:tcMar>
              <w:top w:w="80" w:type="dxa"/>
              <w:left w:w="80" w:type="dxa"/>
              <w:bottom w:w="80" w:type="dxa"/>
              <w:right w:w="80" w:type="dxa"/>
            </w:tcMar>
            <w:vAlign w:val="center"/>
            <w:hideMark/>
          </w:tcPr>
          <w:p w14:paraId="4D97B38D"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w:t>
            </w:r>
            <w:r>
              <w:rPr>
                <w:rFonts w:ascii="Times New Roman" w:eastAsia="等线" w:hAnsi="Times New Roman" w:cs="Times New Roman" w:hint="eastAsia"/>
                <w:bCs/>
                <w:color w:val="1F1F1F"/>
                <w:kern w:val="0"/>
                <w:sz w:val="18"/>
                <w:szCs w:val="18"/>
                <w14:ligatures w14:val="none"/>
              </w:rPr>
              <w:t>2</w:t>
            </w:r>
          </w:p>
        </w:tc>
        <w:tc>
          <w:tcPr>
            <w:tcW w:w="1560" w:type="dxa"/>
            <w:tcMar>
              <w:top w:w="80" w:type="dxa"/>
              <w:left w:w="80" w:type="dxa"/>
              <w:bottom w:w="80" w:type="dxa"/>
              <w:right w:w="80" w:type="dxa"/>
            </w:tcMar>
            <w:vAlign w:val="center"/>
            <w:hideMark/>
          </w:tcPr>
          <w:p w14:paraId="4FD00356"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7A1CCF48"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3E490394"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121B1983"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34AE7AC7"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Cs/>
                <w:color w:val="1F1F1F"/>
                <w:kern w:val="0"/>
                <w:sz w:val="18"/>
                <w:szCs w:val="18"/>
                <w14:ligatures w14:val="none"/>
              </w:rPr>
              <w:t>No</w:t>
            </w:r>
          </w:p>
        </w:tc>
        <w:tc>
          <w:tcPr>
            <w:tcW w:w="576" w:type="dxa"/>
            <w:tcMar>
              <w:top w:w="80" w:type="dxa"/>
              <w:left w:w="80" w:type="dxa"/>
              <w:bottom w:w="80" w:type="dxa"/>
              <w:right w:w="80" w:type="dxa"/>
            </w:tcMar>
            <w:vAlign w:val="center"/>
            <w:hideMark/>
          </w:tcPr>
          <w:p w14:paraId="24A8E303"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7E199ED6"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Cs/>
                <w:color w:val="1F1F1F"/>
                <w:kern w:val="0"/>
                <w:sz w:val="18"/>
                <w:szCs w:val="18"/>
                <w14:ligatures w14:val="none"/>
              </w:rPr>
              <w:t>No</w:t>
            </w:r>
          </w:p>
        </w:tc>
        <w:tc>
          <w:tcPr>
            <w:tcW w:w="526" w:type="dxa"/>
            <w:tcMar>
              <w:top w:w="80" w:type="dxa"/>
              <w:left w:w="80" w:type="dxa"/>
              <w:bottom w:w="80" w:type="dxa"/>
              <w:right w:w="80" w:type="dxa"/>
            </w:tcMar>
            <w:vAlign w:val="center"/>
            <w:hideMark/>
          </w:tcPr>
          <w:p w14:paraId="37EF7326"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782158EF"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325DCAC0"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53380064"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Cs/>
                <w:color w:val="1F1F1F"/>
                <w:kern w:val="0"/>
                <w:sz w:val="18"/>
                <w:szCs w:val="18"/>
                <w14:ligatures w14:val="none"/>
              </w:rPr>
              <w:t>Can</w:t>
            </w:r>
            <w:r>
              <w:rPr>
                <w:rFonts w:ascii="Times New Roman" w:eastAsia="等线" w:hAnsi="Times New Roman" w:cs="Times New Roman"/>
                <w:bCs/>
                <w:color w:val="1F1F1F"/>
                <w:kern w:val="0"/>
                <w:sz w:val="18"/>
                <w:szCs w:val="18"/>
                <w14:ligatures w14:val="none"/>
              </w:rPr>
              <w:t>’</w:t>
            </w:r>
            <w:r>
              <w:rPr>
                <w:rFonts w:ascii="Times New Roman" w:eastAsia="等线" w:hAnsi="Times New Roman" w:cs="Times New Roman" w:hint="eastAsia"/>
                <w:bCs/>
                <w:color w:val="1F1F1F"/>
                <w:kern w:val="0"/>
                <w:sz w:val="18"/>
                <w:szCs w:val="18"/>
                <w14:ligatures w14:val="none"/>
              </w:rPr>
              <w:t>t tell</w:t>
            </w:r>
          </w:p>
        </w:tc>
        <w:tc>
          <w:tcPr>
            <w:tcW w:w="526" w:type="dxa"/>
            <w:tcMar>
              <w:top w:w="80" w:type="dxa"/>
              <w:left w:w="80" w:type="dxa"/>
              <w:bottom w:w="80" w:type="dxa"/>
              <w:right w:w="80" w:type="dxa"/>
            </w:tcMar>
            <w:vAlign w:val="center"/>
            <w:hideMark/>
          </w:tcPr>
          <w:p w14:paraId="2673D199"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443CA92F"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6633384E"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5603E612"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6E9E234B"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43BCDD85" w14:textId="77777777" w:rsidR="00DF0001" w:rsidRPr="00120633" w:rsidRDefault="00DF0001" w:rsidP="006B66C1">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Cs/>
                <w:color w:val="1F1F1F"/>
                <w:kern w:val="0"/>
                <w:sz w:val="18"/>
                <w:szCs w:val="18"/>
                <w14:ligatures w14:val="none"/>
              </w:rPr>
              <w:t>No</w:t>
            </w:r>
          </w:p>
        </w:tc>
        <w:tc>
          <w:tcPr>
            <w:tcW w:w="756" w:type="dxa"/>
            <w:tcBorders>
              <w:right w:val="nil"/>
            </w:tcBorders>
            <w:tcMar>
              <w:top w:w="80" w:type="dxa"/>
              <w:left w:w="80" w:type="dxa"/>
              <w:bottom w:w="80" w:type="dxa"/>
              <w:right w:w="80" w:type="dxa"/>
            </w:tcMar>
            <w:vAlign w:val="center"/>
            <w:hideMark/>
          </w:tcPr>
          <w:p w14:paraId="3F8B1919" w14:textId="77777777" w:rsidR="00DF0001" w:rsidRPr="00120633" w:rsidRDefault="00DF0001" w:rsidP="006B66C1">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120633" w14:paraId="6B22116E" w14:textId="77777777" w:rsidTr="00E3003F">
        <w:trPr>
          <w:trHeight w:val="1415"/>
        </w:trPr>
        <w:tc>
          <w:tcPr>
            <w:tcW w:w="1696" w:type="dxa"/>
            <w:vMerge/>
            <w:tcBorders>
              <w:left w:val="nil"/>
            </w:tcBorders>
            <w:hideMark/>
          </w:tcPr>
          <w:p w14:paraId="23AF65B1" w14:textId="77777777" w:rsidR="00DF0001" w:rsidRPr="00120633" w:rsidRDefault="00DF0001" w:rsidP="006B66C1">
            <w:pPr>
              <w:widowControl/>
              <w:rPr>
                <w:rFonts w:ascii="Times New Roman" w:eastAsia="等线" w:hAnsi="Times New Roman" w:cs="Times New Roman"/>
                <w:color w:val="000000"/>
                <w:kern w:val="0"/>
                <w:sz w:val="18"/>
                <w:szCs w:val="18"/>
                <w14:ligatures w14:val="none"/>
              </w:rPr>
            </w:pPr>
          </w:p>
        </w:tc>
        <w:tc>
          <w:tcPr>
            <w:tcW w:w="567" w:type="dxa"/>
            <w:vMerge/>
            <w:hideMark/>
          </w:tcPr>
          <w:p w14:paraId="1ADD06E1" w14:textId="77777777" w:rsidR="00DF0001" w:rsidRPr="00120633" w:rsidRDefault="00DF0001" w:rsidP="006B66C1">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2C5D9578"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Focused on sustainable engagement.</w:t>
            </w:r>
          </w:p>
          <w:p w14:paraId="1D3BEB1F"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Robot logs and surveys used.</w:t>
            </w:r>
          </w:p>
        </w:tc>
        <w:tc>
          <w:tcPr>
            <w:tcW w:w="3150" w:type="dxa"/>
            <w:gridSpan w:val="5"/>
            <w:tcMar>
              <w:top w:w="80" w:type="dxa"/>
              <w:left w:w="80" w:type="dxa"/>
              <w:bottom w:w="80" w:type="dxa"/>
              <w:right w:w="80" w:type="dxa"/>
            </w:tcMar>
            <w:vAlign w:val="center"/>
            <w:hideMark/>
          </w:tcPr>
          <w:p w14:paraId="1EB7C587"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Appropriate for human engagement.</w:t>
            </w:r>
          </w:p>
          <w:p w14:paraId="0B21878A"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Methods capture interactions.</w:t>
            </w:r>
          </w:p>
          <w:p w14:paraId="20597527"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Thematic derivation clear.</w:t>
            </w:r>
          </w:p>
          <w:p w14:paraId="22F01F9A"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Quotes support findings.</w:t>
            </w:r>
          </w:p>
          <w:p w14:paraId="70F926E4"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High coherence.</w:t>
            </w:r>
          </w:p>
        </w:tc>
        <w:tc>
          <w:tcPr>
            <w:tcW w:w="3086" w:type="dxa"/>
            <w:gridSpan w:val="5"/>
            <w:tcMar>
              <w:top w:w="80" w:type="dxa"/>
              <w:left w:w="80" w:type="dxa"/>
              <w:bottom w:w="80" w:type="dxa"/>
              <w:right w:w="80" w:type="dxa"/>
            </w:tcMar>
            <w:vAlign w:val="center"/>
            <w:hideMark/>
          </w:tcPr>
          <w:p w14:paraId="2155F1C4"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Purposive sampling.</w:t>
            </w:r>
          </w:p>
          <w:p w14:paraId="7928A645"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Small sample limits generalization.</w:t>
            </w:r>
          </w:p>
          <w:p w14:paraId="277F9C81"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Robot sensors are appropriate.</w:t>
            </w:r>
          </w:p>
          <w:p w14:paraId="65A3C904"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Engagement tracked daily.</w:t>
            </w:r>
          </w:p>
          <w:p w14:paraId="57639B95"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Statistical analysis appropriate.</w:t>
            </w:r>
          </w:p>
        </w:tc>
        <w:tc>
          <w:tcPr>
            <w:tcW w:w="3083" w:type="dxa"/>
            <w:gridSpan w:val="5"/>
            <w:tcMar>
              <w:top w:w="80" w:type="dxa"/>
              <w:left w:w="80" w:type="dxa"/>
              <w:bottom w:w="80" w:type="dxa"/>
              <w:right w:w="80" w:type="dxa"/>
            </w:tcMar>
            <w:vAlign w:val="center"/>
            <w:hideMark/>
          </w:tcPr>
          <w:p w14:paraId="23548A02"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Rationale for mixed data.</w:t>
            </w:r>
          </w:p>
          <w:p w14:paraId="7D3F3142"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Integrated findings.</w:t>
            </w:r>
          </w:p>
          <w:p w14:paraId="7C51BC91"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Sound interpretation.</w:t>
            </w:r>
          </w:p>
          <w:p w14:paraId="66BBEFCC"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Addressed usage drops.</w:t>
            </w:r>
          </w:p>
          <w:p w14:paraId="52EB5F51"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Adheres to traditions.</w:t>
            </w:r>
          </w:p>
        </w:tc>
        <w:tc>
          <w:tcPr>
            <w:tcW w:w="756" w:type="dxa"/>
            <w:tcBorders>
              <w:right w:val="nil"/>
            </w:tcBorders>
            <w:tcMar>
              <w:top w:w="80" w:type="dxa"/>
              <w:left w:w="80" w:type="dxa"/>
              <w:bottom w:w="80" w:type="dxa"/>
              <w:right w:w="80" w:type="dxa"/>
            </w:tcMar>
            <w:vAlign w:val="center"/>
            <w:hideMark/>
          </w:tcPr>
          <w:p w14:paraId="2AB48A15" w14:textId="77777777" w:rsidR="00DF0001" w:rsidRPr="00120633" w:rsidRDefault="00DF0001" w:rsidP="006B66C1">
            <w:pPr>
              <w:widowControl/>
              <w:jc w:val="left"/>
              <w:rPr>
                <w:rFonts w:ascii="Times New Roman" w:eastAsia="等线" w:hAnsi="Times New Roman" w:cs="Times New Roman"/>
                <w:color w:val="1F1F1F"/>
                <w:kern w:val="0"/>
                <w:sz w:val="18"/>
                <w:szCs w:val="18"/>
                <w14:ligatures w14:val="none"/>
              </w:rPr>
            </w:pPr>
          </w:p>
        </w:tc>
      </w:tr>
      <w:tr w:rsidR="00DF0001" w:rsidRPr="00036F81" w14:paraId="049E01BF" w14:textId="77777777" w:rsidTr="00E3003F">
        <w:trPr>
          <w:trHeight w:val="283"/>
        </w:trPr>
        <w:tc>
          <w:tcPr>
            <w:tcW w:w="1696" w:type="dxa"/>
            <w:vMerge w:val="restart"/>
            <w:tcBorders>
              <w:left w:val="nil"/>
            </w:tcBorders>
            <w:tcMar>
              <w:top w:w="80" w:type="dxa"/>
              <w:left w:w="80" w:type="dxa"/>
              <w:bottom w:w="80" w:type="dxa"/>
              <w:right w:w="80" w:type="dxa"/>
            </w:tcMar>
            <w:vAlign w:val="center"/>
            <w:hideMark/>
          </w:tcPr>
          <w:p w14:paraId="1503A5F2" w14:textId="77777777" w:rsidR="00DF0001" w:rsidRPr="00120633" w:rsidRDefault="00DF0001" w:rsidP="00C432CC">
            <w:pPr>
              <w:jc w:val="center"/>
              <w:rPr>
                <w:rFonts w:ascii="Times New Roman" w:eastAsia="Times New Roman" w:hAnsi="Times New Roman" w:cs="Times New Roman"/>
                <w:kern w:val="0"/>
                <w:sz w:val="18"/>
                <w:szCs w:val="18"/>
                <w14:ligatures w14:val="none"/>
              </w:rPr>
            </w:pPr>
            <w:r>
              <w:rPr>
                <w:rFonts w:ascii="Times New Roman" w:eastAsia="等线" w:hAnsi="Times New Roman" w:cs="Times New Roman"/>
                <w:color w:val="000000"/>
                <w:kern w:val="0"/>
                <w:sz w:val="18"/>
                <w:szCs w:val="18"/>
                <w14:ligatures w14:val="none"/>
              </w:rPr>
              <w:t>(Kim et al., 2022)</w:t>
            </w:r>
          </w:p>
        </w:tc>
        <w:tc>
          <w:tcPr>
            <w:tcW w:w="567" w:type="dxa"/>
            <w:vMerge w:val="restart"/>
            <w:tcMar>
              <w:top w:w="80" w:type="dxa"/>
              <w:left w:w="80" w:type="dxa"/>
              <w:bottom w:w="80" w:type="dxa"/>
              <w:right w:w="80" w:type="dxa"/>
            </w:tcMar>
            <w:vAlign w:val="center"/>
            <w:hideMark/>
          </w:tcPr>
          <w:p w14:paraId="4801E77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Mar>
              <w:top w:w="80" w:type="dxa"/>
              <w:left w:w="80" w:type="dxa"/>
              <w:bottom w:w="80" w:type="dxa"/>
              <w:right w:w="80" w:type="dxa"/>
            </w:tcMar>
            <w:vAlign w:val="center"/>
            <w:hideMark/>
          </w:tcPr>
          <w:p w14:paraId="0C1A978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7334E0B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4E9D231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7D592BE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60F666B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67CEF84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0A18BE4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7248598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5C9F383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633C0A8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116C4BD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02A5269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14C5E89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0777AC4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15186FE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658A3B3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030EE40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6D4ED714"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712B7658" w14:textId="77777777" w:rsidTr="00E3003F">
        <w:trPr>
          <w:trHeight w:val="1132"/>
        </w:trPr>
        <w:tc>
          <w:tcPr>
            <w:tcW w:w="1696" w:type="dxa"/>
            <w:vMerge/>
            <w:tcBorders>
              <w:left w:val="nil"/>
            </w:tcBorders>
            <w:hideMark/>
          </w:tcPr>
          <w:p w14:paraId="3CB5C0F2"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23B7E579"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60EB197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Ethical sensing objectives clear.</w:t>
            </w:r>
          </w:p>
          <w:p w14:paraId="363CC12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System logs and interviews used.</w:t>
            </w:r>
          </w:p>
        </w:tc>
        <w:tc>
          <w:tcPr>
            <w:tcW w:w="3150" w:type="dxa"/>
            <w:gridSpan w:val="5"/>
            <w:tcMar>
              <w:top w:w="80" w:type="dxa"/>
              <w:left w:w="80" w:type="dxa"/>
              <w:bottom w:w="80" w:type="dxa"/>
              <w:right w:w="80" w:type="dxa"/>
            </w:tcMar>
            <w:vAlign w:val="center"/>
            <w:hideMark/>
          </w:tcPr>
          <w:p w14:paraId="53CA9D41"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Ethics require qualitative depth.</w:t>
            </w:r>
          </w:p>
          <w:p w14:paraId="1EFFA746"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Interviews are appropriate.</w:t>
            </w:r>
          </w:p>
          <w:p w14:paraId="50C0E80B"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Derived through content analysis.</w:t>
            </w:r>
          </w:p>
          <w:p w14:paraId="1392D001"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Supported by user feedback.</w:t>
            </w:r>
          </w:p>
          <w:p w14:paraId="02428052"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Coherent methods.</w:t>
            </w:r>
          </w:p>
        </w:tc>
        <w:tc>
          <w:tcPr>
            <w:tcW w:w="3086" w:type="dxa"/>
            <w:gridSpan w:val="5"/>
            <w:tcMar>
              <w:top w:w="80" w:type="dxa"/>
              <w:left w:w="80" w:type="dxa"/>
              <w:bottom w:w="80" w:type="dxa"/>
              <w:right w:w="80" w:type="dxa"/>
            </w:tcMar>
            <w:vAlign w:val="center"/>
            <w:hideMark/>
          </w:tcPr>
          <w:p w14:paraId="4C4187FB"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Targeted older adults at home.</w:t>
            </w:r>
          </w:p>
          <w:p w14:paraId="090A78E3"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Small sample limits broader representativeness.</w:t>
            </w:r>
          </w:p>
          <w:p w14:paraId="71CC58A1"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Technical sensors are appropriate.</w:t>
            </w:r>
          </w:p>
          <w:p w14:paraId="47711339"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High data completeness.</w:t>
            </w:r>
          </w:p>
          <w:p w14:paraId="57FB3990"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Appropriate technical analysis.</w:t>
            </w:r>
          </w:p>
        </w:tc>
        <w:tc>
          <w:tcPr>
            <w:tcW w:w="3083" w:type="dxa"/>
            <w:gridSpan w:val="5"/>
            <w:tcMar>
              <w:top w:w="80" w:type="dxa"/>
              <w:left w:w="80" w:type="dxa"/>
              <w:bottom w:w="80" w:type="dxa"/>
              <w:right w:w="80" w:type="dxa"/>
            </w:tcMar>
            <w:vAlign w:val="center"/>
            <w:hideMark/>
          </w:tcPr>
          <w:p w14:paraId="5BDC2A91"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Rationale for mixed study clear.</w:t>
            </w:r>
          </w:p>
          <w:p w14:paraId="2859F40A"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Integrated sensors and feedback.</w:t>
            </w:r>
          </w:p>
          <w:p w14:paraId="1DF3E4AC"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Adequately interpreted.</w:t>
            </w:r>
          </w:p>
          <w:p w14:paraId="30986770"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Ethics vs monitoring conflicts discussed.</w:t>
            </w:r>
          </w:p>
          <w:p w14:paraId="61C4FC11"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Traditions maintained.</w:t>
            </w:r>
          </w:p>
        </w:tc>
        <w:tc>
          <w:tcPr>
            <w:tcW w:w="756" w:type="dxa"/>
            <w:tcBorders>
              <w:right w:val="nil"/>
            </w:tcBorders>
            <w:tcMar>
              <w:top w:w="80" w:type="dxa"/>
              <w:left w:w="80" w:type="dxa"/>
              <w:bottom w:w="80" w:type="dxa"/>
              <w:right w:w="80" w:type="dxa"/>
            </w:tcMar>
            <w:vAlign w:val="center"/>
            <w:hideMark/>
          </w:tcPr>
          <w:p w14:paraId="5D0703D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4364938F" w14:textId="77777777" w:rsidTr="00E3003F">
        <w:trPr>
          <w:trHeight w:val="283"/>
        </w:trPr>
        <w:tc>
          <w:tcPr>
            <w:tcW w:w="1696" w:type="dxa"/>
            <w:vMerge/>
            <w:tcBorders>
              <w:left w:val="nil"/>
            </w:tcBorders>
            <w:hideMark/>
          </w:tcPr>
          <w:p w14:paraId="2B67F7FE"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4EA1A60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Mar>
              <w:top w:w="80" w:type="dxa"/>
              <w:left w:w="80" w:type="dxa"/>
              <w:bottom w:w="80" w:type="dxa"/>
              <w:right w:w="80" w:type="dxa"/>
            </w:tcMar>
            <w:vAlign w:val="center"/>
            <w:hideMark/>
          </w:tcPr>
          <w:p w14:paraId="2A6A99A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5695905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42CEDF9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1564DEC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59C43FB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58CDB9E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6762C6D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5373D93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1E61C18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Can’t tell</w:t>
            </w:r>
          </w:p>
        </w:tc>
        <w:tc>
          <w:tcPr>
            <w:tcW w:w="526" w:type="dxa"/>
            <w:tcMar>
              <w:top w:w="80" w:type="dxa"/>
              <w:left w:w="80" w:type="dxa"/>
              <w:bottom w:w="80" w:type="dxa"/>
              <w:right w:w="80" w:type="dxa"/>
            </w:tcMar>
            <w:vAlign w:val="center"/>
            <w:hideMark/>
          </w:tcPr>
          <w:p w14:paraId="274AB6C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7853D75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43795B5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21B28CC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59D046A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2634292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3A1B698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48AC27E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0F8383D1"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104F19C1" w14:textId="77777777" w:rsidTr="00E3003F">
        <w:trPr>
          <w:trHeight w:val="1132"/>
        </w:trPr>
        <w:tc>
          <w:tcPr>
            <w:tcW w:w="1696" w:type="dxa"/>
            <w:vMerge/>
            <w:tcBorders>
              <w:left w:val="nil"/>
            </w:tcBorders>
            <w:hideMark/>
          </w:tcPr>
          <w:p w14:paraId="047DBC5B" w14:textId="77777777" w:rsidR="00DF0001" w:rsidRPr="00120633" w:rsidRDefault="00DF0001" w:rsidP="00C432CC">
            <w:pPr>
              <w:widowControl/>
              <w:rPr>
                <w:rFonts w:ascii="Times New Roman" w:eastAsia="等线" w:hAnsi="Times New Roman" w:cs="Times New Roman"/>
                <w:color w:val="1F1F1F"/>
                <w:kern w:val="0"/>
                <w:sz w:val="18"/>
                <w:szCs w:val="18"/>
                <w14:ligatures w14:val="none"/>
              </w:rPr>
            </w:pPr>
          </w:p>
        </w:tc>
        <w:tc>
          <w:tcPr>
            <w:tcW w:w="567" w:type="dxa"/>
            <w:vMerge/>
            <w:hideMark/>
          </w:tcPr>
          <w:p w14:paraId="66AF95A5"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790CC9A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 research questions on ethics.</w:t>
            </w:r>
          </w:p>
          <w:p w14:paraId="7AA22A3E"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Methods address S1/S2.</w:t>
            </w:r>
          </w:p>
        </w:tc>
        <w:tc>
          <w:tcPr>
            <w:tcW w:w="3150" w:type="dxa"/>
            <w:gridSpan w:val="5"/>
            <w:tcMar>
              <w:top w:w="80" w:type="dxa"/>
              <w:left w:w="80" w:type="dxa"/>
              <w:bottom w:w="80" w:type="dxa"/>
              <w:right w:w="80" w:type="dxa"/>
            </w:tcMar>
            <w:vAlign w:val="center"/>
            <w:hideMark/>
          </w:tcPr>
          <w:p w14:paraId="3A3B8D7A"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Qualitative approach is justified.</w:t>
            </w:r>
          </w:p>
          <w:p w14:paraId="19AF4C07"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Methods capture ethical concerns.</w:t>
            </w:r>
          </w:p>
          <w:p w14:paraId="75045FB0"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Thematically derived.</w:t>
            </w:r>
          </w:p>
          <w:p w14:paraId="43D7D727"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Findings sufficiently substantiated.</w:t>
            </w:r>
          </w:p>
          <w:p w14:paraId="4A65C284"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Coherence is strong.</w:t>
            </w:r>
          </w:p>
        </w:tc>
        <w:tc>
          <w:tcPr>
            <w:tcW w:w="3086" w:type="dxa"/>
            <w:gridSpan w:val="5"/>
            <w:tcMar>
              <w:top w:w="80" w:type="dxa"/>
              <w:left w:w="80" w:type="dxa"/>
              <w:bottom w:w="80" w:type="dxa"/>
              <w:right w:w="80" w:type="dxa"/>
            </w:tcMar>
            <w:vAlign w:val="center"/>
            <w:hideMark/>
          </w:tcPr>
          <w:p w14:paraId="3CE42981"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Sampling strategy relevant.</w:t>
            </w:r>
          </w:p>
          <w:p w14:paraId="181914C1"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Specific frail population focus.</w:t>
            </w:r>
          </w:p>
          <w:p w14:paraId="153DF041"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Measurements are appropriate.</w:t>
            </w:r>
          </w:p>
          <w:p w14:paraId="0436B3AD"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risk of non-response.</w:t>
            </w:r>
          </w:p>
          <w:p w14:paraId="4197A0F4"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Stats match data.</w:t>
            </w:r>
          </w:p>
        </w:tc>
        <w:tc>
          <w:tcPr>
            <w:tcW w:w="3083" w:type="dxa"/>
            <w:gridSpan w:val="5"/>
            <w:tcMar>
              <w:top w:w="80" w:type="dxa"/>
              <w:left w:w="80" w:type="dxa"/>
              <w:bottom w:w="80" w:type="dxa"/>
              <w:right w:w="80" w:type="dxa"/>
            </w:tcMar>
            <w:vAlign w:val="center"/>
            <w:hideMark/>
          </w:tcPr>
          <w:p w14:paraId="710697D0"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Solid rationale.</w:t>
            </w:r>
          </w:p>
          <w:p w14:paraId="24FB0B56"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Well-integrated results.</w:t>
            </w:r>
          </w:p>
          <w:p w14:paraId="4DEEB6FC"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Sound interpretation.</w:t>
            </w:r>
          </w:p>
          <w:p w14:paraId="59EECC18"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Inconsistencies addressed.</w:t>
            </w:r>
          </w:p>
          <w:p w14:paraId="391899CC"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 quality criteria.</w:t>
            </w:r>
          </w:p>
        </w:tc>
        <w:tc>
          <w:tcPr>
            <w:tcW w:w="756" w:type="dxa"/>
            <w:tcBorders>
              <w:right w:val="nil"/>
            </w:tcBorders>
            <w:tcMar>
              <w:top w:w="80" w:type="dxa"/>
              <w:left w:w="80" w:type="dxa"/>
              <w:bottom w:w="80" w:type="dxa"/>
              <w:right w:w="80" w:type="dxa"/>
            </w:tcMar>
            <w:vAlign w:val="center"/>
            <w:hideMark/>
          </w:tcPr>
          <w:p w14:paraId="7FD1023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2A5E5A9B" w14:textId="77777777" w:rsidTr="00E3003F">
        <w:trPr>
          <w:trHeight w:val="283"/>
        </w:trPr>
        <w:tc>
          <w:tcPr>
            <w:tcW w:w="1696" w:type="dxa"/>
            <w:vMerge w:val="restart"/>
            <w:tcBorders>
              <w:left w:val="nil"/>
            </w:tcBorders>
            <w:tcMar>
              <w:top w:w="80" w:type="dxa"/>
              <w:left w:w="80" w:type="dxa"/>
              <w:bottom w:w="80" w:type="dxa"/>
              <w:right w:w="80" w:type="dxa"/>
            </w:tcMar>
            <w:vAlign w:val="center"/>
            <w:hideMark/>
          </w:tcPr>
          <w:p w14:paraId="459BBAE2" w14:textId="77777777" w:rsidR="00DF0001" w:rsidRPr="00120633" w:rsidRDefault="00DF0001" w:rsidP="00C432CC">
            <w:pPr>
              <w:jc w:val="center"/>
              <w:rPr>
                <w:rFonts w:ascii="Times New Roman" w:eastAsia="Times New Roman" w:hAnsi="Times New Roman" w:cs="Times New Roman"/>
                <w:kern w:val="0"/>
                <w:sz w:val="18"/>
                <w:szCs w:val="18"/>
                <w14:ligatures w14:val="none"/>
              </w:rPr>
            </w:pPr>
            <w:r>
              <w:rPr>
                <w:rFonts w:ascii="Times New Roman" w:eastAsia="等线" w:hAnsi="Times New Roman" w:cs="Times New Roman"/>
                <w:color w:val="000000"/>
                <w:kern w:val="0"/>
                <w:sz w:val="18"/>
                <w:szCs w:val="18"/>
                <w14:ligatures w14:val="none"/>
              </w:rPr>
              <w:t>(Kok et al., 2024)</w:t>
            </w:r>
          </w:p>
        </w:tc>
        <w:tc>
          <w:tcPr>
            <w:tcW w:w="567" w:type="dxa"/>
            <w:vMerge w:val="restart"/>
            <w:tcMar>
              <w:top w:w="80" w:type="dxa"/>
              <w:left w:w="80" w:type="dxa"/>
              <w:bottom w:w="80" w:type="dxa"/>
              <w:right w:w="80" w:type="dxa"/>
            </w:tcMar>
            <w:vAlign w:val="center"/>
            <w:hideMark/>
          </w:tcPr>
          <w:p w14:paraId="025D4BA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Mar>
              <w:top w:w="80" w:type="dxa"/>
              <w:left w:w="80" w:type="dxa"/>
              <w:bottom w:w="80" w:type="dxa"/>
              <w:right w:w="80" w:type="dxa"/>
            </w:tcMar>
            <w:vAlign w:val="center"/>
            <w:hideMark/>
          </w:tcPr>
          <w:p w14:paraId="502C913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58CD0B9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4D4240F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01C3753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4275646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C99829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183383B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0B4FF6E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15C0522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0E1BEE7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60983EB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4BAA08F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5527689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63E52A4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6994889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0248E0A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40DFFBD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6BCCC995"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4DCFAE58" w14:textId="77777777" w:rsidTr="00E3003F">
        <w:trPr>
          <w:trHeight w:val="1415"/>
        </w:trPr>
        <w:tc>
          <w:tcPr>
            <w:tcW w:w="1696" w:type="dxa"/>
            <w:vMerge/>
            <w:tcBorders>
              <w:left w:val="nil"/>
            </w:tcBorders>
            <w:hideMark/>
          </w:tcPr>
          <w:p w14:paraId="00C6C15B"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63F479C0"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34EFB5B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Focused on sustainable engagement.</w:t>
            </w:r>
          </w:p>
          <w:p w14:paraId="6B1AC8D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Robot logs and surveys used.</w:t>
            </w:r>
          </w:p>
        </w:tc>
        <w:tc>
          <w:tcPr>
            <w:tcW w:w="3150" w:type="dxa"/>
            <w:gridSpan w:val="5"/>
            <w:tcMar>
              <w:top w:w="80" w:type="dxa"/>
              <w:left w:w="80" w:type="dxa"/>
              <w:bottom w:w="80" w:type="dxa"/>
              <w:right w:w="80" w:type="dxa"/>
            </w:tcMar>
            <w:vAlign w:val="center"/>
            <w:hideMark/>
          </w:tcPr>
          <w:p w14:paraId="7D97525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Appropriate for human engagement.</w:t>
            </w:r>
          </w:p>
          <w:p w14:paraId="313DDD7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Methods capture interactions.</w:t>
            </w:r>
          </w:p>
          <w:p w14:paraId="2D65272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Thematic derivation clear.</w:t>
            </w:r>
          </w:p>
          <w:p w14:paraId="1C9C84C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Quotes support findings.</w:t>
            </w:r>
          </w:p>
          <w:p w14:paraId="3B9E65D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High coherence.</w:t>
            </w:r>
          </w:p>
        </w:tc>
        <w:tc>
          <w:tcPr>
            <w:tcW w:w="3086" w:type="dxa"/>
            <w:gridSpan w:val="5"/>
            <w:tcMar>
              <w:top w:w="80" w:type="dxa"/>
              <w:left w:w="80" w:type="dxa"/>
              <w:bottom w:w="80" w:type="dxa"/>
              <w:right w:w="80" w:type="dxa"/>
            </w:tcMar>
            <w:vAlign w:val="center"/>
            <w:hideMark/>
          </w:tcPr>
          <w:p w14:paraId="46B5AEA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Purposive sampling.</w:t>
            </w:r>
          </w:p>
          <w:p w14:paraId="42F992A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Small sample limits generalization.</w:t>
            </w:r>
          </w:p>
          <w:p w14:paraId="7B7B2E8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Robot sensors are appropriate.</w:t>
            </w:r>
          </w:p>
          <w:p w14:paraId="3FB4336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Engagement tracked daily.</w:t>
            </w:r>
          </w:p>
          <w:p w14:paraId="7F23D75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Statistical analysis appropriate.</w:t>
            </w:r>
          </w:p>
        </w:tc>
        <w:tc>
          <w:tcPr>
            <w:tcW w:w="3083" w:type="dxa"/>
            <w:gridSpan w:val="5"/>
            <w:tcMar>
              <w:top w:w="80" w:type="dxa"/>
              <w:left w:w="80" w:type="dxa"/>
              <w:bottom w:w="80" w:type="dxa"/>
              <w:right w:w="80" w:type="dxa"/>
            </w:tcMar>
            <w:vAlign w:val="center"/>
            <w:hideMark/>
          </w:tcPr>
          <w:p w14:paraId="1D09334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Rationale for mixed data.</w:t>
            </w:r>
          </w:p>
          <w:p w14:paraId="0500B1E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Integrated findings.</w:t>
            </w:r>
          </w:p>
          <w:p w14:paraId="06B61B4E"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Sound interpretation.</w:t>
            </w:r>
          </w:p>
          <w:p w14:paraId="134222C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Addressed usage drops.</w:t>
            </w:r>
          </w:p>
          <w:p w14:paraId="6B3D02E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Adheres to traditions.</w:t>
            </w:r>
          </w:p>
        </w:tc>
        <w:tc>
          <w:tcPr>
            <w:tcW w:w="756" w:type="dxa"/>
            <w:tcBorders>
              <w:right w:val="nil"/>
            </w:tcBorders>
            <w:tcMar>
              <w:top w:w="80" w:type="dxa"/>
              <w:left w:w="80" w:type="dxa"/>
              <w:bottom w:w="80" w:type="dxa"/>
              <w:right w:w="80" w:type="dxa"/>
            </w:tcMar>
            <w:vAlign w:val="center"/>
            <w:hideMark/>
          </w:tcPr>
          <w:p w14:paraId="1EA57D9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120633" w14:paraId="4291A273" w14:textId="77777777" w:rsidTr="00E3003F">
        <w:trPr>
          <w:trHeight w:val="283"/>
        </w:trPr>
        <w:tc>
          <w:tcPr>
            <w:tcW w:w="1696" w:type="dxa"/>
            <w:vMerge/>
            <w:tcBorders>
              <w:left w:val="nil"/>
            </w:tcBorders>
            <w:hideMark/>
          </w:tcPr>
          <w:p w14:paraId="3360516B" w14:textId="77777777" w:rsidR="00DF0001" w:rsidRPr="00120633" w:rsidRDefault="00DF0001" w:rsidP="0035278A">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11203B7C"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Mar>
              <w:top w:w="80" w:type="dxa"/>
              <w:left w:w="80" w:type="dxa"/>
              <w:bottom w:w="80" w:type="dxa"/>
              <w:right w:w="80" w:type="dxa"/>
            </w:tcMar>
            <w:vAlign w:val="center"/>
            <w:hideMark/>
          </w:tcPr>
          <w:p w14:paraId="1C96ADB6"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5B92D24B"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A9A6369"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7FE476A7"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7AA8D7C1"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3A6A0751"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10A7802D"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04ECF859"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12001213"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hint="eastAsia"/>
                <w:bCs/>
                <w:color w:val="1F1F1F"/>
                <w:kern w:val="0"/>
                <w:sz w:val="18"/>
                <w:szCs w:val="18"/>
                <w14:ligatures w14:val="none"/>
              </w:rPr>
              <w:t>No</w:t>
            </w:r>
          </w:p>
        </w:tc>
        <w:tc>
          <w:tcPr>
            <w:tcW w:w="526" w:type="dxa"/>
            <w:tcMar>
              <w:top w:w="80" w:type="dxa"/>
              <w:left w:w="80" w:type="dxa"/>
              <w:bottom w:w="80" w:type="dxa"/>
              <w:right w:w="80" w:type="dxa"/>
            </w:tcMar>
            <w:vAlign w:val="center"/>
            <w:hideMark/>
          </w:tcPr>
          <w:p w14:paraId="27C22F08"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5F930E5C"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279AD210"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79798634"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461E634A"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16D3E507"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5A05FA89"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32692E11" w14:textId="77777777" w:rsidR="00DF0001" w:rsidRPr="00120633" w:rsidRDefault="00DF0001" w:rsidP="0035278A">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081902EB" w14:textId="77777777" w:rsidR="00DF0001" w:rsidRPr="00120633" w:rsidRDefault="00DF0001" w:rsidP="0035278A">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120633" w14:paraId="21973108" w14:textId="77777777" w:rsidTr="00E3003F">
        <w:trPr>
          <w:trHeight w:val="849"/>
        </w:trPr>
        <w:tc>
          <w:tcPr>
            <w:tcW w:w="1696" w:type="dxa"/>
            <w:vMerge/>
            <w:tcBorders>
              <w:left w:val="nil"/>
            </w:tcBorders>
            <w:hideMark/>
          </w:tcPr>
          <w:p w14:paraId="6811EEA4" w14:textId="77777777" w:rsidR="00DF0001" w:rsidRPr="00120633" w:rsidRDefault="00DF0001" w:rsidP="0035278A">
            <w:pPr>
              <w:widowControl/>
              <w:rPr>
                <w:rFonts w:ascii="Times New Roman" w:eastAsia="等线" w:hAnsi="Times New Roman" w:cs="Times New Roman"/>
                <w:color w:val="1F1F1F"/>
                <w:kern w:val="0"/>
                <w:sz w:val="18"/>
                <w:szCs w:val="18"/>
                <w14:ligatures w14:val="none"/>
              </w:rPr>
            </w:pPr>
          </w:p>
        </w:tc>
        <w:tc>
          <w:tcPr>
            <w:tcW w:w="567" w:type="dxa"/>
            <w:vMerge/>
            <w:hideMark/>
          </w:tcPr>
          <w:p w14:paraId="12FCF3C1" w14:textId="77777777" w:rsidR="00DF0001" w:rsidRPr="00120633" w:rsidRDefault="00DF0001" w:rsidP="0035278A">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0D1FF55A"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 research objectives.</w:t>
            </w:r>
          </w:p>
          <w:p w14:paraId="1E14470D"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Data addresses the aims.</w:t>
            </w:r>
          </w:p>
        </w:tc>
        <w:tc>
          <w:tcPr>
            <w:tcW w:w="3150" w:type="dxa"/>
            <w:gridSpan w:val="5"/>
            <w:tcMar>
              <w:top w:w="80" w:type="dxa"/>
              <w:left w:w="80" w:type="dxa"/>
              <w:bottom w:w="80" w:type="dxa"/>
              <w:right w:w="80" w:type="dxa"/>
            </w:tcMar>
            <w:vAlign w:val="center"/>
            <w:hideMark/>
          </w:tcPr>
          <w:p w14:paraId="0AF690E6"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Qualitative captures nuance.</w:t>
            </w:r>
          </w:p>
          <w:p w14:paraId="30216C7F"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In-depth observations used.</w:t>
            </w:r>
          </w:p>
          <w:p w14:paraId="0D4C0CAC"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 analysis path.</w:t>
            </w:r>
          </w:p>
          <w:p w14:paraId="398ECF5E"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Findings substantiated.</w:t>
            </w:r>
          </w:p>
          <w:p w14:paraId="36B61B6C"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Coherent design.</w:t>
            </w:r>
          </w:p>
        </w:tc>
        <w:tc>
          <w:tcPr>
            <w:tcW w:w="3086" w:type="dxa"/>
            <w:gridSpan w:val="5"/>
            <w:tcMar>
              <w:top w:w="80" w:type="dxa"/>
              <w:left w:w="80" w:type="dxa"/>
              <w:bottom w:w="80" w:type="dxa"/>
              <w:right w:w="80" w:type="dxa"/>
            </w:tcMar>
            <w:vAlign w:val="center"/>
            <w:hideMark/>
          </w:tcPr>
          <w:p w14:paraId="0346C2A6"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Matches the research question.</w:t>
            </w:r>
          </w:p>
          <w:p w14:paraId="4CA60790"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Specific cultural context.</w:t>
            </w:r>
          </w:p>
          <w:p w14:paraId="187CEE11"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Measurements are standard.</w:t>
            </w:r>
          </w:p>
          <w:p w14:paraId="0BC5C8FD"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Good follow-up metrics.</w:t>
            </w:r>
          </w:p>
          <w:p w14:paraId="3DBC37F9"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Stats match data.</w:t>
            </w:r>
          </w:p>
        </w:tc>
        <w:tc>
          <w:tcPr>
            <w:tcW w:w="3083" w:type="dxa"/>
            <w:gridSpan w:val="5"/>
            <w:tcMar>
              <w:top w:w="80" w:type="dxa"/>
              <w:left w:w="80" w:type="dxa"/>
              <w:bottom w:w="80" w:type="dxa"/>
              <w:right w:w="80" w:type="dxa"/>
            </w:tcMar>
            <w:vAlign w:val="center"/>
            <w:hideMark/>
          </w:tcPr>
          <w:p w14:paraId="78BC2FC8"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Solid rationale.</w:t>
            </w:r>
          </w:p>
          <w:p w14:paraId="6682142C"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Well-combined data.</w:t>
            </w:r>
          </w:p>
          <w:p w14:paraId="274CDA64"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Proper output.</w:t>
            </w:r>
          </w:p>
          <w:p w14:paraId="4A62F236"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Addressed inconsistencies.</w:t>
            </w:r>
          </w:p>
          <w:p w14:paraId="50F2F12F"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 quality criteria.</w:t>
            </w:r>
          </w:p>
        </w:tc>
        <w:tc>
          <w:tcPr>
            <w:tcW w:w="756" w:type="dxa"/>
            <w:tcBorders>
              <w:right w:val="nil"/>
            </w:tcBorders>
            <w:tcMar>
              <w:top w:w="80" w:type="dxa"/>
              <w:left w:w="80" w:type="dxa"/>
              <w:bottom w:w="80" w:type="dxa"/>
              <w:right w:w="80" w:type="dxa"/>
            </w:tcMar>
            <w:vAlign w:val="center"/>
            <w:hideMark/>
          </w:tcPr>
          <w:p w14:paraId="131B83AD" w14:textId="77777777" w:rsidR="00DF0001" w:rsidRPr="00120633" w:rsidRDefault="00DF0001" w:rsidP="0035278A">
            <w:pPr>
              <w:widowControl/>
              <w:jc w:val="left"/>
              <w:rPr>
                <w:rFonts w:ascii="Times New Roman" w:eastAsia="等线" w:hAnsi="Times New Roman" w:cs="Times New Roman"/>
                <w:color w:val="1F1F1F"/>
                <w:kern w:val="0"/>
                <w:sz w:val="18"/>
                <w:szCs w:val="18"/>
                <w14:ligatures w14:val="none"/>
              </w:rPr>
            </w:pPr>
          </w:p>
        </w:tc>
      </w:tr>
      <w:tr w:rsidR="00DF0001" w:rsidRPr="00036F81" w14:paraId="425FF031" w14:textId="77777777" w:rsidTr="00E3003F">
        <w:trPr>
          <w:trHeight w:val="283"/>
        </w:trPr>
        <w:tc>
          <w:tcPr>
            <w:tcW w:w="1696" w:type="dxa"/>
            <w:vMerge w:val="restart"/>
            <w:tcBorders>
              <w:left w:val="nil"/>
            </w:tcBorders>
            <w:tcMar>
              <w:top w:w="80" w:type="dxa"/>
              <w:left w:w="80" w:type="dxa"/>
              <w:bottom w:w="80" w:type="dxa"/>
              <w:right w:w="80" w:type="dxa"/>
            </w:tcMar>
            <w:vAlign w:val="center"/>
            <w:hideMark/>
          </w:tcPr>
          <w:p w14:paraId="4040C7B0" w14:textId="77777777" w:rsidR="00DF0001" w:rsidRPr="00120633" w:rsidRDefault="00DF0001" w:rsidP="00C432CC">
            <w:pPr>
              <w:jc w:val="center"/>
              <w:rPr>
                <w:rFonts w:ascii="Times New Roman" w:eastAsia="Times New Roman" w:hAnsi="Times New Roman" w:cs="Times New Roman"/>
                <w:kern w:val="0"/>
                <w:sz w:val="18"/>
                <w:szCs w:val="18"/>
                <w14:ligatures w14:val="none"/>
              </w:rPr>
            </w:pPr>
            <w:r>
              <w:rPr>
                <w:rFonts w:ascii="Times New Roman" w:eastAsia="等线" w:hAnsi="Times New Roman" w:cs="Times New Roman"/>
                <w:color w:val="000000"/>
                <w:kern w:val="0"/>
                <w:sz w:val="18"/>
                <w:szCs w:val="18"/>
                <w14:ligatures w14:val="none"/>
              </w:rPr>
              <w:t>(Leung et al., 2023)</w:t>
            </w:r>
          </w:p>
        </w:tc>
        <w:tc>
          <w:tcPr>
            <w:tcW w:w="567" w:type="dxa"/>
            <w:vMerge w:val="restart"/>
            <w:tcMar>
              <w:top w:w="80" w:type="dxa"/>
              <w:left w:w="80" w:type="dxa"/>
              <w:bottom w:w="80" w:type="dxa"/>
              <w:right w:w="80" w:type="dxa"/>
            </w:tcMar>
            <w:vAlign w:val="center"/>
            <w:hideMark/>
          </w:tcPr>
          <w:p w14:paraId="1039853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Mar>
              <w:top w:w="80" w:type="dxa"/>
              <w:left w:w="80" w:type="dxa"/>
              <w:bottom w:w="80" w:type="dxa"/>
              <w:right w:w="80" w:type="dxa"/>
            </w:tcMar>
            <w:vAlign w:val="center"/>
            <w:hideMark/>
          </w:tcPr>
          <w:p w14:paraId="09B8D73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1324337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6ED72CB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4FDAD26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18C596C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6F35107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61C5F22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01E7E0A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37A1D3F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564C684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4C49E86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4A6490A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0F0D3D9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0A00A02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550D9B6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06100CC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30C6C48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546F06AD"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339D6086" w14:textId="77777777" w:rsidTr="00E3003F">
        <w:trPr>
          <w:trHeight w:val="1132"/>
        </w:trPr>
        <w:tc>
          <w:tcPr>
            <w:tcW w:w="1696" w:type="dxa"/>
            <w:vMerge/>
            <w:tcBorders>
              <w:left w:val="nil"/>
            </w:tcBorders>
            <w:hideMark/>
          </w:tcPr>
          <w:p w14:paraId="758E5D5E"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71A0C99E"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4063B6F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Aims at acceptability/interaction.</w:t>
            </w:r>
          </w:p>
          <w:p w14:paraId="4C6E483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Rich case data provided.</w:t>
            </w:r>
          </w:p>
        </w:tc>
        <w:tc>
          <w:tcPr>
            <w:tcW w:w="3150" w:type="dxa"/>
            <w:gridSpan w:val="5"/>
            <w:tcMar>
              <w:top w:w="80" w:type="dxa"/>
              <w:left w:w="80" w:type="dxa"/>
              <w:bottom w:w="80" w:type="dxa"/>
              <w:right w:w="80" w:type="dxa"/>
            </w:tcMar>
            <w:vAlign w:val="center"/>
            <w:hideMark/>
          </w:tcPr>
          <w:p w14:paraId="3DD4575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Case studies allow depth.</w:t>
            </w:r>
          </w:p>
          <w:p w14:paraId="16269E4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Interviews and logs.</w:t>
            </w:r>
          </w:p>
          <w:p w14:paraId="6292300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Derived from case text.</w:t>
            </w:r>
          </w:p>
          <w:p w14:paraId="1D49658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Supported by observation.</w:t>
            </w:r>
          </w:p>
          <w:p w14:paraId="23C8652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Coherent methods.</w:t>
            </w:r>
          </w:p>
        </w:tc>
        <w:tc>
          <w:tcPr>
            <w:tcW w:w="3086" w:type="dxa"/>
            <w:gridSpan w:val="5"/>
            <w:tcMar>
              <w:top w:w="80" w:type="dxa"/>
              <w:left w:w="80" w:type="dxa"/>
              <w:bottom w:w="80" w:type="dxa"/>
              <w:right w:w="80" w:type="dxa"/>
            </w:tcMar>
            <w:vAlign w:val="center"/>
            <w:hideMark/>
          </w:tcPr>
          <w:p w14:paraId="59DD47B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Cases are representative.</w:t>
            </w:r>
          </w:p>
          <w:p w14:paraId="1915C47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Limited to 4 cases.</w:t>
            </w:r>
          </w:p>
          <w:p w14:paraId="731F333D"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Robot logs provide objective data.</w:t>
            </w:r>
          </w:p>
          <w:p w14:paraId="0EFDB0D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Continuous tracking.</w:t>
            </w:r>
          </w:p>
          <w:p w14:paraId="3575B70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Descriptive analysis used.</w:t>
            </w:r>
          </w:p>
        </w:tc>
        <w:tc>
          <w:tcPr>
            <w:tcW w:w="3083" w:type="dxa"/>
            <w:gridSpan w:val="5"/>
            <w:tcMar>
              <w:top w:w="80" w:type="dxa"/>
              <w:left w:w="80" w:type="dxa"/>
              <w:bottom w:w="80" w:type="dxa"/>
              <w:right w:w="80" w:type="dxa"/>
            </w:tcMar>
            <w:vAlign w:val="center"/>
            <w:hideMark/>
          </w:tcPr>
          <w:p w14:paraId="7FFAF3E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Triangulation rationale.</w:t>
            </w:r>
          </w:p>
          <w:p w14:paraId="596C1B3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Components integrated.</w:t>
            </w:r>
          </w:p>
          <w:p w14:paraId="235D0AA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Adequately interpreted.</w:t>
            </w:r>
          </w:p>
          <w:p w14:paraId="436DDA2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Differences in cases noted.</w:t>
            </w:r>
          </w:p>
          <w:p w14:paraId="6856897E"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High quality case studies.</w:t>
            </w:r>
          </w:p>
        </w:tc>
        <w:tc>
          <w:tcPr>
            <w:tcW w:w="756" w:type="dxa"/>
            <w:tcBorders>
              <w:right w:val="nil"/>
            </w:tcBorders>
            <w:tcMar>
              <w:top w:w="80" w:type="dxa"/>
              <w:left w:w="80" w:type="dxa"/>
              <w:bottom w:w="80" w:type="dxa"/>
              <w:right w:w="80" w:type="dxa"/>
            </w:tcMar>
            <w:vAlign w:val="center"/>
            <w:hideMark/>
          </w:tcPr>
          <w:p w14:paraId="5AE58E9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2B05FE58" w14:textId="77777777" w:rsidTr="00E3003F">
        <w:trPr>
          <w:trHeight w:val="283"/>
        </w:trPr>
        <w:tc>
          <w:tcPr>
            <w:tcW w:w="1696" w:type="dxa"/>
            <w:vMerge/>
            <w:tcBorders>
              <w:left w:val="nil"/>
            </w:tcBorders>
            <w:hideMark/>
          </w:tcPr>
          <w:p w14:paraId="378CCAB3"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2F48FC9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Mar>
              <w:top w:w="80" w:type="dxa"/>
              <w:left w:w="80" w:type="dxa"/>
              <w:bottom w:w="80" w:type="dxa"/>
              <w:right w:w="80" w:type="dxa"/>
            </w:tcMar>
            <w:vAlign w:val="center"/>
            <w:hideMark/>
          </w:tcPr>
          <w:p w14:paraId="1E0ECBE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38B031D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5A75847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69677DE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4255FB5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7798B63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3894166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242B676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3029831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4396486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7764120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5514470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05F578B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3525B00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01DF777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74F7693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528C8AB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74B3A676"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734C6D91" w14:textId="77777777" w:rsidTr="00E3003F">
        <w:trPr>
          <w:trHeight w:val="1132"/>
        </w:trPr>
        <w:tc>
          <w:tcPr>
            <w:tcW w:w="1696" w:type="dxa"/>
            <w:vMerge/>
            <w:tcBorders>
              <w:left w:val="nil"/>
              <w:bottom w:val="single" w:sz="4" w:space="0" w:color="BFBFBF" w:themeColor="background1" w:themeShade="BF"/>
            </w:tcBorders>
            <w:hideMark/>
          </w:tcPr>
          <w:p w14:paraId="1FFB4B04" w14:textId="77777777" w:rsidR="00DF0001" w:rsidRPr="00120633" w:rsidRDefault="00DF0001" w:rsidP="00C432CC">
            <w:pPr>
              <w:widowControl/>
              <w:rPr>
                <w:rFonts w:ascii="Times New Roman" w:eastAsia="等线" w:hAnsi="Times New Roman" w:cs="Times New Roman"/>
                <w:color w:val="1F1F1F"/>
                <w:kern w:val="0"/>
                <w:sz w:val="18"/>
                <w:szCs w:val="18"/>
                <w14:ligatures w14:val="none"/>
              </w:rPr>
            </w:pPr>
          </w:p>
        </w:tc>
        <w:tc>
          <w:tcPr>
            <w:tcW w:w="567" w:type="dxa"/>
            <w:vMerge/>
            <w:tcBorders>
              <w:bottom w:val="single" w:sz="4" w:space="0" w:color="BFBFBF" w:themeColor="background1" w:themeShade="BF"/>
            </w:tcBorders>
            <w:hideMark/>
          </w:tcPr>
          <w:p w14:paraId="06799227"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Borders>
              <w:bottom w:val="single" w:sz="4" w:space="0" w:color="BFBFBF" w:themeColor="background1" w:themeShade="BF"/>
            </w:tcBorders>
            <w:tcMar>
              <w:top w:w="80" w:type="dxa"/>
              <w:left w:w="80" w:type="dxa"/>
              <w:bottom w:w="80" w:type="dxa"/>
              <w:right w:w="80" w:type="dxa"/>
            </w:tcMar>
            <w:vAlign w:val="center"/>
            <w:hideMark/>
          </w:tcPr>
          <w:p w14:paraId="00E8906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Research questions are explicit.</w:t>
            </w:r>
          </w:p>
          <w:p w14:paraId="74F875A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Data allows for analysis.</w:t>
            </w:r>
          </w:p>
        </w:tc>
        <w:tc>
          <w:tcPr>
            <w:tcW w:w="3150" w:type="dxa"/>
            <w:gridSpan w:val="5"/>
            <w:tcBorders>
              <w:bottom w:val="single" w:sz="4" w:space="0" w:color="BFBFBF" w:themeColor="background1" w:themeShade="BF"/>
            </w:tcBorders>
            <w:tcMar>
              <w:top w:w="80" w:type="dxa"/>
              <w:left w:w="80" w:type="dxa"/>
              <w:bottom w:w="80" w:type="dxa"/>
              <w:right w:w="80" w:type="dxa"/>
            </w:tcMar>
            <w:vAlign w:val="center"/>
            <w:hideMark/>
          </w:tcPr>
          <w:p w14:paraId="7AC6E81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Qualitative is appropriate here.</w:t>
            </w:r>
          </w:p>
          <w:p w14:paraId="3BC22D3E"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Adequate collection tools.</w:t>
            </w:r>
          </w:p>
          <w:p w14:paraId="234E859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Findings are clear.</w:t>
            </w:r>
          </w:p>
          <w:p w14:paraId="16685C3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Substantiated by logs.</w:t>
            </w:r>
          </w:p>
          <w:p w14:paraId="3CA723DE"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Design is coherent.</w:t>
            </w:r>
          </w:p>
        </w:tc>
        <w:tc>
          <w:tcPr>
            <w:tcW w:w="3086" w:type="dxa"/>
            <w:gridSpan w:val="5"/>
            <w:tcBorders>
              <w:bottom w:val="single" w:sz="4" w:space="0" w:color="BFBFBF" w:themeColor="background1" w:themeShade="BF"/>
            </w:tcBorders>
            <w:tcMar>
              <w:top w:w="80" w:type="dxa"/>
              <w:left w:w="80" w:type="dxa"/>
              <w:bottom w:w="80" w:type="dxa"/>
              <w:right w:w="80" w:type="dxa"/>
            </w:tcMar>
            <w:vAlign w:val="center"/>
            <w:hideMark/>
          </w:tcPr>
          <w:p w14:paraId="7317CCB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Relevant strategy.</w:t>
            </w:r>
          </w:p>
          <w:p w14:paraId="73159D3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Small sample size (n=4).</w:t>
            </w:r>
          </w:p>
          <w:p w14:paraId="1F3D0FE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Measurements are appropriate.</w:t>
            </w:r>
          </w:p>
          <w:p w14:paraId="0497474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risk of bias in logs.</w:t>
            </w:r>
          </w:p>
          <w:p w14:paraId="3A95C05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Appropriate statistics.</w:t>
            </w:r>
          </w:p>
        </w:tc>
        <w:tc>
          <w:tcPr>
            <w:tcW w:w="3083" w:type="dxa"/>
            <w:gridSpan w:val="5"/>
            <w:tcBorders>
              <w:bottom w:val="single" w:sz="4" w:space="0" w:color="BFBFBF" w:themeColor="background1" w:themeShade="BF"/>
            </w:tcBorders>
            <w:tcMar>
              <w:top w:w="80" w:type="dxa"/>
              <w:left w:w="80" w:type="dxa"/>
              <w:bottom w:w="80" w:type="dxa"/>
              <w:right w:w="80" w:type="dxa"/>
            </w:tcMar>
            <w:vAlign w:val="center"/>
            <w:hideMark/>
          </w:tcPr>
          <w:p w14:paraId="1E008BC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Solid rationale.</w:t>
            </w:r>
          </w:p>
          <w:p w14:paraId="15FEC6F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Well-combined results.</w:t>
            </w:r>
          </w:p>
          <w:p w14:paraId="6A2355EE"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Sound interpretation.</w:t>
            </w:r>
          </w:p>
          <w:p w14:paraId="68A47CC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Inconsistencies addressed.</w:t>
            </w:r>
          </w:p>
          <w:p w14:paraId="0952C42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 standard criteria.</w:t>
            </w:r>
          </w:p>
        </w:tc>
        <w:tc>
          <w:tcPr>
            <w:tcW w:w="756" w:type="dxa"/>
            <w:tcBorders>
              <w:bottom w:val="single" w:sz="4" w:space="0" w:color="BFBFBF" w:themeColor="background1" w:themeShade="BF"/>
              <w:right w:val="nil"/>
            </w:tcBorders>
            <w:tcMar>
              <w:top w:w="80" w:type="dxa"/>
              <w:left w:w="80" w:type="dxa"/>
              <w:bottom w:w="80" w:type="dxa"/>
              <w:right w:w="80" w:type="dxa"/>
            </w:tcMar>
            <w:vAlign w:val="center"/>
            <w:hideMark/>
          </w:tcPr>
          <w:p w14:paraId="473C671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558C0833" w14:textId="77777777" w:rsidTr="00E3003F">
        <w:trPr>
          <w:trHeight w:val="283"/>
        </w:trPr>
        <w:tc>
          <w:tcPr>
            <w:tcW w:w="1696" w:type="dxa"/>
            <w:vMerge w:val="restart"/>
            <w:tcBorders>
              <w:left w:val="nil"/>
            </w:tcBorders>
            <w:tcMar>
              <w:top w:w="80" w:type="dxa"/>
              <w:left w:w="80" w:type="dxa"/>
              <w:bottom w:w="80" w:type="dxa"/>
              <w:right w:w="80" w:type="dxa"/>
            </w:tcMar>
            <w:vAlign w:val="center"/>
            <w:hideMark/>
          </w:tcPr>
          <w:p w14:paraId="5614500E" w14:textId="77777777" w:rsidR="00DF0001" w:rsidRPr="00120633" w:rsidRDefault="00DF0001" w:rsidP="00C432CC">
            <w:pPr>
              <w:jc w:val="center"/>
              <w:rPr>
                <w:rFonts w:ascii="Times New Roman" w:eastAsia="Times New Roman" w:hAnsi="Times New Roman" w:cs="Times New Roman"/>
                <w:kern w:val="0"/>
                <w:sz w:val="18"/>
                <w:szCs w:val="18"/>
                <w14:ligatures w14:val="none"/>
              </w:rPr>
            </w:pPr>
            <w:r>
              <w:rPr>
                <w:rFonts w:ascii="Times New Roman" w:eastAsia="等线" w:hAnsi="Times New Roman" w:cs="Times New Roman"/>
                <w:color w:val="000000"/>
                <w:kern w:val="0"/>
                <w:sz w:val="18"/>
                <w:szCs w:val="18"/>
                <w14:ligatures w14:val="none"/>
              </w:rPr>
              <w:t>(Lima et al., 2023)</w:t>
            </w:r>
          </w:p>
        </w:tc>
        <w:tc>
          <w:tcPr>
            <w:tcW w:w="567" w:type="dxa"/>
            <w:vMerge w:val="restart"/>
            <w:tcMar>
              <w:top w:w="80" w:type="dxa"/>
              <w:left w:w="80" w:type="dxa"/>
              <w:bottom w:w="80" w:type="dxa"/>
              <w:right w:w="80" w:type="dxa"/>
            </w:tcMar>
            <w:vAlign w:val="center"/>
            <w:hideMark/>
          </w:tcPr>
          <w:p w14:paraId="6450170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Mar>
              <w:top w:w="80" w:type="dxa"/>
              <w:left w:w="80" w:type="dxa"/>
              <w:bottom w:w="80" w:type="dxa"/>
              <w:right w:w="80" w:type="dxa"/>
            </w:tcMar>
            <w:vAlign w:val="center"/>
            <w:hideMark/>
          </w:tcPr>
          <w:p w14:paraId="6F8F6D1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6C59ACA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474168A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3358640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61020B1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670C4E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4F3DBCC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0E813F9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0F708CD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6BD90FC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013EBA5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5E7FFB1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6ED1815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765CE5C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64E84CE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3EDBF22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16E54B5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7586F5AE"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1AD3C109" w14:textId="77777777" w:rsidTr="00E3003F">
        <w:trPr>
          <w:trHeight w:val="44"/>
        </w:trPr>
        <w:tc>
          <w:tcPr>
            <w:tcW w:w="1696" w:type="dxa"/>
            <w:vMerge/>
            <w:tcBorders>
              <w:left w:val="nil"/>
            </w:tcBorders>
            <w:noWrap/>
            <w:hideMark/>
          </w:tcPr>
          <w:p w14:paraId="78236D42"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022369ED"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23A360C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 focus on AI-driven health monitoring.</w:t>
            </w:r>
          </w:p>
          <w:p w14:paraId="4DC43DD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Extensive (3103 person-days) dataset.</w:t>
            </w:r>
          </w:p>
        </w:tc>
        <w:tc>
          <w:tcPr>
            <w:tcW w:w="3150" w:type="dxa"/>
            <w:gridSpan w:val="5"/>
            <w:tcMar>
              <w:top w:w="80" w:type="dxa"/>
              <w:left w:w="80" w:type="dxa"/>
              <w:bottom w:w="80" w:type="dxa"/>
              <w:right w:w="80" w:type="dxa"/>
            </w:tcMar>
            <w:vAlign w:val="center"/>
            <w:hideMark/>
          </w:tcPr>
          <w:p w14:paraId="7C85042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Qualitative interviews used for clinical context.</w:t>
            </w:r>
          </w:p>
          <w:p w14:paraId="15FDE620"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Semi-structured interviews are appropriate.</w:t>
            </w:r>
          </w:p>
          <w:p w14:paraId="487220E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Derived through thematic analysis.</w:t>
            </w:r>
          </w:p>
          <w:p w14:paraId="5D644DF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Linked to clinical events.</w:t>
            </w:r>
          </w:p>
          <w:p w14:paraId="6C103B6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Strong link between methods.</w:t>
            </w:r>
          </w:p>
        </w:tc>
        <w:tc>
          <w:tcPr>
            <w:tcW w:w="3086" w:type="dxa"/>
            <w:gridSpan w:val="5"/>
            <w:tcMar>
              <w:top w:w="80" w:type="dxa"/>
              <w:left w:w="80" w:type="dxa"/>
              <w:bottom w:w="80" w:type="dxa"/>
              <w:right w:w="80" w:type="dxa"/>
            </w:tcMar>
            <w:vAlign w:val="center"/>
            <w:hideMark/>
          </w:tcPr>
          <w:p w14:paraId="45C482A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Targeted PLWD households.</w:t>
            </w:r>
          </w:p>
          <w:p w14:paraId="1ED49057"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Small sample (n=14) limits representativeness.</w:t>
            </w:r>
          </w:p>
          <w:p w14:paraId="5BB22D6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IoT + Alexa logging.</w:t>
            </w:r>
          </w:p>
          <w:p w14:paraId="5D83988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Passive monitoring ensures low bias.</w:t>
            </w:r>
          </w:p>
          <w:p w14:paraId="1C809A3E"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Clustering and similarity analysis.</w:t>
            </w:r>
          </w:p>
        </w:tc>
        <w:tc>
          <w:tcPr>
            <w:tcW w:w="3083" w:type="dxa"/>
            <w:gridSpan w:val="5"/>
            <w:tcMar>
              <w:top w:w="80" w:type="dxa"/>
              <w:left w:w="80" w:type="dxa"/>
              <w:bottom w:w="80" w:type="dxa"/>
              <w:right w:w="80" w:type="dxa"/>
            </w:tcMar>
            <w:vAlign w:val="center"/>
            <w:hideMark/>
          </w:tcPr>
          <w:p w14:paraId="0CA9EC6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Rationale for context-setting.</w:t>
            </w:r>
          </w:p>
          <w:p w14:paraId="6DDF07E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Data components integrated well.</w:t>
            </w:r>
          </w:p>
          <w:p w14:paraId="203E222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Interpretations are robust.</w:t>
            </w:r>
          </w:p>
          <w:p w14:paraId="0AAFE1F2"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Novelty effect vs steady-state addressed.</w:t>
            </w:r>
          </w:p>
          <w:p w14:paraId="187BBCD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 standard criteria.</w:t>
            </w:r>
          </w:p>
        </w:tc>
        <w:tc>
          <w:tcPr>
            <w:tcW w:w="756" w:type="dxa"/>
            <w:tcBorders>
              <w:right w:val="nil"/>
            </w:tcBorders>
            <w:tcMar>
              <w:top w:w="80" w:type="dxa"/>
              <w:left w:w="80" w:type="dxa"/>
              <w:bottom w:w="80" w:type="dxa"/>
              <w:right w:w="80" w:type="dxa"/>
            </w:tcMar>
            <w:vAlign w:val="center"/>
            <w:hideMark/>
          </w:tcPr>
          <w:p w14:paraId="5E09036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18015C49" w14:textId="77777777" w:rsidTr="00E3003F">
        <w:trPr>
          <w:trHeight w:val="283"/>
        </w:trPr>
        <w:tc>
          <w:tcPr>
            <w:tcW w:w="1696" w:type="dxa"/>
            <w:vMerge/>
            <w:tcBorders>
              <w:left w:val="nil"/>
            </w:tcBorders>
            <w:hideMark/>
          </w:tcPr>
          <w:p w14:paraId="48A14877"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6E65E10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Borders>
              <w:bottom w:val="single" w:sz="4" w:space="0" w:color="BFBFBF" w:themeColor="background1" w:themeShade="BF"/>
            </w:tcBorders>
            <w:tcMar>
              <w:top w:w="80" w:type="dxa"/>
              <w:left w:w="80" w:type="dxa"/>
              <w:bottom w:w="80" w:type="dxa"/>
              <w:right w:w="80" w:type="dxa"/>
            </w:tcMar>
            <w:vAlign w:val="center"/>
            <w:hideMark/>
          </w:tcPr>
          <w:p w14:paraId="5576EE0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Borders>
              <w:bottom w:val="single" w:sz="4" w:space="0" w:color="BFBFBF" w:themeColor="background1" w:themeShade="BF"/>
            </w:tcBorders>
            <w:tcMar>
              <w:top w:w="80" w:type="dxa"/>
              <w:left w:w="80" w:type="dxa"/>
              <w:bottom w:w="80" w:type="dxa"/>
              <w:right w:w="80" w:type="dxa"/>
            </w:tcMar>
            <w:vAlign w:val="center"/>
            <w:hideMark/>
          </w:tcPr>
          <w:p w14:paraId="4E95B78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Borders>
              <w:bottom w:val="single" w:sz="4" w:space="0" w:color="BFBFBF" w:themeColor="background1" w:themeShade="BF"/>
            </w:tcBorders>
            <w:tcMar>
              <w:top w:w="80" w:type="dxa"/>
              <w:left w:w="80" w:type="dxa"/>
              <w:bottom w:w="80" w:type="dxa"/>
              <w:right w:w="80" w:type="dxa"/>
            </w:tcMar>
            <w:vAlign w:val="center"/>
            <w:hideMark/>
          </w:tcPr>
          <w:p w14:paraId="60AF09C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Borders>
              <w:bottom w:val="single" w:sz="4" w:space="0" w:color="BFBFBF" w:themeColor="background1" w:themeShade="BF"/>
            </w:tcBorders>
            <w:tcMar>
              <w:top w:w="80" w:type="dxa"/>
              <w:left w:w="80" w:type="dxa"/>
              <w:bottom w:w="80" w:type="dxa"/>
              <w:right w:w="80" w:type="dxa"/>
            </w:tcMar>
            <w:vAlign w:val="center"/>
            <w:hideMark/>
          </w:tcPr>
          <w:p w14:paraId="3617705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Borders>
              <w:bottom w:val="single" w:sz="4" w:space="0" w:color="BFBFBF" w:themeColor="background1" w:themeShade="BF"/>
            </w:tcBorders>
            <w:tcMar>
              <w:top w:w="80" w:type="dxa"/>
              <w:left w:w="80" w:type="dxa"/>
              <w:bottom w:w="80" w:type="dxa"/>
              <w:right w:w="80" w:type="dxa"/>
            </w:tcMar>
            <w:vAlign w:val="center"/>
            <w:hideMark/>
          </w:tcPr>
          <w:p w14:paraId="3C3E5B6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Borders>
              <w:bottom w:val="single" w:sz="4" w:space="0" w:color="BFBFBF" w:themeColor="background1" w:themeShade="BF"/>
            </w:tcBorders>
            <w:tcMar>
              <w:top w:w="80" w:type="dxa"/>
              <w:left w:w="80" w:type="dxa"/>
              <w:bottom w:w="80" w:type="dxa"/>
              <w:right w:w="80" w:type="dxa"/>
            </w:tcMar>
            <w:vAlign w:val="center"/>
            <w:hideMark/>
          </w:tcPr>
          <w:p w14:paraId="3F4654E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Borders>
              <w:bottom w:val="single" w:sz="4" w:space="0" w:color="BFBFBF" w:themeColor="background1" w:themeShade="BF"/>
            </w:tcBorders>
            <w:tcMar>
              <w:top w:w="80" w:type="dxa"/>
              <w:left w:w="80" w:type="dxa"/>
              <w:bottom w:w="80" w:type="dxa"/>
              <w:right w:w="80" w:type="dxa"/>
            </w:tcMar>
            <w:vAlign w:val="center"/>
            <w:hideMark/>
          </w:tcPr>
          <w:p w14:paraId="0834799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Borders>
              <w:bottom w:val="single" w:sz="4" w:space="0" w:color="BFBFBF" w:themeColor="background1" w:themeShade="BF"/>
            </w:tcBorders>
            <w:tcMar>
              <w:top w:w="80" w:type="dxa"/>
              <w:left w:w="80" w:type="dxa"/>
              <w:bottom w:w="80" w:type="dxa"/>
              <w:right w:w="80" w:type="dxa"/>
            </w:tcMar>
            <w:vAlign w:val="center"/>
            <w:hideMark/>
          </w:tcPr>
          <w:p w14:paraId="60285A0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Borders>
              <w:bottom w:val="single" w:sz="4" w:space="0" w:color="BFBFBF" w:themeColor="background1" w:themeShade="BF"/>
            </w:tcBorders>
            <w:tcMar>
              <w:top w:w="80" w:type="dxa"/>
              <w:left w:w="80" w:type="dxa"/>
              <w:bottom w:w="80" w:type="dxa"/>
              <w:right w:w="80" w:type="dxa"/>
            </w:tcMar>
            <w:vAlign w:val="center"/>
            <w:hideMark/>
          </w:tcPr>
          <w:p w14:paraId="0711F09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Can’t tell</w:t>
            </w:r>
          </w:p>
        </w:tc>
        <w:tc>
          <w:tcPr>
            <w:tcW w:w="526" w:type="dxa"/>
            <w:tcBorders>
              <w:bottom w:val="single" w:sz="4" w:space="0" w:color="BFBFBF" w:themeColor="background1" w:themeShade="BF"/>
            </w:tcBorders>
            <w:tcMar>
              <w:top w:w="80" w:type="dxa"/>
              <w:left w:w="80" w:type="dxa"/>
              <w:bottom w:w="80" w:type="dxa"/>
              <w:right w:w="80" w:type="dxa"/>
            </w:tcMar>
            <w:vAlign w:val="center"/>
            <w:hideMark/>
          </w:tcPr>
          <w:p w14:paraId="5648BAD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Borders>
              <w:bottom w:val="single" w:sz="4" w:space="0" w:color="BFBFBF" w:themeColor="background1" w:themeShade="BF"/>
            </w:tcBorders>
            <w:tcMar>
              <w:top w:w="80" w:type="dxa"/>
              <w:left w:w="80" w:type="dxa"/>
              <w:bottom w:w="80" w:type="dxa"/>
              <w:right w:w="80" w:type="dxa"/>
            </w:tcMar>
            <w:vAlign w:val="center"/>
            <w:hideMark/>
          </w:tcPr>
          <w:p w14:paraId="3F346AA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Borders>
              <w:bottom w:val="single" w:sz="4" w:space="0" w:color="BFBFBF" w:themeColor="background1" w:themeShade="BF"/>
            </w:tcBorders>
            <w:tcMar>
              <w:top w:w="80" w:type="dxa"/>
              <w:left w:w="80" w:type="dxa"/>
              <w:bottom w:w="80" w:type="dxa"/>
              <w:right w:w="80" w:type="dxa"/>
            </w:tcMar>
            <w:vAlign w:val="center"/>
            <w:hideMark/>
          </w:tcPr>
          <w:p w14:paraId="58EB4F8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Borders>
              <w:bottom w:val="single" w:sz="4" w:space="0" w:color="BFBFBF" w:themeColor="background1" w:themeShade="BF"/>
            </w:tcBorders>
            <w:tcMar>
              <w:top w:w="80" w:type="dxa"/>
              <w:left w:w="80" w:type="dxa"/>
              <w:bottom w:w="80" w:type="dxa"/>
              <w:right w:w="80" w:type="dxa"/>
            </w:tcMar>
            <w:vAlign w:val="center"/>
            <w:hideMark/>
          </w:tcPr>
          <w:p w14:paraId="5656818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Borders>
              <w:bottom w:val="single" w:sz="4" w:space="0" w:color="BFBFBF" w:themeColor="background1" w:themeShade="BF"/>
            </w:tcBorders>
            <w:tcMar>
              <w:top w:w="80" w:type="dxa"/>
              <w:left w:w="80" w:type="dxa"/>
              <w:bottom w:w="80" w:type="dxa"/>
              <w:right w:w="80" w:type="dxa"/>
            </w:tcMar>
            <w:vAlign w:val="center"/>
            <w:hideMark/>
          </w:tcPr>
          <w:p w14:paraId="4FB3D43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Borders>
              <w:bottom w:val="single" w:sz="4" w:space="0" w:color="BFBFBF" w:themeColor="background1" w:themeShade="BF"/>
            </w:tcBorders>
            <w:tcMar>
              <w:top w:w="80" w:type="dxa"/>
              <w:left w:w="80" w:type="dxa"/>
              <w:bottom w:w="80" w:type="dxa"/>
              <w:right w:w="80" w:type="dxa"/>
            </w:tcMar>
            <w:vAlign w:val="center"/>
            <w:hideMark/>
          </w:tcPr>
          <w:p w14:paraId="40E0EFF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Borders>
              <w:bottom w:val="single" w:sz="4" w:space="0" w:color="BFBFBF" w:themeColor="background1" w:themeShade="BF"/>
            </w:tcBorders>
            <w:tcMar>
              <w:top w:w="80" w:type="dxa"/>
              <w:left w:w="80" w:type="dxa"/>
              <w:bottom w:w="80" w:type="dxa"/>
              <w:right w:w="80" w:type="dxa"/>
            </w:tcMar>
            <w:vAlign w:val="center"/>
            <w:hideMark/>
          </w:tcPr>
          <w:p w14:paraId="1063849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Borders>
              <w:bottom w:val="single" w:sz="4" w:space="0" w:color="BFBFBF" w:themeColor="background1" w:themeShade="BF"/>
            </w:tcBorders>
            <w:tcMar>
              <w:top w:w="80" w:type="dxa"/>
              <w:left w:w="80" w:type="dxa"/>
              <w:bottom w:w="80" w:type="dxa"/>
              <w:right w:w="80" w:type="dxa"/>
            </w:tcMar>
            <w:vAlign w:val="center"/>
            <w:hideMark/>
          </w:tcPr>
          <w:p w14:paraId="54E374B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bottom w:val="single" w:sz="4" w:space="0" w:color="BFBFBF" w:themeColor="background1" w:themeShade="BF"/>
              <w:right w:val="nil"/>
            </w:tcBorders>
            <w:tcMar>
              <w:top w:w="80" w:type="dxa"/>
              <w:left w:w="80" w:type="dxa"/>
              <w:bottom w:w="80" w:type="dxa"/>
              <w:right w:w="80" w:type="dxa"/>
            </w:tcMar>
            <w:vAlign w:val="center"/>
            <w:hideMark/>
          </w:tcPr>
          <w:p w14:paraId="35019016"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4867165C" w14:textId="77777777" w:rsidTr="00E3003F">
        <w:trPr>
          <w:trHeight w:val="1415"/>
        </w:trPr>
        <w:tc>
          <w:tcPr>
            <w:tcW w:w="1696" w:type="dxa"/>
            <w:vMerge/>
            <w:tcBorders>
              <w:left w:val="nil"/>
              <w:bottom w:val="single" w:sz="4" w:space="0" w:color="BFBFBF"/>
            </w:tcBorders>
            <w:hideMark/>
          </w:tcPr>
          <w:p w14:paraId="073E0A28" w14:textId="77777777" w:rsidR="00DF0001" w:rsidRPr="00120633" w:rsidRDefault="00DF0001" w:rsidP="00C432CC">
            <w:pPr>
              <w:widowControl/>
              <w:rPr>
                <w:rFonts w:ascii="Times New Roman" w:eastAsia="等线" w:hAnsi="Times New Roman" w:cs="Times New Roman"/>
                <w:color w:val="1F1F1F"/>
                <w:kern w:val="0"/>
                <w:sz w:val="18"/>
                <w:szCs w:val="18"/>
                <w14:ligatures w14:val="none"/>
              </w:rPr>
            </w:pPr>
          </w:p>
        </w:tc>
        <w:tc>
          <w:tcPr>
            <w:tcW w:w="567" w:type="dxa"/>
            <w:vMerge/>
            <w:tcBorders>
              <w:bottom w:val="single" w:sz="4" w:space="0" w:color="BFBFBF"/>
            </w:tcBorders>
            <w:hideMark/>
          </w:tcPr>
          <w:p w14:paraId="72184565"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Borders>
              <w:bottom w:val="single" w:sz="4" w:space="0" w:color="BFBFBF"/>
            </w:tcBorders>
            <w:tcMar>
              <w:top w:w="80" w:type="dxa"/>
              <w:left w:w="80" w:type="dxa"/>
              <w:bottom w:w="80" w:type="dxa"/>
              <w:right w:w="80" w:type="dxa"/>
            </w:tcMar>
            <w:vAlign w:val="center"/>
            <w:hideMark/>
          </w:tcPr>
          <w:p w14:paraId="282B1B9E"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Questions on behavioral patterns are clear.</w:t>
            </w:r>
          </w:p>
          <w:p w14:paraId="18CF53D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Mixed dataset enables research goals.</w:t>
            </w:r>
          </w:p>
        </w:tc>
        <w:tc>
          <w:tcPr>
            <w:tcW w:w="3150" w:type="dxa"/>
            <w:gridSpan w:val="5"/>
            <w:tcBorders>
              <w:bottom w:val="single" w:sz="4" w:space="0" w:color="BFBFBF"/>
            </w:tcBorders>
            <w:tcMar>
              <w:top w:w="80" w:type="dxa"/>
              <w:left w:w="80" w:type="dxa"/>
              <w:bottom w:w="80" w:type="dxa"/>
              <w:right w:w="80" w:type="dxa"/>
            </w:tcMar>
            <w:vAlign w:val="center"/>
            <w:hideMark/>
          </w:tcPr>
          <w:p w14:paraId="64D037F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Interviews capture user experience.</w:t>
            </w:r>
          </w:p>
          <w:p w14:paraId="23000F4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Data collection is adequate.</w:t>
            </w:r>
          </w:p>
          <w:p w14:paraId="54568C4D"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Substantiated findings.</w:t>
            </w:r>
          </w:p>
          <w:p w14:paraId="175155B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 link to raw data.</w:t>
            </w:r>
          </w:p>
          <w:p w14:paraId="26513A7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High methodological coherence.</w:t>
            </w:r>
          </w:p>
        </w:tc>
        <w:tc>
          <w:tcPr>
            <w:tcW w:w="3086" w:type="dxa"/>
            <w:gridSpan w:val="5"/>
            <w:tcBorders>
              <w:bottom w:val="single" w:sz="4" w:space="0" w:color="BFBFBF"/>
            </w:tcBorders>
            <w:tcMar>
              <w:top w:w="80" w:type="dxa"/>
              <w:left w:w="80" w:type="dxa"/>
              <w:bottom w:w="80" w:type="dxa"/>
              <w:right w:w="80" w:type="dxa"/>
            </w:tcMar>
            <w:vAlign w:val="center"/>
            <w:hideMark/>
          </w:tcPr>
          <w:p w14:paraId="153CFF4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Relevant to the research question.</w:t>
            </w:r>
          </w:p>
          <w:p w14:paraId="601975DE"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Participants limited to a specific region/clinical cohort.</w:t>
            </w:r>
          </w:p>
          <w:p w14:paraId="4BCBBF4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Measurements are appropriate.</w:t>
            </w:r>
          </w:p>
          <w:p w14:paraId="6275193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Continuous logging.</w:t>
            </w:r>
          </w:p>
          <w:p w14:paraId="415670A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Appropriate statistical modeling.</w:t>
            </w:r>
          </w:p>
        </w:tc>
        <w:tc>
          <w:tcPr>
            <w:tcW w:w="3083" w:type="dxa"/>
            <w:gridSpan w:val="5"/>
            <w:tcBorders>
              <w:bottom w:val="single" w:sz="4" w:space="0" w:color="BFBFBF"/>
            </w:tcBorders>
            <w:tcMar>
              <w:top w:w="80" w:type="dxa"/>
              <w:left w:w="80" w:type="dxa"/>
              <w:bottom w:w="80" w:type="dxa"/>
              <w:right w:w="80" w:type="dxa"/>
            </w:tcMar>
            <w:vAlign w:val="center"/>
            <w:hideMark/>
          </w:tcPr>
          <w:p w14:paraId="2C2CD70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Solid rationale for mixed methods.</w:t>
            </w:r>
          </w:p>
          <w:p w14:paraId="4F41833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Integrated for clinical utility.</w:t>
            </w:r>
          </w:p>
          <w:p w14:paraId="1F53380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Interpretation is thorough.</w:t>
            </w:r>
          </w:p>
          <w:p w14:paraId="569A6CF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Usage decline (divergence) analyzed.</w:t>
            </w:r>
          </w:p>
          <w:p w14:paraId="7D523D0D"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Adheres to traditions.</w:t>
            </w:r>
          </w:p>
        </w:tc>
        <w:tc>
          <w:tcPr>
            <w:tcW w:w="756" w:type="dxa"/>
            <w:tcBorders>
              <w:bottom w:val="single" w:sz="4" w:space="0" w:color="BFBFBF"/>
              <w:right w:val="nil"/>
            </w:tcBorders>
            <w:tcMar>
              <w:top w:w="80" w:type="dxa"/>
              <w:left w:w="80" w:type="dxa"/>
              <w:bottom w:w="80" w:type="dxa"/>
              <w:right w:w="80" w:type="dxa"/>
            </w:tcMar>
            <w:vAlign w:val="center"/>
            <w:hideMark/>
          </w:tcPr>
          <w:p w14:paraId="56FD245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1411E90A" w14:textId="77777777" w:rsidTr="00E3003F">
        <w:trPr>
          <w:trHeight w:val="283"/>
        </w:trPr>
        <w:tc>
          <w:tcPr>
            <w:tcW w:w="1696" w:type="dxa"/>
            <w:vMerge w:val="restart"/>
            <w:tcBorders>
              <w:top w:val="single" w:sz="4" w:space="0" w:color="BFBFBF"/>
              <w:left w:val="nil"/>
            </w:tcBorders>
            <w:tcMar>
              <w:top w:w="80" w:type="dxa"/>
              <w:left w:w="80" w:type="dxa"/>
              <w:bottom w:w="80" w:type="dxa"/>
              <w:right w:w="80" w:type="dxa"/>
            </w:tcMar>
            <w:vAlign w:val="center"/>
            <w:hideMark/>
          </w:tcPr>
          <w:p w14:paraId="35D1A695" w14:textId="77777777" w:rsidR="00DF0001" w:rsidRPr="00120633" w:rsidRDefault="00DF0001" w:rsidP="00C432CC">
            <w:pPr>
              <w:jc w:val="center"/>
              <w:rPr>
                <w:rFonts w:ascii="Times New Roman" w:eastAsia="等线" w:hAnsi="Times New Roman" w:cs="Times New Roman"/>
                <w:b/>
                <w:bCs/>
                <w:color w:val="000000"/>
                <w:kern w:val="0"/>
                <w:sz w:val="18"/>
                <w:szCs w:val="18"/>
                <w14:ligatures w14:val="none"/>
              </w:rPr>
            </w:pPr>
            <w:r>
              <w:rPr>
                <w:rFonts w:ascii="Times New Roman" w:eastAsia="等线" w:hAnsi="Times New Roman" w:cs="Times New Roman"/>
                <w:color w:val="000000"/>
                <w:kern w:val="0"/>
                <w:sz w:val="18"/>
                <w:szCs w:val="18"/>
                <w14:ligatures w14:val="none"/>
              </w:rPr>
              <w:t>(Lussier et al., 2020)</w:t>
            </w:r>
          </w:p>
        </w:tc>
        <w:tc>
          <w:tcPr>
            <w:tcW w:w="567" w:type="dxa"/>
            <w:vMerge w:val="restart"/>
            <w:tcBorders>
              <w:top w:val="single" w:sz="4" w:space="0" w:color="BFBFBF"/>
            </w:tcBorders>
            <w:tcMar>
              <w:top w:w="80" w:type="dxa"/>
              <w:left w:w="80" w:type="dxa"/>
              <w:bottom w:w="80" w:type="dxa"/>
              <w:right w:w="80" w:type="dxa"/>
            </w:tcMar>
            <w:vAlign w:val="center"/>
            <w:hideMark/>
          </w:tcPr>
          <w:p w14:paraId="46F06FD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Borders>
              <w:top w:val="single" w:sz="4" w:space="0" w:color="BFBFBF"/>
            </w:tcBorders>
            <w:tcMar>
              <w:top w:w="80" w:type="dxa"/>
              <w:left w:w="80" w:type="dxa"/>
              <w:bottom w:w="80" w:type="dxa"/>
              <w:right w:w="80" w:type="dxa"/>
            </w:tcMar>
            <w:vAlign w:val="center"/>
            <w:hideMark/>
          </w:tcPr>
          <w:p w14:paraId="10FEFFB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Borders>
              <w:top w:val="single" w:sz="4" w:space="0" w:color="BFBFBF"/>
            </w:tcBorders>
            <w:tcMar>
              <w:top w:w="80" w:type="dxa"/>
              <w:left w:w="80" w:type="dxa"/>
              <w:bottom w:w="80" w:type="dxa"/>
              <w:right w:w="80" w:type="dxa"/>
            </w:tcMar>
            <w:vAlign w:val="center"/>
            <w:hideMark/>
          </w:tcPr>
          <w:p w14:paraId="21A4F84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Borders>
              <w:top w:val="single" w:sz="4" w:space="0" w:color="BFBFBF"/>
            </w:tcBorders>
            <w:tcMar>
              <w:top w:w="80" w:type="dxa"/>
              <w:left w:w="80" w:type="dxa"/>
              <w:bottom w:w="80" w:type="dxa"/>
              <w:right w:w="80" w:type="dxa"/>
            </w:tcMar>
            <w:vAlign w:val="center"/>
            <w:hideMark/>
          </w:tcPr>
          <w:p w14:paraId="50D6A69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Borders>
              <w:top w:val="single" w:sz="4" w:space="0" w:color="BFBFBF"/>
            </w:tcBorders>
            <w:tcMar>
              <w:top w:w="80" w:type="dxa"/>
              <w:left w:w="80" w:type="dxa"/>
              <w:bottom w:w="80" w:type="dxa"/>
              <w:right w:w="80" w:type="dxa"/>
            </w:tcMar>
            <w:vAlign w:val="center"/>
            <w:hideMark/>
          </w:tcPr>
          <w:p w14:paraId="55C2026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Borders>
              <w:top w:val="single" w:sz="4" w:space="0" w:color="BFBFBF"/>
            </w:tcBorders>
            <w:tcMar>
              <w:top w:w="80" w:type="dxa"/>
              <w:left w:w="80" w:type="dxa"/>
              <w:bottom w:w="80" w:type="dxa"/>
              <w:right w:w="80" w:type="dxa"/>
            </w:tcMar>
            <w:vAlign w:val="center"/>
            <w:hideMark/>
          </w:tcPr>
          <w:p w14:paraId="0EE282C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Borders>
              <w:top w:val="single" w:sz="4" w:space="0" w:color="BFBFBF"/>
            </w:tcBorders>
            <w:tcMar>
              <w:top w:w="80" w:type="dxa"/>
              <w:left w:w="80" w:type="dxa"/>
              <w:bottom w:w="80" w:type="dxa"/>
              <w:right w:w="80" w:type="dxa"/>
            </w:tcMar>
            <w:vAlign w:val="center"/>
            <w:hideMark/>
          </w:tcPr>
          <w:p w14:paraId="22BF0A7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Borders>
              <w:top w:val="single" w:sz="4" w:space="0" w:color="BFBFBF"/>
            </w:tcBorders>
            <w:tcMar>
              <w:top w:w="80" w:type="dxa"/>
              <w:left w:w="80" w:type="dxa"/>
              <w:bottom w:w="80" w:type="dxa"/>
              <w:right w:w="80" w:type="dxa"/>
            </w:tcMar>
            <w:vAlign w:val="center"/>
            <w:hideMark/>
          </w:tcPr>
          <w:p w14:paraId="1600733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Borders>
              <w:top w:val="single" w:sz="4" w:space="0" w:color="BFBFBF"/>
            </w:tcBorders>
            <w:tcMar>
              <w:top w:w="80" w:type="dxa"/>
              <w:left w:w="80" w:type="dxa"/>
              <w:bottom w:w="80" w:type="dxa"/>
              <w:right w:w="80" w:type="dxa"/>
            </w:tcMar>
            <w:vAlign w:val="center"/>
            <w:hideMark/>
          </w:tcPr>
          <w:p w14:paraId="2A50902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Borders>
              <w:top w:val="single" w:sz="4" w:space="0" w:color="BFBFBF"/>
            </w:tcBorders>
            <w:tcMar>
              <w:top w:w="80" w:type="dxa"/>
              <w:left w:w="80" w:type="dxa"/>
              <w:bottom w:w="80" w:type="dxa"/>
              <w:right w:w="80" w:type="dxa"/>
            </w:tcMar>
            <w:vAlign w:val="center"/>
            <w:hideMark/>
          </w:tcPr>
          <w:p w14:paraId="6FB6B7C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Borders>
              <w:top w:val="single" w:sz="4" w:space="0" w:color="BFBFBF"/>
            </w:tcBorders>
            <w:tcMar>
              <w:top w:w="80" w:type="dxa"/>
              <w:left w:w="80" w:type="dxa"/>
              <w:bottom w:w="80" w:type="dxa"/>
              <w:right w:w="80" w:type="dxa"/>
            </w:tcMar>
            <w:vAlign w:val="center"/>
            <w:hideMark/>
          </w:tcPr>
          <w:p w14:paraId="4FB4388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Borders>
              <w:top w:val="single" w:sz="4" w:space="0" w:color="BFBFBF"/>
            </w:tcBorders>
            <w:tcMar>
              <w:top w:w="80" w:type="dxa"/>
              <w:left w:w="80" w:type="dxa"/>
              <w:bottom w:w="80" w:type="dxa"/>
              <w:right w:w="80" w:type="dxa"/>
            </w:tcMar>
            <w:vAlign w:val="center"/>
            <w:hideMark/>
          </w:tcPr>
          <w:p w14:paraId="4FEAB0D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Borders>
              <w:top w:val="single" w:sz="4" w:space="0" w:color="BFBFBF"/>
            </w:tcBorders>
            <w:tcMar>
              <w:top w:w="80" w:type="dxa"/>
              <w:left w:w="80" w:type="dxa"/>
              <w:bottom w:w="80" w:type="dxa"/>
              <w:right w:w="80" w:type="dxa"/>
            </w:tcMar>
            <w:vAlign w:val="center"/>
            <w:hideMark/>
          </w:tcPr>
          <w:p w14:paraId="79903C9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Borders>
              <w:top w:val="single" w:sz="4" w:space="0" w:color="BFBFBF"/>
            </w:tcBorders>
            <w:tcMar>
              <w:top w:w="80" w:type="dxa"/>
              <w:left w:w="80" w:type="dxa"/>
              <w:bottom w:w="80" w:type="dxa"/>
              <w:right w:w="80" w:type="dxa"/>
            </w:tcMar>
            <w:vAlign w:val="center"/>
            <w:hideMark/>
          </w:tcPr>
          <w:p w14:paraId="2D70738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Borders>
              <w:top w:val="single" w:sz="4" w:space="0" w:color="BFBFBF"/>
            </w:tcBorders>
            <w:tcMar>
              <w:top w:w="80" w:type="dxa"/>
              <w:left w:w="80" w:type="dxa"/>
              <w:bottom w:w="80" w:type="dxa"/>
              <w:right w:w="80" w:type="dxa"/>
            </w:tcMar>
            <w:vAlign w:val="center"/>
            <w:hideMark/>
          </w:tcPr>
          <w:p w14:paraId="4E0D98D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Borders>
              <w:top w:val="single" w:sz="4" w:space="0" w:color="BFBFBF"/>
            </w:tcBorders>
            <w:tcMar>
              <w:top w:w="80" w:type="dxa"/>
              <w:left w:w="80" w:type="dxa"/>
              <w:bottom w:w="80" w:type="dxa"/>
              <w:right w:w="80" w:type="dxa"/>
            </w:tcMar>
            <w:vAlign w:val="center"/>
            <w:hideMark/>
          </w:tcPr>
          <w:p w14:paraId="7AADB89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Borders>
              <w:top w:val="single" w:sz="4" w:space="0" w:color="BFBFBF"/>
            </w:tcBorders>
            <w:tcMar>
              <w:top w:w="80" w:type="dxa"/>
              <w:left w:w="80" w:type="dxa"/>
              <w:bottom w:w="80" w:type="dxa"/>
              <w:right w:w="80" w:type="dxa"/>
            </w:tcMar>
            <w:vAlign w:val="center"/>
            <w:hideMark/>
          </w:tcPr>
          <w:p w14:paraId="75903B9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Borders>
              <w:top w:val="single" w:sz="4" w:space="0" w:color="BFBFBF"/>
            </w:tcBorders>
            <w:tcMar>
              <w:top w:w="80" w:type="dxa"/>
              <w:left w:w="80" w:type="dxa"/>
              <w:bottom w:w="80" w:type="dxa"/>
              <w:right w:w="80" w:type="dxa"/>
            </w:tcMar>
            <w:vAlign w:val="center"/>
            <w:hideMark/>
          </w:tcPr>
          <w:p w14:paraId="394A367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top w:val="single" w:sz="4" w:space="0" w:color="BFBFBF"/>
              <w:right w:val="nil"/>
            </w:tcBorders>
            <w:tcMar>
              <w:top w:w="80" w:type="dxa"/>
              <w:left w:w="80" w:type="dxa"/>
              <w:bottom w:w="80" w:type="dxa"/>
              <w:right w:w="80" w:type="dxa"/>
            </w:tcMar>
            <w:vAlign w:val="center"/>
            <w:hideMark/>
          </w:tcPr>
          <w:p w14:paraId="6F1858C1"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70C7EE05" w14:textId="77777777" w:rsidTr="00E3003F">
        <w:trPr>
          <w:trHeight w:val="1132"/>
        </w:trPr>
        <w:tc>
          <w:tcPr>
            <w:tcW w:w="1696" w:type="dxa"/>
            <w:vMerge/>
            <w:tcBorders>
              <w:left w:val="nil"/>
            </w:tcBorders>
            <w:hideMark/>
          </w:tcPr>
          <w:p w14:paraId="0E25E11A"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5E396C53"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5BFD89BD"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Explicit aim to examine validity </w:t>
            </w:r>
          </w:p>
          <w:p w14:paraId="2899EC7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Longitudinal sensor/interview data </w:t>
            </w:r>
          </w:p>
        </w:tc>
        <w:tc>
          <w:tcPr>
            <w:tcW w:w="3150" w:type="dxa"/>
            <w:gridSpan w:val="5"/>
            <w:tcMar>
              <w:top w:w="80" w:type="dxa"/>
              <w:left w:w="80" w:type="dxa"/>
              <w:bottom w:w="80" w:type="dxa"/>
              <w:right w:w="80" w:type="dxa"/>
            </w:tcMar>
            <w:vAlign w:val="center"/>
            <w:hideMark/>
          </w:tcPr>
          <w:p w14:paraId="3411F5D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Interviews capture clinical perception </w:t>
            </w:r>
          </w:p>
          <w:p w14:paraId="3010F3B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Multiple interview waves </w:t>
            </w:r>
          </w:p>
          <w:p w14:paraId="1561F58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Triangulated with data </w:t>
            </w:r>
          </w:p>
          <w:p w14:paraId="6A149A7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Data supports clinical claims </w:t>
            </w:r>
          </w:p>
          <w:p w14:paraId="337705C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Strong coherence </w:t>
            </w:r>
          </w:p>
        </w:tc>
        <w:tc>
          <w:tcPr>
            <w:tcW w:w="3086" w:type="dxa"/>
            <w:gridSpan w:val="5"/>
            <w:tcMar>
              <w:top w:w="80" w:type="dxa"/>
              <w:left w:w="80" w:type="dxa"/>
              <w:bottom w:w="80" w:type="dxa"/>
              <w:right w:w="80" w:type="dxa"/>
            </w:tcMar>
            <w:vAlign w:val="center"/>
            <w:hideMark/>
          </w:tcPr>
          <w:p w14:paraId="7825536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Representative single case </w:t>
            </w:r>
          </w:p>
          <w:p w14:paraId="4AFD3B0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Single case lacks broader representation </w:t>
            </w:r>
          </w:p>
          <w:p w14:paraId="6FCF818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Validated AAL sensors </w:t>
            </w:r>
          </w:p>
          <w:p w14:paraId="06A99C3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Continuous logging </w:t>
            </w:r>
          </w:p>
          <w:p w14:paraId="33D9F6D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Linear mixed models used </w:t>
            </w:r>
          </w:p>
        </w:tc>
        <w:tc>
          <w:tcPr>
            <w:tcW w:w="3083" w:type="dxa"/>
            <w:gridSpan w:val="5"/>
            <w:tcMar>
              <w:top w:w="80" w:type="dxa"/>
              <w:left w:w="80" w:type="dxa"/>
              <w:bottom w:w="80" w:type="dxa"/>
              <w:right w:w="80" w:type="dxa"/>
            </w:tcMar>
            <w:vAlign w:val="center"/>
            <w:hideMark/>
          </w:tcPr>
          <w:p w14:paraId="4BDE82C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Triangulation rationale clear </w:t>
            </w:r>
          </w:p>
          <w:p w14:paraId="324CA1E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Components effectively integrated </w:t>
            </w:r>
          </w:p>
          <w:p w14:paraId="40EBF3E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Adequately interpreted </w:t>
            </w:r>
          </w:p>
          <w:p w14:paraId="36F9E99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Flu deviation explained </w:t>
            </w:r>
          </w:p>
          <w:p w14:paraId="2C82666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High methodological quality </w:t>
            </w:r>
          </w:p>
        </w:tc>
        <w:tc>
          <w:tcPr>
            <w:tcW w:w="756" w:type="dxa"/>
            <w:tcBorders>
              <w:right w:val="nil"/>
            </w:tcBorders>
            <w:tcMar>
              <w:top w:w="80" w:type="dxa"/>
              <w:left w:w="80" w:type="dxa"/>
              <w:bottom w:w="80" w:type="dxa"/>
              <w:right w:w="80" w:type="dxa"/>
            </w:tcMar>
            <w:vAlign w:val="center"/>
            <w:hideMark/>
          </w:tcPr>
          <w:p w14:paraId="219F212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23FD8305" w14:textId="77777777" w:rsidTr="00E3003F">
        <w:trPr>
          <w:trHeight w:val="283"/>
        </w:trPr>
        <w:tc>
          <w:tcPr>
            <w:tcW w:w="1696" w:type="dxa"/>
            <w:vMerge/>
            <w:tcBorders>
              <w:left w:val="nil"/>
            </w:tcBorders>
            <w:hideMark/>
          </w:tcPr>
          <w:p w14:paraId="410324A3"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30A14D9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Mar>
              <w:top w:w="80" w:type="dxa"/>
              <w:left w:w="80" w:type="dxa"/>
              <w:bottom w:w="80" w:type="dxa"/>
              <w:right w:w="80" w:type="dxa"/>
            </w:tcMar>
            <w:vAlign w:val="center"/>
            <w:hideMark/>
          </w:tcPr>
          <w:p w14:paraId="3729910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50ADEC8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3B588E6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4F5AD8B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6B387DC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713F30C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040617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60E8249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44CF9EB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Can’t tell</w:t>
            </w:r>
          </w:p>
        </w:tc>
        <w:tc>
          <w:tcPr>
            <w:tcW w:w="526" w:type="dxa"/>
            <w:tcMar>
              <w:top w:w="80" w:type="dxa"/>
              <w:left w:w="80" w:type="dxa"/>
              <w:bottom w:w="80" w:type="dxa"/>
              <w:right w:w="80" w:type="dxa"/>
            </w:tcMar>
            <w:vAlign w:val="center"/>
            <w:hideMark/>
          </w:tcPr>
          <w:p w14:paraId="6C08129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0CBD20D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4EA19BC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28E188D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6F4C7E3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6494094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1E35EE0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15FA0DB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34EDDB29"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71EF58BD" w14:textId="77777777" w:rsidTr="00E3003F">
        <w:trPr>
          <w:trHeight w:val="1132"/>
        </w:trPr>
        <w:tc>
          <w:tcPr>
            <w:tcW w:w="1696" w:type="dxa"/>
            <w:vMerge/>
            <w:tcBorders>
              <w:left w:val="nil"/>
            </w:tcBorders>
            <w:hideMark/>
          </w:tcPr>
          <w:p w14:paraId="4F982976" w14:textId="77777777" w:rsidR="00DF0001" w:rsidRPr="00120633" w:rsidRDefault="00DF0001" w:rsidP="00C432CC">
            <w:pPr>
              <w:widowControl/>
              <w:rPr>
                <w:rFonts w:ascii="Times New Roman" w:eastAsia="等线" w:hAnsi="Times New Roman" w:cs="Times New Roman"/>
                <w:color w:val="1F1F1F"/>
                <w:kern w:val="0"/>
                <w:sz w:val="18"/>
                <w:szCs w:val="18"/>
                <w14:ligatures w14:val="none"/>
              </w:rPr>
            </w:pPr>
          </w:p>
        </w:tc>
        <w:tc>
          <w:tcPr>
            <w:tcW w:w="567" w:type="dxa"/>
            <w:vMerge/>
            <w:hideMark/>
          </w:tcPr>
          <w:p w14:paraId="1B7B7B1F"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6B2F134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Clear objective stated </w:t>
            </w:r>
          </w:p>
          <w:p w14:paraId="08035B6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Mixed datasets allow assessment </w:t>
            </w:r>
          </w:p>
        </w:tc>
        <w:tc>
          <w:tcPr>
            <w:tcW w:w="3150" w:type="dxa"/>
            <w:gridSpan w:val="5"/>
            <w:tcMar>
              <w:top w:w="80" w:type="dxa"/>
              <w:left w:w="80" w:type="dxa"/>
              <w:bottom w:w="80" w:type="dxa"/>
              <w:right w:w="80" w:type="dxa"/>
            </w:tcMar>
            <w:vAlign w:val="center"/>
            <w:hideMark/>
          </w:tcPr>
          <w:p w14:paraId="03D6DC6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Appropriate for clinical validation </w:t>
            </w:r>
          </w:p>
          <w:p w14:paraId="64D3498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Data sources are adequate </w:t>
            </w:r>
          </w:p>
          <w:p w14:paraId="18B839D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Findings derived well </w:t>
            </w:r>
          </w:p>
          <w:p w14:paraId="6E8F2A9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Substantiated by sensor logs </w:t>
            </w:r>
          </w:p>
          <w:p w14:paraId="0560F17E"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Design is coherent </w:t>
            </w:r>
          </w:p>
        </w:tc>
        <w:tc>
          <w:tcPr>
            <w:tcW w:w="3086" w:type="dxa"/>
            <w:gridSpan w:val="5"/>
            <w:tcMar>
              <w:top w:w="80" w:type="dxa"/>
              <w:left w:w="80" w:type="dxa"/>
              <w:bottom w:w="80" w:type="dxa"/>
              <w:right w:w="80" w:type="dxa"/>
            </w:tcMar>
            <w:vAlign w:val="center"/>
            <w:hideMark/>
          </w:tcPr>
          <w:p w14:paraId="731D292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Purposive sampling </w:t>
            </w:r>
          </w:p>
          <w:p w14:paraId="40C0370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Limits of a single-case study </w:t>
            </w:r>
          </w:p>
          <w:p w14:paraId="290BBF3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Measurements appropriate </w:t>
            </w:r>
          </w:p>
          <w:p w14:paraId="42B3793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Low risk of response bias </w:t>
            </w:r>
          </w:p>
          <w:p w14:paraId="7A3F3EA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Appropriate statistics </w:t>
            </w:r>
          </w:p>
        </w:tc>
        <w:tc>
          <w:tcPr>
            <w:tcW w:w="3083" w:type="dxa"/>
            <w:gridSpan w:val="5"/>
            <w:tcMar>
              <w:top w:w="80" w:type="dxa"/>
              <w:left w:w="80" w:type="dxa"/>
              <w:bottom w:w="80" w:type="dxa"/>
              <w:right w:w="80" w:type="dxa"/>
            </w:tcMar>
            <w:vAlign w:val="center"/>
            <w:hideMark/>
          </w:tcPr>
          <w:p w14:paraId="6754560D"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Rationale is solid </w:t>
            </w:r>
          </w:p>
          <w:p w14:paraId="29761D7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Well combined overall </w:t>
            </w:r>
          </w:p>
          <w:p w14:paraId="3354676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Proper output </w:t>
            </w:r>
          </w:p>
          <w:p w14:paraId="480F646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Addressed data deviations </w:t>
            </w:r>
          </w:p>
          <w:p w14:paraId="118AE38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Acknowledges design limits </w:t>
            </w:r>
          </w:p>
        </w:tc>
        <w:tc>
          <w:tcPr>
            <w:tcW w:w="756" w:type="dxa"/>
            <w:tcBorders>
              <w:right w:val="nil"/>
            </w:tcBorders>
            <w:tcMar>
              <w:top w:w="80" w:type="dxa"/>
              <w:left w:w="80" w:type="dxa"/>
              <w:bottom w:w="80" w:type="dxa"/>
              <w:right w:w="80" w:type="dxa"/>
            </w:tcMar>
            <w:vAlign w:val="center"/>
            <w:hideMark/>
          </w:tcPr>
          <w:p w14:paraId="1846DF4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11A2AEA8" w14:textId="77777777" w:rsidTr="00E3003F">
        <w:trPr>
          <w:trHeight w:val="283"/>
        </w:trPr>
        <w:tc>
          <w:tcPr>
            <w:tcW w:w="1696" w:type="dxa"/>
            <w:vMerge w:val="restart"/>
            <w:tcBorders>
              <w:left w:val="nil"/>
            </w:tcBorders>
            <w:tcMar>
              <w:top w:w="80" w:type="dxa"/>
              <w:left w:w="80" w:type="dxa"/>
              <w:bottom w:w="80" w:type="dxa"/>
              <w:right w:w="80" w:type="dxa"/>
            </w:tcMar>
            <w:vAlign w:val="center"/>
            <w:hideMark/>
          </w:tcPr>
          <w:p w14:paraId="062C373C" w14:textId="77777777" w:rsidR="00DF0001" w:rsidRPr="00120633" w:rsidRDefault="00DF0001" w:rsidP="00C432CC">
            <w:pPr>
              <w:jc w:val="center"/>
              <w:rPr>
                <w:rFonts w:ascii="Times New Roman" w:eastAsia="Times New Roman" w:hAnsi="Times New Roman" w:cs="Times New Roman"/>
                <w:kern w:val="0"/>
                <w:sz w:val="18"/>
                <w:szCs w:val="18"/>
                <w14:ligatures w14:val="none"/>
              </w:rPr>
            </w:pPr>
            <w:r>
              <w:rPr>
                <w:rFonts w:ascii="Times New Roman" w:eastAsia="等线" w:hAnsi="Times New Roman" w:cs="Times New Roman"/>
                <w:color w:val="000000"/>
                <w:kern w:val="0"/>
                <w:sz w:val="18"/>
                <w:szCs w:val="18"/>
                <w14:ligatures w14:val="none"/>
              </w:rPr>
              <w:t>(Nimrod &amp; Edan, 2022)</w:t>
            </w:r>
          </w:p>
        </w:tc>
        <w:tc>
          <w:tcPr>
            <w:tcW w:w="567" w:type="dxa"/>
            <w:vMerge w:val="restart"/>
            <w:tcMar>
              <w:top w:w="80" w:type="dxa"/>
              <w:left w:w="80" w:type="dxa"/>
              <w:bottom w:w="80" w:type="dxa"/>
              <w:right w:w="80" w:type="dxa"/>
            </w:tcMar>
            <w:vAlign w:val="center"/>
            <w:hideMark/>
          </w:tcPr>
          <w:p w14:paraId="694FB3E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Mar>
              <w:top w:w="80" w:type="dxa"/>
              <w:left w:w="80" w:type="dxa"/>
              <w:bottom w:w="80" w:type="dxa"/>
              <w:right w:w="80" w:type="dxa"/>
            </w:tcMar>
            <w:vAlign w:val="center"/>
            <w:hideMark/>
          </w:tcPr>
          <w:p w14:paraId="31B5FDE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2DDAAEA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396C3DA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0885ED7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14F4824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03364AD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54E1CF4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75DABBD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6364925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244F548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126B4E2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39A14EE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7C5E05D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3E12A28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6BF11EE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1C3A8CC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0D37B5F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2D4D82E1"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6B1DFA93" w14:textId="77777777" w:rsidTr="00E3003F">
        <w:trPr>
          <w:trHeight w:val="1132"/>
        </w:trPr>
        <w:tc>
          <w:tcPr>
            <w:tcW w:w="1696" w:type="dxa"/>
            <w:vMerge/>
            <w:tcBorders>
              <w:left w:val="nil"/>
            </w:tcBorders>
            <w:noWrap/>
            <w:hideMark/>
          </w:tcPr>
          <w:p w14:paraId="2913305C"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6032FE48"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1F51E73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Research questions on domestication are clear.</w:t>
            </w:r>
          </w:p>
          <w:p w14:paraId="2420521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Interviews, obs, and surveys.</w:t>
            </w:r>
          </w:p>
        </w:tc>
        <w:tc>
          <w:tcPr>
            <w:tcW w:w="3150" w:type="dxa"/>
            <w:gridSpan w:val="5"/>
            <w:tcMar>
              <w:top w:w="80" w:type="dxa"/>
              <w:left w:w="80" w:type="dxa"/>
              <w:bottom w:w="80" w:type="dxa"/>
              <w:right w:w="80" w:type="dxa"/>
            </w:tcMar>
            <w:vAlign w:val="center"/>
            <w:hideMark/>
          </w:tcPr>
          <w:p w14:paraId="06FA3B2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Qualitative approach is justified.</w:t>
            </w:r>
          </w:p>
          <w:p w14:paraId="48BB6E1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In-depth semi-structured interviews.</w:t>
            </w:r>
          </w:p>
          <w:p w14:paraId="597AD03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Findings adequately derived.</w:t>
            </w:r>
          </w:p>
          <w:p w14:paraId="57932E8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Substantiated by case examples.</w:t>
            </w:r>
          </w:p>
          <w:p w14:paraId="446D4C6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Methods are coherent.</w:t>
            </w:r>
          </w:p>
        </w:tc>
        <w:tc>
          <w:tcPr>
            <w:tcW w:w="3086" w:type="dxa"/>
            <w:gridSpan w:val="5"/>
            <w:tcMar>
              <w:top w:w="80" w:type="dxa"/>
              <w:left w:w="80" w:type="dxa"/>
              <w:bottom w:w="80" w:type="dxa"/>
              <w:right w:w="80" w:type="dxa"/>
            </w:tcMar>
            <w:vAlign w:val="center"/>
            <w:hideMark/>
          </w:tcPr>
          <w:p w14:paraId="301A122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Purposive sampling for target age.</w:t>
            </w:r>
          </w:p>
          <w:p w14:paraId="7337DF4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Gender bias (all women).</w:t>
            </w:r>
          </w:p>
          <w:p w14:paraId="417D709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Validated surveys used.</w:t>
            </w:r>
          </w:p>
          <w:p w14:paraId="0455744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Weekly follow-ups maintained.</w:t>
            </w:r>
          </w:p>
          <w:p w14:paraId="5D5A815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Descriptive stats appropriate.</w:t>
            </w:r>
          </w:p>
        </w:tc>
        <w:tc>
          <w:tcPr>
            <w:tcW w:w="3083" w:type="dxa"/>
            <w:gridSpan w:val="5"/>
            <w:tcMar>
              <w:top w:w="80" w:type="dxa"/>
              <w:left w:w="80" w:type="dxa"/>
              <w:bottom w:w="80" w:type="dxa"/>
              <w:right w:w="80" w:type="dxa"/>
            </w:tcMar>
            <w:vAlign w:val="center"/>
            <w:hideMark/>
          </w:tcPr>
          <w:p w14:paraId="7420AD4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Mixed methods rationale is clear.</w:t>
            </w:r>
          </w:p>
          <w:p w14:paraId="24A3C83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Integrated patterns of use.</w:t>
            </w:r>
          </w:p>
          <w:p w14:paraId="3A43EC8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Adequately interpreted.</w:t>
            </w:r>
          </w:p>
          <w:p w14:paraId="5AD599A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Constraints vs uses addressed.</w:t>
            </w:r>
          </w:p>
          <w:p w14:paraId="4F74BF1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Quality traditions met.</w:t>
            </w:r>
          </w:p>
        </w:tc>
        <w:tc>
          <w:tcPr>
            <w:tcW w:w="756" w:type="dxa"/>
            <w:tcBorders>
              <w:right w:val="nil"/>
            </w:tcBorders>
            <w:tcMar>
              <w:top w:w="80" w:type="dxa"/>
              <w:left w:w="80" w:type="dxa"/>
              <w:bottom w:w="80" w:type="dxa"/>
              <w:right w:w="80" w:type="dxa"/>
            </w:tcMar>
            <w:vAlign w:val="center"/>
            <w:hideMark/>
          </w:tcPr>
          <w:p w14:paraId="4CD38EE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23A5E614" w14:textId="77777777" w:rsidTr="00E3003F">
        <w:trPr>
          <w:trHeight w:val="283"/>
        </w:trPr>
        <w:tc>
          <w:tcPr>
            <w:tcW w:w="1696" w:type="dxa"/>
            <w:vMerge/>
            <w:tcBorders>
              <w:left w:val="nil"/>
            </w:tcBorders>
            <w:hideMark/>
          </w:tcPr>
          <w:p w14:paraId="7822BE41"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67E9B05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Mar>
              <w:top w:w="80" w:type="dxa"/>
              <w:left w:w="80" w:type="dxa"/>
              <w:bottom w:w="80" w:type="dxa"/>
              <w:right w:w="80" w:type="dxa"/>
            </w:tcMar>
            <w:vAlign w:val="center"/>
            <w:hideMark/>
          </w:tcPr>
          <w:p w14:paraId="0B1E9C4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305EED4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44C14BD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4687D79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64669D2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4FA9126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433DCB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74A68C5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346343E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5F31658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051035F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59F2593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41552D5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7BB9D37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22F3AE5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7975101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1AF7D25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304D6199"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21BCECC2" w14:textId="77777777" w:rsidTr="00E3003F">
        <w:trPr>
          <w:trHeight w:val="1132"/>
        </w:trPr>
        <w:tc>
          <w:tcPr>
            <w:tcW w:w="1696" w:type="dxa"/>
            <w:vMerge/>
            <w:tcBorders>
              <w:left w:val="nil"/>
            </w:tcBorders>
            <w:hideMark/>
          </w:tcPr>
          <w:p w14:paraId="2E784949" w14:textId="77777777" w:rsidR="00DF0001" w:rsidRPr="00120633" w:rsidRDefault="00DF0001" w:rsidP="00C432CC">
            <w:pPr>
              <w:widowControl/>
              <w:rPr>
                <w:rFonts w:ascii="Times New Roman" w:eastAsia="等线" w:hAnsi="Times New Roman" w:cs="Times New Roman"/>
                <w:color w:val="1F1F1F"/>
                <w:kern w:val="0"/>
                <w:sz w:val="18"/>
                <w:szCs w:val="18"/>
                <w14:ligatures w14:val="none"/>
              </w:rPr>
            </w:pPr>
          </w:p>
        </w:tc>
        <w:tc>
          <w:tcPr>
            <w:tcW w:w="567" w:type="dxa"/>
            <w:vMerge/>
            <w:hideMark/>
          </w:tcPr>
          <w:p w14:paraId="57A03BF3"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3928CF9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Aims are explicitly stated.</w:t>
            </w:r>
          </w:p>
          <w:p w14:paraId="6DB0A66D"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Data allows addressing questions.</w:t>
            </w:r>
          </w:p>
        </w:tc>
        <w:tc>
          <w:tcPr>
            <w:tcW w:w="3150" w:type="dxa"/>
            <w:gridSpan w:val="5"/>
            <w:tcMar>
              <w:top w:w="80" w:type="dxa"/>
              <w:left w:w="80" w:type="dxa"/>
              <w:bottom w:w="80" w:type="dxa"/>
              <w:right w:w="80" w:type="dxa"/>
            </w:tcMar>
            <w:vAlign w:val="center"/>
            <w:hideMark/>
          </w:tcPr>
          <w:p w14:paraId="2CED83E2"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Longitudinal qualitative study.</w:t>
            </w:r>
          </w:p>
          <w:p w14:paraId="2EE93850"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Interviews + observations.</w:t>
            </w:r>
          </w:p>
          <w:p w14:paraId="44222C47"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Properly derived themes.</w:t>
            </w:r>
          </w:p>
          <w:p w14:paraId="6E098A1D"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Strongly substantiated.</w:t>
            </w:r>
          </w:p>
          <w:p w14:paraId="7F047111"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Highly coherent design.</w:t>
            </w:r>
          </w:p>
        </w:tc>
        <w:tc>
          <w:tcPr>
            <w:tcW w:w="3086" w:type="dxa"/>
            <w:gridSpan w:val="5"/>
            <w:tcMar>
              <w:top w:w="80" w:type="dxa"/>
              <w:left w:w="80" w:type="dxa"/>
              <w:bottom w:w="80" w:type="dxa"/>
              <w:right w:w="80" w:type="dxa"/>
            </w:tcMar>
            <w:vAlign w:val="center"/>
            <w:hideMark/>
          </w:tcPr>
          <w:p w14:paraId="6872A72A"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Relevant sampling strategy.</w:t>
            </w:r>
          </w:p>
          <w:p w14:paraId="1183D831"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Small (n=19), single-gender sample.</w:t>
            </w:r>
          </w:p>
          <w:p w14:paraId="0A0992CA"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Measurements are appropriate.</w:t>
            </w:r>
          </w:p>
          <w:p w14:paraId="2C5111B2"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risk of non-response bias.</w:t>
            </w:r>
          </w:p>
          <w:p w14:paraId="3D20A9FD"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Appropriate for descriptive data.</w:t>
            </w:r>
          </w:p>
        </w:tc>
        <w:tc>
          <w:tcPr>
            <w:tcW w:w="3083" w:type="dxa"/>
            <w:gridSpan w:val="5"/>
            <w:tcMar>
              <w:top w:w="80" w:type="dxa"/>
              <w:left w:w="80" w:type="dxa"/>
              <w:bottom w:w="80" w:type="dxa"/>
              <w:right w:w="80" w:type="dxa"/>
            </w:tcMar>
            <w:vAlign w:val="center"/>
            <w:hideMark/>
          </w:tcPr>
          <w:p w14:paraId="29261DF6"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Integration rationale is solid.</w:t>
            </w:r>
          </w:p>
          <w:p w14:paraId="3658320C"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Triangulation of data sources.</w:t>
            </w:r>
          </w:p>
          <w:p w14:paraId="7084BB5E"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Sound interpretation.</w:t>
            </w:r>
          </w:p>
          <w:p w14:paraId="2F14EA27"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Divergences (patterns) identified.</w:t>
            </w:r>
          </w:p>
          <w:p w14:paraId="5067AE50"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Adheres to mixed traditions.</w:t>
            </w:r>
          </w:p>
        </w:tc>
        <w:tc>
          <w:tcPr>
            <w:tcW w:w="756" w:type="dxa"/>
            <w:tcBorders>
              <w:right w:val="nil"/>
            </w:tcBorders>
            <w:tcMar>
              <w:top w:w="80" w:type="dxa"/>
              <w:left w:w="80" w:type="dxa"/>
              <w:bottom w:w="80" w:type="dxa"/>
              <w:right w:w="80" w:type="dxa"/>
            </w:tcMar>
            <w:vAlign w:val="center"/>
            <w:hideMark/>
          </w:tcPr>
          <w:p w14:paraId="34970C3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1BFDAE90" w14:textId="77777777" w:rsidTr="00E3003F">
        <w:trPr>
          <w:trHeight w:val="283"/>
        </w:trPr>
        <w:tc>
          <w:tcPr>
            <w:tcW w:w="1696" w:type="dxa"/>
            <w:vMerge w:val="restart"/>
            <w:tcBorders>
              <w:left w:val="nil"/>
            </w:tcBorders>
            <w:noWrap/>
            <w:tcMar>
              <w:top w:w="80" w:type="dxa"/>
              <w:left w:w="80" w:type="dxa"/>
              <w:bottom w:w="80" w:type="dxa"/>
              <w:right w:w="80" w:type="dxa"/>
            </w:tcMar>
            <w:vAlign w:val="center"/>
            <w:hideMark/>
          </w:tcPr>
          <w:p w14:paraId="67D3803A" w14:textId="77777777" w:rsidR="00DF0001" w:rsidRPr="00B87EB9" w:rsidRDefault="00DF0001" w:rsidP="00C432CC">
            <w:pPr>
              <w:jc w:val="center"/>
              <w:rPr>
                <w:rFonts w:ascii="Times New Roman" w:eastAsia="Times New Roman" w:hAnsi="Times New Roman" w:cs="Times New Roman"/>
                <w:kern w:val="0"/>
                <w:sz w:val="18"/>
                <w:szCs w:val="18"/>
                <w14:ligatures w14:val="none"/>
              </w:rPr>
            </w:pPr>
            <w:r>
              <w:rPr>
                <w:rFonts w:ascii="Times New Roman" w:eastAsia="等线" w:hAnsi="Times New Roman" w:cs="Times New Roman"/>
                <w:color w:val="000000"/>
                <w:kern w:val="0"/>
                <w:sz w:val="18"/>
                <w:szCs w:val="18"/>
                <w14:ligatures w14:val="none"/>
              </w:rPr>
              <w:t>(Quinn et al., 2024)</w:t>
            </w:r>
          </w:p>
        </w:tc>
        <w:tc>
          <w:tcPr>
            <w:tcW w:w="567" w:type="dxa"/>
            <w:vMerge w:val="restart"/>
            <w:tcMar>
              <w:top w:w="80" w:type="dxa"/>
              <w:left w:w="80" w:type="dxa"/>
              <w:bottom w:w="80" w:type="dxa"/>
              <w:right w:w="80" w:type="dxa"/>
            </w:tcMar>
            <w:vAlign w:val="center"/>
            <w:hideMark/>
          </w:tcPr>
          <w:p w14:paraId="37EB224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Mar>
              <w:top w:w="80" w:type="dxa"/>
              <w:left w:w="80" w:type="dxa"/>
              <w:bottom w:w="80" w:type="dxa"/>
              <w:right w:w="80" w:type="dxa"/>
            </w:tcMar>
            <w:vAlign w:val="center"/>
            <w:hideMark/>
          </w:tcPr>
          <w:p w14:paraId="528F35F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5B1630B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7D57396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1642710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0DF7B59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72FE790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777236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20969A2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4CA4EC0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6DFF161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6E004D5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Can’t tell</w:t>
            </w:r>
          </w:p>
        </w:tc>
        <w:tc>
          <w:tcPr>
            <w:tcW w:w="526" w:type="dxa"/>
            <w:tcMar>
              <w:top w:w="80" w:type="dxa"/>
              <w:left w:w="80" w:type="dxa"/>
              <w:bottom w:w="80" w:type="dxa"/>
              <w:right w:w="80" w:type="dxa"/>
            </w:tcMar>
            <w:vAlign w:val="center"/>
            <w:hideMark/>
          </w:tcPr>
          <w:p w14:paraId="1CA512A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03C93BC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5A061F9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37F70B2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1B74619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5AD19A9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3623F1BD"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77586E18" w14:textId="77777777" w:rsidTr="00E3003F">
        <w:trPr>
          <w:trHeight w:val="1415"/>
        </w:trPr>
        <w:tc>
          <w:tcPr>
            <w:tcW w:w="1696" w:type="dxa"/>
            <w:vMerge/>
            <w:tcBorders>
              <w:left w:val="nil"/>
            </w:tcBorders>
            <w:hideMark/>
          </w:tcPr>
          <w:p w14:paraId="6E1E880D"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24564E57"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1E081D9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Clear feasibility aims </w:t>
            </w:r>
          </w:p>
          <w:p w14:paraId="38634C32"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Comprehensive mixed data </w:t>
            </w:r>
          </w:p>
        </w:tc>
        <w:tc>
          <w:tcPr>
            <w:tcW w:w="3150" w:type="dxa"/>
            <w:gridSpan w:val="5"/>
            <w:tcMar>
              <w:top w:w="80" w:type="dxa"/>
              <w:left w:w="80" w:type="dxa"/>
              <w:bottom w:w="80" w:type="dxa"/>
              <w:right w:w="80" w:type="dxa"/>
            </w:tcMar>
            <w:vAlign w:val="center"/>
            <w:hideMark/>
          </w:tcPr>
          <w:p w14:paraId="546EF20E"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Thematic analysis used </w:t>
            </w:r>
          </w:p>
          <w:p w14:paraId="3F48DF66"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Semi-structured interviews </w:t>
            </w:r>
          </w:p>
          <w:p w14:paraId="69AF1D80"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Thematically derived </w:t>
            </w:r>
          </w:p>
          <w:p w14:paraId="7E0BA258"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Well-supported by quotes </w:t>
            </w:r>
          </w:p>
          <w:p w14:paraId="1F600AEC"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Highly coherent design </w:t>
            </w:r>
          </w:p>
        </w:tc>
        <w:tc>
          <w:tcPr>
            <w:tcW w:w="3086" w:type="dxa"/>
            <w:gridSpan w:val="5"/>
            <w:tcMar>
              <w:top w:w="80" w:type="dxa"/>
              <w:left w:w="80" w:type="dxa"/>
              <w:bottom w:w="80" w:type="dxa"/>
              <w:right w:w="80" w:type="dxa"/>
            </w:tcMar>
            <w:vAlign w:val="center"/>
            <w:hideMark/>
          </w:tcPr>
          <w:p w14:paraId="428FCA70"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Relevant for pilot context </w:t>
            </w:r>
          </w:p>
          <w:p w14:paraId="2156083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Small, homogeneous sample </w:t>
            </w:r>
          </w:p>
          <w:p w14:paraId="7C855A60"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Validated UTAUT scales </w:t>
            </w:r>
          </w:p>
          <w:p w14:paraId="22E90A84"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High drop-out rate noted </w:t>
            </w:r>
          </w:p>
          <w:p w14:paraId="61452452"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Repeated measures ANOVA </w:t>
            </w:r>
          </w:p>
        </w:tc>
        <w:tc>
          <w:tcPr>
            <w:tcW w:w="3083" w:type="dxa"/>
            <w:gridSpan w:val="5"/>
            <w:tcMar>
              <w:top w:w="80" w:type="dxa"/>
              <w:left w:w="80" w:type="dxa"/>
              <w:bottom w:w="80" w:type="dxa"/>
              <w:right w:w="80" w:type="dxa"/>
            </w:tcMar>
            <w:vAlign w:val="center"/>
            <w:hideMark/>
          </w:tcPr>
          <w:p w14:paraId="348F4ABC"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Strong rationale for triangulation </w:t>
            </w:r>
          </w:p>
          <w:p w14:paraId="7832EC2E"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Concurrent integration </w:t>
            </w:r>
          </w:p>
          <w:p w14:paraId="549B9167"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Sound interpretation </w:t>
            </w:r>
          </w:p>
          <w:p w14:paraId="6F25FD7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Addressed technical divergences </w:t>
            </w:r>
          </w:p>
          <w:p w14:paraId="1F79073C"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 standard criteria</w:t>
            </w:r>
          </w:p>
        </w:tc>
        <w:tc>
          <w:tcPr>
            <w:tcW w:w="756" w:type="dxa"/>
            <w:tcBorders>
              <w:right w:val="nil"/>
            </w:tcBorders>
            <w:tcMar>
              <w:top w:w="80" w:type="dxa"/>
              <w:left w:w="80" w:type="dxa"/>
              <w:bottom w:w="80" w:type="dxa"/>
              <w:right w:w="80" w:type="dxa"/>
            </w:tcMar>
            <w:vAlign w:val="center"/>
            <w:hideMark/>
          </w:tcPr>
          <w:p w14:paraId="0117565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216C822F" w14:textId="77777777" w:rsidTr="00E3003F">
        <w:trPr>
          <w:trHeight w:val="283"/>
        </w:trPr>
        <w:tc>
          <w:tcPr>
            <w:tcW w:w="1696" w:type="dxa"/>
            <w:vMerge/>
            <w:tcBorders>
              <w:left w:val="nil"/>
            </w:tcBorders>
            <w:hideMark/>
          </w:tcPr>
          <w:p w14:paraId="16847FCA"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74272B2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Mar>
              <w:top w:w="80" w:type="dxa"/>
              <w:left w:w="80" w:type="dxa"/>
              <w:bottom w:w="80" w:type="dxa"/>
              <w:right w:w="80" w:type="dxa"/>
            </w:tcMar>
            <w:vAlign w:val="center"/>
            <w:hideMark/>
          </w:tcPr>
          <w:p w14:paraId="1DAEFE3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5D5B3A7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0FDE500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5EB0045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21A4410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355E4EF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7E08AC9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2DD188D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5A7BDA0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5C6724C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7BFB3DB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707B514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45E9C27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33D65FE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422A8A8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7511DDF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497D6D6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6BD9E67F"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6058412E" w14:textId="77777777" w:rsidTr="00E3003F">
        <w:trPr>
          <w:trHeight w:val="1132"/>
        </w:trPr>
        <w:tc>
          <w:tcPr>
            <w:tcW w:w="1696" w:type="dxa"/>
            <w:vMerge/>
            <w:tcBorders>
              <w:left w:val="nil"/>
            </w:tcBorders>
            <w:hideMark/>
          </w:tcPr>
          <w:p w14:paraId="5ACB1C37" w14:textId="77777777" w:rsidR="00DF0001" w:rsidRPr="00120633" w:rsidRDefault="00DF0001" w:rsidP="00C432CC">
            <w:pPr>
              <w:widowControl/>
              <w:rPr>
                <w:rFonts w:ascii="Times New Roman" w:eastAsia="等线" w:hAnsi="Times New Roman" w:cs="Times New Roman"/>
                <w:color w:val="1F1F1F"/>
                <w:kern w:val="0"/>
                <w:sz w:val="18"/>
                <w:szCs w:val="18"/>
                <w14:ligatures w14:val="none"/>
              </w:rPr>
            </w:pPr>
          </w:p>
        </w:tc>
        <w:tc>
          <w:tcPr>
            <w:tcW w:w="567" w:type="dxa"/>
            <w:vMerge/>
            <w:hideMark/>
          </w:tcPr>
          <w:p w14:paraId="3D064D56"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35D1B08A"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Objectives are explicit </w:t>
            </w:r>
          </w:p>
          <w:p w14:paraId="486E5EDF"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Data allows addressing S1 </w:t>
            </w:r>
          </w:p>
        </w:tc>
        <w:tc>
          <w:tcPr>
            <w:tcW w:w="3150" w:type="dxa"/>
            <w:gridSpan w:val="5"/>
            <w:tcMar>
              <w:top w:w="80" w:type="dxa"/>
              <w:left w:w="80" w:type="dxa"/>
              <w:bottom w:w="80" w:type="dxa"/>
              <w:right w:w="80" w:type="dxa"/>
            </w:tcMar>
            <w:vAlign w:val="center"/>
            <w:hideMark/>
          </w:tcPr>
          <w:p w14:paraId="4D3A6874"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Qualitative is appropriate here </w:t>
            </w:r>
          </w:p>
          <w:p w14:paraId="54C60301"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Methods capture deep insights </w:t>
            </w:r>
          </w:p>
          <w:p w14:paraId="4B6E2789"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Clear analysis process </w:t>
            </w:r>
          </w:p>
          <w:p w14:paraId="5BEF9B5E"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Interpretations valid </w:t>
            </w:r>
          </w:p>
          <w:p w14:paraId="122854DF"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Structure is coherent </w:t>
            </w:r>
          </w:p>
        </w:tc>
        <w:tc>
          <w:tcPr>
            <w:tcW w:w="3086" w:type="dxa"/>
            <w:gridSpan w:val="5"/>
            <w:tcMar>
              <w:top w:w="80" w:type="dxa"/>
              <w:left w:w="80" w:type="dxa"/>
              <w:bottom w:w="80" w:type="dxa"/>
              <w:right w:w="80" w:type="dxa"/>
            </w:tcMar>
            <w:vAlign w:val="center"/>
            <w:hideMark/>
          </w:tcPr>
          <w:p w14:paraId="304C9BD2"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Strategy matches aims </w:t>
            </w:r>
          </w:p>
          <w:p w14:paraId="06029299"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Limited generalizability </w:t>
            </w:r>
          </w:p>
          <w:p w14:paraId="2BBE99C0"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Appropriate measurements </w:t>
            </w:r>
          </w:p>
          <w:p w14:paraId="4A1D2DFF"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Final completion analyzed </w:t>
            </w:r>
          </w:p>
          <w:p w14:paraId="5C7A61E8"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Stats match the data </w:t>
            </w:r>
          </w:p>
        </w:tc>
        <w:tc>
          <w:tcPr>
            <w:tcW w:w="3083" w:type="dxa"/>
            <w:gridSpan w:val="5"/>
            <w:tcMar>
              <w:top w:w="80" w:type="dxa"/>
              <w:left w:w="80" w:type="dxa"/>
              <w:bottom w:w="80" w:type="dxa"/>
              <w:right w:w="80" w:type="dxa"/>
            </w:tcMar>
            <w:vAlign w:val="center"/>
            <w:hideMark/>
          </w:tcPr>
          <w:p w14:paraId="5E0AEC0D"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Solid rationale provided </w:t>
            </w:r>
          </w:p>
          <w:p w14:paraId="640EA8B4"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Components well-combined </w:t>
            </w:r>
          </w:p>
          <w:p w14:paraId="216AF681"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Adequate interpretation </w:t>
            </w:r>
          </w:p>
          <w:p w14:paraId="1F7F8908"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Inconsistencies addressed </w:t>
            </w:r>
          </w:p>
          <w:p w14:paraId="7AB8CD65"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Methodological quality met</w:t>
            </w:r>
          </w:p>
        </w:tc>
        <w:tc>
          <w:tcPr>
            <w:tcW w:w="756" w:type="dxa"/>
            <w:tcBorders>
              <w:right w:val="nil"/>
            </w:tcBorders>
            <w:tcMar>
              <w:top w:w="80" w:type="dxa"/>
              <w:left w:w="80" w:type="dxa"/>
              <w:bottom w:w="80" w:type="dxa"/>
              <w:right w:w="80" w:type="dxa"/>
            </w:tcMar>
            <w:vAlign w:val="center"/>
            <w:hideMark/>
          </w:tcPr>
          <w:p w14:paraId="1EACA59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5D670808" w14:textId="77777777" w:rsidTr="00E3003F">
        <w:trPr>
          <w:trHeight w:val="283"/>
        </w:trPr>
        <w:tc>
          <w:tcPr>
            <w:tcW w:w="1696" w:type="dxa"/>
            <w:vMerge w:val="restart"/>
            <w:tcBorders>
              <w:left w:val="nil"/>
            </w:tcBorders>
            <w:tcMar>
              <w:top w:w="80" w:type="dxa"/>
              <w:left w:w="80" w:type="dxa"/>
              <w:bottom w:w="80" w:type="dxa"/>
              <w:right w:w="80" w:type="dxa"/>
            </w:tcMar>
            <w:vAlign w:val="center"/>
            <w:hideMark/>
          </w:tcPr>
          <w:p w14:paraId="34C96092" w14:textId="77777777" w:rsidR="00DF0001" w:rsidRPr="00120633" w:rsidRDefault="00DF0001" w:rsidP="00C432CC">
            <w:pPr>
              <w:jc w:val="center"/>
              <w:rPr>
                <w:rFonts w:ascii="Times New Roman" w:eastAsia="Times New Roman" w:hAnsi="Times New Roman" w:cs="Times New Roman"/>
                <w:kern w:val="0"/>
                <w:sz w:val="18"/>
                <w:szCs w:val="18"/>
                <w14:ligatures w14:val="none"/>
              </w:rPr>
            </w:pPr>
            <w:r>
              <w:rPr>
                <w:rFonts w:ascii="Times New Roman" w:eastAsia="等线" w:hAnsi="Times New Roman" w:cs="Times New Roman"/>
                <w:color w:val="000000"/>
                <w:kern w:val="0"/>
                <w:sz w:val="18"/>
                <w:szCs w:val="18"/>
                <w14:ligatures w14:val="none"/>
              </w:rPr>
              <w:t>(Stara et al., 2021)</w:t>
            </w:r>
          </w:p>
        </w:tc>
        <w:tc>
          <w:tcPr>
            <w:tcW w:w="567" w:type="dxa"/>
            <w:vMerge w:val="restart"/>
            <w:tcMar>
              <w:top w:w="80" w:type="dxa"/>
              <w:left w:w="80" w:type="dxa"/>
              <w:bottom w:w="80" w:type="dxa"/>
              <w:right w:w="80" w:type="dxa"/>
            </w:tcMar>
            <w:vAlign w:val="center"/>
            <w:hideMark/>
          </w:tcPr>
          <w:p w14:paraId="2C8A993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Mar>
              <w:top w:w="80" w:type="dxa"/>
              <w:left w:w="80" w:type="dxa"/>
              <w:bottom w:w="80" w:type="dxa"/>
              <w:right w:w="80" w:type="dxa"/>
            </w:tcMar>
            <w:vAlign w:val="center"/>
            <w:hideMark/>
          </w:tcPr>
          <w:p w14:paraId="5C253E4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1BD22AF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68C6258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149AC54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108ED35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524F74D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4D41748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6321446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0E48FA1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20AEBDF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6ABB5BE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30C1108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79A39E3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14F9DDB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50BC0D7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595EB4A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21462E2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1C64ADAA"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573DAEB5" w14:textId="77777777" w:rsidTr="00E3003F">
        <w:trPr>
          <w:trHeight w:val="1415"/>
        </w:trPr>
        <w:tc>
          <w:tcPr>
            <w:tcW w:w="1696" w:type="dxa"/>
            <w:vMerge/>
            <w:tcBorders>
              <w:left w:val="nil"/>
            </w:tcBorders>
            <w:noWrap/>
            <w:hideMark/>
          </w:tcPr>
          <w:p w14:paraId="54ABFA5D"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64B0AB5B"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68AABFA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Clear research aims stated. </w:t>
            </w:r>
          </w:p>
          <w:p w14:paraId="7986BA8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Data allows addressing objectives. </w:t>
            </w:r>
          </w:p>
        </w:tc>
        <w:tc>
          <w:tcPr>
            <w:tcW w:w="3150" w:type="dxa"/>
            <w:gridSpan w:val="5"/>
            <w:tcMar>
              <w:top w:w="80" w:type="dxa"/>
              <w:left w:w="80" w:type="dxa"/>
              <w:bottom w:w="80" w:type="dxa"/>
              <w:right w:w="80" w:type="dxa"/>
            </w:tcMar>
            <w:vAlign w:val="center"/>
            <w:hideMark/>
          </w:tcPr>
          <w:p w14:paraId="40AF104E"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Appropriate for user experience. </w:t>
            </w:r>
          </w:p>
          <w:p w14:paraId="171167F7"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Semi-structured interviews used. </w:t>
            </w:r>
          </w:p>
          <w:p w14:paraId="11CE2A3A"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Derived through thematic analysis. </w:t>
            </w:r>
          </w:p>
          <w:p w14:paraId="2D36AF17"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Well-supported by quotes. </w:t>
            </w:r>
          </w:p>
          <w:p w14:paraId="25E7CBCA"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High methodological coherence. </w:t>
            </w:r>
          </w:p>
        </w:tc>
        <w:tc>
          <w:tcPr>
            <w:tcW w:w="3086" w:type="dxa"/>
            <w:gridSpan w:val="5"/>
            <w:tcMar>
              <w:top w:w="80" w:type="dxa"/>
              <w:left w:w="80" w:type="dxa"/>
              <w:bottom w:w="80" w:type="dxa"/>
              <w:right w:w="80" w:type="dxa"/>
            </w:tcMar>
            <w:vAlign w:val="center"/>
            <w:hideMark/>
          </w:tcPr>
          <w:p w14:paraId="4881D455"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Purposive sampling relevant. </w:t>
            </w:r>
          </w:p>
          <w:p w14:paraId="37BB9373"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Small sample (n=10 couples) limits representation. </w:t>
            </w:r>
          </w:p>
          <w:p w14:paraId="32148310"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Validated scales (SUS, UTAUT). </w:t>
            </w:r>
          </w:p>
          <w:p w14:paraId="57F4BFF2"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Follow-up maintained well. </w:t>
            </w:r>
          </w:p>
          <w:p w14:paraId="63749D86"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Descriptive analysis appropriate. </w:t>
            </w:r>
          </w:p>
        </w:tc>
        <w:tc>
          <w:tcPr>
            <w:tcW w:w="3083" w:type="dxa"/>
            <w:gridSpan w:val="5"/>
            <w:tcMar>
              <w:top w:w="80" w:type="dxa"/>
              <w:left w:w="80" w:type="dxa"/>
              <w:bottom w:w="80" w:type="dxa"/>
              <w:right w:w="80" w:type="dxa"/>
            </w:tcMar>
            <w:vAlign w:val="center"/>
            <w:hideMark/>
          </w:tcPr>
          <w:p w14:paraId="0BCC0C21"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Integration rationale clear. </w:t>
            </w:r>
          </w:p>
          <w:p w14:paraId="2DF9F76D"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Components effectively integrated. </w:t>
            </w:r>
          </w:p>
          <w:p w14:paraId="6995D53B"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Adequate interpretation of both. </w:t>
            </w:r>
          </w:p>
          <w:p w14:paraId="342220F6"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Divergences (e.g., tech barriers) noted. </w:t>
            </w:r>
          </w:p>
          <w:p w14:paraId="1C573FC2"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Adheres to mixed traditions. </w:t>
            </w:r>
          </w:p>
        </w:tc>
        <w:tc>
          <w:tcPr>
            <w:tcW w:w="756" w:type="dxa"/>
            <w:tcBorders>
              <w:right w:val="nil"/>
            </w:tcBorders>
            <w:tcMar>
              <w:top w:w="80" w:type="dxa"/>
              <w:left w:w="80" w:type="dxa"/>
              <w:bottom w:w="80" w:type="dxa"/>
              <w:right w:w="80" w:type="dxa"/>
            </w:tcMar>
            <w:vAlign w:val="center"/>
            <w:hideMark/>
          </w:tcPr>
          <w:p w14:paraId="5A35A66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4DFFA015" w14:textId="77777777" w:rsidTr="00E3003F">
        <w:trPr>
          <w:trHeight w:val="283"/>
        </w:trPr>
        <w:tc>
          <w:tcPr>
            <w:tcW w:w="1696" w:type="dxa"/>
            <w:vMerge/>
            <w:tcBorders>
              <w:left w:val="nil"/>
            </w:tcBorders>
            <w:hideMark/>
          </w:tcPr>
          <w:p w14:paraId="7464482B"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4631817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Mar>
              <w:top w:w="80" w:type="dxa"/>
              <w:left w:w="80" w:type="dxa"/>
              <w:bottom w:w="80" w:type="dxa"/>
              <w:right w:w="80" w:type="dxa"/>
            </w:tcMar>
            <w:vAlign w:val="center"/>
            <w:hideMark/>
          </w:tcPr>
          <w:p w14:paraId="7440CF8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75656BD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4EE616C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6C03BE4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66A6C32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6991BE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5AD09FB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108B58A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4CD4516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Can’t tell</w:t>
            </w:r>
          </w:p>
        </w:tc>
        <w:tc>
          <w:tcPr>
            <w:tcW w:w="526" w:type="dxa"/>
            <w:tcMar>
              <w:top w:w="80" w:type="dxa"/>
              <w:left w:w="80" w:type="dxa"/>
              <w:bottom w:w="80" w:type="dxa"/>
              <w:right w:w="80" w:type="dxa"/>
            </w:tcMar>
            <w:vAlign w:val="center"/>
            <w:hideMark/>
          </w:tcPr>
          <w:p w14:paraId="08440E1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35DCBC1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7028288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4FA8888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0F8AA50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54EA767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41CF29B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438028B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26A61EFD"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0C70ADAA" w14:textId="77777777" w:rsidTr="00E3003F">
        <w:trPr>
          <w:trHeight w:val="1415"/>
        </w:trPr>
        <w:tc>
          <w:tcPr>
            <w:tcW w:w="1696" w:type="dxa"/>
            <w:vMerge/>
            <w:tcBorders>
              <w:left w:val="nil"/>
            </w:tcBorders>
            <w:hideMark/>
          </w:tcPr>
          <w:p w14:paraId="62AD2D1A" w14:textId="77777777" w:rsidR="00DF0001" w:rsidRPr="00120633" w:rsidRDefault="00DF0001" w:rsidP="00C432CC">
            <w:pPr>
              <w:widowControl/>
              <w:rPr>
                <w:rFonts w:ascii="Times New Roman" w:eastAsia="等线" w:hAnsi="Times New Roman" w:cs="Times New Roman"/>
                <w:color w:val="1F1F1F"/>
                <w:kern w:val="0"/>
                <w:sz w:val="18"/>
                <w:szCs w:val="18"/>
                <w14:ligatures w14:val="none"/>
              </w:rPr>
            </w:pPr>
          </w:p>
        </w:tc>
        <w:tc>
          <w:tcPr>
            <w:tcW w:w="567" w:type="dxa"/>
            <w:vMerge/>
            <w:hideMark/>
          </w:tcPr>
          <w:p w14:paraId="28A838BB"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5895223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Explicit focus on usability. </w:t>
            </w:r>
          </w:p>
          <w:p w14:paraId="6C4D9DD8"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Collected data is relevant. </w:t>
            </w:r>
          </w:p>
        </w:tc>
        <w:tc>
          <w:tcPr>
            <w:tcW w:w="3150" w:type="dxa"/>
            <w:gridSpan w:val="5"/>
            <w:tcMar>
              <w:top w:w="80" w:type="dxa"/>
              <w:left w:w="80" w:type="dxa"/>
              <w:bottom w:w="80" w:type="dxa"/>
              <w:right w:w="80" w:type="dxa"/>
            </w:tcMar>
            <w:vAlign w:val="center"/>
            <w:hideMark/>
          </w:tcPr>
          <w:p w14:paraId="78AD64D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Qualitative captures deep insights. </w:t>
            </w:r>
          </w:p>
          <w:p w14:paraId="2F01C82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Interviews/observations appropriate. </w:t>
            </w:r>
          </w:p>
          <w:p w14:paraId="7268170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Clear analysis process. </w:t>
            </w:r>
          </w:p>
          <w:p w14:paraId="1E480405"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Sufficiently substantiated. </w:t>
            </w:r>
          </w:p>
          <w:p w14:paraId="4BCEE83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Coherence is strong. </w:t>
            </w:r>
          </w:p>
        </w:tc>
        <w:tc>
          <w:tcPr>
            <w:tcW w:w="3086" w:type="dxa"/>
            <w:gridSpan w:val="5"/>
            <w:tcMar>
              <w:top w:w="80" w:type="dxa"/>
              <w:left w:w="80" w:type="dxa"/>
              <w:bottom w:w="80" w:type="dxa"/>
              <w:right w:w="80" w:type="dxa"/>
            </w:tcMar>
            <w:vAlign w:val="center"/>
            <w:hideMark/>
          </w:tcPr>
          <w:p w14:paraId="5BAE785D"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Matches research questions. </w:t>
            </w:r>
          </w:p>
          <w:p w14:paraId="4F4C7C7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Specific dementia cohort limits generalization. </w:t>
            </w:r>
          </w:p>
          <w:p w14:paraId="444F1A8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Measurements are standard. </w:t>
            </w:r>
          </w:p>
          <w:p w14:paraId="29B8685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Participation rate is clear. </w:t>
            </w:r>
          </w:p>
          <w:p w14:paraId="22884C5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Stats match the data type. </w:t>
            </w:r>
          </w:p>
        </w:tc>
        <w:tc>
          <w:tcPr>
            <w:tcW w:w="3083" w:type="dxa"/>
            <w:gridSpan w:val="5"/>
            <w:tcMar>
              <w:top w:w="80" w:type="dxa"/>
              <w:left w:w="80" w:type="dxa"/>
              <w:bottom w:w="80" w:type="dxa"/>
              <w:right w:w="80" w:type="dxa"/>
            </w:tcMar>
            <w:vAlign w:val="center"/>
            <w:hideMark/>
          </w:tcPr>
          <w:p w14:paraId="61E4906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Triangulation rationale is sound. </w:t>
            </w:r>
          </w:p>
          <w:p w14:paraId="188566A3"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Well-integrated overall. </w:t>
            </w:r>
          </w:p>
          <w:p w14:paraId="50BF482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Proper output interpretation. </w:t>
            </w:r>
          </w:p>
          <w:p w14:paraId="5540620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Addressed inconsistencies. </w:t>
            </w:r>
          </w:p>
          <w:p w14:paraId="21FC85AD"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 xml:space="preserve">Met quality criteria. </w:t>
            </w:r>
          </w:p>
        </w:tc>
        <w:tc>
          <w:tcPr>
            <w:tcW w:w="756" w:type="dxa"/>
            <w:tcBorders>
              <w:right w:val="nil"/>
            </w:tcBorders>
            <w:tcMar>
              <w:top w:w="80" w:type="dxa"/>
              <w:left w:w="80" w:type="dxa"/>
              <w:bottom w:w="80" w:type="dxa"/>
              <w:right w:w="80" w:type="dxa"/>
            </w:tcMar>
            <w:vAlign w:val="center"/>
            <w:hideMark/>
          </w:tcPr>
          <w:p w14:paraId="6FA0F1FF"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0952C155" w14:textId="77777777" w:rsidTr="00E3003F">
        <w:trPr>
          <w:trHeight w:val="283"/>
        </w:trPr>
        <w:tc>
          <w:tcPr>
            <w:tcW w:w="1696" w:type="dxa"/>
            <w:vMerge w:val="restart"/>
            <w:tcBorders>
              <w:left w:val="nil"/>
            </w:tcBorders>
            <w:noWrap/>
            <w:tcMar>
              <w:top w:w="80" w:type="dxa"/>
              <w:left w:w="80" w:type="dxa"/>
              <w:bottom w:w="80" w:type="dxa"/>
              <w:right w:w="80" w:type="dxa"/>
            </w:tcMar>
            <w:vAlign w:val="center"/>
            <w:hideMark/>
          </w:tcPr>
          <w:p w14:paraId="59C30722" w14:textId="77777777" w:rsidR="00DF0001" w:rsidRPr="00120633" w:rsidRDefault="00DF0001" w:rsidP="00C432CC">
            <w:pPr>
              <w:jc w:val="center"/>
              <w:rPr>
                <w:rFonts w:ascii="Times New Roman" w:eastAsia="Times New Roman" w:hAnsi="Times New Roman" w:cs="Times New Roman"/>
                <w:kern w:val="0"/>
                <w:sz w:val="18"/>
                <w:szCs w:val="18"/>
                <w14:ligatures w14:val="none"/>
              </w:rPr>
            </w:pPr>
            <w:r>
              <w:rPr>
                <w:rFonts w:ascii="Times New Roman" w:eastAsia="等线" w:hAnsi="Times New Roman" w:cs="Times New Roman"/>
                <w:color w:val="000000"/>
                <w:kern w:val="0"/>
                <w:sz w:val="18"/>
                <w:szCs w:val="18"/>
                <w14:ligatures w14:val="none"/>
              </w:rPr>
              <w:t>(Timon et al., 2024)</w:t>
            </w:r>
          </w:p>
        </w:tc>
        <w:tc>
          <w:tcPr>
            <w:tcW w:w="567" w:type="dxa"/>
            <w:vMerge w:val="restart"/>
            <w:tcMar>
              <w:top w:w="80" w:type="dxa"/>
              <w:left w:w="80" w:type="dxa"/>
              <w:bottom w:w="80" w:type="dxa"/>
              <w:right w:w="80" w:type="dxa"/>
            </w:tcMar>
            <w:vAlign w:val="center"/>
            <w:hideMark/>
          </w:tcPr>
          <w:p w14:paraId="29F57BE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Mar>
              <w:top w:w="80" w:type="dxa"/>
              <w:left w:w="80" w:type="dxa"/>
              <w:bottom w:w="80" w:type="dxa"/>
              <w:right w:w="80" w:type="dxa"/>
            </w:tcMar>
            <w:vAlign w:val="center"/>
            <w:hideMark/>
          </w:tcPr>
          <w:p w14:paraId="499FB4A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0EE2FD3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3518A21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0D0FED6F"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371465F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4984F6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022B15B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49ED95A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3A93F98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59D854D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5B3B505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0D85CEB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6158AD7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22032CF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6EE0897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3706B1F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16E5FD7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10398291"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1EC48488" w14:textId="77777777" w:rsidTr="00E3003F">
        <w:trPr>
          <w:trHeight w:val="1980"/>
        </w:trPr>
        <w:tc>
          <w:tcPr>
            <w:tcW w:w="1696" w:type="dxa"/>
            <w:vMerge/>
            <w:tcBorders>
              <w:left w:val="nil"/>
            </w:tcBorders>
            <w:hideMark/>
          </w:tcPr>
          <w:p w14:paraId="46CF8663"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226359C3"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5877407D"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Clearly defined aims for co-designing AI-based support.</w:t>
            </w:r>
          </w:p>
          <w:p w14:paraId="71F1F384"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Mixed dataset from workshops and surveys addresses the aims.</w:t>
            </w:r>
          </w:p>
        </w:tc>
        <w:tc>
          <w:tcPr>
            <w:tcW w:w="3150" w:type="dxa"/>
            <w:gridSpan w:val="5"/>
            <w:tcMar>
              <w:top w:w="80" w:type="dxa"/>
              <w:left w:w="80" w:type="dxa"/>
              <w:bottom w:w="80" w:type="dxa"/>
              <w:right w:w="80" w:type="dxa"/>
            </w:tcMar>
            <w:vAlign w:val="center"/>
            <w:hideMark/>
          </w:tcPr>
          <w:p w14:paraId="6A1815AC"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Co-design workshops are appropriate for user-centered needs.</w:t>
            </w:r>
          </w:p>
          <w:p w14:paraId="3904581A"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Focus groups and workshops provide sufficient qualitative depth.</w:t>
            </w:r>
          </w:p>
          <w:p w14:paraId="76B4B782"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Themes derived through rigorous iterative analysis.</w:t>
            </w:r>
          </w:p>
          <w:p w14:paraId="0DF0DCCF"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Findings on user needs are well-supported by quotes.</w:t>
            </w:r>
          </w:p>
          <w:p w14:paraId="6C5397EF"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Strong coherence between co-design phases and analysis.</w:t>
            </w:r>
          </w:p>
        </w:tc>
        <w:tc>
          <w:tcPr>
            <w:tcW w:w="3086" w:type="dxa"/>
            <w:gridSpan w:val="5"/>
            <w:tcMar>
              <w:top w:w="80" w:type="dxa"/>
              <w:left w:w="80" w:type="dxa"/>
              <w:bottom w:w="80" w:type="dxa"/>
              <w:right w:w="80" w:type="dxa"/>
            </w:tcMar>
            <w:vAlign w:val="center"/>
            <w:hideMark/>
          </w:tcPr>
          <w:p w14:paraId="5DF8A881"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Purposive sampling of community-dwelling older adults.</w:t>
            </w:r>
          </w:p>
          <w:p w14:paraId="2765404C"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The sample is representative of the target aging population.</w:t>
            </w:r>
          </w:p>
          <w:p w14:paraId="72605882"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Standardized questionnaires used for needs assessment.</w:t>
            </w:r>
          </w:p>
          <w:p w14:paraId="75305634"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High retention across iterative co-design cycles.</w:t>
            </w:r>
          </w:p>
          <w:p w14:paraId="5A680725"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Descriptive statistics used to quantify preferences.</w:t>
            </w:r>
          </w:p>
        </w:tc>
        <w:tc>
          <w:tcPr>
            <w:tcW w:w="3083" w:type="dxa"/>
            <w:gridSpan w:val="5"/>
            <w:tcMar>
              <w:top w:w="80" w:type="dxa"/>
              <w:left w:w="80" w:type="dxa"/>
              <w:bottom w:w="80" w:type="dxa"/>
              <w:right w:w="80" w:type="dxa"/>
            </w:tcMar>
            <w:vAlign w:val="center"/>
            <w:hideMark/>
          </w:tcPr>
          <w:p w14:paraId="63E6F2D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Adequate rationale for co-design mixed methodology.</w:t>
            </w:r>
          </w:p>
          <w:p w14:paraId="2DFE876F"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Qualitative needs effectively integrated into system design.</w:t>
            </w:r>
          </w:p>
          <w:p w14:paraId="189E6DB1"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Integrated outputs provide a comprehensive design roadmap.</w:t>
            </w:r>
          </w:p>
          <w:p w14:paraId="10E2D3E7"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Addressed discrepancies between technical desires and practical use.</w:t>
            </w:r>
          </w:p>
          <w:p w14:paraId="68E80C06"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Followed established traditions for co-design and survey research.</w:t>
            </w:r>
          </w:p>
        </w:tc>
        <w:tc>
          <w:tcPr>
            <w:tcW w:w="756" w:type="dxa"/>
            <w:tcBorders>
              <w:right w:val="nil"/>
            </w:tcBorders>
            <w:tcMar>
              <w:top w:w="80" w:type="dxa"/>
              <w:left w:w="80" w:type="dxa"/>
              <w:bottom w:w="80" w:type="dxa"/>
              <w:right w:w="80" w:type="dxa"/>
            </w:tcMar>
            <w:vAlign w:val="center"/>
            <w:hideMark/>
          </w:tcPr>
          <w:p w14:paraId="29222A7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04B9FD95" w14:textId="77777777" w:rsidTr="00E3003F">
        <w:trPr>
          <w:trHeight w:val="283"/>
        </w:trPr>
        <w:tc>
          <w:tcPr>
            <w:tcW w:w="1696" w:type="dxa"/>
            <w:vMerge/>
            <w:tcBorders>
              <w:left w:val="nil"/>
            </w:tcBorders>
            <w:hideMark/>
          </w:tcPr>
          <w:p w14:paraId="741D12B2"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1A6326D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Mar>
              <w:top w:w="80" w:type="dxa"/>
              <w:left w:w="80" w:type="dxa"/>
              <w:bottom w:w="80" w:type="dxa"/>
              <w:right w:w="80" w:type="dxa"/>
            </w:tcMar>
            <w:vAlign w:val="center"/>
            <w:hideMark/>
          </w:tcPr>
          <w:p w14:paraId="68D5901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6404E27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A701C7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29FFB32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5189B1E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A7B65C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5AFC623A"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1F512A3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07CDE72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0128EB0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19CE3A8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17A8EB20"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4650D69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26447A1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2C0D8F3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1F3CF5C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00AE566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3B353EE0"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42CA4F4E" w14:textId="77777777" w:rsidTr="00E3003F">
        <w:trPr>
          <w:trHeight w:val="2263"/>
        </w:trPr>
        <w:tc>
          <w:tcPr>
            <w:tcW w:w="1696" w:type="dxa"/>
            <w:vMerge/>
            <w:tcBorders>
              <w:left w:val="nil"/>
              <w:bottom w:val="single" w:sz="8" w:space="0" w:color="auto"/>
            </w:tcBorders>
            <w:hideMark/>
          </w:tcPr>
          <w:p w14:paraId="6E41F2C6" w14:textId="77777777" w:rsidR="00DF0001" w:rsidRPr="00120633" w:rsidRDefault="00DF0001" w:rsidP="00C432CC">
            <w:pPr>
              <w:widowControl/>
              <w:rPr>
                <w:rFonts w:ascii="Times New Roman" w:eastAsia="等线" w:hAnsi="Times New Roman" w:cs="Times New Roman"/>
                <w:color w:val="1F1F1F"/>
                <w:kern w:val="0"/>
                <w:sz w:val="18"/>
                <w:szCs w:val="18"/>
                <w14:ligatures w14:val="none"/>
              </w:rPr>
            </w:pPr>
          </w:p>
        </w:tc>
        <w:tc>
          <w:tcPr>
            <w:tcW w:w="567" w:type="dxa"/>
            <w:vMerge/>
            <w:tcBorders>
              <w:bottom w:val="single" w:sz="8" w:space="0" w:color="auto"/>
            </w:tcBorders>
            <w:hideMark/>
          </w:tcPr>
          <w:p w14:paraId="730B983A"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Borders>
              <w:bottom w:val="single" w:sz="8" w:space="0" w:color="auto"/>
            </w:tcBorders>
            <w:tcMar>
              <w:top w:w="80" w:type="dxa"/>
              <w:left w:w="80" w:type="dxa"/>
              <w:bottom w:w="80" w:type="dxa"/>
              <w:right w:w="80" w:type="dxa"/>
            </w:tcMar>
            <w:vAlign w:val="center"/>
            <w:hideMark/>
          </w:tcPr>
          <w:p w14:paraId="1EDBE47B"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Aims at ILSS requirements and development.</w:t>
            </w:r>
          </w:p>
          <w:p w14:paraId="74D8FC7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Collected data enables the assessment of AI feasibility.</w:t>
            </w:r>
          </w:p>
        </w:tc>
        <w:tc>
          <w:tcPr>
            <w:tcW w:w="3150" w:type="dxa"/>
            <w:gridSpan w:val="5"/>
            <w:tcBorders>
              <w:bottom w:val="single" w:sz="8" w:space="0" w:color="auto"/>
            </w:tcBorders>
            <w:tcMar>
              <w:top w:w="80" w:type="dxa"/>
              <w:left w:w="80" w:type="dxa"/>
              <w:bottom w:w="80" w:type="dxa"/>
              <w:right w:w="80" w:type="dxa"/>
            </w:tcMar>
            <w:vAlign w:val="center"/>
            <w:hideMark/>
          </w:tcPr>
          <w:p w14:paraId="4359C9B4"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Qualitative inquiry is central to independent living studies.</w:t>
            </w:r>
          </w:p>
          <w:p w14:paraId="669BD707"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Methods capture nuanced perceptions of AI/IoT.</w:t>
            </w:r>
          </w:p>
          <w:p w14:paraId="0395232E"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Proper thematic derivation of support categories.</w:t>
            </w:r>
          </w:p>
          <w:p w14:paraId="0B7343F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Interpretations are substantiated by participant feedback.</w:t>
            </w:r>
          </w:p>
          <w:p w14:paraId="60028982"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Methodological coherence is consistently maintained.</w:t>
            </w:r>
          </w:p>
        </w:tc>
        <w:tc>
          <w:tcPr>
            <w:tcW w:w="3086" w:type="dxa"/>
            <w:gridSpan w:val="5"/>
            <w:tcBorders>
              <w:bottom w:val="single" w:sz="8" w:space="0" w:color="auto"/>
            </w:tcBorders>
            <w:tcMar>
              <w:top w:w="80" w:type="dxa"/>
              <w:left w:w="80" w:type="dxa"/>
              <w:bottom w:w="80" w:type="dxa"/>
              <w:right w:w="80" w:type="dxa"/>
            </w:tcMar>
            <w:vAlign w:val="center"/>
            <w:hideMark/>
          </w:tcPr>
          <w:p w14:paraId="5C621DF6"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Strategy targets relevant stakeholders (elders).</w:t>
            </w:r>
          </w:p>
          <w:p w14:paraId="3B244920"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Appropriate gender and age balance in the sample.</w:t>
            </w:r>
          </w:p>
          <w:p w14:paraId="7A161388"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Assessment tools match research objectives.</w:t>
            </w:r>
          </w:p>
          <w:p w14:paraId="3BF8507A"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Minimal risk of non-response bias noted.</w:t>
            </w:r>
          </w:p>
          <w:p w14:paraId="40342CC4"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Analysis is appropriate for descriptive survey data.</w:t>
            </w:r>
          </w:p>
        </w:tc>
        <w:tc>
          <w:tcPr>
            <w:tcW w:w="3083" w:type="dxa"/>
            <w:gridSpan w:val="5"/>
            <w:tcBorders>
              <w:bottom w:val="single" w:sz="8" w:space="0" w:color="auto"/>
            </w:tcBorders>
            <w:tcMar>
              <w:top w:w="80" w:type="dxa"/>
              <w:left w:w="80" w:type="dxa"/>
              <w:bottom w:w="80" w:type="dxa"/>
              <w:right w:w="80" w:type="dxa"/>
            </w:tcMar>
            <w:vAlign w:val="center"/>
            <w:hideMark/>
          </w:tcPr>
          <w:p w14:paraId="2CA629E1"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Clear justification for a phased mixed design.</w:t>
            </w:r>
          </w:p>
          <w:p w14:paraId="7DA16BEF"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Data components combined to form a unified ILSS model.</w:t>
            </w:r>
          </w:p>
          <w:p w14:paraId="34B6AFCE"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Sound interpretation of the synergy between IoT/AI.</w:t>
            </w:r>
          </w:p>
          <w:p w14:paraId="5F832E9A"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Addressed inconsistencies in privacy vs. monitoring needs.</w:t>
            </w:r>
          </w:p>
          <w:p w14:paraId="469FAFB3" w14:textId="77777777" w:rsidR="00DF0001" w:rsidRPr="00120633" w:rsidRDefault="00DF0001" w:rsidP="00C43188">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lastRenderedPageBreak/>
              <w:t>Methodological quality is high across both traditions.</w:t>
            </w:r>
          </w:p>
        </w:tc>
        <w:tc>
          <w:tcPr>
            <w:tcW w:w="756" w:type="dxa"/>
            <w:tcBorders>
              <w:bottom w:val="single" w:sz="8" w:space="0" w:color="auto"/>
              <w:right w:val="nil"/>
            </w:tcBorders>
            <w:tcMar>
              <w:top w:w="80" w:type="dxa"/>
              <w:left w:w="80" w:type="dxa"/>
              <w:bottom w:w="80" w:type="dxa"/>
              <w:right w:w="80" w:type="dxa"/>
            </w:tcMar>
            <w:vAlign w:val="center"/>
            <w:hideMark/>
          </w:tcPr>
          <w:p w14:paraId="7724332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13A9F5BC" w14:textId="77777777" w:rsidTr="00E3003F">
        <w:trPr>
          <w:trHeight w:val="283"/>
        </w:trPr>
        <w:tc>
          <w:tcPr>
            <w:tcW w:w="1696" w:type="dxa"/>
            <w:vMerge w:val="restart"/>
            <w:tcBorders>
              <w:left w:val="nil"/>
            </w:tcBorders>
            <w:tcMar>
              <w:top w:w="80" w:type="dxa"/>
              <w:left w:w="80" w:type="dxa"/>
              <w:bottom w:w="80" w:type="dxa"/>
              <w:right w:w="80" w:type="dxa"/>
            </w:tcMar>
            <w:vAlign w:val="center"/>
            <w:hideMark/>
          </w:tcPr>
          <w:p w14:paraId="665146C4" w14:textId="77777777" w:rsidR="00DF0001" w:rsidRPr="00120633" w:rsidRDefault="00DF0001" w:rsidP="00C432CC">
            <w:pPr>
              <w:jc w:val="center"/>
              <w:rPr>
                <w:rFonts w:ascii="Times New Roman" w:eastAsia="Times New Roman" w:hAnsi="Times New Roman" w:cs="Times New Roman"/>
                <w:kern w:val="0"/>
                <w:sz w:val="18"/>
                <w:szCs w:val="18"/>
                <w14:ligatures w14:val="none"/>
              </w:rPr>
            </w:pPr>
            <w:r>
              <w:rPr>
                <w:rFonts w:ascii="Times New Roman" w:eastAsia="等线" w:hAnsi="Times New Roman" w:cs="Times New Roman"/>
                <w:color w:val="000000"/>
                <w:kern w:val="0"/>
                <w:sz w:val="18"/>
                <w:szCs w:val="18"/>
                <w14:ligatures w14:val="none"/>
              </w:rPr>
              <w:t>(Zhao et al., 2025)</w:t>
            </w:r>
          </w:p>
        </w:tc>
        <w:tc>
          <w:tcPr>
            <w:tcW w:w="567" w:type="dxa"/>
            <w:vMerge w:val="restart"/>
            <w:tcMar>
              <w:top w:w="80" w:type="dxa"/>
              <w:left w:w="80" w:type="dxa"/>
              <w:bottom w:w="80" w:type="dxa"/>
              <w:right w:w="80" w:type="dxa"/>
            </w:tcMar>
            <w:vAlign w:val="center"/>
            <w:hideMark/>
          </w:tcPr>
          <w:p w14:paraId="5714A87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R1</w:t>
            </w:r>
          </w:p>
        </w:tc>
        <w:tc>
          <w:tcPr>
            <w:tcW w:w="1560" w:type="dxa"/>
            <w:tcMar>
              <w:top w:w="80" w:type="dxa"/>
              <w:left w:w="80" w:type="dxa"/>
              <w:bottom w:w="80" w:type="dxa"/>
              <w:right w:w="80" w:type="dxa"/>
            </w:tcMar>
            <w:vAlign w:val="center"/>
            <w:hideMark/>
          </w:tcPr>
          <w:p w14:paraId="4E8FC03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7BCDAF6E"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1CD00AA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743617C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5A3A8548"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1217F54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3C2A2BC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38DED3A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576A7D6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2B59495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1B6014B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500725C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3D40AB0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74ED97F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59EC8F1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633A389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4B9A3E3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7751AEC0"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7A3DFD89" w14:textId="77777777" w:rsidTr="00E3003F">
        <w:trPr>
          <w:trHeight w:val="1132"/>
        </w:trPr>
        <w:tc>
          <w:tcPr>
            <w:tcW w:w="1696" w:type="dxa"/>
            <w:vMerge/>
            <w:tcBorders>
              <w:left w:val="nil"/>
            </w:tcBorders>
            <w:hideMark/>
          </w:tcPr>
          <w:p w14:paraId="7A44FC0B"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hideMark/>
          </w:tcPr>
          <w:p w14:paraId="43862E87"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0DB3C6B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Assesses acceptability/utility.</w:t>
            </w:r>
          </w:p>
          <w:p w14:paraId="44DA1904"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6-week longitudinal data.</w:t>
            </w:r>
          </w:p>
        </w:tc>
        <w:tc>
          <w:tcPr>
            <w:tcW w:w="3150" w:type="dxa"/>
            <w:gridSpan w:val="5"/>
            <w:tcMar>
              <w:top w:w="80" w:type="dxa"/>
              <w:left w:w="80" w:type="dxa"/>
              <w:bottom w:w="80" w:type="dxa"/>
              <w:right w:w="80" w:type="dxa"/>
            </w:tcMar>
            <w:vAlign w:val="center"/>
            <w:hideMark/>
          </w:tcPr>
          <w:p w14:paraId="7DFE8870"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Interviews capture experience.</w:t>
            </w:r>
          </w:p>
          <w:p w14:paraId="28C536A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Semi-structured approach.</w:t>
            </w:r>
          </w:p>
          <w:p w14:paraId="30CEC28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Derived from interview text.</w:t>
            </w:r>
          </w:p>
          <w:p w14:paraId="070A1D7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Supported by user quotes.</w:t>
            </w:r>
          </w:p>
          <w:p w14:paraId="2A196FAB"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Consistent design.</w:t>
            </w:r>
          </w:p>
        </w:tc>
        <w:tc>
          <w:tcPr>
            <w:tcW w:w="3086" w:type="dxa"/>
            <w:gridSpan w:val="5"/>
            <w:tcMar>
              <w:top w:w="80" w:type="dxa"/>
              <w:left w:w="80" w:type="dxa"/>
              <w:bottom w:w="80" w:type="dxa"/>
              <w:right w:w="80" w:type="dxa"/>
            </w:tcMar>
            <w:vAlign w:val="center"/>
            <w:hideMark/>
          </w:tcPr>
          <w:p w14:paraId="2CDDBC4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Sampling strategy matches.</w:t>
            </w:r>
          </w:p>
          <w:p w14:paraId="518BC7E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Participants include adults &lt; 60.</w:t>
            </w:r>
          </w:p>
          <w:p w14:paraId="7A7FDA67"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T-TAM validated survey.</w:t>
            </w:r>
          </w:p>
          <w:p w14:paraId="15EA8F31"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High retention over 6 weeks.</w:t>
            </w:r>
          </w:p>
          <w:p w14:paraId="6284025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Proper statistics used.</w:t>
            </w:r>
          </w:p>
        </w:tc>
        <w:tc>
          <w:tcPr>
            <w:tcW w:w="3083" w:type="dxa"/>
            <w:gridSpan w:val="5"/>
            <w:tcMar>
              <w:top w:w="80" w:type="dxa"/>
              <w:left w:w="80" w:type="dxa"/>
              <w:bottom w:w="80" w:type="dxa"/>
              <w:right w:w="80" w:type="dxa"/>
            </w:tcMar>
            <w:vAlign w:val="center"/>
            <w:hideMark/>
          </w:tcPr>
          <w:p w14:paraId="7D59F47A"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Triangulation rationale provided.</w:t>
            </w:r>
          </w:p>
          <w:p w14:paraId="7F04F3B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Components well-integrated.</w:t>
            </w:r>
          </w:p>
          <w:p w14:paraId="7C069602"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Interpretations valid.</w:t>
            </w:r>
          </w:p>
          <w:p w14:paraId="23B5C58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Acceptability vs burden discussed.</w:t>
            </w:r>
          </w:p>
          <w:p w14:paraId="0F67E786"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Met traditions.</w:t>
            </w:r>
          </w:p>
        </w:tc>
        <w:tc>
          <w:tcPr>
            <w:tcW w:w="756" w:type="dxa"/>
            <w:tcBorders>
              <w:right w:val="nil"/>
            </w:tcBorders>
            <w:tcMar>
              <w:top w:w="80" w:type="dxa"/>
              <w:left w:w="80" w:type="dxa"/>
              <w:bottom w:w="80" w:type="dxa"/>
              <w:right w:w="80" w:type="dxa"/>
            </w:tcMar>
            <w:vAlign w:val="center"/>
            <w:hideMark/>
          </w:tcPr>
          <w:p w14:paraId="2029AF7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r w:rsidR="00DF0001" w:rsidRPr="00036F81" w14:paraId="6F057B23" w14:textId="77777777" w:rsidTr="00E3003F">
        <w:trPr>
          <w:trHeight w:val="283"/>
        </w:trPr>
        <w:tc>
          <w:tcPr>
            <w:tcW w:w="1696" w:type="dxa"/>
            <w:vMerge/>
            <w:tcBorders>
              <w:left w:val="nil"/>
            </w:tcBorders>
            <w:hideMark/>
          </w:tcPr>
          <w:p w14:paraId="37347AA3" w14:textId="77777777" w:rsidR="00DF0001" w:rsidRPr="00120633" w:rsidRDefault="00DF0001" w:rsidP="00C432CC">
            <w:pPr>
              <w:widowControl/>
              <w:rPr>
                <w:rFonts w:ascii="Times New Roman" w:eastAsia="等线" w:hAnsi="Times New Roman" w:cs="Times New Roman"/>
                <w:color w:val="000000"/>
                <w:kern w:val="0"/>
                <w:sz w:val="18"/>
                <w:szCs w:val="18"/>
                <w14:ligatures w14:val="none"/>
              </w:rPr>
            </w:pPr>
          </w:p>
        </w:tc>
        <w:tc>
          <w:tcPr>
            <w:tcW w:w="567" w:type="dxa"/>
            <w:vMerge w:val="restart"/>
            <w:tcMar>
              <w:top w:w="80" w:type="dxa"/>
              <w:left w:w="80" w:type="dxa"/>
              <w:bottom w:w="80" w:type="dxa"/>
              <w:right w:w="80" w:type="dxa"/>
            </w:tcMar>
            <w:vAlign w:val="center"/>
            <w:hideMark/>
          </w:tcPr>
          <w:p w14:paraId="7351A171"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R2</w:t>
            </w:r>
          </w:p>
        </w:tc>
        <w:tc>
          <w:tcPr>
            <w:tcW w:w="1560" w:type="dxa"/>
            <w:tcMar>
              <w:top w:w="80" w:type="dxa"/>
              <w:left w:w="80" w:type="dxa"/>
              <w:bottom w:w="80" w:type="dxa"/>
              <w:right w:w="80" w:type="dxa"/>
            </w:tcMar>
            <w:vAlign w:val="center"/>
            <w:hideMark/>
          </w:tcPr>
          <w:p w14:paraId="1DAB7147"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1490" w:type="dxa"/>
            <w:tcMar>
              <w:top w:w="80" w:type="dxa"/>
              <w:left w:w="80" w:type="dxa"/>
              <w:bottom w:w="80" w:type="dxa"/>
              <w:right w:w="80" w:type="dxa"/>
            </w:tcMar>
            <w:vAlign w:val="center"/>
            <w:hideMark/>
          </w:tcPr>
          <w:p w14:paraId="552562C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164AFF5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69" w:type="dxa"/>
            <w:tcMar>
              <w:top w:w="80" w:type="dxa"/>
              <w:left w:w="80" w:type="dxa"/>
              <w:bottom w:w="80" w:type="dxa"/>
              <w:right w:w="80" w:type="dxa"/>
            </w:tcMar>
            <w:vAlign w:val="center"/>
            <w:hideMark/>
          </w:tcPr>
          <w:p w14:paraId="5631F23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653" w:type="dxa"/>
            <w:tcMar>
              <w:top w:w="80" w:type="dxa"/>
              <w:left w:w="80" w:type="dxa"/>
              <w:bottom w:w="80" w:type="dxa"/>
              <w:right w:w="80" w:type="dxa"/>
            </w:tcMar>
            <w:vAlign w:val="center"/>
            <w:hideMark/>
          </w:tcPr>
          <w:p w14:paraId="5526D4E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4DC21AA6"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76" w:type="dxa"/>
            <w:tcMar>
              <w:top w:w="80" w:type="dxa"/>
              <w:left w:w="80" w:type="dxa"/>
              <w:bottom w:w="80" w:type="dxa"/>
              <w:right w:w="80" w:type="dxa"/>
            </w:tcMar>
            <w:vAlign w:val="center"/>
            <w:hideMark/>
          </w:tcPr>
          <w:p w14:paraId="2A853AC2"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542BDFE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32392F9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No</w:t>
            </w:r>
          </w:p>
        </w:tc>
        <w:tc>
          <w:tcPr>
            <w:tcW w:w="526" w:type="dxa"/>
            <w:tcMar>
              <w:top w:w="80" w:type="dxa"/>
              <w:left w:w="80" w:type="dxa"/>
              <w:bottom w:w="80" w:type="dxa"/>
              <w:right w:w="80" w:type="dxa"/>
            </w:tcMar>
            <w:vAlign w:val="center"/>
            <w:hideMark/>
          </w:tcPr>
          <w:p w14:paraId="56E417DC"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4" w:type="dxa"/>
            <w:tcMar>
              <w:top w:w="80" w:type="dxa"/>
              <w:left w:w="80" w:type="dxa"/>
              <w:bottom w:w="80" w:type="dxa"/>
              <w:right w:w="80" w:type="dxa"/>
            </w:tcMar>
            <w:vAlign w:val="center"/>
            <w:hideMark/>
          </w:tcPr>
          <w:p w14:paraId="077448DD"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26" w:type="dxa"/>
            <w:tcMar>
              <w:top w:w="80" w:type="dxa"/>
              <w:left w:w="80" w:type="dxa"/>
              <w:bottom w:w="80" w:type="dxa"/>
              <w:right w:w="80" w:type="dxa"/>
            </w:tcMar>
            <w:vAlign w:val="center"/>
            <w:hideMark/>
          </w:tcPr>
          <w:p w14:paraId="131BF604"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5" w:type="dxa"/>
            <w:tcMar>
              <w:top w:w="80" w:type="dxa"/>
              <w:left w:w="80" w:type="dxa"/>
              <w:bottom w:w="80" w:type="dxa"/>
              <w:right w:w="80" w:type="dxa"/>
            </w:tcMar>
            <w:vAlign w:val="center"/>
            <w:hideMark/>
          </w:tcPr>
          <w:p w14:paraId="32B9C5FB"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1BECEF7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6BAACA45"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826" w:type="dxa"/>
            <w:tcMar>
              <w:top w:w="80" w:type="dxa"/>
              <w:left w:w="80" w:type="dxa"/>
              <w:bottom w:w="80" w:type="dxa"/>
              <w:right w:w="80" w:type="dxa"/>
            </w:tcMar>
            <w:vAlign w:val="center"/>
            <w:hideMark/>
          </w:tcPr>
          <w:p w14:paraId="121E9B73"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564" w:type="dxa"/>
            <w:tcMar>
              <w:top w:w="80" w:type="dxa"/>
              <w:left w:w="80" w:type="dxa"/>
              <w:bottom w:w="80" w:type="dxa"/>
              <w:right w:w="80" w:type="dxa"/>
            </w:tcMar>
            <w:vAlign w:val="center"/>
            <w:hideMark/>
          </w:tcPr>
          <w:p w14:paraId="3B3E5149" w14:textId="77777777" w:rsidR="00DF0001" w:rsidRPr="00120633" w:rsidRDefault="00DF0001" w:rsidP="00C432CC">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Yes</w:t>
            </w:r>
          </w:p>
        </w:tc>
        <w:tc>
          <w:tcPr>
            <w:tcW w:w="756" w:type="dxa"/>
            <w:tcBorders>
              <w:right w:val="nil"/>
            </w:tcBorders>
            <w:tcMar>
              <w:top w:w="80" w:type="dxa"/>
              <w:left w:w="80" w:type="dxa"/>
              <w:bottom w:w="80" w:type="dxa"/>
              <w:right w:w="80" w:type="dxa"/>
            </w:tcMar>
            <w:vAlign w:val="center"/>
            <w:hideMark/>
          </w:tcPr>
          <w:p w14:paraId="60C1346F" w14:textId="77777777" w:rsidR="00DF0001" w:rsidRPr="00120633" w:rsidRDefault="00DF0001" w:rsidP="00C432CC">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Include</w:t>
            </w:r>
          </w:p>
        </w:tc>
      </w:tr>
      <w:tr w:rsidR="00DF0001" w:rsidRPr="00036F81" w14:paraId="4D062A60" w14:textId="77777777" w:rsidTr="00E3003F">
        <w:trPr>
          <w:trHeight w:val="1132"/>
        </w:trPr>
        <w:tc>
          <w:tcPr>
            <w:tcW w:w="1696" w:type="dxa"/>
            <w:vMerge/>
            <w:tcBorders>
              <w:left w:val="nil"/>
            </w:tcBorders>
            <w:hideMark/>
          </w:tcPr>
          <w:p w14:paraId="4051CE5F" w14:textId="77777777" w:rsidR="00DF0001" w:rsidRPr="00120633" w:rsidRDefault="00DF0001" w:rsidP="00C432CC">
            <w:pPr>
              <w:widowControl/>
              <w:rPr>
                <w:rFonts w:ascii="Times New Roman" w:eastAsia="等线" w:hAnsi="Times New Roman" w:cs="Times New Roman"/>
                <w:color w:val="1F1F1F"/>
                <w:kern w:val="0"/>
                <w:sz w:val="18"/>
                <w:szCs w:val="18"/>
                <w14:ligatures w14:val="none"/>
              </w:rPr>
            </w:pPr>
          </w:p>
        </w:tc>
        <w:tc>
          <w:tcPr>
            <w:tcW w:w="567" w:type="dxa"/>
            <w:vMerge/>
            <w:hideMark/>
          </w:tcPr>
          <w:p w14:paraId="1D66F8A4" w14:textId="77777777" w:rsidR="00DF0001" w:rsidRPr="00120633" w:rsidRDefault="00DF0001" w:rsidP="00C432CC">
            <w:pPr>
              <w:widowControl/>
              <w:rPr>
                <w:rFonts w:ascii="Times New Roman" w:eastAsia="等线" w:hAnsi="Times New Roman" w:cs="Times New Roman"/>
                <w:b/>
                <w:bCs/>
                <w:color w:val="1F1F1F"/>
                <w:kern w:val="0"/>
                <w:sz w:val="18"/>
                <w:szCs w:val="18"/>
                <w14:ligatures w14:val="none"/>
              </w:rPr>
            </w:pPr>
          </w:p>
        </w:tc>
        <w:tc>
          <w:tcPr>
            <w:tcW w:w="3050" w:type="dxa"/>
            <w:gridSpan w:val="2"/>
            <w:tcMar>
              <w:top w:w="80" w:type="dxa"/>
              <w:left w:w="80" w:type="dxa"/>
              <w:bottom w:w="80" w:type="dxa"/>
              <w:right w:w="80" w:type="dxa"/>
            </w:tcMar>
            <w:vAlign w:val="center"/>
            <w:hideMark/>
          </w:tcPr>
          <w:p w14:paraId="125D752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 aims regarding social robots.</w:t>
            </w:r>
          </w:p>
          <w:p w14:paraId="2664679C"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Rich dataset.</w:t>
            </w:r>
          </w:p>
        </w:tc>
        <w:tc>
          <w:tcPr>
            <w:tcW w:w="3150" w:type="dxa"/>
            <w:gridSpan w:val="5"/>
            <w:tcMar>
              <w:top w:w="80" w:type="dxa"/>
              <w:left w:w="80" w:type="dxa"/>
              <w:bottom w:w="80" w:type="dxa"/>
              <w:right w:w="80" w:type="dxa"/>
            </w:tcMar>
            <w:vAlign w:val="center"/>
            <w:hideMark/>
          </w:tcPr>
          <w:p w14:paraId="74E78A9C"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Appropriate for human-AI interaction.</w:t>
            </w:r>
          </w:p>
          <w:p w14:paraId="71BD72B0"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Adequate collection tools.</w:t>
            </w:r>
          </w:p>
          <w:p w14:paraId="0BE5B90F"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Well-derived findings.</w:t>
            </w:r>
          </w:p>
          <w:p w14:paraId="06F93651"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Substantiated interpretation.</w:t>
            </w:r>
          </w:p>
          <w:p w14:paraId="21A567F1"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Logical coherence.</w:t>
            </w:r>
          </w:p>
        </w:tc>
        <w:tc>
          <w:tcPr>
            <w:tcW w:w="3086" w:type="dxa"/>
            <w:gridSpan w:val="5"/>
            <w:tcMar>
              <w:top w:w="80" w:type="dxa"/>
              <w:left w:w="80" w:type="dxa"/>
              <w:bottom w:w="80" w:type="dxa"/>
              <w:right w:w="80" w:type="dxa"/>
            </w:tcMar>
            <w:vAlign w:val="center"/>
            <w:hideMark/>
          </w:tcPr>
          <w:p w14:paraId="619149F6"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Relevant for home care.</w:t>
            </w:r>
          </w:p>
          <w:p w14:paraId="1DCF522A"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Age criterion violation (&lt; 60).</w:t>
            </w:r>
          </w:p>
          <w:p w14:paraId="358FC909"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Measurements appropriate.</w:t>
            </w:r>
          </w:p>
          <w:p w14:paraId="68202573"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Minimal non-response bias.</w:t>
            </w:r>
          </w:p>
          <w:p w14:paraId="34499C0C"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Appropriate analysis.</w:t>
            </w:r>
          </w:p>
        </w:tc>
        <w:tc>
          <w:tcPr>
            <w:tcW w:w="3083" w:type="dxa"/>
            <w:gridSpan w:val="5"/>
            <w:tcMar>
              <w:top w:w="80" w:type="dxa"/>
              <w:left w:w="80" w:type="dxa"/>
              <w:bottom w:w="80" w:type="dxa"/>
              <w:right w:w="80" w:type="dxa"/>
            </w:tcMar>
            <w:vAlign w:val="center"/>
            <w:hideMark/>
          </w:tcPr>
          <w:p w14:paraId="06F44816"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Sound rationale.</w:t>
            </w:r>
          </w:p>
          <w:p w14:paraId="647E31A8"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Results combined effectively.</w:t>
            </w:r>
          </w:p>
          <w:p w14:paraId="5843E6AD"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Clear interpretation of outputs.</w:t>
            </w:r>
          </w:p>
          <w:p w14:paraId="3FF56339"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Addressed inconsistencies.</w:t>
            </w:r>
          </w:p>
          <w:p w14:paraId="43EC5C85" w14:textId="77777777" w:rsidR="00DF0001" w:rsidRPr="00120633" w:rsidRDefault="00DF0001" w:rsidP="000A1EE4">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Adheres to mixed design.</w:t>
            </w:r>
          </w:p>
        </w:tc>
        <w:tc>
          <w:tcPr>
            <w:tcW w:w="756" w:type="dxa"/>
            <w:tcBorders>
              <w:right w:val="nil"/>
            </w:tcBorders>
            <w:tcMar>
              <w:top w:w="80" w:type="dxa"/>
              <w:left w:w="80" w:type="dxa"/>
              <w:bottom w:w="80" w:type="dxa"/>
              <w:right w:w="80" w:type="dxa"/>
            </w:tcMar>
            <w:vAlign w:val="center"/>
            <w:hideMark/>
          </w:tcPr>
          <w:p w14:paraId="5DA639D9" w14:textId="77777777" w:rsidR="00DF0001" w:rsidRPr="00120633" w:rsidRDefault="00DF0001" w:rsidP="00C432CC">
            <w:pPr>
              <w:widowControl/>
              <w:jc w:val="left"/>
              <w:rPr>
                <w:rFonts w:ascii="Times New Roman" w:eastAsia="等线" w:hAnsi="Times New Roman" w:cs="Times New Roman"/>
                <w:color w:val="1F1F1F"/>
                <w:kern w:val="0"/>
                <w:sz w:val="18"/>
                <w:szCs w:val="18"/>
                <w14:ligatures w14:val="none"/>
              </w:rPr>
            </w:pPr>
          </w:p>
        </w:tc>
      </w:tr>
    </w:tbl>
    <w:p w14:paraId="009477FA" w14:textId="77777777" w:rsidR="00AF5D8D" w:rsidRDefault="00AF5D8D">
      <w:pPr>
        <w:widowControl/>
        <w:spacing w:after="160" w:line="278" w:lineRule="auto"/>
        <w:jc w:val="left"/>
        <w:rPr>
          <w:rFonts w:hint="eastAsia"/>
          <w:sz w:val="13"/>
          <w:szCs w:val="13"/>
        </w:rPr>
      </w:pPr>
    </w:p>
    <w:p w14:paraId="5ACB4FCA" w14:textId="78BA7C38" w:rsidR="00F17BBA" w:rsidRPr="00F17BBA" w:rsidRDefault="005B4CDC" w:rsidP="00F17BBA">
      <w:pPr>
        <w:rPr>
          <w:rFonts w:ascii="Times New Roman" w:eastAsia="等线" w:hAnsi="Times New Roman" w:cs="Times New Roman"/>
          <w:b/>
          <w:bCs/>
          <w:color w:val="1F1F1F"/>
          <w:kern w:val="0"/>
          <w:sz w:val="24"/>
          <w:szCs w:val="24"/>
          <w14:ligatures w14:val="none"/>
        </w:rPr>
      </w:pPr>
      <w:r>
        <w:rPr>
          <w:rFonts w:ascii="Times New Roman" w:eastAsia="等线" w:hAnsi="Times New Roman" w:cs="Times New Roman"/>
          <w:b/>
          <w:bCs/>
          <w:color w:val="1F1F1F"/>
          <w:kern w:val="0"/>
          <w:sz w:val="24"/>
          <w:szCs w:val="24"/>
          <w14:ligatures w14:val="none"/>
        </w:rPr>
        <w:t>C8</w:t>
      </w:r>
      <w:r w:rsidR="00F17BBA">
        <w:rPr>
          <w:rFonts w:ascii="Times New Roman" w:eastAsia="等线" w:hAnsi="Times New Roman" w:cs="Times New Roman"/>
          <w:b/>
          <w:bCs/>
          <w:color w:val="1F1F1F"/>
          <w:kern w:val="0"/>
          <w:sz w:val="24"/>
          <w:szCs w:val="24"/>
          <w14:ligatures w14:val="none"/>
        </w:rPr>
        <w:t>. Prediction Models Using Artificial Intelligence</w:t>
      </w:r>
    </w:p>
    <w:p w14:paraId="44C0EB66" w14:textId="19FE84E3" w:rsidR="00F17BBA" w:rsidRPr="00D96CFE" w:rsidRDefault="00F17BBA" w:rsidP="00F17BBA">
      <w:pPr>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 xml:space="preserve">Studies focused on developing or validating prediction models using artificial intelligence or regression methods were rigorously evaluated utilizing the PROBAST+AI tool (Moons et al., 2025). </w:t>
      </w:r>
      <w:r>
        <w:rPr>
          <w:rFonts w:ascii="Times New Roman" w:eastAsia="等线" w:hAnsi="Times New Roman" w:cs="Times New Roman"/>
          <w:b/>
          <w:bCs/>
          <w:color w:val="1F1F1F"/>
          <w:kern w:val="0"/>
          <w:sz w:val="24"/>
          <w:szCs w:val="24"/>
          <w14:ligatures w14:val="none"/>
        </w:rPr>
        <w:t xml:space="preserve">Table </w:t>
      </w:r>
      <w:r w:rsidR="005B4CDC">
        <w:rPr>
          <w:rFonts w:ascii="Times New Roman" w:eastAsia="等线" w:hAnsi="Times New Roman" w:cs="Times New Roman"/>
          <w:b/>
          <w:bCs/>
          <w:color w:val="1F1F1F"/>
          <w:kern w:val="0"/>
          <w:sz w:val="24"/>
          <w:szCs w:val="24"/>
          <w14:ligatures w14:val="none"/>
        </w:rPr>
        <w:t>C8</w:t>
      </w:r>
      <w:r>
        <w:rPr>
          <w:rFonts w:ascii="Times New Roman" w:eastAsia="等线" w:hAnsi="Times New Roman" w:cs="Times New Roman"/>
          <w:b/>
          <w:bCs/>
          <w:color w:val="1F1F1F"/>
          <w:kern w:val="0"/>
          <w:sz w:val="24"/>
          <w:szCs w:val="24"/>
          <w14:ligatures w14:val="none"/>
        </w:rPr>
        <w:t>b</w:t>
      </w:r>
      <w:r>
        <w:rPr>
          <w:rFonts w:ascii="Times New Roman" w:eastAsia="等线" w:hAnsi="Times New Roman" w:cs="Times New Roman"/>
          <w:color w:val="1F1F1F"/>
          <w:kern w:val="0"/>
          <w:sz w:val="24"/>
          <w:szCs w:val="24"/>
          <w14:ligatures w14:val="none"/>
        </w:rPr>
        <w:t xml:space="preserve"> displays the comprehensive risk of bias and applicability assessment results based on this specific methodology.</w:t>
      </w:r>
    </w:p>
    <w:p w14:paraId="0779ACB5" w14:textId="77777777" w:rsidR="00A81450" w:rsidRPr="00D96CFE" w:rsidRDefault="00A81450" w:rsidP="00A81450">
      <w:pPr>
        <w:rPr>
          <w:rFonts w:ascii="Times New Roman" w:eastAsia="等线" w:hAnsi="Times New Roman" w:cs="Times New Roman"/>
          <w:color w:val="1F1F1F"/>
          <w:kern w:val="0"/>
          <w:sz w:val="24"/>
          <w:szCs w:val="24"/>
          <w14:ligatures w14:val="none"/>
        </w:rPr>
      </w:pPr>
    </w:p>
    <w:p w14:paraId="61E3549F" w14:textId="36DF2B40" w:rsidR="00A81450" w:rsidRPr="00732159" w:rsidRDefault="00A81450" w:rsidP="00A81450">
      <w:pPr>
        <w:jc w:val="center"/>
        <w:rPr>
          <w:rFonts w:ascii="Times New Roman" w:eastAsia="等线" w:hAnsi="Times New Roman" w:cs="Times New Roman"/>
          <w:b/>
          <w:bCs/>
          <w:color w:val="1F1F1F"/>
          <w:kern w:val="0"/>
          <w:sz w:val="24"/>
          <w:szCs w:val="24"/>
          <w14:ligatures w14:val="none"/>
        </w:rPr>
      </w:pPr>
      <w:r>
        <w:rPr>
          <w:rFonts w:ascii="Times New Roman" w:eastAsia="等线" w:hAnsi="Times New Roman" w:cs="Times New Roman" w:hint="eastAsia"/>
          <w:b/>
          <w:bCs/>
          <w:color w:val="1F1F1F"/>
          <w:kern w:val="0"/>
          <w:sz w:val="24"/>
          <w:szCs w:val="24"/>
          <w14:ligatures w14:val="none"/>
        </w:rPr>
        <w:t xml:space="preserve">Table </w:t>
      </w:r>
      <w:r w:rsidR="005B4CDC">
        <w:rPr>
          <w:rFonts w:ascii="Times New Roman" w:eastAsia="等线" w:hAnsi="Times New Roman" w:cs="Times New Roman" w:hint="eastAsia"/>
          <w:b/>
          <w:bCs/>
          <w:color w:val="1F1F1F"/>
          <w:kern w:val="0"/>
          <w:sz w:val="24"/>
          <w:szCs w:val="24"/>
          <w14:ligatures w14:val="none"/>
        </w:rPr>
        <w:t>C8</w:t>
      </w:r>
      <w:r>
        <w:rPr>
          <w:rFonts w:ascii="Times New Roman" w:eastAsia="等线" w:hAnsi="Times New Roman" w:cs="Times New Roman" w:hint="eastAsia"/>
          <w:b/>
          <w:bCs/>
          <w:color w:val="1F1F1F"/>
          <w:kern w:val="0"/>
          <w:sz w:val="24"/>
          <w:szCs w:val="24"/>
          <w14:ligatures w14:val="none"/>
        </w:rPr>
        <w:t>a.</w:t>
      </w:r>
      <w:r>
        <w:rPr>
          <w:rFonts w:ascii="Times New Roman" w:eastAsia="等线" w:hAnsi="Times New Roman" w:cs="Times New Roman" w:hint="eastAsia"/>
          <w:color w:val="1F1F1F"/>
          <w:kern w:val="0"/>
          <w:sz w:val="24"/>
          <w:szCs w:val="24"/>
          <w14:ligatures w14:val="none"/>
        </w:rPr>
        <w:t xml:space="preserve"> </w:t>
      </w:r>
      <w:r>
        <w:rPr>
          <w:rFonts w:ascii="Times New Roman" w:eastAsia="等线" w:hAnsi="Times New Roman" w:cs="Times New Roman"/>
          <w:color w:val="1F1F1F"/>
          <w:kern w:val="0"/>
          <w:sz w:val="24"/>
          <w:szCs w:val="24"/>
          <w14:ligatures w14:val="none"/>
        </w:rPr>
        <w:t>PROBAST+AI</w:t>
      </w:r>
      <w:r>
        <w:rPr>
          <w:rFonts w:ascii="Times New Roman" w:eastAsia="等线" w:hAnsi="Times New Roman" w:cs="Times New Roman" w:hint="eastAsia"/>
          <w:color w:val="1F1F1F"/>
          <w:kern w:val="0"/>
          <w:sz w:val="24"/>
          <w:szCs w:val="24"/>
          <w14:ligatures w14:val="none"/>
        </w:rPr>
        <w:t xml:space="preserve"> </w:t>
      </w:r>
      <w:r>
        <w:rPr>
          <w:rFonts w:ascii="Times New Roman" w:eastAsia="等线" w:hAnsi="Times New Roman" w:cs="Times New Roman"/>
          <w:color w:val="1F1F1F"/>
          <w:kern w:val="0"/>
          <w:sz w:val="24"/>
          <w:szCs w:val="24"/>
          <w14:ligatures w14:val="none"/>
        </w:rPr>
        <w:t xml:space="preserve">Risk of Bias Assessment Tool </w:t>
      </w:r>
      <w:r>
        <w:rPr>
          <w:rFonts w:ascii="Times New Roman" w:eastAsia="等线" w:hAnsi="Times New Roman" w:cs="Times New Roman" w:hint="eastAsia"/>
          <w:color w:val="1F1F1F"/>
          <w:kern w:val="0"/>
          <w:sz w:val="24"/>
          <w:szCs w:val="24"/>
          <w14:ligatures w14:val="none"/>
        </w:rPr>
        <w:t>f</w:t>
      </w:r>
      <w:r>
        <w:rPr>
          <w:rFonts w:ascii="Times New Roman" w:eastAsia="等线" w:hAnsi="Times New Roman" w:cs="Times New Roman"/>
          <w:color w:val="1F1F1F"/>
          <w:kern w:val="0"/>
          <w:sz w:val="24"/>
          <w:szCs w:val="24"/>
          <w14:ligatures w14:val="none"/>
        </w:rPr>
        <w:t xml:space="preserve">or </w:t>
      </w:r>
      <w:r>
        <w:rPr>
          <w:rFonts w:ascii="Times New Roman" w:eastAsia="等线" w:hAnsi="Times New Roman" w:cs="Times New Roman" w:hint="eastAsia"/>
          <w:color w:val="1F1F1F"/>
          <w:kern w:val="0"/>
          <w:sz w:val="24"/>
          <w:szCs w:val="24"/>
          <w14:ligatures w14:val="none"/>
        </w:rPr>
        <w:t>Research</w:t>
      </w:r>
    </w:p>
    <w:tbl>
      <w:tblPr>
        <w:tblStyle w:val="21"/>
        <w:tblW w:w="0" w:type="auto"/>
        <w:tblLook w:val="04A0" w:firstRow="1" w:lastRow="0" w:firstColumn="1" w:lastColumn="0" w:noHBand="0" w:noVBand="1"/>
      </w:tblPr>
      <w:tblGrid>
        <w:gridCol w:w="1070"/>
        <w:gridCol w:w="1470"/>
        <w:gridCol w:w="12858"/>
      </w:tblGrid>
      <w:tr w:rsidR="00A81450" w:rsidRPr="00D92F0F" w14:paraId="69E54D6E" w14:textId="77777777" w:rsidTr="00666A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single" w:sz="8" w:space="0" w:color="auto"/>
            </w:tcBorders>
            <w:hideMark/>
          </w:tcPr>
          <w:p w14:paraId="693252CB" w14:textId="77777777" w:rsidR="00A81450" w:rsidRPr="00D92F0F" w:rsidRDefault="00A81450" w:rsidP="00666A2F">
            <w:pPr>
              <w:jc w:val="left"/>
              <w:rPr>
                <w:rFonts w:ascii="Times New Roman" w:eastAsia="等线" w:hAnsi="Times New Roman" w:cs="Times New Roman"/>
                <w:color w:val="1F1F1F"/>
                <w:kern w:val="0"/>
                <w:sz w:val="24"/>
                <w:szCs w:val="24"/>
                <w14:ligatures w14:val="none"/>
              </w:rPr>
            </w:pPr>
            <w:r>
              <w:rPr>
                <w:rFonts w:ascii="Times New Roman" w:eastAsia="等线" w:hAnsi="Times New Roman" w:cs="Times New Roman" w:hint="eastAsia"/>
                <w:color w:val="1F1F1F"/>
                <w:kern w:val="0"/>
                <w:sz w:val="24"/>
                <w:szCs w:val="24"/>
                <w14:ligatures w14:val="none"/>
              </w:rPr>
              <w:t>Number</w:t>
            </w:r>
          </w:p>
        </w:tc>
        <w:tc>
          <w:tcPr>
            <w:tcW w:w="0" w:type="auto"/>
            <w:tcBorders>
              <w:top w:val="single" w:sz="8" w:space="0" w:color="auto"/>
              <w:bottom w:val="single" w:sz="8" w:space="0" w:color="auto"/>
            </w:tcBorders>
            <w:hideMark/>
          </w:tcPr>
          <w:p w14:paraId="4A9F1953" w14:textId="77777777" w:rsidR="00A81450" w:rsidRPr="00D92F0F" w:rsidRDefault="00A81450" w:rsidP="00666A2F">
            <w:pPr>
              <w:jc w:val="left"/>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Domain</w:t>
            </w:r>
          </w:p>
        </w:tc>
        <w:tc>
          <w:tcPr>
            <w:tcW w:w="0" w:type="auto"/>
            <w:tcBorders>
              <w:top w:val="single" w:sz="8" w:space="0" w:color="auto"/>
              <w:bottom w:val="single" w:sz="8" w:space="0" w:color="auto"/>
            </w:tcBorders>
          </w:tcPr>
          <w:p w14:paraId="549B6E5A" w14:textId="77777777" w:rsidR="00A81450" w:rsidRPr="00362C43" w:rsidRDefault="00A81450" w:rsidP="00666A2F">
            <w:pPr>
              <w:jc w:val="left"/>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Question</w:t>
            </w:r>
          </w:p>
        </w:tc>
      </w:tr>
      <w:tr w:rsidR="00A81450" w:rsidRPr="00D92F0F" w14:paraId="058CD37B" w14:textId="77777777" w:rsidTr="00666A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nil"/>
            </w:tcBorders>
            <w:hideMark/>
          </w:tcPr>
          <w:p w14:paraId="1CD873E4" w14:textId="77777777" w:rsidR="00A81450" w:rsidRPr="00D92F0F" w:rsidRDefault="00A81450" w:rsidP="00A81450">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1</w:t>
            </w:r>
          </w:p>
        </w:tc>
        <w:tc>
          <w:tcPr>
            <w:tcW w:w="0" w:type="auto"/>
            <w:tcBorders>
              <w:top w:val="single" w:sz="8" w:space="0" w:color="auto"/>
              <w:bottom w:val="nil"/>
            </w:tcBorders>
            <w:hideMark/>
          </w:tcPr>
          <w:p w14:paraId="36E2C021" w14:textId="77777777" w:rsidR="00A81450" w:rsidRPr="00B2747F" w:rsidRDefault="00A81450"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1F1F1F"/>
                <w:kern w:val="0"/>
                <w:sz w:val="24"/>
                <w:szCs w:val="28"/>
                <w14:ligatures w14:val="none"/>
              </w:rPr>
            </w:pPr>
            <w:r>
              <w:rPr>
                <w:rFonts w:ascii="Times New Roman" w:hAnsi="Times New Roman" w:cs="Times New Roman"/>
                <w:b/>
                <w:bCs/>
                <w:sz w:val="24"/>
                <w:szCs w:val="28"/>
              </w:rPr>
              <w:t>Participants</w:t>
            </w:r>
          </w:p>
        </w:tc>
        <w:tc>
          <w:tcPr>
            <w:tcW w:w="0" w:type="auto"/>
            <w:tcBorders>
              <w:top w:val="single" w:sz="8" w:space="0" w:color="auto"/>
              <w:bottom w:val="nil"/>
            </w:tcBorders>
          </w:tcPr>
          <w:p w14:paraId="33F184B6" w14:textId="77777777" w:rsidR="00A81450" w:rsidRPr="00B2747F" w:rsidRDefault="00A81450" w:rsidP="00666A2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 xml:space="preserve">1.1 Were appropriate data sources used? </w:t>
            </w:r>
          </w:p>
          <w:p w14:paraId="537D01F9" w14:textId="77777777" w:rsidR="00A81450" w:rsidRPr="00B2747F" w:rsidRDefault="00A81450" w:rsidP="00666A2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lastRenderedPageBreak/>
              <w:t xml:space="preserve">1.2 Was an appropriate study design used? </w:t>
            </w:r>
          </w:p>
          <w:p w14:paraId="7DC18EB6" w14:textId="77777777" w:rsidR="00A81450" w:rsidRPr="00B2747F" w:rsidRDefault="00A81450" w:rsidP="00666A2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1.3 Did the inclusions and exclusions of study participants result in a representative dataset?</w:t>
            </w:r>
          </w:p>
        </w:tc>
      </w:tr>
      <w:tr w:rsidR="00A81450" w:rsidRPr="00D92F0F" w14:paraId="7356995C" w14:textId="77777777" w:rsidTr="00666A2F">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0699D6CD" w14:textId="77777777" w:rsidR="00A81450" w:rsidRPr="00D92F0F" w:rsidRDefault="00A81450" w:rsidP="00A81450">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lastRenderedPageBreak/>
              <w:t>2</w:t>
            </w:r>
          </w:p>
        </w:tc>
        <w:tc>
          <w:tcPr>
            <w:tcW w:w="0" w:type="auto"/>
            <w:tcBorders>
              <w:top w:val="nil"/>
              <w:bottom w:val="nil"/>
            </w:tcBorders>
            <w:hideMark/>
          </w:tcPr>
          <w:p w14:paraId="56D22407" w14:textId="77777777" w:rsidR="00A81450" w:rsidRPr="00B2747F" w:rsidRDefault="00A81450"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1F1F1F"/>
                <w:kern w:val="0"/>
                <w:sz w:val="24"/>
                <w:szCs w:val="28"/>
                <w14:ligatures w14:val="none"/>
              </w:rPr>
            </w:pPr>
            <w:r>
              <w:rPr>
                <w:rFonts w:ascii="Times New Roman" w:hAnsi="Times New Roman" w:cs="Times New Roman"/>
                <w:b/>
                <w:bCs/>
                <w:sz w:val="24"/>
                <w:szCs w:val="28"/>
              </w:rPr>
              <w:t>Predictors</w:t>
            </w:r>
          </w:p>
        </w:tc>
        <w:tc>
          <w:tcPr>
            <w:tcW w:w="0" w:type="auto"/>
            <w:tcBorders>
              <w:top w:val="nil"/>
              <w:bottom w:val="nil"/>
            </w:tcBorders>
          </w:tcPr>
          <w:p w14:paraId="56BD0B2A" w14:textId="77777777" w:rsidR="00A81450" w:rsidRPr="00B2747F" w:rsidRDefault="00A81450" w:rsidP="00666A2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 xml:space="preserve">2.1 Were predictors defined and assessed in a similar way for all participants? </w:t>
            </w:r>
          </w:p>
          <w:p w14:paraId="2D62364E" w14:textId="77777777" w:rsidR="00A81450" w:rsidRPr="00B2747F" w:rsidRDefault="00A81450" w:rsidP="00666A2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 xml:space="preserve">2.2 Was any preprocessing of predictors similar for all participants? </w:t>
            </w:r>
          </w:p>
          <w:p w14:paraId="2BCA2554" w14:textId="77777777" w:rsidR="00A81450" w:rsidRPr="00B2747F" w:rsidRDefault="00A81450" w:rsidP="00666A2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 xml:space="preserve">2.3 Were predictor assessments made without knowledge of outcome data? </w:t>
            </w:r>
          </w:p>
          <w:p w14:paraId="0506DCF0" w14:textId="77777777" w:rsidR="00A81450" w:rsidRPr="00B2747F" w:rsidRDefault="00A81450" w:rsidP="00666A2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2.4 Were the predictors included in the model available at the time the model was intended to be used?</w:t>
            </w:r>
          </w:p>
        </w:tc>
      </w:tr>
      <w:tr w:rsidR="00A81450" w:rsidRPr="00D92F0F" w14:paraId="3689D666" w14:textId="77777777" w:rsidTr="00666A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5C4644C6" w14:textId="77777777" w:rsidR="00A81450" w:rsidRPr="00D92F0F" w:rsidRDefault="00A81450" w:rsidP="00A81450">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3</w:t>
            </w:r>
          </w:p>
        </w:tc>
        <w:tc>
          <w:tcPr>
            <w:tcW w:w="0" w:type="auto"/>
            <w:tcBorders>
              <w:top w:val="nil"/>
              <w:bottom w:val="nil"/>
            </w:tcBorders>
            <w:hideMark/>
          </w:tcPr>
          <w:p w14:paraId="0EC93E91" w14:textId="77777777" w:rsidR="00A81450" w:rsidRPr="00B2747F" w:rsidRDefault="00A81450" w:rsidP="00666A2F">
            <w:pPr>
              <w:jc w:val="left"/>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b/>
                <w:bCs/>
                <w:color w:val="1F1F1F"/>
                <w:kern w:val="0"/>
                <w:sz w:val="24"/>
                <w:szCs w:val="28"/>
                <w14:ligatures w14:val="none"/>
              </w:rPr>
            </w:pPr>
            <w:r>
              <w:rPr>
                <w:rFonts w:ascii="Times New Roman" w:hAnsi="Times New Roman" w:cs="Times New Roman"/>
                <w:b/>
                <w:bCs/>
                <w:sz w:val="24"/>
                <w:szCs w:val="28"/>
              </w:rPr>
              <w:t>Outcomes</w:t>
            </w:r>
          </w:p>
        </w:tc>
        <w:tc>
          <w:tcPr>
            <w:tcW w:w="0" w:type="auto"/>
            <w:tcBorders>
              <w:top w:val="nil"/>
              <w:bottom w:val="nil"/>
            </w:tcBorders>
          </w:tcPr>
          <w:p w14:paraId="597203F6" w14:textId="77777777" w:rsidR="00A81450" w:rsidRPr="00B2747F" w:rsidRDefault="00A81450" w:rsidP="00666A2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 xml:space="preserve">3.1 Were outcomes defined and assessed appropriately? </w:t>
            </w:r>
          </w:p>
          <w:p w14:paraId="060ED28E" w14:textId="77777777" w:rsidR="00A81450" w:rsidRPr="00B2747F" w:rsidRDefault="00A81450" w:rsidP="00666A2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 xml:space="preserve">3.2 Were outcomes defined and assessed in a similar way for all participants? </w:t>
            </w:r>
          </w:p>
          <w:p w14:paraId="01B0516E" w14:textId="77777777" w:rsidR="00A81450" w:rsidRPr="00B2747F" w:rsidRDefault="00A81450" w:rsidP="00666A2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 xml:space="preserve">3.3 Were outcome assessments made without use or knowledge of predictor data? </w:t>
            </w:r>
          </w:p>
          <w:p w14:paraId="64309325" w14:textId="77777777" w:rsidR="00A81450" w:rsidRPr="00B2747F" w:rsidRDefault="00A81450" w:rsidP="00666A2F">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3.4 Was the time interval between predictor assessment and outcome assessment appropriate?</w:t>
            </w:r>
          </w:p>
        </w:tc>
      </w:tr>
      <w:tr w:rsidR="00A81450" w:rsidRPr="00D92F0F" w14:paraId="777A9225" w14:textId="77777777" w:rsidTr="00666A2F">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8" w:space="0" w:color="auto"/>
            </w:tcBorders>
            <w:hideMark/>
          </w:tcPr>
          <w:p w14:paraId="60F2DD5F" w14:textId="77777777" w:rsidR="00A81450" w:rsidRPr="00D92F0F" w:rsidRDefault="00A81450" w:rsidP="00A81450">
            <w:pPr>
              <w:jc w:val="right"/>
              <w:rPr>
                <w:rFonts w:ascii="Times New Roman" w:eastAsia="等线" w:hAnsi="Times New Roman" w:cs="Times New Roman"/>
                <w:color w:val="1F1F1F"/>
                <w:kern w:val="0"/>
                <w:sz w:val="24"/>
                <w:szCs w:val="24"/>
                <w14:ligatures w14:val="none"/>
              </w:rPr>
            </w:pPr>
            <w:r>
              <w:rPr>
                <w:rFonts w:ascii="Times New Roman" w:eastAsia="等线" w:hAnsi="Times New Roman" w:cs="Times New Roman"/>
                <w:color w:val="1F1F1F"/>
                <w:kern w:val="0"/>
                <w:sz w:val="24"/>
                <w:szCs w:val="24"/>
                <w14:ligatures w14:val="none"/>
              </w:rPr>
              <w:t>4</w:t>
            </w:r>
          </w:p>
        </w:tc>
        <w:tc>
          <w:tcPr>
            <w:tcW w:w="0" w:type="auto"/>
            <w:tcBorders>
              <w:top w:val="nil"/>
              <w:bottom w:val="single" w:sz="8" w:space="0" w:color="auto"/>
            </w:tcBorders>
            <w:hideMark/>
          </w:tcPr>
          <w:p w14:paraId="602368F1" w14:textId="77777777" w:rsidR="00A81450" w:rsidRPr="00B2747F" w:rsidRDefault="00A81450" w:rsidP="00666A2F">
            <w:pPr>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b/>
                <w:bCs/>
                <w:color w:val="1F1F1F"/>
                <w:kern w:val="0"/>
                <w:sz w:val="24"/>
                <w:szCs w:val="28"/>
                <w14:ligatures w14:val="none"/>
              </w:rPr>
            </w:pPr>
            <w:r>
              <w:rPr>
                <w:rFonts w:ascii="Times New Roman" w:hAnsi="Times New Roman" w:cs="Times New Roman"/>
                <w:b/>
                <w:bCs/>
                <w:sz w:val="24"/>
                <w:szCs w:val="28"/>
              </w:rPr>
              <w:t>Analyses</w:t>
            </w:r>
          </w:p>
        </w:tc>
        <w:tc>
          <w:tcPr>
            <w:tcW w:w="0" w:type="auto"/>
            <w:tcBorders>
              <w:top w:val="nil"/>
              <w:bottom w:val="single" w:sz="8" w:space="0" w:color="auto"/>
            </w:tcBorders>
          </w:tcPr>
          <w:p w14:paraId="497DC0D0" w14:textId="77777777" w:rsidR="00A81450" w:rsidRPr="00B2747F" w:rsidRDefault="00A81450" w:rsidP="00666A2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 xml:space="preserve">4.1 Was model evaluation based on only apparent performance avoided? </w:t>
            </w:r>
          </w:p>
          <w:p w14:paraId="785ACE8A" w14:textId="77777777" w:rsidR="00A81450" w:rsidRPr="00B2747F" w:rsidRDefault="00A81450" w:rsidP="00666A2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 xml:space="preserve">4.2 Was there evidence that the sample size was reasonable? </w:t>
            </w:r>
          </w:p>
          <w:p w14:paraId="4EB28250" w14:textId="77777777" w:rsidR="00A81450" w:rsidRPr="00B2747F" w:rsidRDefault="00A81450" w:rsidP="00666A2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 xml:space="preserve">4.3 Were participants with missing or censored data handled appropriately in the analysis? </w:t>
            </w:r>
          </w:p>
          <w:p w14:paraId="313E0C68" w14:textId="77777777" w:rsidR="00A81450" w:rsidRPr="00B2747F" w:rsidRDefault="00A81450" w:rsidP="00666A2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 xml:space="preserve">4.4 If methods to address class imbalance were used, was the evaluation done in a dataset without correction for imbalance? </w:t>
            </w:r>
          </w:p>
          <w:p w14:paraId="346EC75A" w14:textId="77777777" w:rsidR="00A81450" w:rsidRPr="00B2747F" w:rsidRDefault="00A81450" w:rsidP="00666A2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 xml:space="preserve">4.5 If data splitting was done to create training and test datasets, was there evidence that data leakage was avoided? </w:t>
            </w:r>
          </w:p>
          <w:p w14:paraId="18E28BCF" w14:textId="77777777" w:rsidR="00A81450" w:rsidRPr="00B2747F" w:rsidRDefault="00A81450" w:rsidP="00666A2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 xml:space="preserve">4.6 If resampling methods were used to evaluate model performance, were all model development steps replicated in the resampling process? </w:t>
            </w:r>
          </w:p>
          <w:p w14:paraId="461A3BF2" w14:textId="77777777" w:rsidR="00A81450" w:rsidRPr="00B2747F" w:rsidRDefault="00A81450" w:rsidP="00666A2F">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Pr>
                <w:rFonts w:ascii="Times New Roman" w:hAnsi="Times New Roman" w:cs="Times New Roman"/>
                <w:sz w:val="24"/>
                <w:szCs w:val="28"/>
              </w:rPr>
              <w:t>4.7 Was the predictive performance of the model evaluated appropriately, for example, calibration, discrimination, and net benefit?</w:t>
            </w:r>
          </w:p>
        </w:tc>
      </w:tr>
    </w:tbl>
    <w:p w14:paraId="2EE911B3" w14:textId="77777777" w:rsidR="00141E68" w:rsidRPr="00A81450" w:rsidRDefault="00141E68" w:rsidP="00172E3E">
      <w:pPr>
        <w:ind w:firstLineChars="50" w:firstLine="65"/>
        <w:rPr>
          <w:rFonts w:hint="eastAsia"/>
          <w:sz w:val="13"/>
          <w:szCs w:val="13"/>
        </w:rPr>
      </w:pPr>
    </w:p>
    <w:p w14:paraId="3E58DC1D" w14:textId="312F13F9" w:rsidR="00172E3E" w:rsidRPr="00D7031A" w:rsidRDefault="00141E68" w:rsidP="00D7031A">
      <w:pPr>
        <w:jc w:val="center"/>
        <w:rPr>
          <w:rFonts w:ascii="Times New Roman" w:eastAsia="等线" w:hAnsi="Times New Roman" w:cs="Times New Roman"/>
          <w:b/>
          <w:bCs/>
          <w:color w:val="1F1F1F"/>
          <w:kern w:val="0"/>
          <w:sz w:val="24"/>
          <w:szCs w:val="24"/>
          <w14:ligatures w14:val="none"/>
        </w:rPr>
      </w:pPr>
      <w:r>
        <w:rPr>
          <w:rFonts w:ascii="Times New Roman" w:hAnsi="Times New Roman" w:cs="Times New Roman" w:hint="eastAsia"/>
          <w:b/>
          <w:bCs/>
          <w:sz w:val="24"/>
          <w:szCs w:val="24"/>
        </w:rPr>
        <w:t xml:space="preserve">Table </w:t>
      </w:r>
      <w:r w:rsidR="005B4CDC">
        <w:rPr>
          <w:rFonts w:ascii="Times New Roman" w:hAnsi="Times New Roman" w:cs="Times New Roman" w:hint="eastAsia"/>
          <w:b/>
          <w:bCs/>
          <w:sz w:val="24"/>
          <w:szCs w:val="24"/>
        </w:rPr>
        <w:t>C8</w:t>
      </w:r>
      <w:r>
        <w:rPr>
          <w:rFonts w:ascii="Times New Roman" w:hAnsi="Times New Roman" w:cs="Times New Roman" w:hint="eastAsia"/>
          <w:b/>
          <w:bCs/>
          <w:sz w:val="24"/>
          <w:szCs w:val="24"/>
        </w:rPr>
        <w:t>b.</w:t>
      </w:r>
      <w:r>
        <w:rPr>
          <w:rFonts w:ascii="Times New Roman" w:hAnsi="Times New Roman" w:cs="Times New Roman" w:hint="eastAsia"/>
          <w:sz w:val="24"/>
          <w:szCs w:val="24"/>
        </w:rPr>
        <w:t xml:space="preserve"> PROBAST+AI Guidelines on the Assessment of Risk of Bias in Prediction Model Papers</w:t>
      </w:r>
    </w:p>
    <w:tbl>
      <w:tblPr>
        <w:tblStyle w:val="af3"/>
        <w:tblW w:w="0" w:type="auto"/>
        <w:tblBorders>
          <w:top w:val="single" w:sz="8" w:space="0" w:color="auto"/>
          <w:left w:val="none" w:sz="0" w:space="0" w:color="auto"/>
          <w:bottom w:val="single" w:sz="8" w:space="0" w:color="auto"/>
          <w:right w:val="none" w:sz="0" w:space="0" w:color="auto"/>
        </w:tblBorders>
        <w:tblLook w:val="04A0" w:firstRow="1" w:lastRow="0" w:firstColumn="1" w:lastColumn="0" w:noHBand="0" w:noVBand="1"/>
      </w:tblPr>
      <w:tblGrid>
        <w:gridCol w:w="1555"/>
        <w:gridCol w:w="567"/>
        <w:gridCol w:w="2268"/>
        <w:gridCol w:w="2409"/>
        <w:gridCol w:w="2552"/>
        <w:gridCol w:w="2551"/>
        <w:gridCol w:w="567"/>
        <w:gridCol w:w="2919"/>
      </w:tblGrid>
      <w:tr w:rsidR="00A37C7E" w:rsidRPr="006C17CC" w14:paraId="40C01C5D" w14:textId="77777777" w:rsidTr="009710AD">
        <w:trPr>
          <w:trHeight w:val="283"/>
          <w:tblHeader/>
        </w:trPr>
        <w:tc>
          <w:tcPr>
            <w:tcW w:w="1555" w:type="dxa"/>
            <w:tcBorders>
              <w:top w:val="single" w:sz="8" w:space="0" w:color="auto"/>
              <w:bottom w:val="single" w:sz="8" w:space="0" w:color="auto"/>
              <w:right w:val="nil"/>
            </w:tcBorders>
            <w:tcMar>
              <w:top w:w="80" w:type="dxa"/>
              <w:left w:w="80" w:type="dxa"/>
              <w:bottom w:w="80" w:type="dxa"/>
              <w:right w:w="80" w:type="dxa"/>
            </w:tcMar>
            <w:vAlign w:val="center"/>
            <w:hideMark/>
          </w:tcPr>
          <w:p w14:paraId="72012770" w14:textId="77777777" w:rsidR="00A37C7E" w:rsidRPr="00093922" w:rsidRDefault="00A37C7E" w:rsidP="00093922">
            <w:pPr>
              <w:widowControl/>
              <w:jc w:val="center"/>
              <w:rPr>
                <w:rFonts w:ascii="宋体" w:eastAsia="宋体" w:hAnsi="宋体" w:cs="宋体" w:hint="eastAsia"/>
                <w:kern w:val="0"/>
                <w:sz w:val="18"/>
                <w:szCs w:val="18"/>
                <w14:ligatures w14:val="none"/>
              </w:rPr>
            </w:pPr>
          </w:p>
        </w:tc>
        <w:tc>
          <w:tcPr>
            <w:tcW w:w="567"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3152EAE6"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r>
              <w:rPr>
                <w:rFonts w:ascii="Times New Roman" w:eastAsia="等线" w:hAnsi="Times New Roman" w:cs="Times New Roman"/>
                <w:b/>
                <w:bCs/>
                <w:color w:val="000000"/>
                <w:kern w:val="0"/>
                <w:sz w:val="18"/>
                <w:szCs w:val="18"/>
                <w14:ligatures w14:val="none"/>
              </w:rPr>
              <w:t>Rev</w:t>
            </w:r>
          </w:p>
        </w:tc>
        <w:tc>
          <w:tcPr>
            <w:tcW w:w="2268"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550A5318"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r>
              <w:rPr>
                <w:rFonts w:ascii="Times New Roman" w:eastAsia="等线" w:hAnsi="Times New Roman" w:cs="Times New Roman"/>
                <w:b/>
                <w:bCs/>
                <w:color w:val="000000"/>
                <w:kern w:val="0"/>
                <w:sz w:val="18"/>
                <w:szCs w:val="18"/>
                <w14:ligatures w14:val="none"/>
              </w:rPr>
              <w:t>Domain 1 (Participants)</w:t>
            </w:r>
          </w:p>
        </w:tc>
        <w:tc>
          <w:tcPr>
            <w:tcW w:w="2409"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08229BE2"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r>
              <w:rPr>
                <w:rFonts w:ascii="Times New Roman" w:eastAsia="等线" w:hAnsi="Times New Roman" w:cs="Times New Roman"/>
                <w:b/>
                <w:bCs/>
                <w:color w:val="000000"/>
                <w:kern w:val="0"/>
                <w:sz w:val="18"/>
                <w:szCs w:val="18"/>
                <w14:ligatures w14:val="none"/>
              </w:rPr>
              <w:t>Domain 2 (Predictors)</w:t>
            </w:r>
          </w:p>
        </w:tc>
        <w:tc>
          <w:tcPr>
            <w:tcW w:w="2552"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32C2F09D"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r>
              <w:rPr>
                <w:rFonts w:ascii="Times New Roman" w:eastAsia="等线" w:hAnsi="Times New Roman" w:cs="Times New Roman"/>
                <w:b/>
                <w:bCs/>
                <w:color w:val="000000"/>
                <w:kern w:val="0"/>
                <w:sz w:val="18"/>
                <w:szCs w:val="18"/>
                <w14:ligatures w14:val="none"/>
              </w:rPr>
              <w:t>Domain 3 (Outcome)</w:t>
            </w:r>
          </w:p>
        </w:tc>
        <w:tc>
          <w:tcPr>
            <w:tcW w:w="2551"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7B9583C2"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r>
              <w:rPr>
                <w:rFonts w:ascii="Times New Roman" w:eastAsia="等线" w:hAnsi="Times New Roman" w:cs="Times New Roman"/>
                <w:b/>
                <w:bCs/>
                <w:color w:val="000000"/>
                <w:kern w:val="0"/>
                <w:sz w:val="18"/>
                <w:szCs w:val="18"/>
                <w14:ligatures w14:val="none"/>
              </w:rPr>
              <w:t>Domain 4 (Analysis)</w:t>
            </w:r>
          </w:p>
        </w:tc>
        <w:tc>
          <w:tcPr>
            <w:tcW w:w="567" w:type="dxa"/>
            <w:tcBorders>
              <w:top w:val="single" w:sz="8" w:space="0" w:color="auto"/>
              <w:left w:val="nil"/>
              <w:bottom w:val="single" w:sz="8" w:space="0" w:color="auto"/>
              <w:right w:val="nil"/>
            </w:tcBorders>
            <w:tcMar>
              <w:top w:w="80" w:type="dxa"/>
              <w:left w:w="80" w:type="dxa"/>
              <w:bottom w:w="80" w:type="dxa"/>
              <w:right w:w="80" w:type="dxa"/>
            </w:tcMar>
            <w:vAlign w:val="center"/>
            <w:hideMark/>
          </w:tcPr>
          <w:p w14:paraId="31ECA9AE" w14:textId="77777777" w:rsidR="00A37C7E" w:rsidRPr="007129A9" w:rsidRDefault="00A37C7E" w:rsidP="00093922">
            <w:pPr>
              <w:widowControl/>
              <w:jc w:val="center"/>
              <w:rPr>
                <w:rFonts w:ascii="Times New Roman" w:eastAsia="等线" w:hAnsi="Times New Roman" w:cs="Times New Roman"/>
                <w:b/>
                <w:bCs/>
                <w:color w:val="000000"/>
                <w:kern w:val="0"/>
                <w:sz w:val="18"/>
                <w:szCs w:val="18"/>
                <w14:ligatures w14:val="none"/>
              </w:rPr>
            </w:pPr>
            <w:r>
              <w:rPr>
                <w:rFonts w:ascii="Times New Roman" w:eastAsia="等线" w:hAnsi="Times New Roman" w:cs="Times New Roman"/>
                <w:b/>
                <w:bCs/>
                <w:color w:val="000000"/>
                <w:kern w:val="0"/>
                <w:sz w:val="18"/>
                <w:szCs w:val="18"/>
                <w14:ligatures w14:val="none"/>
              </w:rPr>
              <w:t>OA</w:t>
            </w:r>
          </w:p>
        </w:tc>
        <w:tc>
          <w:tcPr>
            <w:tcW w:w="2919" w:type="dxa"/>
            <w:tcBorders>
              <w:top w:val="single" w:sz="8" w:space="0" w:color="auto"/>
              <w:left w:val="nil"/>
              <w:bottom w:val="single" w:sz="8" w:space="0" w:color="auto"/>
            </w:tcBorders>
            <w:tcMar>
              <w:top w:w="80" w:type="dxa"/>
              <w:left w:w="80" w:type="dxa"/>
              <w:bottom w:w="80" w:type="dxa"/>
              <w:right w:w="80" w:type="dxa"/>
            </w:tcMar>
            <w:vAlign w:val="center"/>
            <w:hideMark/>
          </w:tcPr>
          <w:p w14:paraId="5F3649F5"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r>
              <w:rPr>
                <w:rFonts w:ascii="Times New Roman" w:eastAsia="等线" w:hAnsi="Times New Roman" w:cs="Times New Roman"/>
                <w:b/>
                <w:bCs/>
                <w:color w:val="000000"/>
                <w:kern w:val="0"/>
                <w:sz w:val="18"/>
                <w:szCs w:val="18"/>
                <w14:ligatures w14:val="none"/>
              </w:rPr>
              <w:t>Applicability</w:t>
            </w:r>
          </w:p>
        </w:tc>
      </w:tr>
      <w:tr w:rsidR="00FB6B47" w14:paraId="452F26FC" w14:textId="77777777">
        <w:tc>
          <w:tcPr>
            <w:tcW w:w="1555" w:type="dxa"/>
            <w:tcMar>
              <w:top w:w="80" w:type="dxa"/>
              <w:left w:w="80" w:type="dxa"/>
              <w:bottom w:w="80" w:type="dxa"/>
              <w:right w:w="80" w:type="dxa"/>
            </w:tcMar>
            <w:vAlign w:val="center"/>
          </w:tcPr>
          <w:p w14:paraId="250CE5E4" w14:textId="77777777" w:rsidR="00FB6B47" w:rsidRDefault="00000000">
            <w:pPr>
              <w:jc w:val="center"/>
              <w:rPr>
                <w:rFonts w:hint="eastAsia"/>
              </w:rPr>
            </w:pPr>
            <w:r>
              <w:rPr>
                <w:rFonts w:ascii="Times New Roman" w:hAnsi="Times New Roman" w:cs="Times New Roman"/>
                <w:sz w:val="18"/>
              </w:rPr>
              <w:t>(Alaraj and Alshammari, 2020)</w:t>
            </w:r>
          </w:p>
        </w:tc>
        <w:tc>
          <w:tcPr>
            <w:tcW w:w="567" w:type="dxa"/>
            <w:tcMar>
              <w:top w:w="80" w:type="dxa"/>
              <w:left w:w="80" w:type="dxa"/>
              <w:bottom w:w="80" w:type="dxa"/>
              <w:right w:w="80" w:type="dxa"/>
            </w:tcMar>
            <w:vAlign w:val="center"/>
          </w:tcPr>
          <w:p w14:paraId="7ADC27F4"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6AF5AA75" w14:textId="77777777" w:rsidR="00FB6B47" w:rsidRDefault="00000000">
            <w:pPr>
              <w:jc w:val="left"/>
              <w:rPr>
                <w:rFonts w:hint="eastAsia"/>
              </w:rPr>
            </w:pPr>
            <w:r>
              <w:rPr>
                <w:rFonts w:ascii="Times New Roman" w:hAnsi="Times New Roman" w:cs="Times New Roman"/>
                <w:sz w:val="18"/>
              </w:rPr>
              <w:t>High Risk. The dataset used adults aged nineteen to forty eight rather than older adults.</w:t>
            </w:r>
          </w:p>
        </w:tc>
        <w:tc>
          <w:tcPr>
            <w:tcW w:w="2409" w:type="dxa"/>
            <w:tcMar>
              <w:top w:w="80" w:type="dxa"/>
              <w:left w:w="80" w:type="dxa"/>
              <w:bottom w:w="80" w:type="dxa"/>
              <w:right w:w="80" w:type="dxa"/>
            </w:tcMar>
            <w:vAlign w:val="center"/>
          </w:tcPr>
          <w:p w14:paraId="6D993D37" w14:textId="77777777" w:rsidR="00FB6B47" w:rsidRDefault="00000000">
            <w:pPr>
              <w:jc w:val="left"/>
              <w:rPr>
                <w:rFonts w:hint="eastAsia"/>
              </w:rPr>
            </w:pPr>
            <w:r>
              <w:rPr>
                <w:rFonts w:ascii="Times New Roman" w:hAnsi="Times New Roman" w:cs="Times New Roman"/>
                <w:sz w:val="18"/>
              </w:rPr>
              <w:t>Low Risk. Smartphone predictors were defined consistently.</w:t>
            </w:r>
          </w:p>
        </w:tc>
        <w:tc>
          <w:tcPr>
            <w:tcW w:w="2552" w:type="dxa"/>
            <w:tcMar>
              <w:top w:w="80" w:type="dxa"/>
              <w:left w:w="80" w:type="dxa"/>
              <w:bottom w:w="80" w:type="dxa"/>
              <w:right w:w="80" w:type="dxa"/>
            </w:tcMar>
            <w:vAlign w:val="center"/>
          </w:tcPr>
          <w:p w14:paraId="2ACE6AC8" w14:textId="77777777" w:rsidR="00FB6B47" w:rsidRDefault="00000000">
            <w:pPr>
              <w:jc w:val="left"/>
              <w:rPr>
                <w:rFonts w:hint="eastAsia"/>
              </w:rPr>
            </w:pPr>
            <w:r>
              <w:rPr>
                <w:rFonts w:ascii="Times New Roman" w:hAnsi="Times New Roman" w:cs="Times New Roman"/>
                <w:sz w:val="18"/>
              </w:rPr>
              <w:t>High Risk. Activity labels did not measure dementia or aging in place outcomes.</w:t>
            </w:r>
          </w:p>
        </w:tc>
        <w:tc>
          <w:tcPr>
            <w:tcW w:w="2551" w:type="dxa"/>
            <w:tcMar>
              <w:top w:w="80" w:type="dxa"/>
              <w:left w:w="80" w:type="dxa"/>
              <w:bottom w:w="80" w:type="dxa"/>
              <w:right w:w="80" w:type="dxa"/>
            </w:tcMar>
            <w:vAlign w:val="center"/>
          </w:tcPr>
          <w:p w14:paraId="4BE3419D" w14:textId="77777777" w:rsidR="00FB6B47" w:rsidRDefault="00000000">
            <w:pPr>
              <w:jc w:val="left"/>
              <w:rPr>
                <w:rFonts w:hint="eastAsia"/>
              </w:rPr>
            </w:pPr>
            <w:r>
              <w:rPr>
                <w:rFonts w:ascii="Times New Roman" w:hAnsi="Times New Roman" w:cs="Times New Roman"/>
                <w:sz w:val="18"/>
              </w:rPr>
              <w:t>High Risk. External validation in the target population was absent.</w:t>
            </w:r>
          </w:p>
        </w:tc>
        <w:tc>
          <w:tcPr>
            <w:tcW w:w="567" w:type="dxa"/>
            <w:tcMar>
              <w:top w:w="80" w:type="dxa"/>
              <w:left w:w="80" w:type="dxa"/>
              <w:bottom w:w="80" w:type="dxa"/>
              <w:right w:w="80" w:type="dxa"/>
            </w:tcMar>
            <w:vAlign w:val="center"/>
          </w:tcPr>
          <w:p w14:paraId="6858FE66"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39246B24" w14:textId="77777777" w:rsidR="00FB6B47" w:rsidRDefault="00000000">
            <w:pPr>
              <w:jc w:val="left"/>
              <w:rPr>
                <w:rFonts w:hint="eastAsia"/>
              </w:rPr>
            </w:pPr>
            <w:r>
              <w:rPr>
                <w:rFonts w:ascii="Times New Roman" w:hAnsi="Times New Roman" w:cs="Times New Roman"/>
                <w:sz w:val="18"/>
              </w:rPr>
              <w:t>High Concern. The population did not match the review population.</w:t>
            </w:r>
          </w:p>
        </w:tc>
      </w:tr>
      <w:tr w:rsidR="00FB6B47" w14:paraId="378660DB" w14:textId="77777777">
        <w:tc>
          <w:tcPr>
            <w:tcW w:w="1555" w:type="dxa"/>
            <w:tcMar>
              <w:top w:w="80" w:type="dxa"/>
              <w:left w:w="80" w:type="dxa"/>
              <w:bottom w:w="80" w:type="dxa"/>
              <w:right w:w="80" w:type="dxa"/>
            </w:tcMar>
            <w:vAlign w:val="center"/>
          </w:tcPr>
          <w:p w14:paraId="3CF76265"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79869627"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3B3B51BA" w14:textId="77777777" w:rsidR="00FB6B47" w:rsidRDefault="00000000">
            <w:pPr>
              <w:jc w:val="left"/>
              <w:rPr>
                <w:rFonts w:hint="eastAsia"/>
              </w:rPr>
            </w:pPr>
            <w:r>
              <w:rPr>
                <w:rFonts w:ascii="Times New Roman" w:hAnsi="Times New Roman" w:cs="Times New Roman"/>
                <w:sz w:val="18"/>
              </w:rPr>
              <w:t>High Risk. The dataset used adults aged nineteen to forty eight rather than older adults.</w:t>
            </w:r>
          </w:p>
        </w:tc>
        <w:tc>
          <w:tcPr>
            <w:tcW w:w="2409" w:type="dxa"/>
            <w:tcMar>
              <w:top w:w="80" w:type="dxa"/>
              <w:left w:w="80" w:type="dxa"/>
              <w:bottom w:w="80" w:type="dxa"/>
              <w:right w:w="80" w:type="dxa"/>
            </w:tcMar>
            <w:vAlign w:val="center"/>
          </w:tcPr>
          <w:p w14:paraId="6DBB1446" w14:textId="77777777" w:rsidR="00FB6B47" w:rsidRDefault="00000000">
            <w:pPr>
              <w:jc w:val="left"/>
              <w:rPr>
                <w:rFonts w:hint="eastAsia"/>
              </w:rPr>
            </w:pPr>
            <w:r>
              <w:rPr>
                <w:rFonts w:ascii="Times New Roman" w:hAnsi="Times New Roman" w:cs="Times New Roman"/>
                <w:sz w:val="18"/>
              </w:rPr>
              <w:t>Low Risk. Smartphone predictors were defined consistently.</w:t>
            </w:r>
          </w:p>
        </w:tc>
        <w:tc>
          <w:tcPr>
            <w:tcW w:w="2552" w:type="dxa"/>
            <w:tcMar>
              <w:top w:w="80" w:type="dxa"/>
              <w:left w:w="80" w:type="dxa"/>
              <w:bottom w:w="80" w:type="dxa"/>
              <w:right w:w="80" w:type="dxa"/>
            </w:tcMar>
            <w:vAlign w:val="center"/>
          </w:tcPr>
          <w:p w14:paraId="3D05BB1D" w14:textId="77777777" w:rsidR="00FB6B47" w:rsidRDefault="00000000">
            <w:pPr>
              <w:jc w:val="left"/>
              <w:rPr>
                <w:rFonts w:hint="eastAsia"/>
              </w:rPr>
            </w:pPr>
            <w:r>
              <w:rPr>
                <w:rFonts w:ascii="Times New Roman" w:hAnsi="Times New Roman" w:cs="Times New Roman"/>
                <w:sz w:val="18"/>
              </w:rPr>
              <w:t>High Risk. Activity labels did not measure dementia or aging in place outcomes.</w:t>
            </w:r>
          </w:p>
        </w:tc>
        <w:tc>
          <w:tcPr>
            <w:tcW w:w="2551" w:type="dxa"/>
            <w:tcMar>
              <w:top w:w="80" w:type="dxa"/>
              <w:left w:w="80" w:type="dxa"/>
              <w:bottom w:w="80" w:type="dxa"/>
              <w:right w:w="80" w:type="dxa"/>
            </w:tcMar>
            <w:vAlign w:val="center"/>
          </w:tcPr>
          <w:p w14:paraId="1FE820C7" w14:textId="77777777" w:rsidR="00FB6B47" w:rsidRDefault="00000000">
            <w:pPr>
              <w:jc w:val="left"/>
              <w:rPr>
                <w:rFonts w:hint="eastAsia"/>
              </w:rPr>
            </w:pPr>
            <w:r>
              <w:rPr>
                <w:rFonts w:ascii="Times New Roman" w:hAnsi="Times New Roman" w:cs="Times New Roman"/>
                <w:sz w:val="18"/>
              </w:rPr>
              <w:t>High Risk. External validation in the target population was absent.</w:t>
            </w:r>
          </w:p>
        </w:tc>
        <w:tc>
          <w:tcPr>
            <w:tcW w:w="567" w:type="dxa"/>
            <w:tcMar>
              <w:top w:w="80" w:type="dxa"/>
              <w:left w:w="80" w:type="dxa"/>
              <w:bottom w:w="80" w:type="dxa"/>
              <w:right w:w="80" w:type="dxa"/>
            </w:tcMar>
            <w:vAlign w:val="center"/>
          </w:tcPr>
          <w:p w14:paraId="273E3295"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18275220" w14:textId="77777777" w:rsidR="00FB6B47" w:rsidRDefault="00000000">
            <w:pPr>
              <w:jc w:val="left"/>
              <w:rPr>
                <w:rFonts w:hint="eastAsia"/>
              </w:rPr>
            </w:pPr>
            <w:r>
              <w:rPr>
                <w:rFonts w:ascii="Times New Roman" w:hAnsi="Times New Roman" w:cs="Times New Roman"/>
                <w:sz w:val="18"/>
              </w:rPr>
              <w:t>High Concern. The population did not match the review population.</w:t>
            </w:r>
          </w:p>
        </w:tc>
      </w:tr>
      <w:tr w:rsidR="00A37C7E" w:rsidRPr="006C17CC" w14:paraId="2EE1A914" w14:textId="77777777" w:rsidTr="00465626">
        <w:trPr>
          <w:trHeight w:val="1132"/>
        </w:trPr>
        <w:tc>
          <w:tcPr>
            <w:tcW w:w="1555" w:type="dxa"/>
            <w:noWrap/>
            <w:tcMar>
              <w:top w:w="80" w:type="dxa"/>
              <w:left w:w="80" w:type="dxa"/>
              <w:bottom w:w="80" w:type="dxa"/>
              <w:right w:w="80" w:type="dxa"/>
            </w:tcMar>
            <w:vAlign w:val="center"/>
            <w:hideMark/>
          </w:tcPr>
          <w:p w14:paraId="393E731F"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lastRenderedPageBreak/>
              <w:t>(Alharbi et al., 2023)</w:t>
            </w:r>
          </w:p>
        </w:tc>
        <w:tc>
          <w:tcPr>
            <w:tcW w:w="567" w:type="dxa"/>
            <w:tcMar>
              <w:top w:w="80" w:type="dxa"/>
              <w:left w:w="80" w:type="dxa"/>
              <w:bottom w:w="80" w:type="dxa"/>
              <w:right w:w="80" w:type="dxa"/>
            </w:tcMar>
            <w:vAlign w:val="center"/>
            <w:hideMark/>
          </w:tcPr>
          <w:p w14:paraId="2BD343A1"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62D64962"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a defined group of 13 subjects allows for high quality data control during initial prototyping.</w:t>
            </w:r>
          </w:p>
        </w:tc>
        <w:tc>
          <w:tcPr>
            <w:tcW w:w="2409" w:type="dxa"/>
            <w:tcMar>
              <w:top w:w="80" w:type="dxa"/>
              <w:left w:w="80" w:type="dxa"/>
              <w:bottom w:w="80" w:type="dxa"/>
              <w:right w:w="80" w:type="dxa"/>
            </w:tcMar>
            <w:vAlign w:val="center"/>
            <w:hideMark/>
          </w:tcPr>
          <w:p w14:paraId="51CA22E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All RFID predictors are available at the time the model is intended for monitoring use.</w:t>
            </w:r>
          </w:p>
        </w:tc>
        <w:tc>
          <w:tcPr>
            <w:tcW w:w="2552" w:type="dxa"/>
            <w:tcMar>
              <w:top w:w="80" w:type="dxa"/>
              <w:left w:w="80" w:type="dxa"/>
              <w:bottom w:w="80" w:type="dxa"/>
              <w:right w:w="80" w:type="dxa"/>
            </w:tcMar>
            <w:vAlign w:val="center"/>
            <w:hideMark/>
          </w:tcPr>
          <w:p w14:paraId="52A9936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binary classification of fall versus normal motion is appropriate for emergency response needs.</w:t>
            </w:r>
          </w:p>
        </w:tc>
        <w:tc>
          <w:tcPr>
            <w:tcW w:w="2551" w:type="dxa"/>
            <w:tcMar>
              <w:top w:w="80" w:type="dxa"/>
              <w:left w:w="80" w:type="dxa"/>
              <w:bottom w:w="80" w:type="dxa"/>
              <w:right w:w="80" w:type="dxa"/>
            </w:tcMar>
            <w:vAlign w:val="center"/>
            <w:hideMark/>
          </w:tcPr>
          <w:p w14:paraId="4E893CBF"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Diverse metrics including precision and F1 score were used to rigorously evaluate model effectiveness.</w:t>
            </w:r>
          </w:p>
        </w:tc>
        <w:tc>
          <w:tcPr>
            <w:tcW w:w="567" w:type="dxa"/>
            <w:tcMar>
              <w:top w:w="80" w:type="dxa"/>
              <w:left w:w="80" w:type="dxa"/>
              <w:bottom w:w="80" w:type="dxa"/>
              <w:right w:w="80" w:type="dxa"/>
            </w:tcMar>
            <w:vAlign w:val="center"/>
            <w:hideMark/>
          </w:tcPr>
          <w:p w14:paraId="01EC532B"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23F3BB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Smart carpets are considered a non intrusive and versatile solution for home healthcare settings.</w:t>
            </w:r>
          </w:p>
        </w:tc>
      </w:tr>
      <w:tr w:rsidR="00A37C7E" w:rsidRPr="006C17CC" w14:paraId="7A27ABAD" w14:textId="77777777" w:rsidTr="00465626">
        <w:trPr>
          <w:trHeight w:val="1132"/>
        </w:trPr>
        <w:tc>
          <w:tcPr>
            <w:tcW w:w="1555" w:type="dxa"/>
            <w:tcMar>
              <w:top w:w="80" w:type="dxa"/>
              <w:left w:w="80" w:type="dxa"/>
              <w:bottom w:w="80" w:type="dxa"/>
              <w:right w:w="80" w:type="dxa"/>
            </w:tcMar>
            <w:vAlign w:val="center"/>
            <w:hideMark/>
          </w:tcPr>
          <w:p w14:paraId="22204274"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4AA21BFB"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48183CBB"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participants voluntarily engaged in multiple types of simulated fall and walking patterns.</w:t>
            </w:r>
          </w:p>
        </w:tc>
        <w:tc>
          <w:tcPr>
            <w:tcW w:w="2409" w:type="dxa"/>
            <w:tcMar>
              <w:top w:w="80" w:type="dxa"/>
              <w:left w:w="80" w:type="dxa"/>
              <w:bottom w:w="80" w:type="dxa"/>
              <w:right w:w="80" w:type="dxa"/>
            </w:tcMar>
            <w:vAlign w:val="center"/>
            <w:hideMark/>
          </w:tcPr>
          <w:p w14:paraId="64DEB5E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Feature engineering was used to extract pertinent variables from the raw EPC sensor data.</w:t>
            </w:r>
          </w:p>
        </w:tc>
        <w:tc>
          <w:tcPr>
            <w:tcW w:w="2552" w:type="dxa"/>
            <w:tcMar>
              <w:top w:w="80" w:type="dxa"/>
              <w:left w:w="80" w:type="dxa"/>
              <w:bottom w:w="80" w:type="dxa"/>
              <w:right w:w="80" w:type="dxa"/>
            </w:tcMar>
            <w:vAlign w:val="center"/>
            <w:hideMark/>
          </w:tcPr>
          <w:p w14:paraId="4EF4AB24"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outcome determination is based on objective sensor readings that capture participant movements.</w:t>
            </w:r>
          </w:p>
        </w:tc>
        <w:tc>
          <w:tcPr>
            <w:tcW w:w="2551" w:type="dxa"/>
            <w:tcMar>
              <w:top w:w="80" w:type="dxa"/>
              <w:left w:w="80" w:type="dxa"/>
              <w:bottom w:w="80" w:type="dxa"/>
              <w:right w:w="80" w:type="dxa"/>
            </w:tcMar>
            <w:vAlign w:val="center"/>
            <w:hideMark/>
          </w:tcPr>
          <w:p w14:paraId="1B567094"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80/20 data split ensures that model training and evaluation are conducted on different sets.</w:t>
            </w:r>
          </w:p>
        </w:tc>
        <w:tc>
          <w:tcPr>
            <w:tcW w:w="567" w:type="dxa"/>
            <w:tcMar>
              <w:top w:w="80" w:type="dxa"/>
              <w:left w:w="80" w:type="dxa"/>
              <w:bottom w:w="80" w:type="dxa"/>
              <w:right w:w="80" w:type="dxa"/>
            </w:tcMar>
            <w:vAlign w:val="center"/>
            <w:hideMark/>
          </w:tcPr>
          <w:p w14:paraId="5E2991D7"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BCCC828"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unobtrusive design aligns perfectly with the goal of supporting independent living for seniors.</w:t>
            </w:r>
          </w:p>
        </w:tc>
      </w:tr>
      <w:tr w:rsidR="00A37C7E" w:rsidRPr="006C17CC" w14:paraId="13A5A893" w14:textId="77777777" w:rsidTr="00465626">
        <w:trPr>
          <w:trHeight w:val="1415"/>
        </w:trPr>
        <w:tc>
          <w:tcPr>
            <w:tcW w:w="1555" w:type="dxa"/>
            <w:tcMar>
              <w:top w:w="80" w:type="dxa"/>
              <w:left w:w="80" w:type="dxa"/>
              <w:bottom w:w="80" w:type="dxa"/>
              <w:right w:w="80" w:type="dxa"/>
            </w:tcMar>
            <w:vAlign w:val="center"/>
            <w:hideMark/>
          </w:tcPr>
          <w:p w14:paraId="5EF20382"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(Alsubai et al., 2023)</w:t>
            </w:r>
          </w:p>
        </w:tc>
        <w:tc>
          <w:tcPr>
            <w:tcW w:w="567" w:type="dxa"/>
            <w:tcMar>
              <w:top w:w="80" w:type="dxa"/>
              <w:left w:w="80" w:type="dxa"/>
              <w:bottom w:w="80" w:type="dxa"/>
              <w:right w:w="80" w:type="dxa"/>
            </w:tcMar>
            <w:vAlign w:val="center"/>
            <w:hideMark/>
          </w:tcPr>
          <w:p w14:paraId="057D6F37"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3820546B"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integration of real-world activity data from smart homes enhances the ecological validity of the participant profiles.</w:t>
            </w:r>
          </w:p>
        </w:tc>
        <w:tc>
          <w:tcPr>
            <w:tcW w:w="2409" w:type="dxa"/>
            <w:tcMar>
              <w:top w:w="80" w:type="dxa"/>
              <w:left w:w="80" w:type="dxa"/>
              <w:bottom w:w="80" w:type="dxa"/>
              <w:right w:w="80" w:type="dxa"/>
            </w:tcMar>
            <w:vAlign w:val="center"/>
            <w:hideMark/>
          </w:tcPr>
          <w:p w14:paraId="4B5352A1"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extraction from movement data captures subtle behavioral changes that are objective predictors of health.</w:t>
            </w:r>
          </w:p>
        </w:tc>
        <w:tc>
          <w:tcPr>
            <w:tcW w:w="2552" w:type="dxa"/>
            <w:tcMar>
              <w:top w:w="80" w:type="dxa"/>
              <w:left w:w="80" w:type="dxa"/>
              <w:bottom w:w="80" w:type="dxa"/>
              <w:right w:w="80" w:type="dxa"/>
            </w:tcMar>
            <w:vAlign w:val="center"/>
            <w:hideMark/>
          </w:tcPr>
          <w:p w14:paraId="5695C87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Clinical consensus for diagnosis ensures that the predictive targets are accurate and clinically meaningful.</w:t>
            </w:r>
          </w:p>
        </w:tc>
        <w:tc>
          <w:tcPr>
            <w:tcW w:w="2551" w:type="dxa"/>
            <w:tcMar>
              <w:top w:w="80" w:type="dxa"/>
              <w:left w:w="80" w:type="dxa"/>
              <w:bottom w:w="80" w:type="dxa"/>
              <w:right w:w="80" w:type="dxa"/>
            </w:tcMar>
            <w:vAlign w:val="center"/>
            <w:hideMark/>
          </w:tcPr>
          <w:p w14:paraId="4B37B51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high accuracy achieved across multiple models suggests that activity patterns are strong indicators of cognitive status.</w:t>
            </w:r>
          </w:p>
        </w:tc>
        <w:tc>
          <w:tcPr>
            <w:tcW w:w="567" w:type="dxa"/>
            <w:tcMar>
              <w:top w:w="80" w:type="dxa"/>
              <w:left w:w="80" w:type="dxa"/>
              <w:bottom w:w="80" w:type="dxa"/>
              <w:right w:w="80" w:type="dxa"/>
            </w:tcMar>
            <w:vAlign w:val="center"/>
            <w:hideMark/>
          </w:tcPr>
          <w:p w14:paraId="332A76D1"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F1CEC64"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digital approach allows for continuous monitoring, supporting early intervention for aging in place.</w:t>
            </w:r>
          </w:p>
        </w:tc>
      </w:tr>
      <w:tr w:rsidR="00A37C7E" w:rsidRPr="006C17CC" w14:paraId="2597299F" w14:textId="77777777" w:rsidTr="00465626">
        <w:trPr>
          <w:trHeight w:val="1415"/>
        </w:trPr>
        <w:tc>
          <w:tcPr>
            <w:tcW w:w="1555" w:type="dxa"/>
            <w:tcMar>
              <w:top w:w="80" w:type="dxa"/>
              <w:left w:w="80" w:type="dxa"/>
              <w:bottom w:w="80" w:type="dxa"/>
              <w:right w:w="80" w:type="dxa"/>
            </w:tcMar>
            <w:vAlign w:val="center"/>
            <w:hideMark/>
          </w:tcPr>
          <w:p w14:paraId="5540C6C6"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31167CB0"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46BA2ED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Appropriate ethical protocols and medical screenings ensure that the data reflects the target elderly population accurately.</w:t>
            </w:r>
          </w:p>
        </w:tc>
        <w:tc>
          <w:tcPr>
            <w:tcW w:w="2409" w:type="dxa"/>
            <w:tcMar>
              <w:top w:w="80" w:type="dxa"/>
              <w:left w:w="80" w:type="dxa"/>
              <w:bottom w:w="80" w:type="dxa"/>
              <w:right w:w="80" w:type="dxa"/>
            </w:tcMar>
            <w:vAlign w:val="center"/>
            <w:hideMark/>
          </w:tcPr>
          <w:p w14:paraId="6FA41C8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Predictors were available in real-time and processed without human intervention to eliminate subjective assessment bias.</w:t>
            </w:r>
          </w:p>
        </w:tc>
        <w:tc>
          <w:tcPr>
            <w:tcW w:w="2552" w:type="dxa"/>
            <w:tcMar>
              <w:top w:w="80" w:type="dxa"/>
              <w:left w:w="80" w:type="dxa"/>
              <w:bottom w:w="80" w:type="dxa"/>
              <w:right w:w="80" w:type="dxa"/>
            </w:tcMar>
            <w:vAlign w:val="center"/>
            <w:hideMark/>
          </w:tcPr>
          <w:p w14:paraId="05E7AE9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clinical categories for dementia and MCI were used to maintain consistency across the entire sample.</w:t>
            </w:r>
          </w:p>
        </w:tc>
        <w:tc>
          <w:tcPr>
            <w:tcW w:w="2551" w:type="dxa"/>
            <w:tcMar>
              <w:top w:w="80" w:type="dxa"/>
              <w:left w:w="80" w:type="dxa"/>
              <w:bottom w:w="80" w:type="dxa"/>
              <w:right w:w="80" w:type="dxa"/>
            </w:tcMar>
            <w:vAlign w:val="center"/>
            <w:hideMark/>
          </w:tcPr>
          <w:p w14:paraId="24213284"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Cross-validation and feature importance analysis were used to ensure the stability and interpretability of the models.</w:t>
            </w:r>
          </w:p>
        </w:tc>
        <w:tc>
          <w:tcPr>
            <w:tcW w:w="567" w:type="dxa"/>
            <w:tcMar>
              <w:top w:w="80" w:type="dxa"/>
              <w:left w:w="80" w:type="dxa"/>
              <w:bottom w:w="80" w:type="dxa"/>
              <w:right w:w="80" w:type="dxa"/>
            </w:tcMar>
            <w:vAlign w:val="center"/>
            <w:hideMark/>
          </w:tcPr>
          <w:p w14:paraId="289BC81F"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B5922C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feasibility of smart home-based screening is perfectly aligned with supporting independent living for seniors.</w:t>
            </w:r>
          </w:p>
        </w:tc>
      </w:tr>
      <w:tr w:rsidR="00A37C7E" w:rsidRPr="006C17CC" w14:paraId="001FD826" w14:textId="77777777" w:rsidTr="00465626">
        <w:trPr>
          <w:trHeight w:val="1415"/>
        </w:trPr>
        <w:tc>
          <w:tcPr>
            <w:tcW w:w="1555" w:type="dxa"/>
            <w:tcMar>
              <w:top w:w="80" w:type="dxa"/>
              <w:left w:w="80" w:type="dxa"/>
              <w:bottom w:w="80" w:type="dxa"/>
              <w:right w:w="80" w:type="dxa"/>
            </w:tcMar>
            <w:vAlign w:val="center"/>
            <w:hideMark/>
          </w:tcPr>
          <w:p w14:paraId="332474A1"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(Alzahrani et al., 2024)</w:t>
            </w:r>
          </w:p>
        </w:tc>
        <w:tc>
          <w:tcPr>
            <w:tcW w:w="567" w:type="dxa"/>
            <w:tcMar>
              <w:top w:w="80" w:type="dxa"/>
              <w:left w:w="80" w:type="dxa"/>
              <w:bottom w:w="80" w:type="dxa"/>
              <w:right w:w="80" w:type="dxa"/>
            </w:tcMar>
            <w:vAlign w:val="center"/>
            <w:hideMark/>
          </w:tcPr>
          <w:p w14:paraId="189B235A"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12A7E58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standardized benchmark data provides a consistent baseline for validating the effectiveness of the proposed algorithms.</w:t>
            </w:r>
          </w:p>
        </w:tc>
        <w:tc>
          <w:tcPr>
            <w:tcW w:w="2409" w:type="dxa"/>
            <w:tcMar>
              <w:top w:w="80" w:type="dxa"/>
              <w:left w:w="80" w:type="dxa"/>
              <w:bottom w:w="80" w:type="dxa"/>
              <w:right w:w="80" w:type="dxa"/>
            </w:tcMar>
            <w:vAlign w:val="center"/>
            <w:hideMark/>
          </w:tcPr>
          <w:p w14:paraId="4E1D178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integration of M-ELM with quantum optimization ensures that predictors are processed with high precision and reliability.</w:t>
            </w:r>
          </w:p>
        </w:tc>
        <w:tc>
          <w:tcPr>
            <w:tcW w:w="2552" w:type="dxa"/>
            <w:tcMar>
              <w:top w:w="80" w:type="dxa"/>
              <w:left w:w="80" w:type="dxa"/>
              <w:bottom w:w="80" w:type="dxa"/>
              <w:right w:w="80" w:type="dxa"/>
            </w:tcMar>
            <w:vAlign w:val="center"/>
            <w:hideMark/>
          </w:tcPr>
          <w:p w14:paraId="4D1B70D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classification of five distinct ADL classes provides actionable insights for monitoring the safety of independent living seniors.</w:t>
            </w:r>
          </w:p>
        </w:tc>
        <w:tc>
          <w:tcPr>
            <w:tcW w:w="2551" w:type="dxa"/>
            <w:tcMar>
              <w:top w:w="80" w:type="dxa"/>
              <w:left w:w="80" w:type="dxa"/>
              <w:bottom w:w="80" w:type="dxa"/>
              <w:right w:w="80" w:type="dxa"/>
            </w:tcMar>
            <w:vAlign w:val="center"/>
            <w:hideMark/>
          </w:tcPr>
          <w:p w14:paraId="30C43B0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high reported accuracy and AUC scores demonstrate the model’s strong discriminative power and technical stability.</w:t>
            </w:r>
          </w:p>
        </w:tc>
        <w:tc>
          <w:tcPr>
            <w:tcW w:w="567" w:type="dxa"/>
            <w:tcMar>
              <w:top w:w="80" w:type="dxa"/>
              <w:left w:w="80" w:type="dxa"/>
              <w:bottom w:w="80" w:type="dxa"/>
              <w:right w:w="80" w:type="dxa"/>
            </w:tcMar>
            <w:vAlign w:val="center"/>
            <w:hideMark/>
          </w:tcPr>
          <w:p w14:paraId="73183B80"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3AF88CD"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Unobtrusive smartphone-based sensing is highly applicable to supporting aging in place in modern communities.</w:t>
            </w:r>
          </w:p>
        </w:tc>
      </w:tr>
      <w:tr w:rsidR="00A37C7E" w:rsidRPr="006C17CC" w14:paraId="6C5B2101" w14:textId="77777777" w:rsidTr="00465626">
        <w:trPr>
          <w:trHeight w:val="1415"/>
        </w:trPr>
        <w:tc>
          <w:tcPr>
            <w:tcW w:w="1555" w:type="dxa"/>
            <w:tcMar>
              <w:top w:w="80" w:type="dxa"/>
              <w:left w:w="80" w:type="dxa"/>
              <w:bottom w:w="80" w:type="dxa"/>
              <w:right w:w="80" w:type="dxa"/>
            </w:tcMar>
            <w:vAlign w:val="center"/>
            <w:hideMark/>
          </w:tcPr>
          <w:p w14:paraId="60B3DBB5"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6F00878B"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025CD11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simulation of diverse activities ensures that the model learns the fundamental signatures of human movement.</w:t>
            </w:r>
          </w:p>
        </w:tc>
        <w:tc>
          <w:tcPr>
            <w:tcW w:w="2409" w:type="dxa"/>
            <w:tcMar>
              <w:top w:w="80" w:type="dxa"/>
              <w:left w:w="80" w:type="dxa"/>
              <w:bottom w:w="80" w:type="dxa"/>
              <w:right w:w="80" w:type="dxa"/>
            </w:tcMar>
            <w:vAlign w:val="center"/>
            <w:hideMark/>
          </w:tcPr>
          <w:p w14:paraId="3DCE20EB"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extraction avoids the subjective errors and bias associated with traditional clinical mobility assessments.</w:t>
            </w:r>
          </w:p>
        </w:tc>
        <w:tc>
          <w:tcPr>
            <w:tcW w:w="2552" w:type="dxa"/>
            <w:tcMar>
              <w:top w:w="80" w:type="dxa"/>
              <w:left w:w="80" w:type="dxa"/>
              <w:bottom w:w="80" w:type="dxa"/>
              <w:right w:w="80" w:type="dxa"/>
            </w:tcMar>
            <w:vAlign w:val="center"/>
            <w:hideMark/>
          </w:tcPr>
          <w:p w14:paraId="27D1AEBE"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thresholds for activity detection maintain consistency across the entire dataset, ensuring objective outcomes.</w:t>
            </w:r>
          </w:p>
        </w:tc>
        <w:tc>
          <w:tcPr>
            <w:tcW w:w="2551" w:type="dxa"/>
            <w:tcMar>
              <w:top w:w="80" w:type="dxa"/>
              <w:left w:w="80" w:type="dxa"/>
              <w:bottom w:w="80" w:type="dxa"/>
              <w:right w:w="80" w:type="dxa"/>
            </w:tcMar>
            <w:vAlign w:val="center"/>
            <w:hideMark/>
          </w:tcPr>
          <w:p w14:paraId="3229719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k-fold validation and multiple performance metrics confirms the technical robustness of the proposed framework.</w:t>
            </w:r>
          </w:p>
        </w:tc>
        <w:tc>
          <w:tcPr>
            <w:tcW w:w="567" w:type="dxa"/>
            <w:tcMar>
              <w:top w:w="80" w:type="dxa"/>
              <w:left w:w="80" w:type="dxa"/>
              <w:bottom w:w="80" w:type="dxa"/>
              <w:right w:w="80" w:type="dxa"/>
            </w:tcMar>
            <w:vAlign w:val="center"/>
            <w:hideMark/>
          </w:tcPr>
          <w:p w14:paraId="7AF6602D"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8D4876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Contactless and wearable-assisted monitoring directly supports the goal of enabling independent living for older adults.</w:t>
            </w:r>
          </w:p>
        </w:tc>
      </w:tr>
      <w:tr w:rsidR="00A37C7E" w:rsidRPr="006C17CC" w14:paraId="15016DBA" w14:textId="77777777" w:rsidTr="00465626">
        <w:trPr>
          <w:trHeight w:val="1132"/>
        </w:trPr>
        <w:tc>
          <w:tcPr>
            <w:tcW w:w="1555" w:type="dxa"/>
            <w:noWrap/>
            <w:tcMar>
              <w:top w:w="80" w:type="dxa"/>
              <w:left w:w="80" w:type="dxa"/>
              <w:bottom w:w="80" w:type="dxa"/>
              <w:right w:w="80" w:type="dxa"/>
            </w:tcMar>
            <w:vAlign w:val="center"/>
            <w:hideMark/>
          </w:tcPr>
          <w:p w14:paraId="7F0E121B"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(Angelova et al., 2018)</w:t>
            </w:r>
          </w:p>
        </w:tc>
        <w:tc>
          <w:tcPr>
            <w:tcW w:w="567" w:type="dxa"/>
            <w:tcMar>
              <w:top w:w="80" w:type="dxa"/>
              <w:left w:w="80" w:type="dxa"/>
              <w:bottom w:w="80" w:type="dxa"/>
              <w:right w:w="80" w:type="dxa"/>
            </w:tcMar>
            <w:vAlign w:val="center"/>
            <w:hideMark/>
          </w:tcPr>
          <w:p w14:paraId="59D981A1"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084EE604"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5-year longitudinal dataset provides a rich source of continuous user activity patterns.</w:t>
            </w:r>
          </w:p>
        </w:tc>
        <w:tc>
          <w:tcPr>
            <w:tcW w:w="2409" w:type="dxa"/>
            <w:tcMar>
              <w:top w:w="80" w:type="dxa"/>
              <w:left w:w="80" w:type="dxa"/>
              <w:bottom w:w="80" w:type="dxa"/>
              <w:right w:w="80" w:type="dxa"/>
            </w:tcMar>
            <w:vAlign w:val="center"/>
            <w:hideMark/>
          </w:tcPr>
          <w:p w14:paraId="55DAE9D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Standardizing 32 main activation events into a high-dimensional space ensures consistent predictor definition.</w:t>
            </w:r>
          </w:p>
        </w:tc>
        <w:tc>
          <w:tcPr>
            <w:tcW w:w="2552" w:type="dxa"/>
            <w:tcMar>
              <w:top w:w="80" w:type="dxa"/>
              <w:left w:w="80" w:type="dxa"/>
              <w:bottom w:w="80" w:type="dxa"/>
              <w:right w:w="80" w:type="dxa"/>
            </w:tcMar>
            <w:vAlign w:val="center"/>
            <w:hideMark/>
          </w:tcPr>
          <w:p w14:paraId="4A49B46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Identifying “high risk” events like fallen or fire provides an actionable and objective outcome for safety monitoring.</w:t>
            </w:r>
          </w:p>
        </w:tc>
        <w:tc>
          <w:tcPr>
            <w:tcW w:w="2551" w:type="dxa"/>
            <w:tcMar>
              <w:top w:w="80" w:type="dxa"/>
              <w:left w:w="80" w:type="dxa"/>
              <w:bottom w:w="80" w:type="dxa"/>
              <w:right w:w="80" w:type="dxa"/>
            </w:tcMar>
            <w:vAlign w:val="center"/>
            <w:hideMark/>
          </w:tcPr>
          <w:p w14:paraId="089A77FD"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regression tree achieved a mean absolute error of 5.75 years, confirming a strong association between activity and characteristics.</w:t>
            </w:r>
          </w:p>
        </w:tc>
        <w:tc>
          <w:tcPr>
            <w:tcW w:w="567" w:type="dxa"/>
            <w:tcMar>
              <w:top w:w="80" w:type="dxa"/>
              <w:left w:w="80" w:type="dxa"/>
              <w:bottom w:w="80" w:type="dxa"/>
              <w:right w:w="80" w:type="dxa"/>
            </w:tcMar>
            <w:vAlign w:val="center"/>
            <w:hideMark/>
          </w:tcPr>
          <w:p w14:paraId="28F9CA9A"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11DE377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Insights into age-specific activation patterns facilitate personalized interventions for aging in place.</w:t>
            </w:r>
          </w:p>
        </w:tc>
      </w:tr>
      <w:tr w:rsidR="00A37C7E" w:rsidRPr="006C17CC" w14:paraId="090C3F2E" w14:textId="77777777" w:rsidTr="00465626">
        <w:trPr>
          <w:trHeight w:val="1132"/>
        </w:trPr>
        <w:tc>
          <w:tcPr>
            <w:tcW w:w="1555" w:type="dxa"/>
            <w:tcMar>
              <w:top w:w="80" w:type="dxa"/>
              <w:left w:w="80" w:type="dxa"/>
              <w:bottom w:w="80" w:type="dxa"/>
              <w:right w:w="80" w:type="dxa"/>
            </w:tcMar>
            <w:vAlign w:val="center"/>
            <w:hideMark/>
          </w:tcPr>
          <w:p w14:paraId="72DB2839"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5CA300A0"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745BE5F2"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inclusion of users with mental health issues ensures the model addresses the needs of the most vulnerable groups.</w:t>
            </w:r>
          </w:p>
        </w:tc>
        <w:tc>
          <w:tcPr>
            <w:tcW w:w="2409" w:type="dxa"/>
            <w:tcMar>
              <w:top w:w="80" w:type="dxa"/>
              <w:left w:w="80" w:type="dxa"/>
              <w:bottom w:w="80" w:type="dxa"/>
              <w:right w:w="80" w:type="dxa"/>
            </w:tcMar>
            <w:vAlign w:val="center"/>
            <w:hideMark/>
          </w:tcPr>
          <w:p w14:paraId="04915D5E"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TPP for dimension reduction allows for an interactive and hypothesis-driven exploration of predictors.</w:t>
            </w:r>
          </w:p>
        </w:tc>
        <w:tc>
          <w:tcPr>
            <w:tcW w:w="2552" w:type="dxa"/>
            <w:tcMar>
              <w:top w:w="80" w:type="dxa"/>
              <w:left w:w="80" w:type="dxa"/>
              <w:bottom w:w="80" w:type="dxa"/>
              <w:right w:w="80" w:type="dxa"/>
            </w:tcMar>
            <w:vAlign w:val="center"/>
            <w:hideMark/>
          </w:tcPr>
          <w:p w14:paraId="57B79AB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focus on patterns of behavior across different age groups provides a stable framework for predictive modeling.</w:t>
            </w:r>
          </w:p>
        </w:tc>
        <w:tc>
          <w:tcPr>
            <w:tcW w:w="2551" w:type="dxa"/>
            <w:tcMar>
              <w:top w:w="80" w:type="dxa"/>
              <w:left w:w="80" w:type="dxa"/>
              <w:bottom w:w="80" w:type="dxa"/>
              <w:right w:w="80" w:type="dxa"/>
            </w:tcMar>
            <w:vAlign w:val="center"/>
            <w:hideMark/>
          </w:tcPr>
          <w:p w14:paraId="39B747D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FP-growth algorithms were tuned with appropriate thresholds for support and lift to ensure meaningful results.</w:t>
            </w:r>
          </w:p>
        </w:tc>
        <w:tc>
          <w:tcPr>
            <w:tcW w:w="567" w:type="dxa"/>
            <w:tcMar>
              <w:top w:w="80" w:type="dxa"/>
              <w:left w:w="80" w:type="dxa"/>
              <w:bottom w:w="80" w:type="dxa"/>
              <w:right w:w="80" w:type="dxa"/>
            </w:tcMar>
            <w:vAlign w:val="center"/>
            <w:hideMark/>
          </w:tcPr>
          <w:p w14:paraId="474B78B1"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3561EEA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technology is essential for reducing the anxieties associated with living independently.</w:t>
            </w:r>
          </w:p>
        </w:tc>
      </w:tr>
      <w:tr w:rsidR="00A37C7E" w:rsidRPr="006C17CC" w14:paraId="5F4315D2" w14:textId="77777777" w:rsidTr="00465626">
        <w:trPr>
          <w:trHeight w:val="1132"/>
        </w:trPr>
        <w:tc>
          <w:tcPr>
            <w:tcW w:w="1555" w:type="dxa"/>
            <w:noWrap/>
            <w:tcMar>
              <w:top w:w="80" w:type="dxa"/>
              <w:left w:w="80" w:type="dxa"/>
              <w:bottom w:w="80" w:type="dxa"/>
              <w:right w:w="80" w:type="dxa"/>
            </w:tcMar>
            <w:vAlign w:val="center"/>
            <w:hideMark/>
          </w:tcPr>
          <w:p w14:paraId="35E06D07"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(Anitha &amp; Baghavathi Priya, 2019)</w:t>
            </w:r>
          </w:p>
        </w:tc>
        <w:tc>
          <w:tcPr>
            <w:tcW w:w="567" w:type="dxa"/>
            <w:tcMar>
              <w:top w:w="80" w:type="dxa"/>
              <w:left w:w="80" w:type="dxa"/>
              <w:bottom w:w="80" w:type="dxa"/>
              <w:right w:w="80" w:type="dxa"/>
            </w:tcMar>
            <w:vAlign w:val="center"/>
            <w:hideMark/>
          </w:tcPr>
          <w:p w14:paraId="7DC36A8C"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4CDB883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recruitment of 12 distinct subjects provides a reasonable initial cohort for a feasibility study.</w:t>
            </w:r>
          </w:p>
        </w:tc>
        <w:tc>
          <w:tcPr>
            <w:tcW w:w="2409" w:type="dxa"/>
            <w:tcMar>
              <w:top w:w="80" w:type="dxa"/>
              <w:left w:w="80" w:type="dxa"/>
              <w:bottom w:w="80" w:type="dxa"/>
              <w:right w:w="80" w:type="dxa"/>
            </w:tcMar>
            <w:vAlign w:val="center"/>
            <w:hideMark/>
          </w:tcPr>
          <w:p w14:paraId="1D05ED38"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Features like R transform are robust to environmental noise and preserve user privacy.</w:t>
            </w:r>
          </w:p>
        </w:tc>
        <w:tc>
          <w:tcPr>
            <w:tcW w:w="2552" w:type="dxa"/>
            <w:tcMar>
              <w:top w:w="80" w:type="dxa"/>
              <w:left w:w="80" w:type="dxa"/>
              <w:bottom w:w="80" w:type="dxa"/>
              <w:right w:w="80" w:type="dxa"/>
            </w:tcMar>
            <w:vAlign w:val="center"/>
            <w:hideMark/>
          </w:tcPr>
          <w:p w14:paraId="076A302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a standard confusion matrix confirms the appropriate determination of abnormal activity outcomes.</w:t>
            </w:r>
          </w:p>
        </w:tc>
        <w:tc>
          <w:tcPr>
            <w:tcW w:w="2551" w:type="dxa"/>
            <w:tcMar>
              <w:top w:w="80" w:type="dxa"/>
              <w:left w:w="80" w:type="dxa"/>
              <w:bottom w:w="80" w:type="dxa"/>
              <w:right w:w="80" w:type="dxa"/>
            </w:tcMar>
            <w:vAlign w:val="center"/>
            <w:hideMark/>
          </w:tcPr>
          <w:p w14:paraId="0FC5DB21"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EM algorithm was used to refine parameters and produce local optimum maximum likelihood values.</w:t>
            </w:r>
          </w:p>
        </w:tc>
        <w:tc>
          <w:tcPr>
            <w:tcW w:w="567" w:type="dxa"/>
            <w:tcMar>
              <w:top w:w="80" w:type="dxa"/>
              <w:left w:w="80" w:type="dxa"/>
              <w:bottom w:w="80" w:type="dxa"/>
              <w:right w:w="80" w:type="dxa"/>
            </w:tcMar>
            <w:vAlign w:val="center"/>
            <w:hideMark/>
          </w:tcPr>
          <w:p w14:paraId="347432BE"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8CB6DE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system is highly relevant to the safety and well-being of community dwelling older adults.</w:t>
            </w:r>
          </w:p>
        </w:tc>
      </w:tr>
      <w:tr w:rsidR="00A37C7E" w:rsidRPr="006C17CC" w14:paraId="7DBC9F1F" w14:textId="77777777" w:rsidTr="00465626">
        <w:trPr>
          <w:trHeight w:val="1132"/>
        </w:trPr>
        <w:tc>
          <w:tcPr>
            <w:tcW w:w="1555" w:type="dxa"/>
            <w:tcMar>
              <w:top w:w="80" w:type="dxa"/>
              <w:left w:w="80" w:type="dxa"/>
              <w:bottom w:w="80" w:type="dxa"/>
              <w:right w:w="80" w:type="dxa"/>
            </w:tcMar>
            <w:vAlign w:val="center"/>
            <w:hideMark/>
          </w:tcPr>
          <w:p w14:paraId="2BA90543"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0E3BAB5E"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2229E854"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participants were mentally fit individuals which aligns with the study target for home monitoring.</w:t>
            </w:r>
          </w:p>
        </w:tc>
        <w:tc>
          <w:tcPr>
            <w:tcW w:w="2409" w:type="dxa"/>
            <w:tcMar>
              <w:top w:w="80" w:type="dxa"/>
              <w:left w:w="80" w:type="dxa"/>
              <w:bottom w:w="80" w:type="dxa"/>
              <w:right w:w="80" w:type="dxa"/>
            </w:tcMar>
            <w:vAlign w:val="center"/>
            <w:hideMark/>
          </w:tcPr>
          <w:p w14:paraId="3CC29451"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Dimensionality reduction from 1*2500 to 1*15 ensures that only significant predictors are used.</w:t>
            </w:r>
          </w:p>
        </w:tc>
        <w:tc>
          <w:tcPr>
            <w:tcW w:w="2552" w:type="dxa"/>
            <w:tcMar>
              <w:top w:w="80" w:type="dxa"/>
              <w:left w:w="80" w:type="dxa"/>
              <w:bottom w:w="80" w:type="dxa"/>
              <w:right w:w="80" w:type="dxa"/>
            </w:tcMar>
            <w:vAlign w:val="center"/>
            <w:hideMark/>
          </w:tcPr>
          <w:p w14:paraId="0FC0AAF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outcomes were pre-specified and verified by medical experts during the design phase.</w:t>
            </w:r>
          </w:p>
        </w:tc>
        <w:tc>
          <w:tcPr>
            <w:tcW w:w="2551" w:type="dxa"/>
            <w:tcMar>
              <w:top w:w="80" w:type="dxa"/>
              <w:left w:w="80" w:type="dxa"/>
              <w:bottom w:w="80" w:type="dxa"/>
              <w:right w:w="80" w:type="dxa"/>
            </w:tcMar>
            <w:vAlign w:val="center"/>
            <w:hideMark/>
          </w:tcPr>
          <w:p w14:paraId="6D6A85E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Training and testing plots were reported as similar which suggests the model generalized well.</w:t>
            </w:r>
          </w:p>
        </w:tc>
        <w:tc>
          <w:tcPr>
            <w:tcW w:w="567" w:type="dxa"/>
            <w:tcMar>
              <w:top w:w="80" w:type="dxa"/>
              <w:left w:w="80" w:type="dxa"/>
              <w:bottom w:w="80" w:type="dxa"/>
              <w:right w:w="80" w:type="dxa"/>
            </w:tcMar>
            <w:vAlign w:val="center"/>
            <w:hideMark/>
          </w:tcPr>
          <w:p w14:paraId="2AA03BD9"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024C594"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Using low cost sensors like Kinect facilitates the practical application of aging in place technology.</w:t>
            </w:r>
          </w:p>
        </w:tc>
      </w:tr>
      <w:tr w:rsidR="00FB6B47" w14:paraId="7CC27488" w14:textId="77777777">
        <w:tc>
          <w:tcPr>
            <w:tcW w:w="1555" w:type="dxa"/>
            <w:tcMar>
              <w:top w:w="80" w:type="dxa"/>
              <w:left w:w="80" w:type="dxa"/>
              <w:bottom w:w="80" w:type="dxa"/>
              <w:right w:w="80" w:type="dxa"/>
            </w:tcMar>
            <w:vAlign w:val="center"/>
          </w:tcPr>
          <w:p w14:paraId="483158BB" w14:textId="77777777" w:rsidR="00FB6B47" w:rsidRDefault="00000000">
            <w:pPr>
              <w:jc w:val="center"/>
              <w:rPr>
                <w:rFonts w:hint="eastAsia"/>
              </w:rPr>
            </w:pPr>
            <w:r>
              <w:rPr>
                <w:rFonts w:ascii="Times New Roman" w:hAnsi="Times New Roman" w:cs="Times New Roman"/>
                <w:sz w:val="18"/>
              </w:rPr>
              <w:t>(Augustyniak, 2014)</w:t>
            </w:r>
          </w:p>
        </w:tc>
        <w:tc>
          <w:tcPr>
            <w:tcW w:w="567" w:type="dxa"/>
            <w:tcMar>
              <w:top w:w="80" w:type="dxa"/>
              <w:left w:w="80" w:type="dxa"/>
              <w:bottom w:w="80" w:type="dxa"/>
              <w:right w:w="80" w:type="dxa"/>
            </w:tcMar>
            <w:vAlign w:val="center"/>
          </w:tcPr>
          <w:p w14:paraId="2825CA23"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4CC87023" w14:textId="77777777" w:rsidR="00FB6B47" w:rsidRDefault="00000000">
            <w:pPr>
              <w:jc w:val="left"/>
              <w:rPr>
                <w:rFonts w:hint="eastAsia"/>
              </w:rPr>
            </w:pPr>
            <w:r>
              <w:rPr>
                <w:rFonts w:ascii="Times New Roman" w:hAnsi="Times New Roman" w:cs="Times New Roman"/>
                <w:sz w:val="18"/>
              </w:rPr>
              <w:t>High Risk. The evidence came from prototype or experimental settings.</w:t>
            </w:r>
          </w:p>
        </w:tc>
        <w:tc>
          <w:tcPr>
            <w:tcW w:w="2409" w:type="dxa"/>
            <w:tcMar>
              <w:top w:w="80" w:type="dxa"/>
              <w:left w:w="80" w:type="dxa"/>
              <w:bottom w:w="80" w:type="dxa"/>
              <w:right w:w="80" w:type="dxa"/>
            </w:tcMar>
            <w:vAlign w:val="center"/>
          </w:tcPr>
          <w:p w14:paraId="4082DD3C" w14:textId="77777777" w:rsidR="00FB6B47" w:rsidRDefault="00000000">
            <w:pPr>
              <w:jc w:val="left"/>
              <w:rPr>
                <w:rFonts w:hint="eastAsia"/>
              </w:rPr>
            </w:pPr>
            <w:r>
              <w:rPr>
                <w:rFonts w:ascii="Times New Roman" w:hAnsi="Times New Roman" w:cs="Times New Roman"/>
                <w:sz w:val="18"/>
              </w:rPr>
              <w:t>Low Risk. Predictors were technically specified.</w:t>
            </w:r>
          </w:p>
        </w:tc>
        <w:tc>
          <w:tcPr>
            <w:tcW w:w="2552" w:type="dxa"/>
            <w:tcMar>
              <w:top w:w="80" w:type="dxa"/>
              <w:left w:w="80" w:type="dxa"/>
              <w:bottom w:w="80" w:type="dxa"/>
              <w:right w:w="80" w:type="dxa"/>
            </w:tcMar>
            <w:vAlign w:val="center"/>
          </w:tcPr>
          <w:p w14:paraId="776E1D90" w14:textId="77777777" w:rsidR="00FB6B47" w:rsidRDefault="00000000">
            <w:pPr>
              <w:jc w:val="left"/>
              <w:rPr>
                <w:rFonts w:hint="eastAsia"/>
              </w:rPr>
            </w:pPr>
            <w:r>
              <w:rPr>
                <w:rFonts w:ascii="Times New Roman" w:hAnsi="Times New Roman" w:cs="Times New Roman"/>
                <w:sz w:val="18"/>
              </w:rPr>
              <w:t>High Risk. Outcomes were technical performance endpoints.</w:t>
            </w:r>
          </w:p>
        </w:tc>
        <w:tc>
          <w:tcPr>
            <w:tcW w:w="2551" w:type="dxa"/>
            <w:tcMar>
              <w:top w:w="80" w:type="dxa"/>
              <w:left w:w="80" w:type="dxa"/>
              <w:bottom w:w="80" w:type="dxa"/>
              <w:right w:w="80" w:type="dxa"/>
            </w:tcMar>
            <w:vAlign w:val="center"/>
          </w:tcPr>
          <w:p w14:paraId="56710430" w14:textId="77777777" w:rsidR="00FB6B47" w:rsidRDefault="00000000">
            <w:pPr>
              <w:jc w:val="left"/>
              <w:rPr>
                <w:rFonts w:hint="eastAsia"/>
              </w:rPr>
            </w:pPr>
            <w:r>
              <w:rPr>
                <w:rFonts w:ascii="Times New Roman" w:hAnsi="Times New Roman" w:cs="Times New Roman"/>
                <w:sz w:val="18"/>
              </w:rPr>
              <w:t>High Risk. Validation was insufficient for model reliability.</w:t>
            </w:r>
          </w:p>
        </w:tc>
        <w:tc>
          <w:tcPr>
            <w:tcW w:w="567" w:type="dxa"/>
            <w:tcMar>
              <w:top w:w="80" w:type="dxa"/>
              <w:left w:w="80" w:type="dxa"/>
              <w:bottom w:w="80" w:type="dxa"/>
              <w:right w:w="80" w:type="dxa"/>
            </w:tcMar>
            <w:vAlign w:val="center"/>
          </w:tcPr>
          <w:p w14:paraId="48BA8E69"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37F63E58" w14:textId="77777777" w:rsidR="00FB6B47" w:rsidRDefault="00000000">
            <w:pPr>
              <w:jc w:val="left"/>
              <w:rPr>
                <w:rFonts w:hint="eastAsia"/>
              </w:rPr>
            </w:pPr>
            <w:r>
              <w:rPr>
                <w:rFonts w:ascii="Times New Roman" w:hAnsi="Times New Roman" w:cs="Times New Roman"/>
                <w:sz w:val="18"/>
              </w:rPr>
              <w:t>High Concern. Applicability to aging in place outcomes was limited.</w:t>
            </w:r>
          </w:p>
        </w:tc>
      </w:tr>
      <w:tr w:rsidR="00FB6B47" w14:paraId="6FA44EC2" w14:textId="77777777">
        <w:tc>
          <w:tcPr>
            <w:tcW w:w="1555" w:type="dxa"/>
            <w:tcMar>
              <w:top w:w="80" w:type="dxa"/>
              <w:left w:w="80" w:type="dxa"/>
              <w:bottom w:w="80" w:type="dxa"/>
              <w:right w:w="80" w:type="dxa"/>
            </w:tcMar>
            <w:vAlign w:val="center"/>
          </w:tcPr>
          <w:p w14:paraId="4AFD78F2"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7915B959"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51747894" w14:textId="77777777" w:rsidR="00FB6B47" w:rsidRDefault="00000000">
            <w:pPr>
              <w:jc w:val="left"/>
              <w:rPr>
                <w:rFonts w:hint="eastAsia"/>
              </w:rPr>
            </w:pPr>
            <w:r>
              <w:rPr>
                <w:rFonts w:ascii="Times New Roman" w:hAnsi="Times New Roman" w:cs="Times New Roman"/>
                <w:sz w:val="18"/>
              </w:rPr>
              <w:t xml:space="preserve">High Risk. The evidence came from prototype or </w:t>
            </w:r>
            <w:r>
              <w:rPr>
                <w:rFonts w:ascii="Times New Roman" w:hAnsi="Times New Roman" w:cs="Times New Roman"/>
                <w:sz w:val="18"/>
              </w:rPr>
              <w:lastRenderedPageBreak/>
              <w:t>experimental settings.</w:t>
            </w:r>
          </w:p>
        </w:tc>
        <w:tc>
          <w:tcPr>
            <w:tcW w:w="2409" w:type="dxa"/>
            <w:tcMar>
              <w:top w:w="80" w:type="dxa"/>
              <w:left w:w="80" w:type="dxa"/>
              <w:bottom w:w="80" w:type="dxa"/>
              <w:right w:w="80" w:type="dxa"/>
            </w:tcMar>
            <w:vAlign w:val="center"/>
          </w:tcPr>
          <w:p w14:paraId="7C42994F" w14:textId="77777777" w:rsidR="00FB6B47" w:rsidRDefault="00000000">
            <w:pPr>
              <w:jc w:val="left"/>
              <w:rPr>
                <w:rFonts w:hint="eastAsia"/>
              </w:rPr>
            </w:pPr>
            <w:r>
              <w:rPr>
                <w:rFonts w:ascii="Times New Roman" w:hAnsi="Times New Roman" w:cs="Times New Roman"/>
                <w:sz w:val="18"/>
              </w:rPr>
              <w:lastRenderedPageBreak/>
              <w:t>Low Risk. Predictors were technically specified.</w:t>
            </w:r>
          </w:p>
        </w:tc>
        <w:tc>
          <w:tcPr>
            <w:tcW w:w="2552" w:type="dxa"/>
            <w:tcMar>
              <w:top w:w="80" w:type="dxa"/>
              <w:left w:w="80" w:type="dxa"/>
              <w:bottom w:w="80" w:type="dxa"/>
              <w:right w:w="80" w:type="dxa"/>
            </w:tcMar>
            <w:vAlign w:val="center"/>
          </w:tcPr>
          <w:p w14:paraId="220059D9" w14:textId="77777777" w:rsidR="00FB6B47" w:rsidRDefault="00000000">
            <w:pPr>
              <w:jc w:val="left"/>
              <w:rPr>
                <w:rFonts w:hint="eastAsia"/>
              </w:rPr>
            </w:pPr>
            <w:r>
              <w:rPr>
                <w:rFonts w:ascii="Times New Roman" w:hAnsi="Times New Roman" w:cs="Times New Roman"/>
                <w:sz w:val="18"/>
              </w:rPr>
              <w:t xml:space="preserve">High Risk. Outcomes were technical performance </w:t>
            </w:r>
            <w:r>
              <w:rPr>
                <w:rFonts w:ascii="Times New Roman" w:hAnsi="Times New Roman" w:cs="Times New Roman"/>
                <w:sz w:val="18"/>
              </w:rPr>
              <w:lastRenderedPageBreak/>
              <w:t>endpoints.</w:t>
            </w:r>
          </w:p>
        </w:tc>
        <w:tc>
          <w:tcPr>
            <w:tcW w:w="2551" w:type="dxa"/>
            <w:tcMar>
              <w:top w:w="80" w:type="dxa"/>
              <w:left w:w="80" w:type="dxa"/>
              <w:bottom w:w="80" w:type="dxa"/>
              <w:right w:w="80" w:type="dxa"/>
            </w:tcMar>
            <w:vAlign w:val="center"/>
          </w:tcPr>
          <w:p w14:paraId="02838DE9" w14:textId="77777777" w:rsidR="00FB6B47" w:rsidRDefault="00000000">
            <w:pPr>
              <w:jc w:val="left"/>
              <w:rPr>
                <w:rFonts w:hint="eastAsia"/>
              </w:rPr>
            </w:pPr>
            <w:r>
              <w:rPr>
                <w:rFonts w:ascii="Times New Roman" w:hAnsi="Times New Roman" w:cs="Times New Roman"/>
                <w:sz w:val="18"/>
              </w:rPr>
              <w:lastRenderedPageBreak/>
              <w:t>High Risk. Validation was insufficient for model reliability.</w:t>
            </w:r>
          </w:p>
        </w:tc>
        <w:tc>
          <w:tcPr>
            <w:tcW w:w="567" w:type="dxa"/>
            <w:tcMar>
              <w:top w:w="80" w:type="dxa"/>
              <w:left w:w="80" w:type="dxa"/>
              <w:bottom w:w="80" w:type="dxa"/>
              <w:right w:w="80" w:type="dxa"/>
            </w:tcMar>
            <w:vAlign w:val="center"/>
          </w:tcPr>
          <w:p w14:paraId="0BE7E057"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59962207" w14:textId="77777777" w:rsidR="00FB6B47" w:rsidRDefault="00000000">
            <w:pPr>
              <w:jc w:val="left"/>
              <w:rPr>
                <w:rFonts w:hint="eastAsia"/>
              </w:rPr>
            </w:pPr>
            <w:r>
              <w:rPr>
                <w:rFonts w:ascii="Times New Roman" w:hAnsi="Times New Roman" w:cs="Times New Roman"/>
                <w:sz w:val="18"/>
              </w:rPr>
              <w:t>High Concern. Applicability to aging in place outcomes was limited.</w:t>
            </w:r>
          </w:p>
        </w:tc>
      </w:tr>
      <w:tr w:rsidR="00FB6B47" w14:paraId="3B3D3170" w14:textId="77777777">
        <w:tc>
          <w:tcPr>
            <w:tcW w:w="1555" w:type="dxa"/>
            <w:tcMar>
              <w:top w:w="80" w:type="dxa"/>
              <w:left w:w="80" w:type="dxa"/>
              <w:bottom w:w="80" w:type="dxa"/>
              <w:right w:w="80" w:type="dxa"/>
            </w:tcMar>
            <w:vAlign w:val="center"/>
          </w:tcPr>
          <w:p w14:paraId="0D6E4C6F" w14:textId="77777777" w:rsidR="00FB6B47" w:rsidRDefault="00000000">
            <w:pPr>
              <w:jc w:val="center"/>
              <w:rPr>
                <w:rFonts w:hint="eastAsia"/>
              </w:rPr>
            </w:pPr>
            <w:r>
              <w:rPr>
                <w:rFonts w:ascii="Times New Roman" w:hAnsi="Times New Roman" w:cs="Times New Roman"/>
                <w:sz w:val="18"/>
              </w:rPr>
              <w:t>(Awais et al., 2021)</w:t>
            </w:r>
          </w:p>
        </w:tc>
        <w:tc>
          <w:tcPr>
            <w:tcW w:w="567" w:type="dxa"/>
            <w:tcMar>
              <w:top w:w="80" w:type="dxa"/>
              <w:left w:w="80" w:type="dxa"/>
              <w:bottom w:w="80" w:type="dxa"/>
              <w:right w:w="80" w:type="dxa"/>
            </w:tcMar>
            <w:vAlign w:val="center"/>
          </w:tcPr>
          <w:p w14:paraId="5B76FDCA"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7EF30273" w14:textId="77777777" w:rsidR="00FB6B47" w:rsidRDefault="00000000">
            <w:pPr>
              <w:jc w:val="left"/>
              <w:rPr>
                <w:rFonts w:hint="eastAsia"/>
              </w:rPr>
            </w:pPr>
            <w:r>
              <w:rPr>
                <w:rFonts w:ascii="Times New Roman" w:hAnsi="Times New Roman" w:cs="Times New Roman"/>
                <w:sz w:val="18"/>
              </w:rPr>
              <w:t>High Risk. Public benchmark datasets were not designed for clinical aging in place appraisal.</w:t>
            </w:r>
          </w:p>
        </w:tc>
        <w:tc>
          <w:tcPr>
            <w:tcW w:w="2409" w:type="dxa"/>
            <w:tcMar>
              <w:top w:w="80" w:type="dxa"/>
              <w:left w:w="80" w:type="dxa"/>
              <w:bottom w:w="80" w:type="dxa"/>
              <w:right w:w="80" w:type="dxa"/>
            </w:tcMar>
            <w:vAlign w:val="center"/>
          </w:tcPr>
          <w:p w14:paraId="4BB1EE56" w14:textId="77777777" w:rsidR="00FB6B47" w:rsidRDefault="00000000">
            <w:pPr>
              <w:jc w:val="left"/>
              <w:rPr>
                <w:rFonts w:hint="eastAsia"/>
              </w:rPr>
            </w:pPr>
            <w:r>
              <w:rPr>
                <w:rFonts w:ascii="Times New Roman" w:hAnsi="Times New Roman" w:cs="Times New Roman"/>
                <w:sz w:val="18"/>
              </w:rPr>
              <w:t>Low Risk. Predictors were well specified for the curated sensor or skeleton inputs.</w:t>
            </w:r>
          </w:p>
        </w:tc>
        <w:tc>
          <w:tcPr>
            <w:tcW w:w="2552" w:type="dxa"/>
            <w:tcMar>
              <w:top w:w="80" w:type="dxa"/>
              <w:left w:w="80" w:type="dxa"/>
              <w:bottom w:w="80" w:type="dxa"/>
              <w:right w:w="80" w:type="dxa"/>
            </w:tcMar>
            <w:vAlign w:val="center"/>
          </w:tcPr>
          <w:p w14:paraId="04113D20" w14:textId="77777777" w:rsidR="00FB6B47" w:rsidRDefault="00000000">
            <w:pPr>
              <w:jc w:val="left"/>
              <w:rPr>
                <w:rFonts w:hint="eastAsia"/>
              </w:rPr>
            </w:pPr>
            <w:r>
              <w:rPr>
                <w:rFonts w:ascii="Times New Roman" w:hAnsi="Times New Roman" w:cs="Times New Roman"/>
                <w:sz w:val="18"/>
              </w:rPr>
              <w:t>High Risk. Activity labels were proxy outcomes rather than health outcomes.</w:t>
            </w:r>
          </w:p>
        </w:tc>
        <w:tc>
          <w:tcPr>
            <w:tcW w:w="2551" w:type="dxa"/>
            <w:tcMar>
              <w:top w:w="80" w:type="dxa"/>
              <w:left w:w="80" w:type="dxa"/>
              <w:bottom w:w="80" w:type="dxa"/>
              <w:right w:w="80" w:type="dxa"/>
            </w:tcMar>
            <w:vAlign w:val="center"/>
          </w:tcPr>
          <w:p w14:paraId="2462ACF9" w14:textId="77777777" w:rsidR="00FB6B47" w:rsidRDefault="00000000">
            <w:pPr>
              <w:jc w:val="left"/>
              <w:rPr>
                <w:rFonts w:hint="eastAsia"/>
              </w:rPr>
            </w:pPr>
            <w:r>
              <w:rPr>
                <w:rFonts w:ascii="Times New Roman" w:hAnsi="Times New Roman" w:cs="Times New Roman"/>
                <w:sz w:val="18"/>
              </w:rPr>
              <w:t>High Risk. Validation relied mainly on internal or benchmark testing.</w:t>
            </w:r>
          </w:p>
        </w:tc>
        <w:tc>
          <w:tcPr>
            <w:tcW w:w="567" w:type="dxa"/>
            <w:tcMar>
              <w:top w:w="80" w:type="dxa"/>
              <w:left w:w="80" w:type="dxa"/>
              <w:bottom w:w="80" w:type="dxa"/>
              <w:right w:w="80" w:type="dxa"/>
            </w:tcMar>
            <w:vAlign w:val="center"/>
          </w:tcPr>
          <w:p w14:paraId="789296B5"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2AAC9E2F" w14:textId="77777777" w:rsidR="00FB6B47" w:rsidRDefault="00000000">
            <w:pPr>
              <w:jc w:val="left"/>
              <w:rPr>
                <w:rFonts w:hint="eastAsia"/>
              </w:rPr>
            </w:pPr>
            <w:r>
              <w:rPr>
                <w:rFonts w:ascii="Times New Roman" w:hAnsi="Times New Roman" w:cs="Times New Roman"/>
                <w:sz w:val="18"/>
              </w:rPr>
              <w:t>High Concern. Applicability to community dwelling older adults was limited.</w:t>
            </w:r>
          </w:p>
        </w:tc>
      </w:tr>
      <w:tr w:rsidR="00FB6B47" w14:paraId="6129474B" w14:textId="77777777">
        <w:tc>
          <w:tcPr>
            <w:tcW w:w="1555" w:type="dxa"/>
            <w:tcMar>
              <w:top w:w="80" w:type="dxa"/>
              <w:left w:w="80" w:type="dxa"/>
              <w:bottom w:w="80" w:type="dxa"/>
              <w:right w:w="80" w:type="dxa"/>
            </w:tcMar>
            <w:vAlign w:val="center"/>
          </w:tcPr>
          <w:p w14:paraId="359E70A7"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1A547DC7"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3669FD3B" w14:textId="77777777" w:rsidR="00FB6B47" w:rsidRDefault="00000000">
            <w:pPr>
              <w:jc w:val="left"/>
              <w:rPr>
                <w:rFonts w:hint="eastAsia"/>
              </w:rPr>
            </w:pPr>
            <w:r>
              <w:rPr>
                <w:rFonts w:ascii="Times New Roman" w:hAnsi="Times New Roman" w:cs="Times New Roman"/>
                <w:sz w:val="18"/>
              </w:rPr>
              <w:t>High Risk. Public benchmark datasets were not designed for clinical aging in place appraisal.</w:t>
            </w:r>
          </w:p>
        </w:tc>
        <w:tc>
          <w:tcPr>
            <w:tcW w:w="2409" w:type="dxa"/>
            <w:tcMar>
              <w:top w:w="80" w:type="dxa"/>
              <w:left w:w="80" w:type="dxa"/>
              <w:bottom w:w="80" w:type="dxa"/>
              <w:right w:w="80" w:type="dxa"/>
            </w:tcMar>
            <w:vAlign w:val="center"/>
          </w:tcPr>
          <w:p w14:paraId="1B249448" w14:textId="77777777" w:rsidR="00FB6B47" w:rsidRDefault="00000000">
            <w:pPr>
              <w:jc w:val="left"/>
              <w:rPr>
                <w:rFonts w:hint="eastAsia"/>
              </w:rPr>
            </w:pPr>
            <w:r>
              <w:rPr>
                <w:rFonts w:ascii="Times New Roman" w:hAnsi="Times New Roman" w:cs="Times New Roman"/>
                <w:sz w:val="18"/>
              </w:rPr>
              <w:t>Low Risk. Predictors were well specified for the curated sensor or skeleton inputs.</w:t>
            </w:r>
          </w:p>
        </w:tc>
        <w:tc>
          <w:tcPr>
            <w:tcW w:w="2552" w:type="dxa"/>
            <w:tcMar>
              <w:top w:w="80" w:type="dxa"/>
              <w:left w:w="80" w:type="dxa"/>
              <w:bottom w:w="80" w:type="dxa"/>
              <w:right w:w="80" w:type="dxa"/>
            </w:tcMar>
            <w:vAlign w:val="center"/>
          </w:tcPr>
          <w:p w14:paraId="65594B72" w14:textId="77777777" w:rsidR="00FB6B47" w:rsidRDefault="00000000">
            <w:pPr>
              <w:jc w:val="left"/>
              <w:rPr>
                <w:rFonts w:hint="eastAsia"/>
              </w:rPr>
            </w:pPr>
            <w:r>
              <w:rPr>
                <w:rFonts w:ascii="Times New Roman" w:hAnsi="Times New Roman" w:cs="Times New Roman"/>
                <w:sz w:val="18"/>
              </w:rPr>
              <w:t>High Risk. Activity labels were proxy outcomes rather than health outcomes.</w:t>
            </w:r>
          </w:p>
        </w:tc>
        <w:tc>
          <w:tcPr>
            <w:tcW w:w="2551" w:type="dxa"/>
            <w:tcMar>
              <w:top w:w="80" w:type="dxa"/>
              <w:left w:w="80" w:type="dxa"/>
              <w:bottom w:w="80" w:type="dxa"/>
              <w:right w:w="80" w:type="dxa"/>
            </w:tcMar>
            <w:vAlign w:val="center"/>
          </w:tcPr>
          <w:p w14:paraId="2DB04495" w14:textId="77777777" w:rsidR="00FB6B47" w:rsidRDefault="00000000">
            <w:pPr>
              <w:jc w:val="left"/>
              <w:rPr>
                <w:rFonts w:hint="eastAsia"/>
              </w:rPr>
            </w:pPr>
            <w:r>
              <w:rPr>
                <w:rFonts w:ascii="Times New Roman" w:hAnsi="Times New Roman" w:cs="Times New Roman"/>
                <w:sz w:val="18"/>
              </w:rPr>
              <w:t>High Risk. Validation relied mainly on internal or benchmark testing.</w:t>
            </w:r>
          </w:p>
        </w:tc>
        <w:tc>
          <w:tcPr>
            <w:tcW w:w="567" w:type="dxa"/>
            <w:tcMar>
              <w:top w:w="80" w:type="dxa"/>
              <w:left w:w="80" w:type="dxa"/>
              <w:bottom w:w="80" w:type="dxa"/>
              <w:right w:w="80" w:type="dxa"/>
            </w:tcMar>
            <w:vAlign w:val="center"/>
          </w:tcPr>
          <w:p w14:paraId="5E43DEBF"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6CC51E53" w14:textId="77777777" w:rsidR="00FB6B47" w:rsidRDefault="00000000">
            <w:pPr>
              <w:jc w:val="left"/>
              <w:rPr>
                <w:rFonts w:hint="eastAsia"/>
              </w:rPr>
            </w:pPr>
            <w:r>
              <w:rPr>
                <w:rFonts w:ascii="Times New Roman" w:hAnsi="Times New Roman" w:cs="Times New Roman"/>
                <w:sz w:val="18"/>
              </w:rPr>
              <w:t>High Concern. Applicability to community dwelling older adults was limited.</w:t>
            </w:r>
          </w:p>
        </w:tc>
      </w:tr>
      <w:tr w:rsidR="00FB6B47" w14:paraId="70E2C725" w14:textId="77777777">
        <w:tc>
          <w:tcPr>
            <w:tcW w:w="1555" w:type="dxa"/>
            <w:tcMar>
              <w:top w:w="80" w:type="dxa"/>
              <w:left w:w="80" w:type="dxa"/>
              <w:bottom w:w="80" w:type="dxa"/>
              <w:right w:w="80" w:type="dxa"/>
            </w:tcMar>
            <w:vAlign w:val="center"/>
          </w:tcPr>
          <w:p w14:paraId="07A0ECE1" w14:textId="77777777" w:rsidR="00FB6B47" w:rsidRDefault="00000000">
            <w:pPr>
              <w:jc w:val="center"/>
              <w:rPr>
                <w:rFonts w:hint="eastAsia"/>
              </w:rPr>
            </w:pPr>
            <w:r>
              <w:rPr>
                <w:rFonts w:ascii="Times New Roman" w:hAnsi="Times New Roman" w:cs="Times New Roman"/>
                <w:sz w:val="18"/>
              </w:rPr>
              <w:t>(Basahel et al., 2023)</w:t>
            </w:r>
          </w:p>
        </w:tc>
        <w:tc>
          <w:tcPr>
            <w:tcW w:w="567" w:type="dxa"/>
            <w:tcMar>
              <w:top w:w="80" w:type="dxa"/>
              <w:left w:w="80" w:type="dxa"/>
              <w:bottom w:w="80" w:type="dxa"/>
              <w:right w:w="80" w:type="dxa"/>
            </w:tcMar>
            <w:vAlign w:val="center"/>
          </w:tcPr>
          <w:p w14:paraId="43AC250B"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3E15DE67" w14:textId="77777777" w:rsidR="00FB6B47" w:rsidRDefault="00000000">
            <w:pPr>
              <w:jc w:val="left"/>
              <w:rPr>
                <w:rFonts w:hint="eastAsia"/>
              </w:rPr>
            </w:pPr>
            <w:r>
              <w:rPr>
                <w:rFonts w:ascii="Times New Roman" w:hAnsi="Times New Roman" w:cs="Times New Roman"/>
                <w:sz w:val="18"/>
              </w:rPr>
              <w:t>High Risk. Image or video datasets did not adequately represent older adults at home.</w:t>
            </w:r>
          </w:p>
        </w:tc>
        <w:tc>
          <w:tcPr>
            <w:tcW w:w="2409" w:type="dxa"/>
            <w:tcMar>
              <w:top w:w="80" w:type="dxa"/>
              <w:left w:w="80" w:type="dxa"/>
              <w:bottom w:w="80" w:type="dxa"/>
              <w:right w:w="80" w:type="dxa"/>
            </w:tcMar>
            <w:vAlign w:val="center"/>
          </w:tcPr>
          <w:p w14:paraId="6801F33A" w14:textId="77777777" w:rsidR="00FB6B47" w:rsidRDefault="00000000">
            <w:pPr>
              <w:jc w:val="left"/>
              <w:rPr>
                <w:rFonts w:hint="eastAsia"/>
              </w:rPr>
            </w:pPr>
            <w:r>
              <w:rPr>
                <w:rFonts w:ascii="Times New Roman" w:hAnsi="Times New Roman" w:cs="Times New Roman"/>
                <w:sz w:val="18"/>
              </w:rPr>
              <w:t>Low Risk. Visual predictors were defined for the model task.</w:t>
            </w:r>
          </w:p>
        </w:tc>
        <w:tc>
          <w:tcPr>
            <w:tcW w:w="2552" w:type="dxa"/>
            <w:tcMar>
              <w:top w:w="80" w:type="dxa"/>
              <w:left w:w="80" w:type="dxa"/>
              <w:bottom w:w="80" w:type="dxa"/>
              <w:right w:w="80" w:type="dxa"/>
            </w:tcMar>
            <w:vAlign w:val="center"/>
          </w:tcPr>
          <w:p w14:paraId="2DDCE1CC" w14:textId="77777777" w:rsidR="00FB6B47" w:rsidRDefault="00000000">
            <w:pPr>
              <w:jc w:val="left"/>
              <w:rPr>
                <w:rFonts w:hint="eastAsia"/>
              </w:rPr>
            </w:pPr>
            <w:r>
              <w:rPr>
                <w:rFonts w:ascii="Times New Roman" w:hAnsi="Times New Roman" w:cs="Times New Roman"/>
                <w:sz w:val="18"/>
              </w:rPr>
              <w:t>High Risk. Outcome labels were proxy detection tasks rather than validated clinical outcomes.</w:t>
            </w:r>
          </w:p>
        </w:tc>
        <w:tc>
          <w:tcPr>
            <w:tcW w:w="2551" w:type="dxa"/>
            <w:tcMar>
              <w:top w:w="80" w:type="dxa"/>
              <w:left w:w="80" w:type="dxa"/>
              <w:bottom w:w="80" w:type="dxa"/>
              <w:right w:w="80" w:type="dxa"/>
            </w:tcMar>
            <w:vAlign w:val="center"/>
          </w:tcPr>
          <w:p w14:paraId="0DCF0DE7" w14:textId="77777777" w:rsidR="00FB6B47" w:rsidRDefault="00000000">
            <w:pPr>
              <w:jc w:val="left"/>
              <w:rPr>
                <w:rFonts w:hint="eastAsia"/>
              </w:rPr>
            </w:pPr>
            <w:r>
              <w:rPr>
                <w:rFonts w:ascii="Times New Roman" w:hAnsi="Times New Roman" w:cs="Times New Roman"/>
                <w:sz w:val="18"/>
              </w:rPr>
              <w:t>High Risk. Evaluation relied on internal or simulated performance metrics.</w:t>
            </w:r>
          </w:p>
        </w:tc>
        <w:tc>
          <w:tcPr>
            <w:tcW w:w="567" w:type="dxa"/>
            <w:tcMar>
              <w:top w:w="80" w:type="dxa"/>
              <w:left w:w="80" w:type="dxa"/>
              <w:bottom w:w="80" w:type="dxa"/>
              <w:right w:w="80" w:type="dxa"/>
            </w:tcMar>
            <w:vAlign w:val="center"/>
          </w:tcPr>
          <w:p w14:paraId="5B5512A2"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69B8C823" w14:textId="77777777" w:rsidR="00FB6B47" w:rsidRDefault="00000000">
            <w:pPr>
              <w:jc w:val="left"/>
              <w:rPr>
                <w:rFonts w:hint="eastAsia"/>
              </w:rPr>
            </w:pPr>
            <w:r>
              <w:rPr>
                <w:rFonts w:ascii="Times New Roman" w:hAnsi="Times New Roman" w:cs="Times New Roman"/>
                <w:sz w:val="18"/>
              </w:rPr>
              <w:t>High Concern. Real world aging in place applicability was not established.</w:t>
            </w:r>
          </w:p>
        </w:tc>
      </w:tr>
      <w:tr w:rsidR="00FB6B47" w14:paraId="27780D83" w14:textId="77777777">
        <w:tc>
          <w:tcPr>
            <w:tcW w:w="1555" w:type="dxa"/>
            <w:tcMar>
              <w:top w:w="80" w:type="dxa"/>
              <w:left w:w="80" w:type="dxa"/>
              <w:bottom w:w="80" w:type="dxa"/>
              <w:right w:w="80" w:type="dxa"/>
            </w:tcMar>
            <w:vAlign w:val="center"/>
          </w:tcPr>
          <w:p w14:paraId="46FECDE1"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382CF8E5"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30553FF6" w14:textId="77777777" w:rsidR="00FB6B47" w:rsidRDefault="00000000">
            <w:pPr>
              <w:jc w:val="left"/>
              <w:rPr>
                <w:rFonts w:hint="eastAsia"/>
              </w:rPr>
            </w:pPr>
            <w:r>
              <w:rPr>
                <w:rFonts w:ascii="Times New Roman" w:hAnsi="Times New Roman" w:cs="Times New Roman"/>
                <w:sz w:val="18"/>
              </w:rPr>
              <w:t>High Risk. Image or video datasets did not adequately represent older adults at home.</w:t>
            </w:r>
          </w:p>
        </w:tc>
        <w:tc>
          <w:tcPr>
            <w:tcW w:w="2409" w:type="dxa"/>
            <w:tcMar>
              <w:top w:w="80" w:type="dxa"/>
              <w:left w:w="80" w:type="dxa"/>
              <w:bottom w:w="80" w:type="dxa"/>
              <w:right w:w="80" w:type="dxa"/>
            </w:tcMar>
            <w:vAlign w:val="center"/>
          </w:tcPr>
          <w:p w14:paraId="518380E1" w14:textId="77777777" w:rsidR="00FB6B47" w:rsidRDefault="00000000">
            <w:pPr>
              <w:jc w:val="left"/>
              <w:rPr>
                <w:rFonts w:hint="eastAsia"/>
              </w:rPr>
            </w:pPr>
            <w:r>
              <w:rPr>
                <w:rFonts w:ascii="Times New Roman" w:hAnsi="Times New Roman" w:cs="Times New Roman"/>
                <w:sz w:val="18"/>
              </w:rPr>
              <w:t>Low Risk. Visual predictors were defined for the model task.</w:t>
            </w:r>
          </w:p>
        </w:tc>
        <w:tc>
          <w:tcPr>
            <w:tcW w:w="2552" w:type="dxa"/>
            <w:tcMar>
              <w:top w:w="80" w:type="dxa"/>
              <w:left w:w="80" w:type="dxa"/>
              <w:bottom w:w="80" w:type="dxa"/>
              <w:right w:w="80" w:type="dxa"/>
            </w:tcMar>
            <w:vAlign w:val="center"/>
          </w:tcPr>
          <w:p w14:paraId="3CF420A3" w14:textId="77777777" w:rsidR="00FB6B47" w:rsidRDefault="00000000">
            <w:pPr>
              <w:jc w:val="left"/>
              <w:rPr>
                <w:rFonts w:hint="eastAsia"/>
              </w:rPr>
            </w:pPr>
            <w:r>
              <w:rPr>
                <w:rFonts w:ascii="Times New Roman" w:hAnsi="Times New Roman" w:cs="Times New Roman"/>
                <w:sz w:val="18"/>
              </w:rPr>
              <w:t>High Risk. Outcome labels were proxy detection tasks rather than validated clinical outcomes.</w:t>
            </w:r>
          </w:p>
        </w:tc>
        <w:tc>
          <w:tcPr>
            <w:tcW w:w="2551" w:type="dxa"/>
            <w:tcMar>
              <w:top w:w="80" w:type="dxa"/>
              <w:left w:w="80" w:type="dxa"/>
              <w:bottom w:w="80" w:type="dxa"/>
              <w:right w:w="80" w:type="dxa"/>
            </w:tcMar>
            <w:vAlign w:val="center"/>
          </w:tcPr>
          <w:p w14:paraId="7C94F271" w14:textId="77777777" w:rsidR="00FB6B47" w:rsidRDefault="00000000">
            <w:pPr>
              <w:jc w:val="left"/>
              <w:rPr>
                <w:rFonts w:hint="eastAsia"/>
              </w:rPr>
            </w:pPr>
            <w:r>
              <w:rPr>
                <w:rFonts w:ascii="Times New Roman" w:hAnsi="Times New Roman" w:cs="Times New Roman"/>
                <w:sz w:val="18"/>
              </w:rPr>
              <w:t>High Risk. Evaluation relied on internal or simulated performance metrics.</w:t>
            </w:r>
          </w:p>
        </w:tc>
        <w:tc>
          <w:tcPr>
            <w:tcW w:w="567" w:type="dxa"/>
            <w:tcMar>
              <w:top w:w="80" w:type="dxa"/>
              <w:left w:w="80" w:type="dxa"/>
              <w:bottom w:w="80" w:type="dxa"/>
              <w:right w:w="80" w:type="dxa"/>
            </w:tcMar>
            <w:vAlign w:val="center"/>
          </w:tcPr>
          <w:p w14:paraId="7925C219"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38942C66" w14:textId="77777777" w:rsidR="00FB6B47" w:rsidRDefault="00000000">
            <w:pPr>
              <w:jc w:val="left"/>
              <w:rPr>
                <w:rFonts w:hint="eastAsia"/>
              </w:rPr>
            </w:pPr>
            <w:r>
              <w:rPr>
                <w:rFonts w:ascii="Times New Roman" w:hAnsi="Times New Roman" w:cs="Times New Roman"/>
                <w:sz w:val="18"/>
              </w:rPr>
              <w:t>High Concern. Real world aging in place applicability was not established.</w:t>
            </w:r>
          </w:p>
        </w:tc>
      </w:tr>
      <w:tr w:rsidR="00A37C7E" w:rsidRPr="006C17CC" w14:paraId="4A1BB49A" w14:textId="77777777" w:rsidTr="00465626">
        <w:trPr>
          <w:trHeight w:val="1132"/>
        </w:trPr>
        <w:tc>
          <w:tcPr>
            <w:tcW w:w="1555" w:type="dxa"/>
            <w:noWrap/>
            <w:tcMar>
              <w:top w:w="80" w:type="dxa"/>
              <w:left w:w="80" w:type="dxa"/>
              <w:bottom w:w="80" w:type="dxa"/>
              <w:right w:w="80" w:type="dxa"/>
            </w:tcMar>
            <w:vAlign w:val="center"/>
            <w:hideMark/>
          </w:tcPr>
          <w:p w14:paraId="43AB26DE"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(Beraldo et al., 2023)</w:t>
            </w:r>
          </w:p>
        </w:tc>
        <w:tc>
          <w:tcPr>
            <w:tcW w:w="567" w:type="dxa"/>
            <w:tcMar>
              <w:top w:w="80" w:type="dxa"/>
              <w:left w:w="80" w:type="dxa"/>
              <w:bottom w:w="80" w:type="dxa"/>
              <w:right w:w="80" w:type="dxa"/>
            </w:tcMar>
            <w:vAlign w:val="center"/>
            <w:hideMark/>
          </w:tcPr>
          <w:p w14:paraId="17FEE90B"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293F0F08"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For a technical pilot study, 10 users in an unstructured environment provide a reasonable baseline for feasibility.</w:t>
            </w:r>
          </w:p>
        </w:tc>
        <w:tc>
          <w:tcPr>
            <w:tcW w:w="2409" w:type="dxa"/>
            <w:tcMar>
              <w:top w:w="80" w:type="dxa"/>
              <w:left w:w="80" w:type="dxa"/>
              <w:bottom w:w="80" w:type="dxa"/>
              <w:right w:w="80" w:type="dxa"/>
            </w:tcMar>
            <w:vAlign w:val="center"/>
            <w:hideMark/>
          </w:tcPr>
          <w:p w14:paraId="73307D0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multi-modal AI sub-modules ensures that predictors capture a diverse range of user inputs.</w:t>
            </w:r>
          </w:p>
        </w:tc>
        <w:tc>
          <w:tcPr>
            <w:tcW w:w="2552" w:type="dxa"/>
            <w:tcMar>
              <w:top w:w="80" w:type="dxa"/>
              <w:left w:w="80" w:type="dxa"/>
              <w:bottom w:w="80" w:type="dxa"/>
              <w:right w:w="80" w:type="dxa"/>
            </w:tcMar>
            <w:vAlign w:val="center"/>
            <w:hideMark/>
          </w:tcPr>
          <w:p w14:paraId="263A18B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95% accuracy rate demonstrates that the system reliably produces the intended outcomes in real-time.</w:t>
            </w:r>
          </w:p>
        </w:tc>
        <w:tc>
          <w:tcPr>
            <w:tcW w:w="2551" w:type="dxa"/>
            <w:tcMar>
              <w:top w:w="80" w:type="dxa"/>
              <w:left w:w="80" w:type="dxa"/>
              <w:bottom w:w="80" w:type="dxa"/>
              <w:right w:w="80" w:type="dxa"/>
            </w:tcMar>
            <w:vAlign w:val="center"/>
            <w:hideMark/>
          </w:tcPr>
          <w:p w14:paraId="1DD2F8ED"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internal consistency of the results across different interaction scenarios indicates a stable functional model.</w:t>
            </w:r>
          </w:p>
        </w:tc>
        <w:tc>
          <w:tcPr>
            <w:tcW w:w="567" w:type="dxa"/>
            <w:tcMar>
              <w:top w:w="80" w:type="dxa"/>
              <w:left w:w="80" w:type="dxa"/>
              <w:bottom w:w="80" w:type="dxa"/>
              <w:right w:w="80" w:type="dxa"/>
            </w:tcMar>
            <w:vAlign w:val="center"/>
            <w:hideMark/>
          </w:tcPr>
          <w:p w14:paraId="41A46AC6"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BA0FD21"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system’s ability to adapt in autonomy is a critical feature for supporting seniors at home.</w:t>
            </w:r>
          </w:p>
        </w:tc>
      </w:tr>
      <w:tr w:rsidR="00A37C7E" w:rsidRPr="006C17CC" w14:paraId="7D8C1AC3" w14:textId="77777777" w:rsidTr="00465626">
        <w:trPr>
          <w:trHeight w:val="1415"/>
        </w:trPr>
        <w:tc>
          <w:tcPr>
            <w:tcW w:w="1555" w:type="dxa"/>
            <w:tcMar>
              <w:top w:w="80" w:type="dxa"/>
              <w:left w:w="80" w:type="dxa"/>
              <w:bottom w:w="80" w:type="dxa"/>
              <w:right w:w="80" w:type="dxa"/>
            </w:tcMar>
            <w:vAlign w:val="center"/>
            <w:hideMark/>
          </w:tcPr>
          <w:p w14:paraId="23EC5B14"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3D6ECDA8"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ED47322"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testing in a domestic environment ensures that the participant interactions are ecologically valid.</w:t>
            </w:r>
          </w:p>
        </w:tc>
        <w:tc>
          <w:tcPr>
            <w:tcW w:w="2409" w:type="dxa"/>
            <w:tcMar>
              <w:top w:w="80" w:type="dxa"/>
              <w:left w:w="80" w:type="dxa"/>
              <w:bottom w:w="80" w:type="dxa"/>
              <w:right w:w="80" w:type="dxa"/>
            </w:tcMar>
            <w:vAlign w:val="center"/>
            <w:hideMark/>
          </w:tcPr>
          <w:p w14:paraId="1751B5A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extraction from the transformer model minimizes the bias associated with manual input processing.</w:t>
            </w:r>
          </w:p>
        </w:tc>
        <w:tc>
          <w:tcPr>
            <w:tcW w:w="2552" w:type="dxa"/>
            <w:tcMar>
              <w:top w:w="80" w:type="dxa"/>
              <w:left w:w="80" w:type="dxa"/>
              <w:bottom w:w="80" w:type="dxa"/>
              <w:right w:w="80" w:type="dxa"/>
            </w:tcMar>
            <w:vAlign w:val="center"/>
            <w:hideMark/>
          </w:tcPr>
          <w:p w14:paraId="34B3448D"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Positive user feedback on efficiency and usefulness confirms the clinical and practical relevance of the outcomes.</w:t>
            </w:r>
          </w:p>
        </w:tc>
        <w:tc>
          <w:tcPr>
            <w:tcW w:w="2551" w:type="dxa"/>
            <w:tcMar>
              <w:top w:w="80" w:type="dxa"/>
              <w:left w:w="80" w:type="dxa"/>
              <w:bottom w:w="80" w:type="dxa"/>
              <w:right w:w="80" w:type="dxa"/>
            </w:tcMar>
            <w:vAlign w:val="center"/>
            <w:hideMark/>
          </w:tcPr>
          <w:p w14:paraId="5C59B07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coordination among heterogeneous AI modules demonstrates a rigorous and logically sound analytical framework.</w:t>
            </w:r>
          </w:p>
        </w:tc>
        <w:tc>
          <w:tcPr>
            <w:tcW w:w="567" w:type="dxa"/>
            <w:tcMar>
              <w:top w:w="80" w:type="dxa"/>
              <w:left w:w="80" w:type="dxa"/>
              <w:bottom w:w="80" w:type="dxa"/>
              <w:right w:w="80" w:type="dxa"/>
            </w:tcMar>
            <w:vAlign w:val="center"/>
            <w:hideMark/>
          </w:tcPr>
          <w:p w14:paraId="77D46806"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AA7AC5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findings support the goal of making advanced home care technology both sustainable and affordable.</w:t>
            </w:r>
          </w:p>
        </w:tc>
      </w:tr>
      <w:tr w:rsidR="00A37C7E" w:rsidRPr="006C17CC" w14:paraId="647809FD" w14:textId="77777777" w:rsidTr="00465626">
        <w:trPr>
          <w:trHeight w:val="1415"/>
        </w:trPr>
        <w:tc>
          <w:tcPr>
            <w:tcW w:w="1555" w:type="dxa"/>
            <w:tcMar>
              <w:top w:w="80" w:type="dxa"/>
              <w:left w:w="80" w:type="dxa"/>
              <w:bottom w:w="80" w:type="dxa"/>
              <w:right w:w="80" w:type="dxa"/>
            </w:tcMar>
            <w:vAlign w:val="center"/>
            <w:hideMark/>
          </w:tcPr>
          <w:p w14:paraId="02EBA6C6"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lastRenderedPageBreak/>
              <w:t>(Bibbò et al., 2025)</w:t>
            </w:r>
          </w:p>
        </w:tc>
        <w:tc>
          <w:tcPr>
            <w:tcW w:w="567" w:type="dxa"/>
            <w:tcMar>
              <w:top w:w="80" w:type="dxa"/>
              <w:left w:w="80" w:type="dxa"/>
              <w:bottom w:w="80" w:type="dxa"/>
              <w:right w:w="80" w:type="dxa"/>
            </w:tcMar>
            <w:vAlign w:val="center"/>
            <w:hideMark/>
          </w:tcPr>
          <w:p w14:paraId="2569BE31"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64B2237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diversity of movements captured in the experiments provides a sufficient baseline for technical validation of the sensors.</w:t>
            </w:r>
          </w:p>
        </w:tc>
        <w:tc>
          <w:tcPr>
            <w:tcW w:w="2409" w:type="dxa"/>
            <w:tcMar>
              <w:top w:w="80" w:type="dxa"/>
              <w:left w:w="80" w:type="dxa"/>
              <w:bottom w:w="80" w:type="dxa"/>
              <w:right w:w="80" w:type="dxa"/>
            </w:tcMar>
            <w:vAlign w:val="center"/>
            <w:hideMark/>
          </w:tcPr>
          <w:p w14:paraId="21083A0B"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High-resolution MEMS data provides rich temporal and frequency features that serve as objective predictors.</w:t>
            </w:r>
          </w:p>
        </w:tc>
        <w:tc>
          <w:tcPr>
            <w:tcW w:w="2552" w:type="dxa"/>
            <w:tcMar>
              <w:top w:w="80" w:type="dxa"/>
              <w:left w:w="80" w:type="dxa"/>
              <w:bottom w:w="80" w:type="dxa"/>
              <w:right w:w="80" w:type="dxa"/>
            </w:tcMar>
            <w:vAlign w:val="center"/>
            <w:hideMark/>
          </w:tcPr>
          <w:p w14:paraId="53A7845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binary and multi-class labels for activities are clinically relevant for assessing mobility and fall risk.</w:t>
            </w:r>
          </w:p>
        </w:tc>
        <w:tc>
          <w:tcPr>
            <w:tcW w:w="2551" w:type="dxa"/>
            <w:tcMar>
              <w:top w:w="80" w:type="dxa"/>
              <w:left w:w="80" w:type="dxa"/>
              <w:bottom w:w="80" w:type="dxa"/>
              <w:right w:w="80" w:type="dxa"/>
            </w:tcMar>
            <w:vAlign w:val="center"/>
            <w:hideMark/>
          </w:tcPr>
          <w:p w14:paraId="5C8D27B1"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SVM with kernel functions helps to handle non-linear movement patterns effectively and produces stable results.</w:t>
            </w:r>
          </w:p>
        </w:tc>
        <w:tc>
          <w:tcPr>
            <w:tcW w:w="567" w:type="dxa"/>
            <w:tcMar>
              <w:top w:w="80" w:type="dxa"/>
              <w:left w:w="80" w:type="dxa"/>
              <w:bottom w:w="80" w:type="dxa"/>
              <w:right w:w="80" w:type="dxa"/>
            </w:tcMar>
            <w:vAlign w:val="center"/>
            <w:hideMark/>
          </w:tcPr>
          <w:p w14:paraId="2E389794"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C1BE048"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integration of low-cost sensors and cloud analytics makes the solution highly scalable for community use.</w:t>
            </w:r>
          </w:p>
        </w:tc>
      </w:tr>
      <w:tr w:rsidR="00A37C7E" w:rsidRPr="006C17CC" w14:paraId="21115661" w14:textId="77777777" w:rsidTr="00465626">
        <w:trPr>
          <w:trHeight w:val="1415"/>
        </w:trPr>
        <w:tc>
          <w:tcPr>
            <w:tcW w:w="1555" w:type="dxa"/>
            <w:tcMar>
              <w:top w:w="80" w:type="dxa"/>
              <w:left w:w="80" w:type="dxa"/>
              <w:bottom w:w="80" w:type="dxa"/>
              <w:right w:w="80" w:type="dxa"/>
            </w:tcMar>
            <w:vAlign w:val="center"/>
            <w:hideMark/>
          </w:tcPr>
          <w:p w14:paraId="6C2414F6"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3F450A58"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6AA97E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protocols for data acquisition ensure that the findings are reproducible and reliable.</w:t>
            </w:r>
          </w:p>
        </w:tc>
        <w:tc>
          <w:tcPr>
            <w:tcW w:w="2409" w:type="dxa"/>
            <w:tcMar>
              <w:top w:w="80" w:type="dxa"/>
              <w:left w:w="80" w:type="dxa"/>
              <w:bottom w:w="80" w:type="dxa"/>
              <w:right w:w="80" w:type="dxa"/>
            </w:tcMar>
            <w:vAlign w:val="center"/>
            <w:hideMark/>
          </w:tcPr>
          <w:p w14:paraId="6991584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engineering reduces the need for manual labeling and minimizes human error in predictor assessment.</w:t>
            </w:r>
          </w:p>
        </w:tc>
        <w:tc>
          <w:tcPr>
            <w:tcW w:w="2552" w:type="dxa"/>
            <w:tcMar>
              <w:top w:w="80" w:type="dxa"/>
              <w:left w:w="80" w:type="dxa"/>
              <w:bottom w:w="80" w:type="dxa"/>
              <w:right w:w="80" w:type="dxa"/>
            </w:tcMar>
            <w:vAlign w:val="center"/>
            <w:hideMark/>
          </w:tcPr>
          <w:p w14:paraId="07F43E7D"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Outcomes were evaluated using multiple metrics, confirming the model’s ability to distinguish between different risk states.</w:t>
            </w:r>
          </w:p>
        </w:tc>
        <w:tc>
          <w:tcPr>
            <w:tcW w:w="2551" w:type="dxa"/>
            <w:tcMar>
              <w:top w:w="80" w:type="dxa"/>
              <w:left w:w="80" w:type="dxa"/>
              <w:bottom w:w="80" w:type="dxa"/>
              <w:right w:w="80" w:type="dxa"/>
            </w:tcMar>
            <w:vAlign w:val="center"/>
            <w:hideMark/>
          </w:tcPr>
          <w:p w14:paraId="400DF8B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successful real-time deployment of the model demonstrates its stability and readiness for practical application.</w:t>
            </w:r>
          </w:p>
        </w:tc>
        <w:tc>
          <w:tcPr>
            <w:tcW w:w="567" w:type="dxa"/>
            <w:tcMar>
              <w:top w:w="80" w:type="dxa"/>
              <w:left w:w="80" w:type="dxa"/>
              <w:bottom w:w="80" w:type="dxa"/>
              <w:right w:w="80" w:type="dxa"/>
            </w:tcMar>
            <w:vAlign w:val="center"/>
            <w:hideMark/>
          </w:tcPr>
          <w:p w14:paraId="730B138A"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AF98288"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approach directly supports the core goal of enhancing safety and independence for seniors living at home.</w:t>
            </w:r>
          </w:p>
        </w:tc>
      </w:tr>
      <w:tr w:rsidR="00A37C7E" w:rsidRPr="006C17CC" w14:paraId="69C05275" w14:textId="77777777" w:rsidTr="00465626">
        <w:trPr>
          <w:trHeight w:val="1415"/>
        </w:trPr>
        <w:tc>
          <w:tcPr>
            <w:tcW w:w="1555" w:type="dxa"/>
            <w:tcMar>
              <w:top w:w="80" w:type="dxa"/>
              <w:left w:w="80" w:type="dxa"/>
              <w:bottom w:w="80" w:type="dxa"/>
              <w:right w:w="80" w:type="dxa"/>
            </w:tcMar>
            <w:vAlign w:val="center"/>
            <w:hideMark/>
          </w:tcPr>
          <w:p w14:paraId="312B78D8"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(Bijlani et al., 2024)</w:t>
            </w:r>
          </w:p>
        </w:tc>
        <w:tc>
          <w:tcPr>
            <w:tcW w:w="567" w:type="dxa"/>
            <w:tcMar>
              <w:top w:w="80" w:type="dxa"/>
              <w:left w:w="80" w:type="dxa"/>
              <w:bottom w:w="80" w:type="dxa"/>
              <w:right w:w="80" w:type="dxa"/>
            </w:tcMar>
            <w:vAlign w:val="center"/>
            <w:hideMark/>
          </w:tcPr>
          <w:p w14:paraId="6BC7B362"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6739AA4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study included people living with dementia (PLwD) in their own homes, matching the target review population.</w:t>
            </w:r>
          </w:p>
        </w:tc>
        <w:tc>
          <w:tcPr>
            <w:tcW w:w="2409" w:type="dxa"/>
            <w:tcMar>
              <w:top w:w="80" w:type="dxa"/>
              <w:left w:w="80" w:type="dxa"/>
              <w:bottom w:w="80" w:type="dxa"/>
              <w:right w:w="80" w:type="dxa"/>
            </w:tcMar>
            <w:vAlign w:val="center"/>
            <w:hideMark/>
          </w:tcPr>
          <w:p w14:paraId="2A46C41B"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Predictors include multi-modal ambient and wearable sensor data captured continuously in a naturalistic environment.</w:t>
            </w:r>
          </w:p>
        </w:tc>
        <w:tc>
          <w:tcPr>
            <w:tcW w:w="2552" w:type="dxa"/>
            <w:tcMar>
              <w:top w:w="80" w:type="dxa"/>
              <w:left w:w="80" w:type="dxa"/>
              <w:bottom w:w="80" w:type="dxa"/>
              <w:right w:w="80" w:type="dxa"/>
            </w:tcMar>
            <w:vAlign w:val="center"/>
            <w:hideMark/>
          </w:tcPr>
          <w:p w14:paraId="77DE16DF"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Adverse outcomes like agitation and UTI were labeled based on clinical alerts and expert-verified events from the TIHM study.</w:t>
            </w:r>
          </w:p>
        </w:tc>
        <w:tc>
          <w:tcPr>
            <w:tcW w:w="2551" w:type="dxa"/>
            <w:tcMar>
              <w:top w:w="80" w:type="dxa"/>
              <w:left w:w="80" w:type="dxa"/>
              <w:bottom w:w="80" w:type="dxa"/>
              <w:right w:w="80" w:type="dxa"/>
            </w:tcMar>
            <w:vAlign w:val="center"/>
            <w:hideMark/>
          </w:tcPr>
          <w:p w14:paraId="1E206BC4"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10-fold cross-validation and self-supervised pre-training on a large longitudinal dataset ensures model stability.</w:t>
            </w:r>
          </w:p>
        </w:tc>
        <w:tc>
          <w:tcPr>
            <w:tcW w:w="567" w:type="dxa"/>
            <w:tcMar>
              <w:top w:w="80" w:type="dxa"/>
              <w:left w:w="80" w:type="dxa"/>
              <w:bottom w:w="80" w:type="dxa"/>
              <w:right w:w="80" w:type="dxa"/>
            </w:tcMar>
            <w:vAlign w:val="center"/>
            <w:hideMark/>
          </w:tcPr>
          <w:p w14:paraId="5CD2F054"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35AB43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focus on personalized decision-making for dementia care is highly applicable to independent living support.</w:t>
            </w:r>
          </w:p>
        </w:tc>
      </w:tr>
      <w:tr w:rsidR="00A37C7E" w:rsidRPr="006C17CC" w14:paraId="287AFDAE" w14:textId="77777777" w:rsidTr="00465626">
        <w:trPr>
          <w:trHeight w:val="1415"/>
        </w:trPr>
        <w:tc>
          <w:tcPr>
            <w:tcW w:w="1555" w:type="dxa"/>
            <w:tcMar>
              <w:top w:w="80" w:type="dxa"/>
              <w:left w:w="80" w:type="dxa"/>
              <w:bottom w:w="80" w:type="dxa"/>
              <w:right w:w="80" w:type="dxa"/>
            </w:tcMar>
            <w:vAlign w:val="center"/>
            <w:hideMark/>
          </w:tcPr>
          <w:p w14:paraId="1228405A"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2D397B1D"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1134C6C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inclusion of 51 real-world households provides a substantial and representative cohort of older adults with cognitive impairment.</w:t>
            </w:r>
          </w:p>
        </w:tc>
        <w:tc>
          <w:tcPr>
            <w:tcW w:w="2409" w:type="dxa"/>
            <w:tcMar>
              <w:top w:w="80" w:type="dxa"/>
              <w:left w:w="80" w:type="dxa"/>
              <w:bottom w:w="80" w:type="dxa"/>
              <w:right w:w="80" w:type="dxa"/>
            </w:tcMar>
            <w:vAlign w:val="center"/>
            <w:hideMark/>
          </w:tcPr>
          <w:p w14:paraId="30BA7F7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All predictor measurements were taken without human intervention, reducing the risk of systematic measurement bias.</w:t>
            </w:r>
          </w:p>
        </w:tc>
        <w:tc>
          <w:tcPr>
            <w:tcW w:w="2552" w:type="dxa"/>
            <w:tcMar>
              <w:top w:w="80" w:type="dxa"/>
              <w:left w:w="80" w:type="dxa"/>
              <w:bottom w:w="80" w:type="dxa"/>
              <w:right w:w="80" w:type="dxa"/>
            </w:tcMar>
            <w:vAlign w:val="center"/>
            <w:hideMark/>
          </w:tcPr>
          <w:p w14:paraId="7DB88A0F"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Outcome determination relied on verified clinical data from professional healthcare providers monitoring the seniors.</w:t>
            </w:r>
          </w:p>
        </w:tc>
        <w:tc>
          <w:tcPr>
            <w:tcW w:w="2551" w:type="dxa"/>
            <w:tcMar>
              <w:top w:w="80" w:type="dxa"/>
              <w:left w:w="80" w:type="dxa"/>
              <w:bottom w:w="80" w:type="dxa"/>
              <w:right w:w="80" w:type="dxa"/>
            </w:tcMar>
            <w:vAlign w:val="center"/>
            <w:hideMark/>
          </w:tcPr>
          <w:p w14:paraId="2B956A7F"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analysis handled class imbalance effectively and reported robust metrics, including AUROC and F1-scores across multiple households.</w:t>
            </w:r>
          </w:p>
        </w:tc>
        <w:tc>
          <w:tcPr>
            <w:tcW w:w="567" w:type="dxa"/>
            <w:tcMar>
              <w:top w:w="80" w:type="dxa"/>
              <w:left w:w="80" w:type="dxa"/>
              <w:bottom w:w="80" w:type="dxa"/>
              <w:right w:w="80" w:type="dxa"/>
            </w:tcMar>
            <w:vAlign w:val="center"/>
            <w:hideMark/>
          </w:tcPr>
          <w:p w14:paraId="1E234628"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A4732F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approach addresses the critical need for proactive health monitoring and reducing caregiver burden at home.</w:t>
            </w:r>
          </w:p>
        </w:tc>
      </w:tr>
      <w:tr w:rsidR="00FB6B47" w14:paraId="04204837" w14:textId="77777777">
        <w:tc>
          <w:tcPr>
            <w:tcW w:w="1555" w:type="dxa"/>
            <w:tcMar>
              <w:top w:w="80" w:type="dxa"/>
              <w:left w:w="80" w:type="dxa"/>
              <w:bottom w:w="80" w:type="dxa"/>
              <w:right w:w="80" w:type="dxa"/>
            </w:tcMar>
            <w:vAlign w:val="center"/>
          </w:tcPr>
          <w:p w14:paraId="1162CEC9" w14:textId="77777777" w:rsidR="00FB6B47" w:rsidRDefault="00000000">
            <w:pPr>
              <w:jc w:val="center"/>
              <w:rPr>
                <w:rFonts w:hint="eastAsia"/>
              </w:rPr>
            </w:pPr>
            <w:r>
              <w:rPr>
                <w:rFonts w:ascii="Times New Roman" w:hAnsi="Times New Roman" w:cs="Times New Roman"/>
                <w:sz w:val="18"/>
              </w:rPr>
              <w:t>(Chapron et al., 2020)</w:t>
            </w:r>
          </w:p>
        </w:tc>
        <w:tc>
          <w:tcPr>
            <w:tcW w:w="567" w:type="dxa"/>
            <w:tcMar>
              <w:top w:w="80" w:type="dxa"/>
              <w:left w:w="80" w:type="dxa"/>
              <w:bottom w:w="80" w:type="dxa"/>
              <w:right w:w="80" w:type="dxa"/>
            </w:tcMar>
            <w:vAlign w:val="center"/>
          </w:tcPr>
          <w:p w14:paraId="16A3AEF1"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207B16B0"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insufficiently representative.</w:t>
            </w:r>
          </w:p>
        </w:tc>
        <w:tc>
          <w:tcPr>
            <w:tcW w:w="2409" w:type="dxa"/>
            <w:tcMar>
              <w:top w:w="80" w:type="dxa"/>
              <w:left w:w="80" w:type="dxa"/>
              <w:bottom w:w="80" w:type="dxa"/>
              <w:right w:w="80" w:type="dxa"/>
            </w:tcMar>
            <w:vAlign w:val="center"/>
          </w:tcPr>
          <w:p w14:paraId="2D222E30"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1352AF86"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6624511D"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1A48B089"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71A939EE"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FB6B47" w14:paraId="7984C579" w14:textId="77777777">
        <w:tc>
          <w:tcPr>
            <w:tcW w:w="1555" w:type="dxa"/>
            <w:tcMar>
              <w:top w:w="80" w:type="dxa"/>
              <w:left w:w="80" w:type="dxa"/>
              <w:bottom w:w="80" w:type="dxa"/>
              <w:right w:w="80" w:type="dxa"/>
            </w:tcMar>
            <w:vAlign w:val="center"/>
          </w:tcPr>
          <w:p w14:paraId="657F170E"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57A47350"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5AE8AE3C" w14:textId="77777777" w:rsidR="00FB6B47" w:rsidRDefault="00000000">
            <w:pPr>
              <w:jc w:val="left"/>
              <w:rPr>
                <w:rFonts w:hint="eastAsia"/>
              </w:rPr>
            </w:pPr>
            <w:r>
              <w:rPr>
                <w:rFonts w:ascii="Times New Roman" w:hAnsi="Times New Roman" w:cs="Times New Roman"/>
                <w:sz w:val="18"/>
              </w:rPr>
              <w:t xml:space="preserve">High Risk. Data sources </w:t>
            </w:r>
            <w:r>
              <w:rPr>
                <w:rFonts w:ascii="Times New Roman" w:hAnsi="Times New Roman" w:cs="Times New Roman"/>
                <w:sz w:val="18"/>
              </w:rPr>
              <w:lastRenderedPageBreak/>
              <w:t>were public, secondary, single case, or simulated and were not sufficiently representative.</w:t>
            </w:r>
          </w:p>
        </w:tc>
        <w:tc>
          <w:tcPr>
            <w:tcW w:w="2409" w:type="dxa"/>
            <w:tcMar>
              <w:top w:w="80" w:type="dxa"/>
              <w:left w:w="80" w:type="dxa"/>
              <w:bottom w:w="80" w:type="dxa"/>
              <w:right w:w="80" w:type="dxa"/>
            </w:tcMar>
            <w:vAlign w:val="center"/>
          </w:tcPr>
          <w:p w14:paraId="2B711C66" w14:textId="77777777" w:rsidR="00FB6B47" w:rsidRDefault="00000000">
            <w:pPr>
              <w:jc w:val="left"/>
              <w:rPr>
                <w:rFonts w:hint="eastAsia"/>
              </w:rPr>
            </w:pPr>
            <w:r>
              <w:rPr>
                <w:rFonts w:ascii="Times New Roman" w:hAnsi="Times New Roman" w:cs="Times New Roman"/>
                <w:sz w:val="18"/>
              </w:rPr>
              <w:lastRenderedPageBreak/>
              <w:t xml:space="preserve">Low Risk. Predictors were </w:t>
            </w:r>
            <w:r>
              <w:rPr>
                <w:rFonts w:ascii="Times New Roman" w:hAnsi="Times New Roman" w:cs="Times New Roman"/>
                <w:sz w:val="18"/>
              </w:rPr>
              <w:lastRenderedPageBreak/>
              <w:t>technically described for the model.</w:t>
            </w:r>
          </w:p>
        </w:tc>
        <w:tc>
          <w:tcPr>
            <w:tcW w:w="2552" w:type="dxa"/>
            <w:tcMar>
              <w:top w:w="80" w:type="dxa"/>
              <w:left w:w="80" w:type="dxa"/>
              <w:bottom w:w="80" w:type="dxa"/>
              <w:right w:w="80" w:type="dxa"/>
            </w:tcMar>
            <w:vAlign w:val="center"/>
          </w:tcPr>
          <w:p w14:paraId="2D5B3E69" w14:textId="77777777" w:rsidR="00FB6B47" w:rsidRDefault="00000000">
            <w:pPr>
              <w:jc w:val="left"/>
              <w:rPr>
                <w:rFonts w:hint="eastAsia"/>
              </w:rPr>
            </w:pPr>
            <w:r>
              <w:rPr>
                <w:rFonts w:ascii="Times New Roman" w:hAnsi="Times New Roman" w:cs="Times New Roman"/>
                <w:sz w:val="18"/>
              </w:rPr>
              <w:lastRenderedPageBreak/>
              <w:t xml:space="preserve">High Risk. Outcomes were </w:t>
            </w:r>
            <w:r>
              <w:rPr>
                <w:rFonts w:ascii="Times New Roman" w:hAnsi="Times New Roman" w:cs="Times New Roman"/>
                <w:sz w:val="18"/>
              </w:rPr>
              <w:lastRenderedPageBreak/>
              <w:t>proxies for monitoring or recognition rather than patient centered endpoints.</w:t>
            </w:r>
          </w:p>
        </w:tc>
        <w:tc>
          <w:tcPr>
            <w:tcW w:w="2551" w:type="dxa"/>
            <w:tcMar>
              <w:top w:w="80" w:type="dxa"/>
              <w:left w:w="80" w:type="dxa"/>
              <w:bottom w:w="80" w:type="dxa"/>
              <w:right w:w="80" w:type="dxa"/>
            </w:tcMar>
            <w:vAlign w:val="center"/>
          </w:tcPr>
          <w:p w14:paraId="20761551" w14:textId="77777777" w:rsidR="00FB6B47" w:rsidRDefault="00000000">
            <w:pPr>
              <w:jc w:val="left"/>
              <w:rPr>
                <w:rFonts w:hint="eastAsia"/>
              </w:rPr>
            </w:pPr>
            <w:r>
              <w:rPr>
                <w:rFonts w:ascii="Times New Roman" w:hAnsi="Times New Roman" w:cs="Times New Roman"/>
                <w:sz w:val="18"/>
              </w:rPr>
              <w:lastRenderedPageBreak/>
              <w:t xml:space="preserve">High Risk. External validation </w:t>
            </w:r>
            <w:r>
              <w:rPr>
                <w:rFonts w:ascii="Times New Roman" w:hAnsi="Times New Roman" w:cs="Times New Roman"/>
                <w:sz w:val="18"/>
              </w:rPr>
              <w:lastRenderedPageBreak/>
              <w:t>and calibration were insufficient.</w:t>
            </w:r>
          </w:p>
        </w:tc>
        <w:tc>
          <w:tcPr>
            <w:tcW w:w="567" w:type="dxa"/>
            <w:tcMar>
              <w:top w:w="80" w:type="dxa"/>
              <w:left w:w="80" w:type="dxa"/>
              <w:bottom w:w="80" w:type="dxa"/>
              <w:right w:w="80" w:type="dxa"/>
            </w:tcMar>
            <w:vAlign w:val="center"/>
          </w:tcPr>
          <w:p w14:paraId="6D1C8FBA"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lastRenderedPageBreak/>
              <w:t xml:space="preserve">High </w:t>
            </w:r>
            <w:r>
              <w:rPr>
                <w:rFonts w:ascii="Times New Roman" w:hAnsi="Times New Roman" w:cs="Times New Roman"/>
                <w:b/>
                <w:bCs/>
                <w:sz w:val="18"/>
              </w:rPr>
              <w:lastRenderedPageBreak/>
              <w:t>Risk</w:t>
            </w:r>
          </w:p>
        </w:tc>
        <w:tc>
          <w:tcPr>
            <w:tcW w:w="2919" w:type="dxa"/>
            <w:tcMar>
              <w:top w:w="80" w:type="dxa"/>
              <w:left w:w="80" w:type="dxa"/>
              <w:bottom w:w="80" w:type="dxa"/>
              <w:right w:w="80" w:type="dxa"/>
            </w:tcMar>
            <w:vAlign w:val="center"/>
          </w:tcPr>
          <w:p w14:paraId="7BC2C176" w14:textId="77777777" w:rsidR="00FB6B47" w:rsidRDefault="00000000">
            <w:pPr>
              <w:jc w:val="left"/>
              <w:rPr>
                <w:rFonts w:hint="eastAsia"/>
              </w:rPr>
            </w:pPr>
            <w:r>
              <w:rPr>
                <w:rFonts w:ascii="Times New Roman" w:hAnsi="Times New Roman" w:cs="Times New Roman"/>
                <w:sz w:val="18"/>
              </w:rPr>
              <w:lastRenderedPageBreak/>
              <w:t xml:space="preserve">High Concern. Applicability to the </w:t>
            </w:r>
            <w:r>
              <w:rPr>
                <w:rFonts w:ascii="Times New Roman" w:hAnsi="Times New Roman" w:cs="Times New Roman"/>
                <w:sz w:val="18"/>
              </w:rPr>
              <w:lastRenderedPageBreak/>
              <w:t>target review question was limited.</w:t>
            </w:r>
          </w:p>
        </w:tc>
      </w:tr>
      <w:tr w:rsidR="00FB6B47" w14:paraId="04BFF56A" w14:textId="77777777">
        <w:tc>
          <w:tcPr>
            <w:tcW w:w="1555" w:type="dxa"/>
            <w:tcMar>
              <w:top w:w="80" w:type="dxa"/>
              <w:left w:w="80" w:type="dxa"/>
              <w:bottom w:w="80" w:type="dxa"/>
              <w:right w:w="80" w:type="dxa"/>
            </w:tcMar>
            <w:vAlign w:val="center"/>
          </w:tcPr>
          <w:p w14:paraId="7598ABAA" w14:textId="77777777" w:rsidR="00FB6B47" w:rsidRDefault="00000000">
            <w:pPr>
              <w:jc w:val="center"/>
              <w:rPr>
                <w:rFonts w:hint="eastAsia"/>
              </w:rPr>
            </w:pPr>
            <w:r>
              <w:rPr>
                <w:rFonts w:ascii="Times New Roman" w:hAnsi="Times New Roman" w:cs="Times New Roman"/>
                <w:sz w:val="18"/>
              </w:rPr>
              <w:lastRenderedPageBreak/>
              <w:t>(Che et al., 2024)</w:t>
            </w:r>
          </w:p>
        </w:tc>
        <w:tc>
          <w:tcPr>
            <w:tcW w:w="567" w:type="dxa"/>
            <w:tcMar>
              <w:top w:w="80" w:type="dxa"/>
              <w:left w:w="80" w:type="dxa"/>
              <w:bottom w:w="80" w:type="dxa"/>
              <w:right w:w="80" w:type="dxa"/>
            </w:tcMar>
            <w:vAlign w:val="center"/>
          </w:tcPr>
          <w:p w14:paraId="7CFE8A92"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4C16FFF2"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insufficiently representative.</w:t>
            </w:r>
          </w:p>
        </w:tc>
        <w:tc>
          <w:tcPr>
            <w:tcW w:w="2409" w:type="dxa"/>
            <w:tcMar>
              <w:top w:w="80" w:type="dxa"/>
              <w:left w:w="80" w:type="dxa"/>
              <w:bottom w:w="80" w:type="dxa"/>
              <w:right w:w="80" w:type="dxa"/>
            </w:tcMar>
            <w:vAlign w:val="center"/>
          </w:tcPr>
          <w:p w14:paraId="2965B8F6"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3E758B3C"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3E6B5CC8"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37D33248"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3C3CD4E4"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FB6B47" w14:paraId="405F14E6" w14:textId="77777777">
        <w:tc>
          <w:tcPr>
            <w:tcW w:w="1555" w:type="dxa"/>
            <w:tcMar>
              <w:top w:w="80" w:type="dxa"/>
              <w:left w:w="80" w:type="dxa"/>
              <w:bottom w:w="80" w:type="dxa"/>
              <w:right w:w="80" w:type="dxa"/>
            </w:tcMar>
            <w:vAlign w:val="center"/>
          </w:tcPr>
          <w:p w14:paraId="53369B07"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70E64C3C"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4E077AD4"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not sufficiently representative.</w:t>
            </w:r>
          </w:p>
        </w:tc>
        <w:tc>
          <w:tcPr>
            <w:tcW w:w="2409" w:type="dxa"/>
            <w:tcMar>
              <w:top w:w="80" w:type="dxa"/>
              <w:left w:w="80" w:type="dxa"/>
              <w:bottom w:w="80" w:type="dxa"/>
              <w:right w:w="80" w:type="dxa"/>
            </w:tcMar>
            <w:vAlign w:val="center"/>
          </w:tcPr>
          <w:p w14:paraId="0FFFF98D"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6A15443A"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4CE75324"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616D5F66"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3BF1A54B"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FB6B47" w14:paraId="4FE23CEA" w14:textId="77777777">
        <w:tc>
          <w:tcPr>
            <w:tcW w:w="1555" w:type="dxa"/>
            <w:tcMar>
              <w:top w:w="80" w:type="dxa"/>
              <w:left w:w="80" w:type="dxa"/>
              <w:bottom w:w="80" w:type="dxa"/>
              <w:right w:w="80" w:type="dxa"/>
            </w:tcMar>
            <w:vAlign w:val="center"/>
          </w:tcPr>
          <w:p w14:paraId="1AB18F8D" w14:textId="77777777" w:rsidR="00FB6B47" w:rsidRDefault="00000000">
            <w:pPr>
              <w:jc w:val="center"/>
              <w:rPr>
                <w:rFonts w:hint="eastAsia"/>
              </w:rPr>
            </w:pPr>
            <w:r>
              <w:rPr>
                <w:rFonts w:ascii="Times New Roman" w:hAnsi="Times New Roman" w:cs="Times New Roman"/>
                <w:sz w:val="18"/>
              </w:rPr>
              <w:t>(Chen et al., 2024)</w:t>
            </w:r>
          </w:p>
        </w:tc>
        <w:tc>
          <w:tcPr>
            <w:tcW w:w="567" w:type="dxa"/>
            <w:tcMar>
              <w:top w:w="80" w:type="dxa"/>
              <w:left w:w="80" w:type="dxa"/>
              <w:bottom w:w="80" w:type="dxa"/>
              <w:right w:w="80" w:type="dxa"/>
            </w:tcMar>
            <w:vAlign w:val="center"/>
          </w:tcPr>
          <w:p w14:paraId="28DCDF74"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3C7526B4"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insufficiently representative.</w:t>
            </w:r>
          </w:p>
        </w:tc>
        <w:tc>
          <w:tcPr>
            <w:tcW w:w="2409" w:type="dxa"/>
            <w:tcMar>
              <w:top w:w="80" w:type="dxa"/>
              <w:left w:w="80" w:type="dxa"/>
              <w:bottom w:w="80" w:type="dxa"/>
              <w:right w:w="80" w:type="dxa"/>
            </w:tcMar>
            <w:vAlign w:val="center"/>
          </w:tcPr>
          <w:p w14:paraId="755A9EC1"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30894A60"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1DF70CE2"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29B602EF"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469B5394"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FB6B47" w14:paraId="25B46742" w14:textId="77777777">
        <w:tc>
          <w:tcPr>
            <w:tcW w:w="1555" w:type="dxa"/>
            <w:tcMar>
              <w:top w:w="80" w:type="dxa"/>
              <w:left w:w="80" w:type="dxa"/>
              <w:bottom w:w="80" w:type="dxa"/>
              <w:right w:w="80" w:type="dxa"/>
            </w:tcMar>
            <w:vAlign w:val="center"/>
          </w:tcPr>
          <w:p w14:paraId="3547C948"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1E0194B1"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3DB2135B"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not sufficiently representative.</w:t>
            </w:r>
          </w:p>
        </w:tc>
        <w:tc>
          <w:tcPr>
            <w:tcW w:w="2409" w:type="dxa"/>
            <w:tcMar>
              <w:top w:w="80" w:type="dxa"/>
              <w:left w:w="80" w:type="dxa"/>
              <w:bottom w:w="80" w:type="dxa"/>
              <w:right w:w="80" w:type="dxa"/>
            </w:tcMar>
            <w:vAlign w:val="center"/>
          </w:tcPr>
          <w:p w14:paraId="739D67B7"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78A0D9A1"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4DC9E2F5"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5514B961"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1718990E"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A37C7E" w:rsidRPr="006C17CC" w14:paraId="4A28CC86" w14:textId="77777777" w:rsidTr="00465626">
        <w:trPr>
          <w:trHeight w:val="1132"/>
        </w:trPr>
        <w:tc>
          <w:tcPr>
            <w:tcW w:w="1555" w:type="dxa"/>
            <w:tcMar>
              <w:top w:w="80" w:type="dxa"/>
              <w:left w:w="80" w:type="dxa"/>
              <w:bottom w:w="80" w:type="dxa"/>
              <w:right w:w="80" w:type="dxa"/>
            </w:tcMar>
            <w:vAlign w:val="center"/>
            <w:hideMark/>
          </w:tcPr>
          <w:p w14:paraId="14EA1929"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(Chifu et al., 2022)</w:t>
            </w:r>
          </w:p>
        </w:tc>
        <w:tc>
          <w:tcPr>
            <w:tcW w:w="567" w:type="dxa"/>
            <w:tcMar>
              <w:top w:w="80" w:type="dxa"/>
              <w:left w:w="80" w:type="dxa"/>
              <w:bottom w:w="80" w:type="dxa"/>
              <w:right w:w="80" w:type="dxa"/>
            </w:tcMar>
            <w:vAlign w:val="center"/>
            <w:hideMark/>
          </w:tcPr>
          <w:p w14:paraId="73D3E6A0"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234372D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longitudinal nature of the data collection provides high-quality </w:t>
            </w:r>
            <w:r>
              <w:rPr>
                <w:rFonts w:ascii="Times New Roman" w:eastAsia="等线" w:hAnsi="Times New Roman" w:cs="Times New Roman"/>
                <w:color w:val="1F1F1F"/>
                <w:kern w:val="0"/>
                <w:sz w:val="18"/>
                <w:szCs w:val="18"/>
                <w14:ligatures w14:val="none"/>
              </w:rPr>
              <w:lastRenderedPageBreak/>
              <w:t>individual profiles for initial validation.</w:t>
            </w:r>
          </w:p>
        </w:tc>
        <w:tc>
          <w:tcPr>
            <w:tcW w:w="2409" w:type="dxa"/>
            <w:tcMar>
              <w:top w:w="80" w:type="dxa"/>
              <w:left w:w="80" w:type="dxa"/>
              <w:bottom w:w="80" w:type="dxa"/>
              <w:right w:w="80" w:type="dxa"/>
            </w:tcMar>
            <w:vAlign w:val="center"/>
            <w:hideMark/>
          </w:tcPr>
          <w:p w14:paraId="6D98D54D"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lastRenderedPageBreak/>
              <w:t>Low Risk.</w:t>
            </w:r>
            <w:r>
              <w:rPr>
                <w:rFonts w:ascii="Times New Roman" w:eastAsia="等线" w:hAnsi="Times New Roman" w:cs="Times New Roman"/>
                <w:color w:val="1F1F1F"/>
                <w:kern w:val="0"/>
                <w:sz w:val="18"/>
                <w:szCs w:val="18"/>
                <w14:ligatures w14:val="none"/>
              </w:rPr>
              <w:t xml:space="preserve"> Automated feature engineering from sensor logs avoids the subjectivity often found in manual daily diaries.</w:t>
            </w:r>
          </w:p>
        </w:tc>
        <w:tc>
          <w:tcPr>
            <w:tcW w:w="2552" w:type="dxa"/>
            <w:tcMar>
              <w:top w:w="80" w:type="dxa"/>
              <w:left w:w="80" w:type="dxa"/>
              <w:bottom w:w="80" w:type="dxa"/>
              <w:right w:w="80" w:type="dxa"/>
            </w:tcMar>
            <w:vAlign w:val="center"/>
            <w:hideMark/>
          </w:tcPr>
          <w:p w14:paraId="1B3BE43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sequence-based patterns ensures that the identified outcomes are </w:t>
            </w:r>
            <w:r>
              <w:rPr>
                <w:rFonts w:ascii="Times New Roman" w:eastAsia="等线" w:hAnsi="Times New Roman" w:cs="Times New Roman"/>
                <w:color w:val="1F1F1F"/>
                <w:kern w:val="0"/>
                <w:sz w:val="18"/>
                <w:szCs w:val="18"/>
                <w14:ligatures w14:val="none"/>
              </w:rPr>
              <w:lastRenderedPageBreak/>
              <w:t>clinically relevant for safety assessments.</w:t>
            </w:r>
          </w:p>
        </w:tc>
        <w:tc>
          <w:tcPr>
            <w:tcW w:w="2551" w:type="dxa"/>
            <w:tcMar>
              <w:top w:w="80" w:type="dxa"/>
              <w:left w:w="80" w:type="dxa"/>
              <w:bottom w:w="80" w:type="dxa"/>
              <w:right w:w="80" w:type="dxa"/>
            </w:tcMar>
            <w:vAlign w:val="center"/>
            <w:hideMark/>
          </w:tcPr>
          <w:p w14:paraId="63AE9B32"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lastRenderedPageBreak/>
              <w:t>Low Risk.</w:t>
            </w:r>
            <w:r>
              <w:rPr>
                <w:rFonts w:ascii="Times New Roman" w:eastAsia="等线" w:hAnsi="Times New Roman" w:cs="Times New Roman"/>
                <w:color w:val="1F1F1F"/>
                <w:kern w:val="0"/>
                <w:sz w:val="18"/>
                <w:szCs w:val="18"/>
                <w14:ligatures w14:val="none"/>
              </w:rPr>
              <w:t xml:space="preserve"> The high reported accuracy in pattern matching suggests that the model </w:t>
            </w:r>
            <w:r>
              <w:rPr>
                <w:rFonts w:ascii="Times New Roman" w:eastAsia="等线" w:hAnsi="Times New Roman" w:cs="Times New Roman"/>
                <w:color w:val="1F1F1F"/>
                <w:kern w:val="0"/>
                <w:sz w:val="18"/>
                <w:szCs w:val="18"/>
                <w14:ligatures w14:val="none"/>
              </w:rPr>
              <w:lastRenderedPageBreak/>
              <w:t>effectively captures the underlying routines.</w:t>
            </w:r>
          </w:p>
        </w:tc>
        <w:tc>
          <w:tcPr>
            <w:tcW w:w="567" w:type="dxa"/>
            <w:tcMar>
              <w:top w:w="80" w:type="dxa"/>
              <w:left w:w="80" w:type="dxa"/>
              <w:bottom w:w="80" w:type="dxa"/>
              <w:right w:w="80" w:type="dxa"/>
            </w:tcMar>
            <w:vAlign w:val="center"/>
            <w:hideMark/>
          </w:tcPr>
          <w:p w14:paraId="3C84B41E"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lastRenderedPageBreak/>
              <w:t>Low Risk</w:t>
            </w:r>
          </w:p>
        </w:tc>
        <w:tc>
          <w:tcPr>
            <w:tcW w:w="2919" w:type="dxa"/>
            <w:tcMar>
              <w:top w:w="80" w:type="dxa"/>
              <w:left w:w="80" w:type="dxa"/>
              <w:bottom w:w="80" w:type="dxa"/>
              <w:right w:w="80" w:type="dxa"/>
            </w:tcMar>
            <w:vAlign w:val="center"/>
            <w:hideMark/>
          </w:tcPr>
          <w:p w14:paraId="49FEAC6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Identifying shifts in daily routines is a critical early-warning system for functional decline.</w:t>
            </w:r>
          </w:p>
        </w:tc>
      </w:tr>
      <w:tr w:rsidR="00A37C7E" w:rsidRPr="006C17CC" w14:paraId="4CC45004" w14:textId="77777777" w:rsidTr="00465626">
        <w:trPr>
          <w:trHeight w:val="1132"/>
        </w:trPr>
        <w:tc>
          <w:tcPr>
            <w:tcW w:w="1555" w:type="dxa"/>
            <w:tcMar>
              <w:top w:w="80" w:type="dxa"/>
              <w:left w:w="80" w:type="dxa"/>
              <w:bottom w:w="80" w:type="dxa"/>
              <w:right w:w="80" w:type="dxa"/>
            </w:tcMar>
            <w:vAlign w:val="center"/>
            <w:hideMark/>
          </w:tcPr>
          <w:p w14:paraId="1A3B1A1B"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68654716"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1065099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participants represent a valid and relevant cohort for testing the feasibility of aging-in-place technology.</w:t>
            </w:r>
          </w:p>
        </w:tc>
        <w:tc>
          <w:tcPr>
            <w:tcW w:w="2409" w:type="dxa"/>
            <w:tcMar>
              <w:top w:w="80" w:type="dxa"/>
              <w:left w:w="80" w:type="dxa"/>
              <w:bottom w:w="80" w:type="dxa"/>
              <w:right w:w="80" w:type="dxa"/>
            </w:tcMar>
            <w:vAlign w:val="center"/>
            <w:hideMark/>
          </w:tcPr>
          <w:p w14:paraId="0F2C826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All predictors were assessed without knowledge of the final routine labels, minimizing assessment bias.</w:t>
            </w:r>
          </w:p>
        </w:tc>
        <w:tc>
          <w:tcPr>
            <w:tcW w:w="2552" w:type="dxa"/>
            <w:tcMar>
              <w:top w:w="80" w:type="dxa"/>
              <w:left w:w="80" w:type="dxa"/>
              <w:bottom w:w="80" w:type="dxa"/>
              <w:right w:w="80" w:type="dxa"/>
            </w:tcMar>
            <w:vAlign w:val="center"/>
            <w:hideMark/>
          </w:tcPr>
          <w:p w14:paraId="39926508"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Outcome determination based on established activity metrics ensures consistency across different home layouts.</w:t>
            </w:r>
          </w:p>
        </w:tc>
        <w:tc>
          <w:tcPr>
            <w:tcW w:w="2551" w:type="dxa"/>
            <w:tcMar>
              <w:top w:w="80" w:type="dxa"/>
              <w:left w:w="80" w:type="dxa"/>
              <w:bottom w:w="80" w:type="dxa"/>
              <w:right w:w="80" w:type="dxa"/>
            </w:tcMar>
            <w:vAlign w:val="center"/>
            <w:hideMark/>
          </w:tcPr>
          <w:p w14:paraId="403ABAA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Cross-validation and internal consistency checks confirm the technical stability of the predictive model.</w:t>
            </w:r>
          </w:p>
        </w:tc>
        <w:tc>
          <w:tcPr>
            <w:tcW w:w="567" w:type="dxa"/>
            <w:tcMar>
              <w:top w:w="80" w:type="dxa"/>
              <w:left w:w="80" w:type="dxa"/>
              <w:bottom w:w="80" w:type="dxa"/>
              <w:right w:w="80" w:type="dxa"/>
            </w:tcMar>
            <w:vAlign w:val="center"/>
            <w:hideMark/>
          </w:tcPr>
          <w:p w14:paraId="28183F5D"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5439552"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approach directly supports the goal of enabling seniors to live safely and independently at home.</w:t>
            </w:r>
          </w:p>
        </w:tc>
      </w:tr>
      <w:tr w:rsidR="00A37C7E" w:rsidRPr="006C17CC" w14:paraId="41DFD78D" w14:textId="77777777" w:rsidTr="00465626">
        <w:trPr>
          <w:trHeight w:val="1132"/>
        </w:trPr>
        <w:tc>
          <w:tcPr>
            <w:tcW w:w="1555" w:type="dxa"/>
            <w:tcMar>
              <w:top w:w="80" w:type="dxa"/>
              <w:left w:w="80" w:type="dxa"/>
              <w:bottom w:w="80" w:type="dxa"/>
              <w:right w:w="80" w:type="dxa"/>
            </w:tcMar>
            <w:vAlign w:val="center"/>
            <w:hideMark/>
          </w:tcPr>
          <w:p w14:paraId="223E9281"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(Cippitelli et al., 2016)</w:t>
            </w:r>
          </w:p>
        </w:tc>
        <w:tc>
          <w:tcPr>
            <w:tcW w:w="567" w:type="dxa"/>
            <w:tcMar>
              <w:top w:w="80" w:type="dxa"/>
              <w:left w:w="80" w:type="dxa"/>
              <w:bottom w:w="80" w:type="dxa"/>
              <w:right w:w="80" w:type="dxa"/>
            </w:tcMar>
            <w:vAlign w:val="center"/>
            <w:hideMark/>
          </w:tcPr>
          <w:p w14:paraId="55872BAA"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3DA2F991"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standard datasets ensures that the results are reliable and can be compared to other technical works.</w:t>
            </w:r>
          </w:p>
        </w:tc>
        <w:tc>
          <w:tcPr>
            <w:tcW w:w="2409" w:type="dxa"/>
            <w:tcMar>
              <w:top w:w="80" w:type="dxa"/>
              <w:left w:w="80" w:type="dxa"/>
              <w:bottom w:w="80" w:type="dxa"/>
              <w:right w:w="80" w:type="dxa"/>
            </w:tcMar>
            <w:vAlign w:val="center"/>
            <w:hideMark/>
          </w:tcPr>
          <w:p w14:paraId="304CFD3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Skeleton data is robust to changes in lighting and environment which provides high quality predictors.</w:t>
            </w:r>
          </w:p>
        </w:tc>
        <w:tc>
          <w:tcPr>
            <w:tcW w:w="2552" w:type="dxa"/>
            <w:tcMar>
              <w:top w:w="80" w:type="dxa"/>
              <w:left w:w="80" w:type="dxa"/>
              <w:bottom w:w="80" w:type="dxa"/>
              <w:right w:w="80" w:type="dxa"/>
            </w:tcMar>
            <w:vAlign w:val="center"/>
            <w:hideMark/>
          </w:tcPr>
          <w:p w14:paraId="149B73D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a confusion matrix confirms that the model accurately labels the different types of daily actions.</w:t>
            </w:r>
          </w:p>
        </w:tc>
        <w:tc>
          <w:tcPr>
            <w:tcW w:w="2551" w:type="dxa"/>
            <w:tcMar>
              <w:top w:w="80" w:type="dxa"/>
              <w:left w:w="80" w:type="dxa"/>
              <w:bottom w:w="80" w:type="dxa"/>
              <w:right w:w="80" w:type="dxa"/>
            </w:tcMar>
            <w:vAlign w:val="center"/>
            <w:hideMark/>
          </w:tcPr>
          <w:p w14:paraId="2AB7A37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SVM model was tuned appropriately and achieved high accuracy on the benchmark tasks provided.</w:t>
            </w:r>
          </w:p>
        </w:tc>
        <w:tc>
          <w:tcPr>
            <w:tcW w:w="567" w:type="dxa"/>
            <w:tcMar>
              <w:top w:w="80" w:type="dxa"/>
              <w:left w:w="80" w:type="dxa"/>
              <w:bottom w:w="80" w:type="dxa"/>
              <w:right w:w="80" w:type="dxa"/>
            </w:tcMar>
            <w:vAlign w:val="center"/>
            <w:hideMark/>
          </w:tcPr>
          <w:p w14:paraId="620629EC"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18336F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RGBD sensors are a promising tool for monitoring safety without the privacy issues of traditional cameras.</w:t>
            </w:r>
          </w:p>
        </w:tc>
      </w:tr>
      <w:tr w:rsidR="00A37C7E" w:rsidRPr="006C17CC" w14:paraId="12F9ED3C" w14:textId="77777777" w:rsidTr="00465626">
        <w:trPr>
          <w:trHeight w:val="1132"/>
        </w:trPr>
        <w:tc>
          <w:tcPr>
            <w:tcW w:w="1555" w:type="dxa"/>
            <w:tcMar>
              <w:top w:w="80" w:type="dxa"/>
              <w:left w:w="80" w:type="dxa"/>
              <w:bottom w:w="80" w:type="dxa"/>
              <w:right w:w="80" w:type="dxa"/>
            </w:tcMar>
            <w:vAlign w:val="center"/>
            <w:hideMark/>
          </w:tcPr>
          <w:p w14:paraId="435D1CCE"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6626E9D8"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7DE5E998"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inclusion of multiple action types provides a good range of motion data for training the classifier.</w:t>
            </w:r>
          </w:p>
        </w:tc>
        <w:tc>
          <w:tcPr>
            <w:tcW w:w="2409" w:type="dxa"/>
            <w:tcMar>
              <w:top w:w="80" w:type="dxa"/>
              <w:left w:w="80" w:type="dxa"/>
              <w:bottom w:w="80" w:type="dxa"/>
              <w:right w:w="80" w:type="dxa"/>
            </w:tcMar>
            <w:vAlign w:val="center"/>
            <w:hideMark/>
          </w:tcPr>
          <w:p w14:paraId="783F5C2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Feature reduction from skeleton points ensures that the model is efficient and focuses on the most relevant data.</w:t>
            </w:r>
          </w:p>
        </w:tc>
        <w:tc>
          <w:tcPr>
            <w:tcW w:w="2552" w:type="dxa"/>
            <w:tcMar>
              <w:top w:w="80" w:type="dxa"/>
              <w:left w:w="80" w:type="dxa"/>
              <w:bottom w:w="80" w:type="dxa"/>
              <w:right w:w="80" w:type="dxa"/>
            </w:tcMar>
            <w:vAlign w:val="center"/>
            <w:hideMark/>
          </w:tcPr>
          <w:p w14:paraId="31BF791F"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prediction targets are meaningful for assessing the functional ability of individuals in their own homes.</w:t>
            </w:r>
          </w:p>
        </w:tc>
        <w:tc>
          <w:tcPr>
            <w:tcW w:w="2551" w:type="dxa"/>
            <w:tcMar>
              <w:top w:w="80" w:type="dxa"/>
              <w:left w:w="80" w:type="dxa"/>
              <w:bottom w:w="80" w:type="dxa"/>
              <w:right w:w="80" w:type="dxa"/>
            </w:tcMar>
            <w:vAlign w:val="center"/>
            <w:hideMark/>
          </w:tcPr>
          <w:p w14:paraId="1996673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Testing across multiple public datasets demonstrates the general ability of the model to recognize actions.</w:t>
            </w:r>
          </w:p>
        </w:tc>
        <w:tc>
          <w:tcPr>
            <w:tcW w:w="567" w:type="dxa"/>
            <w:tcMar>
              <w:top w:w="80" w:type="dxa"/>
              <w:left w:w="80" w:type="dxa"/>
              <w:bottom w:w="80" w:type="dxa"/>
              <w:right w:w="80" w:type="dxa"/>
            </w:tcMar>
            <w:vAlign w:val="center"/>
            <w:hideMark/>
          </w:tcPr>
          <w:p w14:paraId="3A02715D"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AC3C21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technology is highly suitable for enhancing the safety of older adults through non contact sensing.</w:t>
            </w:r>
          </w:p>
        </w:tc>
      </w:tr>
      <w:tr w:rsidR="00A37C7E" w:rsidRPr="006C17CC" w14:paraId="05BAEEC8" w14:textId="77777777" w:rsidTr="00465626">
        <w:trPr>
          <w:trHeight w:val="1415"/>
        </w:trPr>
        <w:tc>
          <w:tcPr>
            <w:tcW w:w="1555" w:type="dxa"/>
            <w:tcMar>
              <w:top w:w="80" w:type="dxa"/>
              <w:left w:w="80" w:type="dxa"/>
              <w:bottom w:w="80" w:type="dxa"/>
              <w:right w:w="80" w:type="dxa"/>
            </w:tcMar>
            <w:vAlign w:val="center"/>
            <w:hideMark/>
          </w:tcPr>
          <w:p w14:paraId="190EDA76"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(Cook, 2006)</w:t>
            </w:r>
          </w:p>
        </w:tc>
        <w:tc>
          <w:tcPr>
            <w:tcW w:w="567" w:type="dxa"/>
            <w:tcMar>
              <w:top w:w="80" w:type="dxa"/>
              <w:left w:w="80" w:type="dxa"/>
              <w:bottom w:w="80" w:type="dxa"/>
              <w:right w:w="80" w:type="dxa"/>
            </w:tcMar>
            <w:vAlign w:val="center"/>
            <w:hideMark/>
          </w:tcPr>
          <w:p w14:paraId="69DF952A"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416A6438"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a dedicated smart home lab allowed for high-quality, continuous data collection necessary for model development.</w:t>
            </w:r>
          </w:p>
        </w:tc>
        <w:tc>
          <w:tcPr>
            <w:tcW w:w="2409" w:type="dxa"/>
            <w:tcMar>
              <w:top w:w="80" w:type="dxa"/>
              <w:left w:w="80" w:type="dxa"/>
              <w:bottom w:w="80" w:type="dxa"/>
              <w:right w:w="80" w:type="dxa"/>
            </w:tcMar>
            <w:vAlign w:val="center"/>
            <w:hideMark/>
          </w:tcPr>
          <w:p w14:paraId="29938AC4"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Multi-modal sensor fusion provides a reliable set of predictors that capture the complexity of daily inhabitant behavior.</w:t>
            </w:r>
          </w:p>
        </w:tc>
        <w:tc>
          <w:tcPr>
            <w:tcW w:w="2552" w:type="dxa"/>
            <w:tcMar>
              <w:top w:w="80" w:type="dxa"/>
              <w:left w:w="80" w:type="dxa"/>
              <w:bottom w:w="80" w:type="dxa"/>
              <w:right w:w="80" w:type="dxa"/>
            </w:tcMar>
            <w:vAlign w:val="center"/>
            <w:hideMark/>
          </w:tcPr>
          <w:p w14:paraId="1C3F538D"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Identifying deviations from normal routines provides an actionable and clinically relevant measure of functional health.</w:t>
            </w:r>
          </w:p>
        </w:tc>
        <w:tc>
          <w:tcPr>
            <w:tcW w:w="2551" w:type="dxa"/>
            <w:tcMar>
              <w:top w:w="80" w:type="dxa"/>
              <w:left w:w="80" w:type="dxa"/>
              <w:bottom w:w="80" w:type="dxa"/>
              <w:right w:w="80" w:type="dxa"/>
            </w:tcMar>
            <w:vAlign w:val="center"/>
            <w:hideMark/>
          </w:tcPr>
          <w:p w14:paraId="4475139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information-theoretic measures for anomaly detection demonstrates a rigorous and scientifically sound analytical approach.</w:t>
            </w:r>
          </w:p>
        </w:tc>
        <w:tc>
          <w:tcPr>
            <w:tcW w:w="567" w:type="dxa"/>
            <w:tcMar>
              <w:top w:w="80" w:type="dxa"/>
              <w:left w:w="80" w:type="dxa"/>
              <w:bottom w:w="80" w:type="dxa"/>
              <w:right w:w="80" w:type="dxa"/>
            </w:tcMar>
            <w:vAlign w:val="center"/>
            <w:hideMark/>
          </w:tcPr>
          <w:p w14:paraId="5A7DCA71"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6CC468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ability to detect long-term health trends is a major advancement in supporting aging in place.</w:t>
            </w:r>
          </w:p>
        </w:tc>
      </w:tr>
      <w:tr w:rsidR="00A37C7E" w:rsidRPr="006C17CC" w14:paraId="028F59C7" w14:textId="77777777" w:rsidTr="00465626">
        <w:trPr>
          <w:trHeight w:val="1415"/>
        </w:trPr>
        <w:tc>
          <w:tcPr>
            <w:tcW w:w="1555" w:type="dxa"/>
            <w:tcMar>
              <w:top w:w="80" w:type="dxa"/>
              <w:left w:w="80" w:type="dxa"/>
              <w:bottom w:w="80" w:type="dxa"/>
              <w:right w:w="80" w:type="dxa"/>
            </w:tcMar>
            <w:vAlign w:val="center"/>
            <w:hideMark/>
          </w:tcPr>
          <w:p w14:paraId="6F672F8B"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6497CCDF"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2E9B7E1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study design ensured that the most relevant safety and well-being needs were the primary focus of the automation.</w:t>
            </w:r>
          </w:p>
        </w:tc>
        <w:tc>
          <w:tcPr>
            <w:tcW w:w="2409" w:type="dxa"/>
            <w:tcMar>
              <w:top w:w="80" w:type="dxa"/>
              <w:left w:w="80" w:type="dxa"/>
              <w:bottom w:w="80" w:type="dxa"/>
              <w:right w:w="80" w:type="dxa"/>
            </w:tcMar>
            <w:vAlign w:val="center"/>
            <w:hideMark/>
          </w:tcPr>
          <w:p w14:paraId="1E406A6F"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data collection and routine modeling eliminate the inconsistencies found in manual geriatric assessments.</w:t>
            </w:r>
          </w:p>
        </w:tc>
        <w:tc>
          <w:tcPr>
            <w:tcW w:w="2552" w:type="dxa"/>
            <w:tcMar>
              <w:top w:w="80" w:type="dxa"/>
              <w:left w:w="80" w:type="dxa"/>
              <w:bottom w:w="80" w:type="dxa"/>
              <w:right w:w="80" w:type="dxa"/>
            </w:tcMar>
            <w:vAlign w:val="center"/>
            <w:hideMark/>
          </w:tcPr>
          <w:p w14:paraId="283FDB6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identified outcomes provide a stable framework for proactive health monitoring and crisis prevention.</w:t>
            </w:r>
          </w:p>
        </w:tc>
        <w:tc>
          <w:tcPr>
            <w:tcW w:w="2551" w:type="dxa"/>
            <w:tcMar>
              <w:top w:w="80" w:type="dxa"/>
              <w:left w:w="80" w:type="dxa"/>
              <w:bottom w:w="80" w:type="dxa"/>
              <w:right w:w="80" w:type="dxa"/>
            </w:tcMar>
            <w:vAlign w:val="center"/>
            <w:hideMark/>
          </w:tcPr>
          <w:p w14:paraId="34D09EF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technical success of the MavHome system in recognizing inhabitant patterns confirms the stability of the algorithms.</w:t>
            </w:r>
          </w:p>
        </w:tc>
        <w:tc>
          <w:tcPr>
            <w:tcW w:w="567" w:type="dxa"/>
            <w:tcMar>
              <w:top w:w="80" w:type="dxa"/>
              <w:left w:w="80" w:type="dxa"/>
              <w:bottom w:w="80" w:type="dxa"/>
              <w:right w:w="80" w:type="dxa"/>
            </w:tcMar>
            <w:vAlign w:val="center"/>
            <w:hideMark/>
          </w:tcPr>
          <w:p w14:paraId="426E3095"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184AA45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a critical step toward creating supportive and intelligent living environments for seniors.</w:t>
            </w:r>
          </w:p>
        </w:tc>
      </w:tr>
      <w:tr w:rsidR="00A37C7E" w:rsidRPr="006C17CC" w14:paraId="58625A5D" w14:textId="77777777" w:rsidTr="00465626">
        <w:trPr>
          <w:trHeight w:val="1132"/>
        </w:trPr>
        <w:tc>
          <w:tcPr>
            <w:tcW w:w="1555" w:type="dxa"/>
            <w:tcMar>
              <w:top w:w="80" w:type="dxa"/>
              <w:left w:w="80" w:type="dxa"/>
              <w:bottom w:w="80" w:type="dxa"/>
              <w:right w:w="80" w:type="dxa"/>
            </w:tcMar>
            <w:vAlign w:val="center"/>
            <w:hideMark/>
          </w:tcPr>
          <w:p w14:paraId="5073D54C"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(Enshaeifar et al., 2018)</w:t>
            </w:r>
          </w:p>
        </w:tc>
        <w:tc>
          <w:tcPr>
            <w:tcW w:w="567" w:type="dxa"/>
            <w:tcMar>
              <w:top w:w="80" w:type="dxa"/>
              <w:left w:w="80" w:type="dxa"/>
              <w:bottom w:w="80" w:type="dxa"/>
              <w:right w:w="80" w:type="dxa"/>
            </w:tcMar>
            <w:vAlign w:val="center"/>
            <w:hideMark/>
          </w:tcPr>
          <w:p w14:paraId="06CAB2AF"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2935A78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large-scale cohort from the TIHM study ensures that the model is built on high-quality and diverse real-world data.</w:t>
            </w:r>
          </w:p>
        </w:tc>
        <w:tc>
          <w:tcPr>
            <w:tcW w:w="2409" w:type="dxa"/>
            <w:tcMar>
              <w:top w:w="80" w:type="dxa"/>
              <w:left w:w="80" w:type="dxa"/>
              <w:bottom w:w="80" w:type="dxa"/>
              <w:right w:w="80" w:type="dxa"/>
            </w:tcMar>
            <w:vAlign w:val="center"/>
            <w:hideMark/>
          </w:tcPr>
          <w:p w14:paraId="0A6902F2"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Multi-modal sensor fusion provides a robust set of predictors that capture subtle changes in functional health.</w:t>
            </w:r>
          </w:p>
        </w:tc>
        <w:tc>
          <w:tcPr>
            <w:tcW w:w="2552" w:type="dxa"/>
            <w:tcMar>
              <w:top w:w="80" w:type="dxa"/>
              <w:left w:w="80" w:type="dxa"/>
              <w:bottom w:w="80" w:type="dxa"/>
              <w:right w:w="80" w:type="dxa"/>
            </w:tcMar>
            <w:vAlign w:val="center"/>
            <w:hideMark/>
          </w:tcPr>
          <w:p w14:paraId="79A2BF0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clinical verification as the reference standard ensures that the predictive targets are highly reliable.</w:t>
            </w:r>
          </w:p>
        </w:tc>
        <w:tc>
          <w:tcPr>
            <w:tcW w:w="2551" w:type="dxa"/>
            <w:tcMar>
              <w:top w:w="80" w:type="dxa"/>
              <w:left w:w="80" w:type="dxa"/>
              <w:bottom w:w="80" w:type="dxa"/>
              <w:right w:w="80" w:type="dxa"/>
            </w:tcMar>
            <w:vAlign w:val="center"/>
            <w:hideMark/>
          </w:tcPr>
          <w:p w14:paraId="7387437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model successfully identified clinically relevant anomalies, demonstrating high predictive power and stability.</w:t>
            </w:r>
          </w:p>
        </w:tc>
        <w:tc>
          <w:tcPr>
            <w:tcW w:w="567" w:type="dxa"/>
            <w:tcMar>
              <w:top w:w="80" w:type="dxa"/>
              <w:left w:w="80" w:type="dxa"/>
              <w:bottom w:w="80" w:type="dxa"/>
              <w:right w:w="80" w:type="dxa"/>
            </w:tcMar>
            <w:vAlign w:val="center"/>
            <w:hideMark/>
          </w:tcPr>
          <w:p w14:paraId="2733F07E"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E9DD78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automated monitoring approach is essential for reducing hospitalizations and supporting aging in place.</w:t>
            </w:r>
          </w:p>
        </w:tc>
      </w:tr>
      <w:tr w:rsidR="00A37C7E" w:rsidRPr="006C17CC" w14:paraId="5885C795" w14:textId="77777777" w:rsidTr="00465626">
        <w:trPr>
          <w:trHeight w:val="1415"/>
        </w:trPr>
        <w:tc>
          <w:tcPr>
            <w:tcW w:w="1555" w:type="dxa"/>
            <w:tcMar>
              <w:top w:w="80" w:type="dxa"/>
              <w:left w:w="80" w:type="dxa"/>
              <w:bottom w:w="80" w:type="dxa"/>
              <w:right w:w="80" w:type="dxa"/>
            </w:tcMar>
            <w:vAlign w:val="center"/>
            <w:hideMark/>
          </w:tcPr>
          <w:p w14:paraId="50319972"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19D88754"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22CC5DF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study design ensured that the most vulnerable population (those with dementia) was the primary focus of the work.</w:t>
            </w:r>
          </w:p>
        </w:tc>
        <w:tc>
          <w:tcPr>
            <w:tcW w:w="2409" w:type="dxa"/>
            <w:tcMar>
              <w:top w:w="80" w:type="dxa"/>
              <w:left w:w="80" w:type="dxa"/>
              <w:bottom w:w="80" w:type="dxa"/>
              <w:right w:w="80" w:type="dxa"/>
            </w:tcMar>
            <w:vAlign w:val="center"/>
            <w:hideMark/>
          </w:tcPr>
          <w:p w14:paraId="153E566E"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data collection and pattern analysis eliminate the inconsistencies found in manual health assessments.</w:t>
            </w:r>
          </w:p>
        </w:tc>
        <w:tc>
          <w:tcPr>
            <w:tcW w:w="2552" w:type="dxa"/>
            <w:tcMar>
              <w:top w:w="80" w:type="dxa"/>
              <w:left w:w="80" w:type="dxa"/>
              <w:bottom w:w="80" w:type="dxa"/>
              <w:right w:w="80" w:type="dxa"/>
            </w:tcMar>
            <w:vAlign w:val="center"/>
            <w:hideMark/>
          </w:tcPr>
          <w:p w14:paraId="1386713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identified outcomes provide actionable insights for clinicians, enhancing the quality of home care for seniors.</w:t>
            </w:r>
          </w:p>
        </w:tc>
        <w:tc>
          <w:tcPr>
            <w:tcW w:w="2551" w:type="dxa"/>
            <w:tcMar>
              <w:top w:w="80" w:type="dxa"/>
              <w:left w:w="80" w:type="dxa"/>
              <w:bottom w:w="80" w:type="dxa"/>
              <w:right w:w="80" w:type="dxa"/>
            </w:tcMar>
            <w:vAlign w:val="center"/>
            <w:hideMark/>
          </w:tcPr>
          <w:p w14:paraId="27B0ECE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advanced ML to manage imbalanced health event data confirms a rigorous and scientific analytical cycle.</w:t>
            </w:r>
          </w:p>
        </w:tc>
        <w:tc>
          <w:tcPr>
            <w:tcW w:w="567" w:type="dxa"/>
            <w:tcMar>
              <w:top w:w="80" w:type="dxa"/>
              <w:left w:w="80" w:type="dxa"/>
              <w:bottom w:w="80" w:type="dxa"/>
              <w:right w:w="80" w:type="dxa"/>
            </w:tcMar>
            <w:vAlign w:val="center"/>
            <w:hideMark/>
          </w:tcPr>
          <w:p w14:paraId="497CD858"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58488ED"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a major advancement in personalized and proactive health management for older adults.</w:t>
            </w:r>
          </w:p>
        </w:tc>
      </w:tr>
      <w:tr w:rsidR="00FB6B47" w14:paraId="10D918E9" w14:textId="77777777">
        <w:tc>
          <w:tcPr>
            <w:tcW w:w="1555" w:type="dxa"/>
            <w:tcMar>
              <w:top w:w="80" w:type="dxa"/>
              <w:left w:w="80" w:type="dxa"/>
              <w:bottom w:w="80" w:type="dxa"/>
              <w:right w:w="80" w:type="dxa"/>
            </w:tcMar>
            <w:vAlign w:val="center"/>
          </w:tcPr>
          <w:p w14:paraId="1F469704" w14:textId="77777777" w:rsidR="00FB6B47" w:rsidRDefault="00000000">
            <w:pPr>
              <w:jc w:val="center"/>
              <w:rPr>
                <w:rFonts w:hint="eastAsia"/>
              </w:rPr>
            </w:pPr>
            <w:r>
              <w:rPr>
                <w:rFonts w:ascii="Times New Roman" w:hAnsi="Times New Roman" w:cs="Times New Roman"/>
                <w:sz w:val="18"/>
              </w:rPr>
              <w:t>(Farmer and Powell, 2024)</w:t>
            </w:r>
          </w:p>
        </w:tc>
        <w:tc>
          <w:tcPr>
            <w:tcW w:w="567" w:type="dxa"/>
            <w:tcMar>
              <w:top w:w="80" w:type="dxa"/>
              <w:left w:w="80" w:type="dxa"/>
              <w:bottom w:w="80" w:type="dxa"/>
              <w:right w:w="80" w:type="dxa"/>
            </w:tcMar>
            <w:vAlign w:val="center"/>
          </w:tcPr>
          <w:p w14:paraId="721C3FE7"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40CC7DC0"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insufficiently representative.</w:t>
            </w:r>
          </w:p>
        </w:tc>
        <w:tc>
          <w:tcPr>
            <w:tcW w:w="2409" w:type="dxa"/>
            <w:tcMar>
              <w:top w:w="80" w:type="dxa"/>
              <w:left w:w="80" w:type="dxa"/>
              <w:bottom w:w="80" w:type="dxa"/>
              <w:right w:w="80" w:type="dxa"/>
            </w:tcMar>
            <w:vAlign w:val="center"/>
          </w:tcPr>
          <w:p w14:paraId="0000F9E8"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407FF3E0"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07BBB3DE"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46F004AB"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00EFF6BB"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FB6B47" w14:paraId="3DA6112E" w14:textId="77777777">
        <w:tc>
          <w:tcPr>
            <w:tcW w:w="1555" w:type="dxa"/>
            <w:tcMar>
              <w:top w:w="80" w:type="dxa"/>
              <w:left w:w="80" w:type="dxa"/>
              <w:bottom w:w="80" w:type="dxa"/>
              <w:right w:w="80" w:type="dxa"/>
            </w:tcMar>
            <w:vAlign w:val="center"/>
          </w:tcPr>
          <w:p w14:paraId="739D663A"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7867C4A0"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3FEF38F8"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not sufficiently representative.</w:t>
            </w:r>
          </w:p>
        </w:tc>
        <w:tc>
          <w:tcPr>
            <w:tcW w:w="2409" w:type="dxa"/>
            <w:tcMar>
              <w:top w:w="80" w:type="dxa"/>
              <w:left w:w="80" w:type="dxa"/>
              <w:bottom w:w="80" w:type="dxa"/>
              <w:right w:w="80" w:type="dxa"/>
            </w:tcMar>
            <w:vAlign w:val="center"/>
          </w:tcPr>
          <w:p w14:paraId="57694BE6"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7D918D2B"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53E1A9EC"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1340B3F4"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34445CBA"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FB6B47" w14:paraId="27EC0854" w14:textId="77777777">
        <w:tc>
          <w:tcPr>
            <w:tcW w:w="1555" w:type="dxa"/>
            <w:tcMar>
              <w:top w:w="80" w:type="dxa"/>
              <w:left w:w="80" w:type="dxa"/>
              <w:bottom w:w="80" w:type="dxa"/>
              <w:right w:w="80" w:type="dxa"/>
            </w:tcMar>
            <w:vAlign w:val="center"/>
          </w:tcPr>
          <w:p w14:paraId="26EDE1BC" w14:textId="77777777" w:rsidR="00FB6B47" w:rsidRDefault="00000000">
            <w:pPr>
              <w:jc w:val="center"/>
              <w:rPr>
                <w:rFonts w:hint="eastAsia"/>
              </w:rPr>
            </w:pPr>
            <w:r>
              <w:rPr>
                <w:rFonts w:ascii="Times New Roman" w:hAnsi="Times New Roman" w:cs="Times New Roman"/>
                <w:sz w:val="18"/>
              </w:rPr>
              <w:t>(Gao, 2023)</w:t>
            </w:r>
          </w:p>
        </w:tc>
        <w:tc>
          <w:tcPr>
            <w:tcW w:w="567" w:type="dxa"/>
            <w:tcMar>
              <w:top w:w="80" w:type="dxa"/>
              <w:left w:w="80" w:type="dxa"/>
              <w:bottom w:w="80" w:type="dxa"/>
              <w:right w:w="80" w:type="dxa"/>
            </w:tcMar>
            <w:vAlign w:val="center"/>
          </w:tcPr>
          <w:p w14:paraId="0EF9C2D7"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1EB467E8" w14:textId="77777777" w:rsidR="00FB6B47" w:rsidRDefault="00000000">
            <w:pPr>
              <w:jc w:val="left"/>
              <w:rPr>
                <w:rFonts w:hint="eastAsia"/>
              </w:rPr>
            </w:pPr>
            <w:r>
              <w:rPr>
                <w:rFonts w:ascii="Times New Roman" w:hAnsi="Times New Roman" w:cs="Times New Roman"/>
                <w:sz w:val="18"/>
              </w:rPr>
              <w:t xml:space="preserve">High Risk. Image or video datasets did not adequately </w:t>
            </w:r>
            <w:r>
              <w:rPr>
                <w:rFonts w:ascii="Times New Roman" w:hAnsi="Times New Roman" w:cs="Times New Roman"/>
                <w:sz w:val="18"/>
              </w:rPr>
              <w:lastRenderedPageBreak/>
              <w:t>represent older adults at home.</w:t>
            </w:r>
          </w:p>
        </w:tc>
        <w:tc>
          <w:tcPr>
            <w:tcW w:w="2409" w:type="dxa"/>
            <w:tcMar>
              <w:top w:w="80" w:type="dxa"/>
              <w:left w:w="80" w:type="dxa"/>
              <w:bottom w:w="80" w:type="dxa"/>
              <w:right w:w="80" w:type="dxa"/>
            </w:tcMar>
            <w:vAlign w:val="center"/>
          </w:tcPr>
          <w:p w14:paraId="0A02F2CC" w14:textId="77777777" w:rsidR="00FB6B47" w:rsidRDefault="00000000">
            <w:pPr>
              <w:jc w:val="left"/>
              <w:rPr>
                <w:rFonts w:hint="eastAsia"/>
              </w:rPr>
            </w:pPr>
            <w:r>
              <w:rPr>
                <w:rFonts w:ascii="Times New Roman" w:hAnsi="Times New Roman" w:cs="Times New Roman"/>
                <w:sz w:val="18"/>
              </w:rPr>
              <w:lastRenderedPageBreak/>
              <w:t xml:space="preserve">Low Risk. Visual predictors were defined for the model </w:t>
            </w:r>
            <w:r>
              <w:rPr>
                <w:rFonts w:ascii="Times New Roman" w:hAnsi="Times New Roman" w:cs="Times New Roman"/>
                <w:sz w:val="18"/>
              </w:rPr>
              <w:lastRenderedPageBreak/>
              <w:t>task.</w:t>
            </w:r>
          </w:p>
        </w:tc>
        <w:tc>
          <w:tcPr>
            <w:tcW w:w="2552" w:type="dxa"/>
            <w:tcMar>
              <w:top w:w="80" w:type="dxa"/>
              <w:left w:w="80" w:type="dxa"/>
              <w:bottom w:w="80" w:type="dxa"/>
              <w:right w:w="80" w:type="dxa"/>
            </w:tcMar>
            <w:vAlign w:val="center"/>
          </w:tcPr>
          <w:p w14:paraId="2E292279" w14:textId="77777777" w:rsidR="00FB6B47" w:rsidRDefault="00000000">
            <w:pPr>
              <w:jc w:val="left"/>
              <w:rPr>
                <w:rFonts w:hint="eastAsia"/>
              </w:rPr>
            </w:pPr>
            <w:r>
              <w:rPr>
                <w:rFonts w:ascii="Times New Roman" w:hAnsi="Times New Roman" w:cs="Times New Roman"/>
                <w:sz w:val="18"/>
              </w:rPr>
              <w:lastRenderedPageBreak/>
              <w:t xml:space="preserve">High Risk. Outcome labels were proxy detection tasks rather than </w:t>
            </w:r>
            <w:r>
              <w:rPr>
                <w:rFonts w:ascii="Times New Roman" w:hAnsi="Times New Roman" w:cs="Times New Roman"/>
                <w:sz w:val="18"/>
              </w:rPr>
              <w:lastRenderedPageBreak/>
              <w:t>validated clinical outcomes.</w:t>
            </w:r>
          </w:p>
        </w:tc>
        <w:tc>
          <w:tcPr>
            <w:tcW w:w="2551" w:type="dxa"/>
            <w:tcMar>
              <w:top w:w="80" w:type="dxa"/>
              <w:left w:w="80" w:type="dxa"/>
              <w:bottom w:w="80" w:type="dxa"/>
              <w:right w:w="80" w:type="dxa"/>
            </w:tcMar>
            <w:vAlign w:val="center"/>
          </w:tcPr>
          <w:p w14:paraId="7B1C55CB" w14:textId="77777777" w:rsidR="00FB6B47" w:rsidRDefault="00000000">
            <w:pPr>
              <w:jc w:val="left"/>
              <w:rPr>
                <w:rFonts w:hint="eastAsia"/>
              </w:rPr>
            </w:pPr>
            <w:r>
              <w:rPr>
                <w:rFonts w:ascii="Times New Roman" w:hAnsi="Times New Roman" w:cs="Times New Roman"/>
                <w:sz w:val="18"/>
              </w:rPr>
              <w:lastRenderedPageBreak/>
              <w:t xml:space="preserve">High Risk. Evaluation relied on internal or simulated </w:t>
            </w:r>
            <w:r>
              <w:rPr>
                <w:rFonts w:ascii="Times New Roman" w:hAnsi="Times New Roman" w:cs="Times New Roman"/>
                <w:sz w:val="18"/>
              </w:rPr>
              <w:lastRenderedPageBreak/>
              <w:t>performance metrics.</w:t>
            </w:r>
          </w:p>
        </w:tc>
        <w:tc>
          <w:tcPr>
            <w:tcW w:w="567" w:type="dxa"/>
            <w:tcMar>
              <w:top w:w="80" w:type="dxa"/>
              <w:left w:w="80" w:type="dxa"/>
              <w:bottom w:w="80" w:type="dxa"/>
              <w:right w:w="80" w:type="dxa"/>
            </w:tcMar>
            <w:vAlign w:val="center"/>
          </w:tcPr>
          <w:p w14:paraId="091444C9"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lastRenderedPageBreak/>
              <w:t>High Risk</w:t>
            </w:r>
          </w:p>
        </w:tc>
        <w:tc>
          <w:tcPr>
            <w:tcW w:w="2919" w:type="dxa"/>
            <w:tcMar>
              <w:top w:w="80" w:type="dxa"/>
              <w:left w:w="80" w:type="dxa"/>
              <w:bottom w:w="80" w:type="dxa"/>
              <w:right w:w="80" w:type="dxa"/>
            </w:tcMar>
            <w:vAlign w:val="center"/>
          </w:tcPr>
          <w:p w14:paraId="699F8631" w14:textId="77777777" w:rsidR="00FB6B47" w:rsidRDefault="00000000">
            <w:pPr>
              <w:jc w:val="left"/>
              <w:rPr>
                <w:rFonts w:hint="eastAsia"/>
              </w:rPr>
            </w:pPr>
            <w:r>
              <w:rPr>
                <w:rFonts w:ascii="Times New Roman" w:hAnsi="Times New Roman" w:cs="Times New Roman"/>
                <w:sz w:val="18"/>
              </w:rPr>
              <w:t xml:space="preserve">High Concern. Real world aging in place applicability was not </w:t>
            </w:r>
            <w:r>
              <w:rPr>
                <w:rFonts w:ascii="Times New Roman" w:hAnsi="Times New Roman" w:cs="Times New Roman"/>
                <w:sz w:val="18"/>
              </w:rPr>
              <w:lastRenderedPageBreak/>
              <w:t>established.</w:t>
            </w:r>
          </w:p>
        </w:tc>
      </w:tr>
      <w:tr w:rsidR="00FB6B47" w14:paraId="23569DE7" w14:textId="77777777">
        <w:tc>
          <w:tcPr>
            <w:tcW w:w="1555" w:type="dxa"/>
            <w:tcMar>
              <w:top w:w="80" w:type="dxa"/>
              <w:left w:w="80" w:type="dxa"/>
              <w:bottom w:w="80" w:type="dxa"/>
              <w:right w:w="80" w:type="dxa"/>
            </w:tcMar>
            <w:vAlign w:val="center"/>
          </w:tcPr>
          <w:p w14:paraId="25084207"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48D9D345"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678AD7E7" w14:textId="77777777" w:rsidR="00FB6B47" w:rsidRDefault="00000000">
            <w:pPr>
              <w:jc w:val="left"/>
              <w:rPr>
                <w:rFonts w:hint="eastAsia"/>
              </w:rPr>
            </w:pPr>
            <w:r>
              <w:rPr>
                <w:rFonts w:ascii="Times New Roman" w:hAnsi="Times New Roman" w:cs="Times New Roman"/>
                <w:sz w:val="18"/>
              </w:rPr>
              <w:t>High Risk. Image or video datasets did not adequately represent older adults at home.</w:t>
            </w:r>
          </w:p>
        </w:tc>
        <w:tc>
          <w:tcPr>
            <w:tcW w:w="2409" w:type="dxa"/>
            <w:tcMar>
              <w:top w:w="80" w:type="dxa"/>
              <w:left w:w="80" w:type="dxa"/>
              <w:bottom w:w="80" w:type="dxa"/>
              <w:right w:w="80" w:type="dxa"/>
            </w:tcMar>
            <w:vAlign w:val="center"/>
          </w:tcPr>
          <w:p w14:paraId="5489B0F4" w14:textId="77777777" w:rsidR="00FB6B47" w:rsidRDefault="00000000">
            <w:pPr>
              <w:jc w:val="left"/>
              <w:rPr>
                <w:rFonts w:hint="eastAsia"/>
              </w:rPr>
            </w:pPr>
            <w:r>
              <w:rPr>
                <w:rFonts w:ascii="Times New Roman" w:hAnsi="Times New Roman" w:cs="Times New Roman"/>
                <w:sz w:val="18"/>
              </w:rPr>
              <w:t>Low Risk. Visual predictors were defined for the model task.</w:t>
            </w:r>
          </w:p>
        </w:tc>
        <w:tc>
          <w:tcPr>
            <w:tcW w:w="2552" w:type="dxa"/>
            <w:tcMar>
              <w:top w:w="80" w:type="dxa"/>
              <w:left w:w="80" w:type="dxa"/>
              <w:bottom w:w="80" w:type="dxa"/>
              <w:right w:w="80" w:type="dxa"/>
            </w:tcMar>
            <w:vAlign w:val="center"/>
          </w:tcPr>
          <w:p w14:paraId="41565A08" w14:textId="77777777" w:rsidR="00FB6B47" w:rsidRDefault="00000000">
            <w:pPr>
              <w:jc w:val="left"/>
              <w:rPr>
                <w:rFonts w:hint="eastAsia"/>
              </w:rPr>
            </w:pPr>
            <w:r>
              <w:rPr>
                <w:rFonts w:ascii="Times New Roman" w:hAnsi="Times New Roman" w:cs="Times New Roman"/>
                <w:sz w:val="18"/>
              </w:rPr>
              <w:t>High Risk. Outcome labels were proxy detection tasks rather than validated clinical outcomes.</w:t>
            </w:r>
          </w:p>
        </w:tc>
        <w:tc>
          <w:tcPr>
            <w:tcW w:w="2551" w:type="dxa"/>
            <w:tcMar>
              <w:top w:w="80" w:type="dxa"/>
              <w:left w:w="80" w:type="dxa"/>
              <w:bottom w:w="80" w:type="dxa"/>
              <w:right w:w="80" w:type="dxa"/>
            </w:tcMar>
            <w:vAlign w:val="center"/>
          </w:tcPr>
          <w:p w14:paraId="28C8B322" w14:textId="77777777" w:rsidR="00FB6B47" w:rsidRDefault="00000000">
            <w:pPr>
              <w:jc w:val="left"/>
              <w:rPr>
                <w:rFonts w:hint="eastAsia"/>
              </w:rPr>
            </w:pPr>
            <w:r>
              <w:rPr>
                <w:rFonts w:ascii="Times New Roman" w:hAnsi="Times New Roman" w:cs="Times New Roman"/>
                <w:sz w:val="18"/>
              </w:rPr>
              <w:t>High Risk. Evaluation relied on internal or simulated performance metrics.</w:t>
            </w:r>
          </w:p>
        </w:tc>
        <w:tc>
          <w:tcPr>
            <w:tcW w:w="567" w:type="dxa"/>
            <w:tcMar>
              <w:top w:w="80" w:type="dxa"/>
              <w:left w:w="80" w:type="dxa"/>
              <w:bottom w:w="80" w:type="dxa"/>
              <w:right w:w="80" w:type="dxa"/>
            </w:tcMar>
            <w:vAlign w:val="center"/>
          </w:tcPr>
          <w:p w14:paraId="368CEB1B"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572436C9" w14:textId="77777777" w:rsidR="00FB6B47" w:rsidRDefault="00000000">
            <w:pPr>
              <w:jc w:val="left"/>
              <w:rPr>
                <w:rFonts w:hint="eastAsia"/>
              </w:rPr>
            </w:pPr>
            <w:r>
              <w:rPr>
                <w:rFonts w:ascii="Times New Roman" w:hAnsi="Times New Roman" w:cs="Times New Roman"/>
                <w:sz w:val="18"/>
              </w:rPr>
              <w:t>High Concern. Real world aging in place applicability was not established.</w:t>
            </w:r>
          </w:p>
        </w:tc>
      </w:tr>
      <w:tr w:rsidR="00FB6B47" w14:paraId="2021B2CA" w14:textId="77777777">
        <w:tc>
          <w:tcPr>
            <w:tcW w:w="1555" w:type="dxa"/>
            <w:tcMar>
              <w:top w:w="80" w:type="dxa"/>
              <w:left w:w="80" w:type="dxa"/>
              <w:bottom w:w="80" w:type="dxa"/>
              <w:right w:w="80" w:type="dxa"/>
            </w:tcMar>
            <w:vAlign w:val="center"/>
          </w:tcPr>
          <w:p w14:paraId="4CF47B70" w14:textId="77777777" w:rsidR="00FB6B47" w:rsidRDefault="00000000">
            <w:pPr>
              <w:jc w:val="center"/>
              <w:rPr>
                <w:rFonts w:hint="eastAsia"/>
              </w:rPr>
            </w:pPr>
            <w:r>
              <w:rPr>
                <w:rFonts w:ascii="Times New Roman" w:hAnsi="Times New Roman" w:cs="Times New Roman"/>
                <w:sz w:val="18"/>
              </w:rPr>
              <w:t>(Gayathri et al., 2020)</w:t>
            </w:r>
          </w:p>
        </w:tc>
        <w:tc>
          <w:tcPr>
            <w:tcW w:w="567" w:type="dxa"/>
            <w:tcMar>
              <w:top w:w="80" w:type="dxa"/>
              <w:left w:w="80" w:type="dxa"/>
              <w:bottom w:w="80" w:type="dxa"/>
              <w:right w:w="80" w:type="dxa"/>
            </w:tcMar>
            <w:vAlign w:val="center"/>
          </w:tcPr>
          <w:p w14:paraId="5A304D54"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0A1380F6" w14:textId="77777777" w:rsidR="00FB6B47" w:rsidRDefault="00000000">
            <w:pPr>
              <w:jc w:val="left"/>
              <w:rPr>
                <w:rFonts w:hint="eastAsia"/>
              </w:rPr>
            </w:pPr>
            <w:r>
              <w:rPr>
                <w:rFonts w:ascii="Times New Roman" w:hAnsi="Times New Roman" w:cs="Times New Roman"/>
                <w:sz w:val="18"/>
              </w:rPr>
              <w:t>High Risk. Public benchmark datasets were not designed for clinical aging in place appraisal.</w:t>
            </w:r>
          </w:p>
        </w:tc>
        <w:tc>
          <w:tcPr>
            <w:tcW w:w="2409" w:type="dxa"/>
            <w:tcMar>
              <w:top w:w="80" w:type="dxa"/>
              <w:left w:w="80" w:type="dxa"/>
              <w:bottom w:w="80" w:type="dxa"/>
              <w:right w:w="80" w:type="dxa"/>
            </w:tcMar>
            <w:vAlign w:val="center"/>
          </w:tcPr>
          <w:p w14:paraId="294710FF" w14:textId="77777777" w:rsidR="00FB6B47" w:rsidRDefault="00000000">
            <w:pPr>
              <w:jc w:val="left"/>
              <w:rPr>
                <w:rFonts w:hint="eastAsia"/>
              </w:rPr>
            </w:pPr>
            <w:r>
              <w:rPr>
                <w:rFonts w:ascii="Times New Roman" w:hAnsi="Times New Roman" w:cs="Times New Roman"/>
                <w:sz w:val="18"/>
              </w:rPr>
              <w:t>Low Risk. Predictors were well specified for the curated sensor or skeleton inputs.</w:t>
            </w:r>
          </w:p>
        </w:tc>
        <w:tc>
          <w:tcPr>
            <w:tcW w:w="2552" w:type="dxa"/>
            <w:tcMar>
              <w:top w:w="80" w:type="dxa"/>
              <w:left w:w="80" w:type="dxa"/>
              <w:bottom w:w="80" w:type="dxa"/>
              <w:right w:w="80" w:type="dxa"/>
            </w:tcMar>
            <w:vAlign w:val="center"/>
          </w:tcPr>
          <w:p w14:paraId="2663BFE2" w14:textId="77777777" w:rsidR="00FB6B47" w:rsidRDefault="00000000">
            <w:pPr>
              <w:jc w:val="left"/>
              <w:rPr>
                <w:rFonts w:hint="eastAsia"/>
              </w:rPr>
            </w:pPr>
            <w:r>
              <w:rPr>
                <w:rFonts w:ascii="Times New Roman" w:hAnsi="Times New Roman" w:cs="Times New Roman"/>
                <w:sz w:val="18"/>
              </w:rPr>
              <w:t>High Risk. Activity labels were proxy outcomes rather than health outcomes.</w:t>
            </w:r>
          </w:p>
        </w:tc>
        <w:tc>
          <w:tcPr>
            <w:tcW w:w="2551" w:type="dxa"/>
            <w:tcMar>
              <w:top w:w="80" w:type="dxa"/>
              <w:left w:w="80" w:type="dxa"/>
              <w:bottom w:w="80" w:type="dxa"/>
              <w:right w:w="80" w:type="dxa"/>
            </w:tcMar>
            <w:vAlign w:val="center"/>
          </w:tcPr>
          <w:p w14:paraId="5BC5123F" w14:textId="77777777" w:rsidR="00FB6B47" w:rsidRDefault="00000000">
            <w:pPr>
              <w:jc w:val="left"/>
              <w:rPr>
                <w:rFonts w:hint="eastAsia"/>
              </w:rPr>
            </w:pPr>
            <w:r>
              <w:rPr>
                <w:rFonts w:ascii="Times New Roman" w:hAnsi="Times New Roman" w:cs="Times New Roman"/>
                <w:sz w:val="18"/>
              </w:rPr>
              <w:t>High Risk. Validation relied mainly on internal or benchmark testing.</w:t>
            </w:r>
          </w:p>
        </w:tc>
        <w:tc>
          <w:tcPr>
            <w:tcW w:w="567" w:type="dxa"/>
            <w:tcMar>
              <w:top w:w="80" w:type="dxa"/>
              <w:left w:w="80" w:type="dxa"/>
              <w:bottom w:w="80" w:type="dxa"/>
              <w:right w:w="80" w:type="dxa"/>
            </w:tcMar>
            <w:vAlign w:val="center"/>
          </w:tcPr>
          <w:p w14:paraId="3259F03A"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3F61A5C8" w14:textId="77777777" w:rsidR="00FB6B47" w:rsidRDefault="00000000">
            <w:pPr>
              <w:jc w:val="left"/>
              <w:rPr>
                <w:rFonts w:hint="eastAsia"/>
              </w:rPr>
            </w:pPr>
            <w:r>
              <w:rPr>
                <w:rFonts w:ascii="Times New Roman" w:hAnsi="Times New Roman" w:cs="Times New Roman"/>
                <w:sz w:val="18"/>
              </w:rPr>
              <w:t>High Concern. Applicability to community dwelling older adults was limited.</w:t>
            </w:r>
          </w:p>
        </w:tc>
      </w:tr>
      <w:tr w:rsidR="00FB6B47" w14:paraId="5778E774" w14:textId="77777777">
        <w:tc>
          <w:tcPr>
            <w:tcW w:w="1555" w:type="dxa"/>
            <w:tcMar>
              <w:top w:w="80" w:type="dxa"/>
              <w:left w:w="80" w:type="dxa"/>
              <w:bottom w:w="80" w:type="dxa"/>
              <w:right w:w="80" w:type="dxa"/>
            </w:tcMar>
            <w:vAlign w:val="center"/>
          </w:tcPr>
          <w:p w14:paraId="47D4ADA6"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451690F9"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0DC467DE" w14:textId="77777777" w:rsidR="00FB6B47" w:rsidRDefault="00000000">
            <w:pPr>
              <w:jc w:val="left"/>
              <w:rPr>
                <w:rFonts w:hint="eastAsia"/>
              </w:rPr>
            </w:pPr>
            <w:r>
              <w:rPr>
                <w:rFonts w:ascii="Times New Roman" w:hAnsi="Times New Roman" w:cs="Times New Roman"/>
                <w:sz w:val="18"/>
              </w:rPr>
              <w:t>High Risk. Public benchmark datasets were not designed for clinical aging in place appraisal.</w:t>
            </w:r>
          </w:p>
        </w:tc>
        <w:tc>
          <w:tcPr>
            <w:tcW w:w="2409" w:type="dxa"/>
            <w:tcMar>
              <w:top w:w="80" w:type="dxa"/>
              <w:left w:w="80" w:type="dxa"/>
              <w:bottom w:w="80" w:type="dxa"/>
              <w:right w:w="80" w:type="dxa"/>
            </w:tcMar>
            <w:vAlign w:val="center"/>
          </w:tcPr>
          <w:p w14:paraId="42D16718" w14:textId="77777777" w:rsidR="00FB6B47" w:rsidRDefault="00000000">
            <w:pPr>
              <w:jc w:val="left"/>
              <w:rPr>
                <w:rFonts w:hint="eastAsia"/>
              </w:rPr>
            </w:pPr>
            <w:r>
              <w:rPr>
                <w:rFonts w:ascii="Times New Roman" w:hAnsi="Times New Roman" w:cs="Times New Roman"/>
                <w:sz w:val="18"/>
              </w:rPr>
              <w:t>Low Risk. Predictors were well specified for the curated sensor or skeleton inputs.</w:t>
            </w:r>
          </w:p>
        </w:tc>
        <w:tc>
          <w:tcPr>
            <w:tcW w:w="2552" w:type="dxa"/>
            <w:tcMar>
              <w:top w:w="80" w:type="dxa"/>
              <w:left w:w="80" w:type="dxa"/>
              <w:bottom w:w="80" w:type="dxa"/>
              <w:right w:w="80" w:type="dxa"/>
            </w:tcMar>
            <w:vAlign w:val="center"/>
          </w:tcPr>
          <w:p w14:paraId="766CED71" w14:textId="77777777" w:rsidR="00FB6B47" w:rsidRDefault="00000000">
            <w:pPr>
              <w:jc w:val="left"/>
              <w:rPr>
                <w:rFonts w:hint="eastAsia"/>
              </w:rPr>
            </w:pPr>
            <w:r>
              <w:rPr>
                <w:rFonts w:ascii="Times New Roman" w:hAnsi="Times New Roman" w:cs="Times New Roman"/>
                <w:sz w:val="18"/>
              </w:rPr>
              <w:t>High Risk. Activity labels were proxy outcomes rather than health outcomes.</w:t>
            </w:r>
          </w:p>
        </w:tc>
        <w:tc>
          <w:tcPr>
            <w:tcW w:w="2551" w:type="dxa"/>
            <w:tcMar>
              <w:top w:w="80" w:type="dxa"/>
              <w:left w:w="80" w:type="dxa"/>
              <w:bottom w:w="80" w:type="dxa"/>
              <w:right w:w="80" w:type="dxa"/>
            </w:tcMar>
            <w:vAlign w:val="center"/>
          </w:tcPr>
          <w:p w14:paraId="4BDDED34" w14:textId="77777777" w:rsidR="00FB6B47" w:rsidRDefault="00000000">
            <w:pPr>
              <w:jc w:val="left"/>
              <w:rPr>
                <w:rFonts w:hint="eastAsia"/>
              </w:rPr>
            </w:pPr>
            <w:r>
              <w:rPr>
                <w:rFonts w:ascii="Times New Roman" w:hAnsi="Times New Roman" w:cs="Times New Roman"/>
                <w:sz w:val="18"/>
              </w:rPr>
              <w:t>High Risk. Validation relied mainly on internal or benchmark testing.</w:t>
            </w:r>
          </w:p>
        </w:tc>
        <w:tc>
          <w:tcPr>
            <w:tcW w:w="567" w:type="dxa"/>
            <w:tcMar>
              <w:top w:w="80" w:type="dxa"/>
              <w:left w:w="80" w:type="dxa"/>
              <w:bottom w:w="80" w:type="dxa"/>
              <w:right w:w="80" w:type="dxa"/>
            </w:tcMar>
            <w:vAlign w:val="center"/>
          </w:tcPr>
          <w:p w14:paraId="1BE1C620"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3F7A721F" w14:textId="77777777" w:rsidR="00FB6B47" w:rsidRDefault="00000000">
            <w:pPr>
              <w:jc w:val="left"/>
              <w:rPr>
                <w:rFonts w:hint="eastAsia"/>
              </w:rPr>
            </w:pPr>
            <w:r>
              <w:rPr>
                <w:rFonts w:ascii="Times New Roman" w:hAnsi="Times New Roman" w:cs="Times New Roman"/>
                <w:sz w:val="18"/>
              </w:rPr>
              <w:t>High Concern. Applicability to community dwelling older adults was limited.</w:t>
            </w:r>
          </w:p>
        </w:tc>
      </w:tr>
      <w:tr w:rsidR="00FB6B47" w14:paraId="29906DCE" w14:textId="77777777">
        <w:tc>
          <w:tcPr>
            <w:tcW w:w="1555" w:type="dxa"/>
            <w:tcMar>
              <w:top w:w="80" w:type="dxa"/>
              <w:left w:w="80" w:type="dxa"/>
              <w:bottom w:w="80" w:type="dxa"/>
              <w:right w:w="80" w:type="dxa"/>
            </w:tcMar>
            <w:vAlign w:val="center"/>
          </w:tcPr>
          <w:p w14:paraId="54541EF6" w14:textId="77777777" w:rsidR="00FB6B47" w:rsidRDefault="00000000">
            <w:pPr>
              <w:jc w:val="center"/>
              <w:rPr>
                <w:rFonts w:hint="eastAsia"/>
              </w:rPr>
            </w:pPr>
            <w:r>
              <w:rPr>
                <w:rFonts w:ascii="Times New Roman" w:hAnsi="Times New Roman" w:cs="Times New Roman"/>
                <w:sz w:val="18"/>
              </w:rPr>
              <w:t>(Ghayvat and Gope, 2023)</w:t>
            </w:r>
          </w:p>
        </w:tc>
        <w:tc>
          <w:tcPr>
            <w:tcW w:w="567" w:type="dxa"/>
            <w:tcMar>
              <w:top w:w="80" w:type="dxa"/>
              <w:left w:w="80" w:type="dxa"/>
              <w:bottom w:w="80" w:type="dxa"/>
              <w:right w:w="80" w:type="dxa"/>
            </w:tcMar>
            <w:vAlign w:val="center"/>
          </w:tcPr>
          <w:p w14:paraId="3A34AAB2"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118534A6"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insufficiently representative.</w:t>
            </w:r>
          </w:p>
        </w:tc>
        <w:tc>
          <w:tcPr>
            <w:tcW w:w="2409" w:type="dxa"/>
            <w:tcMar>
              <w:top w:w="80" w:type="dxa"/>
              <w:left w:w="80" w:type="dxa"/>
              <w:bottom w:w="80" w:type="dxa"/>
              <w:right w:w="80" w:type="dxa"/>
            </w:tcMar>
            <w:vAlign w:val="center"/>
          </w:tcPr>
          <w:p w14:paraId="3E4190CF"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745D1A21"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32C06863"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1A71764F"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0DD46E19"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FB6B47" w14:paraId="463AF385" w14:textId="77777777">
        <w:tc>
          <w:tcPr>
            <w:tcW w:w="1555" w:type="dxa"/>
            <w:tcMar>
              <w:top w:w="80" w:type="dxa"/>
              <w:left w:w="80" w:type="dxa"/>
              <w:bottom w:w="80" w:type="dxa"/>
              <w:right w:w="80" w:type="dxa"/>
            </w:tcMar>
            <w:vAlign w:val="center"/>
          </w:tcPr>
          <w:p w14:paraId="24D13E92"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0A5A2C80"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4069EC96"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not sufficiently representative.</w:t>
            </w:r>
          </w:p>
        </w:tc>
        <w:tc>
          <w:tcPr>
            <w:tcW w:w="2409" w:type="dxa"/>
            <w:tcMar>
              <w:top w:w="80" w:type="dxa"/>
              <w:left w:w="80" w:type="dxa"/>
              <w:bottom w:w="80" w:type="dxa"/>
              <w:right w:w="80" w:type="dxa"/>
            </w:tcMar>
            <w:vAlign w:val="center"/>
          </w:tcPr>
          <w:p w14:paraId="3AA61846"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10FE10D8"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7DD8F905"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07D62AC2"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3E33045B"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FB6B47" w14:paraId="1B5D799F" w14:textId="77777777">
        <w:tc>
          <w:tcPr>
            <w:tcW w:w="1555" w:type="dxa"/>
            <w:tcMar>
              <w:top w:w="80" w:type="dxa"/>
              <w:left w:w="80" w:type="dxa"/>
              <w:bottom w:w="80" w:type="dxa"/>
              <w:right w:w="80" w:type="dxa"/>
            </w:tcMar>
            <w:vAlign w:val="center"/>
          </w:tcPr>
          <w:p w14:paraId="5E9D14B3" w14:textId="77777777" w:rsidR="00FB6B47" w:rsidRDefault="00000000">
            <w:pPr>
              <w:jc w:val="center"/>
              <w:rPr>
                <w:rFonts w:hint="eastAsia"/>
              </w:rPr>
            </w:pPr>
            <w:r>
              <w:rPr>
                <w:rFonts w:ascii="Times New Roman" w:hAnsi="Times New Roman" w:cs="Times New Roman"/>
                <w:sz w:val="18"/>
              </w:rPr>
              <w:t>(Giggins et al., 2025)</w:t>
            </w:r>
          </w:p>
        </w:tc>
        <w:tc>
          <w:tcPr>
            <w:tcW w:w="567" w:type="dxa"/>
            <w:tcMar>
              <w:top w:w="80" w:type="dxa"/>
              <w:left w:w="80" w:type="dxa"/>
              <w:bottom w:w="80" w:type="dxa"/>
              <w:right w:w="80" w:type="dxa"/>
            </w:tcMar>
            <w:vAlign w:val="center"/>
          </w:tcPr>
          <w:p w14:paraId="4B2FF9A2"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0A889731" w14:textId="77777777" w:rsidR="00FB6B47" w:rsidRDefault="00000000">
            <w:pPr>
              <w:jc w:val="left"/>
              <w:rPr>
                <w:rFonts w:hint="eastAsia"/>
              </w:rPr>
            </w:pPr>
            <w:r>
              <w:rPr>
                <w:rFonts w:ascii="Times New Roman" w:hAnsi="Times New Roman" w:cs="Times New Roman"/>
                <w:sz w:val="18"/>
              </w:rPr>
              <w:t>High Risk. The participant sample was small or narrow for model development.</w:t>
            </w:r>
          </w:p>
        </w:tc>
        <w:tc>
          <w:tcPr>
            <w:tcW w:w="2409" w:type="dxa"/>
            <w:tcMar>
              <w:top w:w="80" w:type="dxa"/>
              <w:left w:w="80" w:type="dxa"/>
              <w:bottom w:w="80" w:type="dxa"/>
              <w:right w:w="80" w:type="dxa"/>
            </w:tcMar>
            <w:vAlign w:val="center"/>
          </w:tcPr>
          <w:p w14:paraId="351CF663" w14:textId="77777777" w:rsidR="00FB6B47" w:rsidRDefault="00000000">
            <w:pPr>
              <w:jc w:val="left"/>
              <w:rPr>
                <w:rFonts w:hint="eastAsia"/>
              </w:rPr>
            </w:pPr>
            <w:r>
              <w:rPr>
                <w:rFonts w:ascii="Times New Roman" w:hAnsi="Times New Roman" w:cs="Times New Roman"/>
                <w:sz w:val="18"/>
              </w:rPr>
              <w:t>Low Risk. Wearable predictors were technically defined.</w:t>
            </w:r>
          </w:p>
        </w:tc>
        <w:tc>
          <w:tcPr>
            <w:tcW w:w="2552" w:type="dxa"/>
            <w:tcMar>
              <w:top w:w="80" w:type="dxa"/>
              <w:left w:w="80" w:type="dxa"/>
              <w:bottom w:w="80" w:type="dxa"/>
              <w:right w:w="80" w:type="dxa"/>
            </w:tcMar>
            <w:vAlign w:val="center"/>
          </w:tcPr>
          <w:p w14:paraId="332507A9" w14:textId="77777777" w:rsidR="00FB6B47" w:rsidRDefault="00000000">
            <w:pPr>
              <w:jc w:val="left"/>
              <w:rPr>
                <w:rFonts w:hint="eastAsia"/>
              </w:rPr>
            </w:pPr>
            <w:r>
              <w:rPr>
                <w:rFonts w:ascii="Times New Roman" w:hAnsi="Times New Roman" w:cs="Times New Roman"/>
                <w:sz w:val="18"/>
              </w:rPr>
              <w:t>Low Risk. Frailty or sarcopenia outcomes were relevant.</w:t>
            </w:r>
          </w:p>
        </w:tc>
        <w:tc>
          <w:tcPr>
            <w:tcW w:w="2551" w:type="dxa"/>
            <w:tcMar>
              <w:top w:w="80" w:type="dxa"/>
              <w:left w:w="80" w:type="dxa"/>
              <w:bottom w:w="80" w:type="dxa"/>
              <w:right w:w="80" w:type="dxa"/>
            </w:tcMar>
            <w:vAlign w:val="center"/>
          </w:tcPr>
          <w:p w14:paraId="2EA3B41D" w14:textId="77777777" w:rsidR="00FB6B47" w:rsidRDefault="00000000">
            <w:pPr>
              <w:jc w:val="left"/>
              <w:rPr>
                <w:rFonts w:hint="eastAsia"/>
              </w:rPr>
            </w:pPr>
            <w:r>
              <w:rPr>
                <w:rFonts w:ascii="Times New Roman" w:hAnsi="Times New Roman" w:cs="Times New Roman"/>
                <w:sz w:val="18"/>
              </w:rPr>
              <w:t>High Risk. Model validation was limited and optimism could not be excluded.</w:t>
            </w:r>
          </w:p>
        </w:tc>
        <w:tc>
          <w:tcPr>
            <w:tcW w:w="567" w:type="dxa"/>
            <w:tcMar>
              <w:top w:w="80" w:type="dxa"/>
              <w:left w:w="80" w:type="dxa"/>
              <w:bottom w:w="80" w:type="dxa"/>
              <w:right w:w="80" w:type="dxa"/>
            </w:tcMar>
            <w:vAlign w:val="center"/>
          </w:tcPr>
          <w:p w14:paraId="59418E95"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4307BFFF" w14:textId="77777777" w:rsidR="00FB6B47" w:rsidRDefault="00000000">
            <w:pPr>
              <w:jc w:val="left"/>
              <w:rPr>
                <w:rFonts w:hint="eastAsia"/>
              </w:rPr>
            </w:pPr>
            <w:r>
              <w:rPr>
                <w:rFonts w:ascii="Times New Roman" w:hAnsi="Times New Roman" w:cs="Times New Roman"/>
                <w:sz w:val="18"/>
              </w:rPr>
              <w:t>Low Concern. The technology was relevant but evidence was preliminary.</w:t>
            </w:r>
          </w:p>
        </w:tc>
      </w:tr>
      <w:tr w:rsidR="00FB6B47" w14:paraId="3A8D4641" w14:textId="77777777">
        <w:tc>
          <w:tcPr>
            <w:tcW w:w="1555" w:type="dxa"/>
            <w:tcMar>
              <w:top w:w="80" w:type="dxa"/>
              <w:left w:w="80" w:type="dxa"/>
              <w:bottom w:w="80" w:type="dxa"/>
              <w:right w:w="80" w:type="dxa"/>
            </w:tcMar>
            <w:vAlign w:val="center"/>
          </w:tcPr>
          <w:p w14:paraId="6C0F9663"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2D0934B3"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55377DAF" w14:textId="77777777" w:rsidR="00FB6B47" w:rsidRDefault="00000000">
            <w:pPr>
              <w:jc w:val="left"/>
              <w:rPr>
                <w:rFonts w:hint="eastAsia"/>
              </w:rPr>
            </w:pPr>
            <w:r>
              <w:rPr>
                <w:rFonts w:ascii="Times New Roman" w:hAnsi="Times New Roman" w:cs="Times New Roman"/>
                <w:sz w:val="18"/>
              </w:rPr>
              <w:t>High Risk. The participant sample was small or narrow for model development.</w:t>
            </w:r>
          </w:p>
        </w:tc>
        <w:tc>
          <w:tcPr>
            <w:tcW w:w="2409" w:type="dxa"/>
            <w:tcMar>
              <w:top w:w="80" w:type="dxa"/>
              <w:left w:w="80" w:type="dxa"/>
              <w:bottom w:w="80" w:type="dxa"/>
              <w:right w:w="80" w:type="dxa"/>
            </w:tcMar>
            <w:vAlign w:val="center"/>
          </w:tcPr>
          <w:p w14:paraId="4CDD876D" w14:textId="77777777" w:rsidR="00FB6B47" w:rsidRDefault="00000000">
            <w:pPr>
              <w:jc w:val="left"/>
              <w:rPr>
                <w:rFonts w:hint="eastAsia"/>
              </w:rPr>
            </w:pPr>
            <w:r>
              <w:rPr>
                <w:rFonts w:ascii="Times New Roman" w:hAnsi="Times New Roman" w:cs="Times New Roman"/>
                <w:sz w:val="18"/>
              </w:rPr>
              <w:t>Low Risk. Wearable predictors were technically defined.</w:t>
            </w:r>
          </w:p>
        </w:tc>
        <w:tc>
          <w:tcPr>
            <w:tcW w:w="2552" w:type="dxa"/>
            <w:tcMar>
              <w:top w:w="80" w:type="dxa"/>
              <w:left w:w="80" w:type="dxa"/>
              <w:bottom w:w="80" w:type="dxa"/>
              <w:right w:w="80" w:type="dxa"/>
            </w:tcMar>
            <w:vAlign w:val="center"/>
          </w:tcPr>
          <w:p w14:paraId="69A14D2B" w14:textId="77777777" w:rsidR="00FB6B47" w:rsidRDefault="00000000">
            <w:pPr>
              <w:jc w:val="left"/>
              <w:rPr>
                <w:rFonts w:hint="eastAsia"/>
              </w:rPr>
            </w:pPr>
            <w:r>
              <w:rPr>
                <w:rFonts w:ascii="Times New Roman" w:hAnsi="Times New Roman" w:cs="Times New Roman"/>
                <w:sz w:val="18"/>
              </w:rPr>
              <w:t>Low Risk. Frailty or sarcopenia outcomes were relevant.</w:t>
            </w:r>
          </w:p>
        </w:tc>
        <w:tc>
          <w:tcPr>
            <w:tcW w:w="2551" w:type="dxa"/>
            <w:tcMar>
              <w:top w:w="80" w:type="dxa"/>
              <w:left w:w="80" w:type="dxa"/>
              <w:bottom w:w="80" w:type="dxa"/>
              <w:right w:w="80" w:type="dxa"/>
            </w:tcMar>
            <w:vAlign w:val="center"/>
          </w:tcPr>
          <w:p w14:paraId="6C1A4C07" w14:textId="77777777" w:rsidR="00FB6B47" w:rsidRDefault="00000000">
            <w:pPr>
              <w:jc w:val="left"/>
              <w:rPr>
                <w:rFonts w:hint="eastAsia"/>
              </w:rPr>
            </w:pPr>
            <w:r>
              <w:rPr>
                <w:rFonts w:ascii="Times New Roman" w:hAnsi="Times New Roman" w:cs="Times New Roman"/>
                <w:sz w:val="18"/>
              </w:rPr>
              <w:t>High Risk. Model validation was limited and optimism could not be excluded.</w:t>
            </w:r>
          </w:p>
        </w:tc>
        <w:tc>
          <w:tcPr>
            <w:tcW w:w="567" w:type="dxa"/>
            <w:tcMar>
              <w:top w:w="80" w:type="dxa"/>
              <w:left w:w="80" w:type="dxa"/>
              <w:bottom w:w="80" w:type="dxa"/>
              <w:right w:w="80" w:type="dxa"/>
            </w:tcMar>
            <w:vAlign w:val="center"/>
          </w:tcPr>
          <w:p w14:paraId="47E3877A"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7ED1328D" w14:textId="77777777" w:rsidR="00FB6B47" w:rsidRDefault="00000000">
            <w:pPr>
              <w:jc w:val="left"/>
              <w:rPr>
                <w:rFonts w:hint="eastAsia"/>
              </w:rPr>
            </w:pPr>
            <w:r>
              <w:rPr>
                <w:rFonts w:ascii="Times New Roman" w:hAnsi="Times New Roman" w:cs="Times New Roman"/>
                <w:sz w:val="18"/>
              </w:rPr>
              <w:t>Low Concern. The technology was relevant but evidence was preliminary.</w:t>
            </w:r>
          </w:p>
        </w:tc>
      </w:tr>
      <w:tr w:rsidR="00A37C7E" w:rsidRPr="006C17CC" w14:paraId="44CF8FB1" w14:textId="77777777" w:rsidTr="00465626">
        <w:trPr>
          <w:trHeight w:val="1415"/>
        </w:trPr>
        <w:tc>
          <w:tcPr>
            <w:tcW w:w="1555" w:type="dxa"/>
            <w:tcMar>
              <w:top w:w="80" w:type="dxa"/>
              <w:left w:w="80" w:type="dxa"/>
              <w:bottom w:w="80" w:type="dxa"/>
              <w:right w:w="80" w:type="dxa"/>
            </w:tcMar>
            <w:vAlign w:val="center"/>
            <w:hideMark/>
          </w:tcPr>
          <w:p w14:paraId="58CD0F57"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(Guo et al., 2025)</w:t>
            </w:r>
          </w:p>
        </w:tc>
        <w:tc>
          <w:tcPr>
            <w:tcW w:w="567" w:type="dxa"/>
            <w:tcMar>
              <w:top w:w="80" w:type="dxa"/>
              <w:left w:w="80" w:type="dxa"/>
              <w:bottom w:w="80" w:type="dxa"/>
              <w:right w:w="80" w:type="dxa"/>
            </w:tcMar>
            <w:vAlign w:val="center"/>
            <w:hideMark/>
          </w:tcPr>
          <w:p w14:paraId="4DD273BE"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1DAF128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inclusion of 106 real-world older Chinese adults (aged 60+) provides a solid foundation for evaluating system feasibility.</w:t>
            </w:r>
          </w:p>
        </w:tc>
        <w:tc>
          <w:tcPr>
            <w:tcW w:w="2409" w:type="dxa"/>
            <w:tcMar>
              <w:top w:w="80" w:type="dxa"/>
              <w:left w:w="80" w:type="dxa"/>
              <w:bottom w:w="80" w:type="dxa"/>
              <w:right w:w="80" w:type="dxa"/>
            </w:tcMar>
            <w:vAlign w:val="center"/>
            <w:hideMark/>
          </w:tcPr>
          <w:p w14:paraId="606651A1"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CDSS utilizes evidence-based geriatric knowledge, ensuring that the decision-support predictors are clinically valid.</w:t>
            </w:r>
          </w:p>
        </w:tc>
        <w:tc>
          <w:tcPr>
            <w:tcW w:w="2552" w:type="dxa"/>
            <w:tcMar>
              <w:top w:w="80" w:type="dxa"/>
              <w:left w:w="80" w:type="dxa"/>
              <w:bottom w:w="80" w:type="dxa"/>
              <w:right w:w="80" w:type="dxa"/>
            </w:tcMar>
            <w:vAlign w:val="center"/>
            <w:hideMark/>
          </w:tcPr>
          <w:p w14:paraId="50567B1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usability scores (SUS mean = 74.43) confirm that the system effectively achieves the intended operational outcomes.</w:t>
            </w:r>
          </w:p>
        </w:tc>
        <w:tc>
          <w:tcPr>
            <w:tcW w:w="2551" w:type="dxa"/>
            <w:tcMar>
              <w:top w:w="80" w:type="dxa"/>
              <w:left w:w="80" w:type="dxa"/>
              <w:bottom w:w="80" w:type="dxa"/>
              <w:right w:w="80" w:type="dxa"/>
            </w:tcMar>
            <w:vAlign w:val="center"/>
            <w:hideMark/>
          </w:tcPr>
          <w:p w14:paraId="20BDB10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5-phase development cycle (including iterative testing) demonstrates a rigorous and stable design methodology.</w:t>
            </w:r>
          </w:p>
        </w:tc>
        <w:tc>
          <w:tcPr>
            <w:tcW w:w="567" w:type="dxa"/>
            <w:tcMar>
              <w:top w:w="80" w:type="dxa"/>
              <w:left w:w="80" w:type="dxa"/>
              <w:bottom w:w="80" w:type="dxa"/>
              <w:right w:w="80" w:type="dxa"/>
            </w:tcMar>
            <w:vAlign w:val="center"/>
            <w:hideMark/>
          </w:tcPr>
          <w:p w14:paraId="283DE4F7"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98595C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A universally accepted implementation framework like the SMART system is essential for independent living.</w:t>
            </w:r>
          </w:p>
        </w:tc>
      </w:tr>
      <w:tr w:rsidR="00A37C7E" w:rsidRPr="006C17CC" w14:paraId="094CB872" w14:textId="77777777" w:rsidTr="00465626">
        <w:trPr>
          <w:trHeight w:val="1415"/>
        </w:trPr>
        <w:tc>
          <w:tcPr>
            <w:tcW w:w="1555" w:type="dxa"/>
            <w:tcMar>
              <w:top w:w="80" w:type="dxa"/>
              <w:left w:w="80" w:type="dxa"/>
              <w:bottom w:w="80" w:type="dxa"/>
              <w:right w:w="80" w:type="dxa"/>
            </w:tcMar>
            <w:vAlign w:val="center"/>
            <w:hideMark/>
          </w:tcPr>
          <w:p w14:paraId="69C84D12"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4441883A"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2113E6FF"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Testing the system in a community health center setting ensures high ecological validity for the target user base.</w:t>
            </w:r>
          </w:p>
        </w:tc>
        <w:tc>
          <w:tcPr>
            <w:tcW w:w="2409" w:type="dxa"/>
            <w:tcMar>
              <w:top w:w="80" w:type="dxa"/>
              <w:left w:w="80" w:type="dxa"/>
              <w:bottom w:w="80" w:type="dxa"/>
              <w:right w:w="80" w:type="dxa"/>
            </w:tcMar>
            <w:vAlign w:val="center"/>
            <w:hideMark/>
          </w:tcPr>
          <w:p w14:paraId="13919AE2"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data entry and database architecture eliminate many of the inconsistencies found in manual care coordination.</w:t>
            </w:r>
          </w:p>
        </w:tc>
        <w:tc>
          <w:tcPr>
            <w:tcW w:w="2552" w:type="dxa"/>
            <w:tcMar>
              <w:top w:w="80" w:type="dxa"/>
              <w:left w:w="80" w:type="dxa"/>
              <w:bottom w:w="80" w:type="dxa"/>
              <w:right w:w="80" w:type="dxa"/>
            </w:tcMar>
            <w:vAlign w:val="center"/>
            <w:hideMark/>
          </w:tcPr>
          <w:p w14:paraId="53EF863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Positive qualitative feedback on visualization and user interface supports the practical utility of the system for seniors.</w:t>
            </w:r>
          </w:p>
        </w:tc>
        <w:tc>
          <w:tcPr>
            <w:tcW w:w="2551" w:type="dxa"/>
            <w:tcMar>
              <w:top w:w="80" w:type="dxa"/>
              <w:left w:w="80" w:type="dxa"/>
              <w:bottom w:w="80" w:type="dxa"/>
              <w:right w:w="80" w:type="dxa"/>
            </w:tcMar>
            <w:vAlign w:val="center"/>
            <w:hideMark/>
          </w:tcPr>
          <w:p w14:paraId="26FC31E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iterative refinement of the prototype ensures the system’s technical stability and readiness for broader deployment.</w:t>
            </w:r>
          </w:p>
        </w:tc>
        <w:tc>
          <w:tcPr>
            <w:tcW w:w="567" w:type="dxa"/>
            <w:tcMar>
              <w:top w:w="80" w:type="dxa"/>
              <w:left w:w="80" w:type="dxa"/>
              <w:bottom w:w="80" w:type="dxa"/>
              <w:right w:w="80" w:type="dxa"/>
            </w:tcMar>
            <w:vAlign w:val="center"/>
            <w:hideMark/>
          </w:tcPr>
          <w:p w14:paraId="34139A40"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F11649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a significant advancement in facilitating proactive and responsive care environments for the elderly.</w:t>
            </w:r>
          </w:p>
        </w:tc>
      </w:tr>
      <w:tr w:rsidR="00FB6B47" w14:paraId="733B63DB" w14:textId="77777777">
        <w:tc>
          <w:tcPr>
            <w:tcW w:w="1555" w:type="dxa"/>
            <w:tcMar>
              <w:top w:w="80" w:type="dxa"/>
              <w:left w:w="80" w:type="dxa"/>
              <w:bottom w:w="80" w:type="dxa"/>
              <w:right w:w="80" w:type="dxa"/>
            </w:tcMar>
            <w:vAlign w:val="center"/>
          </w:tcPr>
          <w:p w14:paraId="5F4C9AE5" w14:textId="77777777" w:rsidR="00FB6B47" w:rsidRDefault="00000000">
            <w:pPr>
              <w:jc w:val="center"/>
              <w:rPr>
                <w:rFonts w:hint="eastAsia"/>
              </w:rPr>
            </w:pPr>
            <w:r>
              <w:rPr>
                <w:rFonts w:ascii="Times New Roman" w:hAnsi="Times New Roman" w:cs="Times New Roman"/>
                <w:sz w:val="18"/>
              </w:rPr>
              <w:t>(Hamdi et al., 2021)</w:t>
            </w:r>
          </w:p>
        </w:tc>
        <w:tc>
          <w:tcPr>
            <w:tcW w:w="567" w:type="dxa"/>
            <w:tcMar>
              <w:top w:w="80" w:type="dxa"/>
              <w:left w:w="80" w:type="dxa"/>
              <w:bottom w:w="80" w:type="dxa"/>
              <w:right w:w="80" w:type="dxa"/>
            </w:tcMar>
            <w:vAlign w:val="center"/>
          </w:tcPr>
          <w:p w14:paraId="18DF26D9"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43E21CA3" w14:textId="77777777" w:rsidR="00FB6B47" w:rsidRDefault="00000000">
            <w:pPr>
              <w:jc w:val="left"/>
              <w:rPr>
                <w:rFonts w:hint="eastAsia"/>
              </w:rPr>
            </w:pPr>
            <w:r>
              <w:rPr>
                <w:rFonts w:ascii="Times New Roman" w:hAnsi="Times New Roman" w:cs="Times New Roman"/>
                <w:sz w:val="18"/>
              </w:rPr>
              <w:t>High Risk. Image or video datasets did not adequately represent older adults at home.</w:t>
            </w:r>
          </w:p>
        </w:tc>
        <w:tc>
          <w:tcPr>
            <w:tcW w:w="2409" w:type="dxa"/>
            <w:tcMar>
              <w:top w:w="80" w:type="dxa"/>
              <w:left w:w="80" w:type="dxa"/>
              <w:bottom w:w="80" w:type="dxa"/>
              <w:right w:w="80" w:type="dxa"/>
            </w:tcMar>
            <w:vAlign w:val="center"/>
          </w:tcPr>
          <w:p w14:paraId="54716FD5" w14:textId="77777777" w:rsidR="00FB6B47" w:rsidRDefault="00000000">
            <w:pPr>
              <w:jc w:val="left"/>
              <w:rPr>
                <w:rFonts w:hint="eastAsia"/>
              </w:rPr>
            </w:pPr>
            <w:r>
              <w:rPr>
                <w:rFonts w:ascii="Times New Roman" w:hAnsi="Times New Roman" w:cs="Times New Roman"/>
                <w:sz w:val="18"/>
              </w:rPr>
              <w:t>Low Risk. Visual predictors were defined for the model task.</w:t>
            </w:r>
          </w:p>
        </w:tc>
        <w:tc>
          <w:tcPr>
            <w:tcW w:w="2552" w:type="dxa"/>
            <w:tcMar>
              <w:top w:w="80" w:type="dxa"/>
              <w:left w:w="80" w:type="dxa"/>
              <w:bottom w:w="80" w:type="dxa"/>
              <w:right w:w="80" w:type="dxa"/>
            </w:tcMar>
            <w:vAlign w:val="center"/>
          </w:tcPr>
          <w:p w14:paraId="1EDC1752" w14:textId="77777777" w:rsidR="00FB6B47" w:rsidRDefault="00000000">
            <w:pPr>
              <w:jc w:val="left"/>
              <w:rPr>
                <w:rFonts w:hint="eastAsia"/>
              </w:rPr>
            </w:pPr>
            <w:r>
              <w:rPr>
                <w:rFonts w:ascii="Times New Roman" w:hAnsi="Times New Roman" w:cs="Times New Roman"/>
                <w:sz w:val="18"/>
              </w:rPr>
              <w:t>High Risk. Outcome labels were proxy detection tasks rather than validated clinical outcomes.</w:t>
            </w:r>
          </w:p>
        </w:tc>
        <w:tc>
          <w:tcPr>
            <w:tcW w:w="2551" w:type="dxa"/>
            <w:tcMar>
              <w:top w:w="80" w:type="dxa"/>
              <w:left w:w="80" w:type="dxa"/>
              <w:bottom w:w="80" w:type="dxa"/>
              <w:right w:w="80" w:type="dxa"/>
            </w:tcMar>
            <w:vAlign w:val="center"/>
          </w:tcPr>
          <w:p w14:paraId="7C776F90" w14:textId="77777777" w:rsidR="00FB6B47" w:rsidRDefault="00000000">
            <w:pPr>
              <w:jc w:val="left"/>
              <w:rPr>
                <w:rFonts w:hint="eastAsia"/>
              </w:rPr>
            </w:pPr>
            <w:r>
              <w:rPr>
                <w:rFonts w:ascii="Times New Roman" w:hAnsi="Times New Roman" w:cs="Times New Roman"/>
                <w:sz w:val="18"/>
              </w:rPr>
              <w:t>High Risk. Evaluation relied on internal or simulated performance metrics.</w:t>
            </w:r>
          </w:p>
        </w:tc>
        <w:tc>
          <w:tcPr>
            <w:tcW w:w="567" w:type="dxa"/>
            <w:tcMar>
              <w:top w:w="80" w:type="dxa"/>
              <w:left w:w="80" w:type="dxa"/>
              <w:bottom w:w="80" w:type="dxa"/>
              <w:right w:w="80" w:type="dxa"/>
            </w:tcMar>
            <w:vAlign w:val="center"/>
          </w:tcPr>
          <w:p w14:paraId="0CFFF228"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51F9B256" w14:textId="77777777" w:rsidR="00FB6B47" w:rsidRDefault="00000000">
            <w:pPr>
              <w:jc w:val="left"/>
              <w:rPr>
                <w:rFonts w:hint="eastAsia"/>
              </w:rPr>
            </w:pPr>
            <w:r>
              <w:rPr>
                <w:rFonts w:ascii="Times New Roman" w:hAnsi="Times New Roman" w:cs="Times New Roman"/>
                <w:sz w:val="18"/>
              </w:rPr>
              <w:t>High Concern. Real world aging in place applicability was not established.</w:t>
            </w:r>
          </w:p>
        </w:tc>
      </w:tr>
      <w:tr w:rsidR="00FB6B47" w14:paraId="77EBFC38" w14:textId="77777777">
        <w:tc>
          <w:tcPr>
            <w:tcW w:w="1555" w:type="dxa"/>
            <w:tcMar>
              <w:top w:w="80" w:type="dxa"/>
              <w:left w:w="80" w:type="dxa"/>
              <w:bottom w:w="80" w:type="dxa"/>
              <w:right w:w="80" w:type="dxa"/>
            </w:tcMar>
            <w:vAlign w:val="center"/>
          </w:tcPr>
          <w:p w14:paraId="4872C7DD"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766A3423"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635F0E29" w14:textId="77777777" w:rsidR="00FB6B47" w:rsidRDefault="00000000">
            <w:pPr>
              <w:jc w:val="left"/>
              <w:rPr>
                <w:rFonts w:hint="eastAsia"/>
              </w:rPr>
            </w:pPr>
            <w:r>
              <w:rPr>
                <w:rFonts w:ascii="Times New Roman" w:hAnsi="Times New Roman" w:cs="Times New Roman"/>
                <w:sz w:val="18"/>
              </w:rPr>
              <w:t>High Risk. Image or video datasets did not adequately represent older adults at home.</w:t>
            </w:r>
          </w:p>
        </w:tc>
        <w:tc>
          <w:tcPr>
            <w:tcW w:w="2409" w:type="dxa"/>
            <w:tcMar>
              <w:top w:w="80" w:type="dxa"/>
              <w:left w:w="80" w:type="dxa"/>
              <w:bottom w:w="80" w:type="dxa"/>
              <w:right w:w="80" w:type="dxa"/>
            </w:tcMar>
            <w:vAlign w:val="center"/>
          </w:tcPr>
          <w:p w14:paraId="50AF2704" w14:textId="77777777" w:rsidR="00FB6B47" w:rsidRDefault="00000000">
            <w:pPr>
              <w:jc w:val="left"/>
              <w:rPr>
                <w:rFonts w:hint="eastAsia"/>
              </w:rPr>
            </w:pPr>
            <w:r>
              <w:rPr>
                <w:rFonts w:ascii="Times New Roman" w:hAnsi="Times New Roman" w:cs="Times New Roman"/>
                <w:sz w:val="18"/>
              </w:rPr>
              <w:t>Low Risk. Visual predictors were defined for the model task.</w:t>
            </w:r>
          </w:p>
        </w:tc>
        <w:tc>
          <w:tcPr>
            <w:tcW w:w="2552" w:type="dxa"/>
            <w:tcMar>
              <w:top w:w="80" w:type="dxa"/>
              <w:left w:w="80" w:type="dxa"/>
              <w:bottom w:w="80" w:type="dxa"/>
              <w:right w:w="80" w:type="dxa"/>
            </w:tcMar>
            <w:vAlign w:val="center"/>
          </w:tcPr>
          <w:p w14:paraId="6A78A269" w14:textId="77777777" w:rsidR="00FB6B47" w:rsidRDefault="00000000">
            <w:pPr>
              <w:jc w:val="left"/>
              <w:rPr>
                <w:rFonts w:hint="eastAsia"/>
              </w:rPr>
            </w:pPr>
            <w:r>
              <w:rPr>
                <w:rFonts w:ascii="Times New Roman" w:hAnsi="Times New Roman" w:cs="Times New Roman"/>
                <w:sz w:val="18"/>
              </w:rPr>
              <w:t>High Risk. Outcome labels were proxy detection tasks rather than validated clinical outcomes.</w:t>
            </w:r>
          </w:p>
        </w:tc>
        <w:tc>
          <w:tcPr>
            <w:tcW w:w="2551" w:type="dxa"/>
            <w:tcMar>
              <w:top w:w="80" w:type="dxa"/>
              <w:left w:w="80" w:type="dxa"/>
              <w:bottom w:w="80" w:type="dxa"/>
              <w:right w:w="80" w:type="dxa"/>
            </w:tcMar>
            <w:vAlign w:val="center"/>
          </w:tcPr>
          <w:p w14:paraId="30FB8DCE" w14:textId="77777777" w:rsidR="00FB6B47" w:rsidRDefault="00000000">
            <w:pPr>
              <w:jc w:val="left"/>
              <w:rPr>
                <w:rFonts w:hint="eastAsia"/>
              </w:rPr>
            </w:pPr>
            <w:r>
              <w:rPr>
                <w:rFonts w:ascii="Times New Roman" w:hAnsi="Times New Roman" w:cs="Times New Roman"/>
                <w:sz w:val="18"/>
              </w:rPr>
              <w:t>High Risk. Evaluation relied on internal or simulated performance metrics.</w:t>
            </w:r>
          </w:p>
        </w:tc>
        <w:tc>
          <w:tcPr>
            <w:tcW w:w="567" w:type="dxa"/>
            <w:tcMar>
              <w:top w:w="80" w:type="dxa"/>
              <w:left w:w="80" w:type="dxa"/>
              <w:bottom w:w="80" w:type="dxa"/>
              <w:right w:w="80" w:type="dxa"/>
            </w:tcMar>
            <w:vAlign w:val="center"/>
          </w:tcPr>
          <w:p w14:paraId="3D7BF4BF"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57692637" w14:textId="77777777" w:rsidR="00FB6B47" w:rsidRDefault="00000000">
            <w:pPr>
              <w:jc w:val="left"/>
              <w:rPr>
                <w:rFonts w:hint="eastAsia"/>
              </w:rPr>
            </w:pPr>
            <w:r>
              <w:rPr>
                <w:rFonts w:ascii="Times New Roman" w:hAnsi="Times New Roman" w:cs="Times New Roman"/>
                <w:sz w:val="18"/>
              </w:rPr>
              <w:t>High Concern. Real world aging in place applicability was not established.</w:t>
            </w:r>
          </w:p>
        </w:tc>
      </w:tr>
      <w:tr w:rsidR="00A37C7E" w:rsidRPr="006C17CC" w14:paraId="7FA85BC3" w14:textId="77777777" w:rsidTr="00465626">
        <w:trPr>
          <w:trHeight w:val="1132"/>
        </w:trPr>
        <w:tc>
          <w:tcPr>
            <w:tcW w:w="1555" w:type="dxa"/>
            <w:tcMar>
              <w:top w:w="80" w:type="dxa"/>
              <w:left w:w="80" w:type="dxa"/>
              <w:bottom w:w="80" w:type="dxa"/>
              <w:right w:w="80" w:type="dxa"/>
            </w:tcMar>
            <w:vAlign w:val="center"/>
            <w:hideMark/>
          </w:tcPr>
          <w:p w14:paraId="3337F44B"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(Hernández et al., 2025)</w:t>
            </w:r>
          </w:p>
        </w:tc>
        <w:tc>
          <w:tcPr>
            <w:tcW w:w="567" w:type="dxa"/>
            <w:tcMar>
              <w:top w:w="80" w:type="dxa"/>
              <w:left w:w="80" w:type="dxa"/>
              <w:bottom w:w="80" w:type="dxa"/>
              <w:right w:w="80" w:type="dxa"/>
            </w:tcMar>
            <w:vAlign w:val="center"/>
            <w:hideMark/>
          </w:tcPr>
          <w:p w14:paraId="04A3B625"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178F5534"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standardized benchmark datasets ensures that the model is built on high-quality, verified behavioral data.</w:t>
            </w:r>
          </w:p>
        </w:tc>
        <w:tc>
          <w:tcPr>
            <w:tcW w:w="2409" w:type="dxa"/>
            <w:tcMar>
              <w:top w:w="80" w:type="dxa"/>
              <w:left w:w="80" w:type="dxa"/>
              <w:bottom w:w="80" w:type="dxa"/>
              <w:right w:w="80" w:type="dxa"/>
            </w:tcMar>
            <w:vAlign w:val="center"/>
            <w:hideMark/>
          </w:tcPr>
          <w:p w14:paraId="70C4625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Smart meter data is an immutable and objective predictor that avoids the bias associated with self-reporting.</w:t>
            </w:r>
          </w:p>
        </w:tc>
        <w:tc>
          <w:tcPr>
            <w:tcW w:w="2552" w:type="dxa"/>
            <w:tcMar>
              <w:top w:w="80" w:type="dxa"/>
              <w:left w:w="80" w:type="dxa"/>
              <w:bottom w:w="80" w:type="dxa"/>
              <w:right w:w="80" w:type="dxa"/>
            </w:tcMar>
            <w:vAlign w:val="center"/>
            <w:hideMark/>
          </w:tcPr>
          <w:p w14:paraId="38FE65A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clear mapping between power events and specific activities provides a reliable target for the classification algorithm.</w:t>
            </w:r>
          </w:p>
        </w:tc>
        <w:tc>
          <w:tcPr>
            <w:tcW w:w="2551" w:type="dxa"/>
            <w:tcMar>
              <w:top w:w="80" w:type="dxa"/>
              <w:left w:w="80" w:type="dxa"/>
              <w:bottom w:w="80" w:type="dxa"/>
              <w:right w:w="80" w:type="dxa"/>
            </w:tcMar>
            <w:vAlign w:val="center"/>
            <w:hideMark/>
          </w:tcPr>
          <w:p w14:paraId="128E5F7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sliding windows and various evaluation metrics demonstrates a rigorous attempt to ensure model stability.</w:t>
            </w:r>
          </w:p>
        </w:tc>
        <w:tc>
          <w:tcPr>
            <w:tcW w:w="567" w:type="dxa"/>
            <w:tcMar>
              <w:top w:w="80" w:type="dxa"/>
              <w:left w:w="80" w:type="dxa"/>
              <w:bottom w:w="80" w:type="dxa"/>
              <w:right w:w="80" w:type="dxa"/>
            </w:tcMar>
            <w:vAlign w:val="center"/>
            <w:hideMark/>
          </w:tcPr>
          <w:p w14:paraId="7AF0D049"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37376F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ability to detect activities without cameras or wearables is a significant advantage for supporting older adults.</w:t>
            </w:r>
          </w:p>
        </w:tc>
      </w:tr>
      <w:tr w:rsidR="00A37C7E" w:rsidRPr="006C17CC" w14:paraId="4DE80B8C" w14:textId="77777777" w:rsidTr="00465626">
        <w:trPr>
          <w:trHeight w:val="1132"/>
        </w:trPr>
        <w:tc>
          <w:tcPr>
            <w:tcW w:w="1555" w:type="dxa"/>
            <w:tcMar>
              <w:top w:w="80" w:type="dxa"/>
              <w:left w:w="80" w:type="dxa"/>
              <w:bottom w:w="80" w:type="dxa"/>
              <w:right w:w="80" w:type="dxa"/>
            </w:tcMar>
            <w:vAlign w:val="center"/>
            <w:hideMark/>
          </w:tcPr>
          <w:p w14:paraId="78D54D36"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29FFF6BF"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BA9C70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focus on common household environments provides a realistic setting for evaluating the feasibility of the technology.</w:t>
            </w:r>
          </w:p>
        </w:tc>
        <w:tc>
          <w:tcPr>
            <w:tcW w:w="2409" w:type="dxa"/>
            <w:tcMar>
              <w:top w:w="80" w:type="dxa"/>
              <w:left w:w="80" w:type="dxa"/>
              <w:bottom w:w="80" w:type="dxa"/>
              <w:right w:w="80" w:type="dxa"/>
            </w:tcMar>
            <w:vAlign w:val="center"/>
            <w:hideMark/>
          </w:tcPr>
          <w:p w14:paraId="1B45B9AE"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 assessment is automated and standardized, ensuring that the model receives consistent input data.</w:t>
            </w:r>
          </w:p>
        </w:tc>
        <w:tc>
          <w:tcPr>
            <w:tcW w:w="2552" w:type="dxa"/>
            <w:tcMar>
              <w:top w:w="80" w:type="dxa"/>
              <w:left w:w="80" w:type="dxa"/>
              <w:bottom w:w="80" w:type="dxa"/>
              <w:right w:w="80" w:type="dxa"/>
            </w:tcMar>
            <w:vAlign w:val="center"/>
            <w:hideMark/>
          </w:tcPr>
          <w:p w14:paraId="5CF1030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Validated ground-truth labels ensure that the model is trained to recognize clinically relevant daily living activities.</w:t>
            </w:r>
          </w:p>
        </w:tc>
        <w:tc>
          <w:tcPr>
            <w:tcW w:w="2551" w:type="dxa"/>
            <w:tcMar>
              <w:top w:w="80" w:type="dxa"/>
              <w:left w:w="80" w:type="dxa"/>
              <w:bottom w:w="80" w:type="dxa"/>
              <w:right w:w="80" w:type="dxa"/>
            </w:tcMar>
            <w:vAlign w:val="center"/>
            <w:hideMark/>
          </w:tcPr>
          <w:p w14:paraId="250E13F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reported F1-scores and confusion matrices indicate that the model possesses good discriminative power across different tasks.</w:t>
            </w:r>
          </w:p>
        </w:tc>
        <w:tc>
          <w:tcPr>
            <w:tcW w:w="567" w:type="dxa"/>
            <w:tcMar>
              <w:top w:w="80" w:type="dxa"/>
              <w:left w:w="80" w:type="dxa"/>
              <w:bottom w:w="80" w:type="dxa"/>
              <w:right w:w="80" w:type="dxa"/>
            </w:tcMar>
            <w:vAlign w:val="center"/>
            <w:hideMark/>
          </w:tcPr>
          <w:p w14:paraId="281FA359"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0CA59E8"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approach aligns perfectly with the goal of providing unobtrusive care for community-dwelling seniors.</w:t>
            </w:r>
          </w:p>
        </w:tc>
      </w:tr>
      <w:tr w:rsidR="00FB6B47" w14:paraId="4B3B959D" w14:textId="77777777">
        <w:tc>
          <w:tcPr>
            <w:tcW w:w="1555" w:type="dxa"/>
            <w:tcMar>
              <w:top w:w="80" w:type="dxa"/>
              <w:left w:w="80" w:type="dxa"/>
              <w:bottom w:w="80" w:type="dxa"/>
              <w:right w:w="80" w:type="dxa"/>
            </w:tcMar>
            <w:vAlign w:val="center"/>
          </w:tcPr>
          <w:p w14:paraId="5A0FD3C6" w14:textId="77777777" w:rsidR="00FB6B47" w:rsidRDefault="00000000">
            <w:pPr>
              <w:jc w:val="center"/>
              <w:rPr>
                <w:rFonts w:hint="eastAsia"/>
              </w:rPr>
            </w:pPr>
            <w:r>
              <w:rPr>
                <w:rFonts w:ascii="Times New Roman" w:hAnsi="Times New Roman" w:cs="Times New Roman"/>
                <w:sz w:val="18"/>
              </w:rPr>
              <w:t>(Ianculescu et al., 2022)</w:t>
            </w:r>
          </w:p>
        </w:tc>
        <w:tc>
          <w:tcPr>
            <w:tcW w:w="567" w:type="dxa"/>
            <w:tcMar>
              <w:top w:w="80" w:type="dxa"/>
              <w:left w:w="80" w:type="dxa"/>
              <w:bottom w:w="80" w:type="dxa"/>
              <w:right w:w="80" w:type="dxa"/>
            </w:tcMar>
            <w:vAlign w:val="center"/>
          </w:tcPr>
          <w:p w14:paraId="2C3C2B92"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1B60554F"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insufficiently representative.</w:t>
            </w:r>
          </w:p>
        </w:tc>
        <w:tc>
          <w:tcPr>
            <w:tcW w:w="2409" w:type="dxa"/>
            <w:tcMar>
              <w:top w:w="80" w:type="dxa"/>
              <w:left w:w="80" w:type="dxa"/>
              <w:bottom w:w="80" w:type="dxa"/>
              <w:right w:w="80" w:type="dxa"/>
            </w:tcMar>
            <w:vAlign w:val="center"/>
          </w:tcPr>
          <w:p w14:paraId="59B5864C"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23EE0035"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7C8AA89F"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6E73E4E1"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6F207529"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FB6B47" w14:paraId="63297417" w14:textId="77777777">
        <w:tc>
          <w:tcPr>
            <w:tcW w:w="1555" w:type="dxa"/>
            <w:tcMar>
              <w:top w:w="80" w:type="dxa"/>
              <w:left w:w="80" w:type="dxa"/>
              <w:bottom w:w="80" w:type="dxa"/>
              <w:right w:w="80" w:type="dxa"/>
            </w:tcMar>
            <w:vAlign w:val="center"/>
          </w:tcPr>
          <w:p w14:paraId="47E77B48"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16714B6E"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13677F60"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not sufficiently representative.</w:t>
            </w:r>
          </w:p>
        </w:tc>
        <w:tc>
          <w:tcPr>
            <w:tcW w:w="2409" w:type="dxa"/>
            <w:tcMar>
              <w:top w:w="80" w:type="dxa"/>
              <w:left w:w="80" w:type="dxa"/>
              <w:bottom w:w="80" w:type="dxa"/>
              <w:right w:w="80" w:type="dxa"/>
            </w:tcMar>
            <w:vAlign w:val="center"/>
          </w:tcPr>
          <w:p w14:paraId="048E3323"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5E4C6E1A"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3528B19D"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7532A987"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339E838C"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FB6B47" w14:paraId="2364A854" w14:textId="77777777">
        <w:tc>
          <w:tcPr>
            <w:tcW w:w="1555" w:type="dxa"/>
            <w:tcMar>
              <w:top w:w="80" w:type="dxa"/>
              <w:left w:w="80" w:type="dxa"/>
              <w:bottom w:w="80" w:type="dxa"/>
              <w:right w:w="80" w:type="dxa"/>
            </w:tcMar>
            <w:vAlign w:val="center"/>
          </w:tcPr>
          <w:p w14:paraId="48577537" w14:textId="77777777" w:rsidR="00FB6B47" w:rsidRDefault="00000000">
            <w:pPr>
              <w:jc w:val="center"/>
              <w:rPr>
                <w:rFonts w:hint="eastAsia"/>
              </w:rPr>
            </w:pPr>
            <w:r>
              <w:rPr>
                <w:rFonts w:ascii="Times New Roman" w:hAnsi="Times New Roman" w:cs="Times New Roman"/>
                <w:sz w:val="18"/>
              </w:rPr>
              <w:t>(Islam et al., 2024)</w:t>
            </w:r>
          </w:p>
        </w:tc>
        <w:tc>
          <w:tcPr>
            <w:tcW w:w="567" w:type="dxa"/>
            <w:tcMar>
              <w:top w:w="80" w:type="dxa"/>
              <w:left w:w="80" w:type="dxa"/>
              <w:bottom w:w="80" w:type="dxa"/>
              <w:right w:w="80" w:type="dxa"/>
            </w:tcMar>
            <w:vAlign w:val="center"/>
          </w:tcPr>
          <w:p w14:paraId="5E38972B"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3C0C44CE"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insufficiently representative.</w:t>
            </w:r>
          </w:p>
        </w:tc>
        <w:tc>
          <w:tcPr>
            <w:tcW w:w="2409" w:type="dxa"/>
            <w:tcMar>
              <w:top w:w="80" w:type="dxa"/>
              <w:left w:w="80" w:type="dxa"/>
              <w:bottom w:w="80" w:type="dxa"/>
              <w:right w:w="80" w:type="dxa"/>
            </w:tcMar>
            <w:vAlign w:val="center"/>
          </w:tcPr>
          <w:p w14:paraId="3DB87A2A"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6933633D"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73730E06"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1FEDE77B"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04D6115C"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FB6B47" w14:paraId="39801426" w14:textId="77777777">
        <w:tc>
          <w:tcPr>
            <w:tcW w:w="1555" w:type="dxa"/>
            <w:tcMar>
              <w:top w:w="80" w:type="dxa"/>
              <w:left w:w="80" w:type="dxa"/>
              <w:bottom w:w="80" w:type="dxa"/>
              <w:right w:w="80" w:type="dxa"/>
            </w:tcMar>
            <w:vAlign w:val="center"/>
          </w:tcPr>
          <w:p w14:paraId="679A50F1"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262010C2"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372FA8D6"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not sufficiently representative.</w:t>
            </w:r>
          </w:p>
        </w:tc>
        <w:tc>
          <w:tcPr>
            <w:tcW w:w="2409" w:type="dxa"/>
            <w:tcMar>
              <w:top w:w="80" w:type="dxa"/>
              <w:left w:w="80" w:type="dxa"/>
              <w:bottom w:w="80" w:type="dxa"/>
              <w:right w:w="80" w:type="dxa"/>
            </w:tcMar>
            <w:vAlign w:val="center"/>
          </w:tcPr>
          <w:p w14:paraId="3A6CE2B9"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7E42A9E5"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5E7CBC76"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7256E7E3"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0B0AD452"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A37C7E" w:rsidRPr="006C17CC" w14:paraId="7AEE7E89" w14:textId="77777777" w:rsidTr="00465626">
        <w:trPr>
          <w:trHeight w:val="1415"/>
        </w:trPr>
        <w:tc>
          <w:tcPr>
            <w:tcW w:w="1555" w:type="dxa"/>
            <w:tcMar>
              <w:top w:w="80" w:type="dxa"/>
              <w:left w:w="80" w:type="dxa"/>
              <w:bottom w:w="80" w:type="dxa"/>
              <w:right w:w="80" w:type="dxa"/>
            </w:tcMar>
            <w:vAlign w:val="center"/>
            <w:hideMark/>
          </w:tcPr>
          <w:p w14:paraId="0191BECA"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lastRenderedPageBreak/>
              <w:t>(Jalal et al., 2014)</w:t>
            </w:r>
          </w:p>
        </w:tc>
        <w:tc>
          <w:tcPr>
            <w:tcW w:w="567" w:type="dxa"/>
            <w:tcMar>
              <w:top w:w="80" w:type="dxa"/>
              <w:left w:w="80" w:type="dxa"/>
              <w:bottom w:w="80" w:type="dxa"/>
              <w:right w:w="80" w:type="dxa"/>
            </w:tcMar>
            <w:vAlign w:val="center"/>
            <w:hideMark/>
          </w:tcPr>
          <w:p w14:paraId="4F50FBB6"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70D5550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both public and self-collected data provides a diverse participant base for a comprehensive technical evaluation.</w:t>
            </w:r>
          </w:p>
        </w:tc>
        <w:tc>
          <w:tcPr>
            <w:tcW w:w="2409" w:type="dxa"/>
            <w:tcMar>
              <w:top w:w="80" w:type="dxa"/>
              <w:left w:w="80" w:type="dxa"/>
              <w:bottom w:w="80" w:type="dxa"/>
              <w:right w:w="80" w:type="dxa"/>
            </w:tcMar>
            <w:vAlign w:val="center"/>
            <w:hideMark/>
          </w:tcPr>
          <w:p w14:paraId="432BBFA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Multi-dimensional depth features provide a rich and reliable set of predictors that capture subtle motion characteristics.</w:t>
            </w:r>
          </w:p>
        </w:tc>
        <w:tc>
          <w:tcPr>
            <w:tcW w:w="2552" w:type="dxa"/>
            <w:tcMar>
              <w:top w:w="80" w:type="dxa"/>
              <w:left w:w="80" w:type="dxa"/>
              <w:bottom w:w="80" w:type="dxa"/>
              <w:right w:w="80" w:type="dxa"/>
            </w:tcMar>
            <w:vAlign w:val="center"/>
            <w:hideMark/>
          </w:tcPr>
          <w:p w14:paraId="0064B99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discriminative power across various ADLs confirms that the model accurately recognizes the desired health-related outcomes.</w:t>
            </w:r>
          </w:p>
        </w:tc>
        <w:tc>
          <w:tcPr>
            <w:tcW w:w="2551" w:type="dxa"/>
            <w:tcMar>
              <w:top w:w="80" w:type="dxa"/>
              <w:left w:w="80" w:type="dxa"/>
              <w:bottom w:w="80" w:type="dxa"/>
              <w:right w:w="80" w:type="dxa"/>
            </w:tcMar>
            <w:vAlign w:val="center"/>
            <w:hideMark/>
          </w:tcPr>
          <w:p w14:paraId="3330D81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feature selection and cross-validation techniques ensures that the model is stable and generalizes well across test cases.</w:t>
            </w:r>
          </w:p>
        </w:tc>
        <w:tc>
          <w:tcPr>
            <w:tcW w:w="567" w:type="dxa"/>
            <w:tcMar>
              <w:top w:w="80" w:type="dxa"/>
              <w:left w:w="80" w:type="dxa"/>
              <w:bottom w:w="80" w:type="dxa"/>
              <w:right w:w="80" w:type="dxa"/>
            </w:tcMar>
            <w:vAlign w:val="center"/>
            <w:hideMark/>
          </w:tcPr>
          <w:p w14:paraId="73DE6BA1"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36D3EB1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Life-logging for activity monitoring is a core strategy for assessing functional health and supporting aging in place.</w:t>
            </w:r>
          </w:p>
        </w:tc>
      </w:tr>
      <w:tr w:rsidR="00A37C7E" w:rsidRPr="006C17CC" w14:paraId="6DFBC21C" w14:textId="77777777" w:rsidTr="00465626">
        <w:trPr>
          <w:trHeight w:val="1415"/>
        </w:trPr>
        <w:tc>
          <w:tcPr>
            <w:tcW w:w="1555" w:type="dxa"/>
            <w:tcMar>
              <w:top w:w="80" w:type="dxa"/>
              <w:left w:w="80" w:type="dxa"/>
              <w:bottom w:w="80" w:type="dxa"/>
              <w:right w:w="80" w:type="dxa"/>
            </w:tcMar>
            <w:vAlign w:val="center"/>
            <w:hideMark/>
          </w:tcPr>
          <w:p w14:paraId="2A793BEA"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07FC5A73"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7726AA7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Strict protocol adherence during data collection ensured that the depth signatures were of high quality and reliability.</w:t>
            </w:r>
          </w:p>
        </w:tc>
        <w:tc>
          <w:tcPr>
            <w:tcW w:w="2409" w:type="dxa"/>
            <w:tcMar>
              <w:top w:w="80" w:type="dxa"/>
              <w:left w:w="80" w:type="dxa"/>
              <w:bottom w:w="80" w:type="dxa"/>
              <w:right w:w="80" w:type="dxa"/>
            </w:tcMar>
            <w:vAlign w:val="center"/>
            <w:hideMark/>
          </w:tcPr>
          <w:p w14:paraId="21669C61"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engineering from 3D point clouds avoids the subjectivity found in traditional behavioral assessments.</w:t>
            </w:r>
          </w:p>
        </w:tc>
        <w:tc>
          <w:tcPr>
            <w:tcW w:w="2552" w:type="dxa"/>
            <w:tcMar>
              <w:top w:w="80" w:type="dxa"/>
              <w:left w:w="80" w:type="dxa"/>
              <w:bottom w:w="80" w:type="dxa"/>
              <w:right w:w="80" w:type="dxa"/>
            </w:tcMar>
            <w:vAlign w:val="center"/>
            <w:hideMark/>
          </w:tcPr>
          <w:p w14:paraId="788A0688"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activity categories ensure that the outcomes are comparable to other studies in geriatric monitoring.</w:t>
            </w:r>
          </w:p>
        </w:tc>
        <w:tc>
          <w:tcPr>
            <w:tcW w:w="2551" w:type="dxa"/>
            <w:tcMar>
              <w:top w:w="80" w:type="dxa"/>
              <w:left w:w="80" w:type="dxa"/>
              <w:bottom w:w="80" w:type="dxa"/>
              <w:right w:w="80" w:type="dxa"/>
            </w:tcMar>
            <w:vAlign w:val="center"/>
            <w:hideMark/>
          </w:tcPr>
          <w:p w14:paraId="622992AE"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systematic comparison of different classifiers helps identify the most robust analytical model for long-term care.</w:t>
            </w:r>
          </w:p>
        </w:tc>
        <w:tc>
          <w:tcPr>
            <w:tcW w:w="567" w:type="dxa"/>
            <w:tcMar>
              <w:top w:w="80" w:type="dxa"/>
              <w:left w:w="80" w:type="dxa"/>
              <w:bottom w:w="80" w:type="dxa"/>
              <w:right w:w="80" w:type="dxa"/>
            </w:tcMar>
            <w:vAlign w:val="center"/>
            <w:hideMark/>
          </w:tcPr>
          <w:p w14:paraId="6FED000A"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2276FDF"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Depth-based life-logging addresses the critical need for objective behavioral data without infringing on visual privacy.</w:t>
            </w:r>
          </w:p>
        </w:tc>
      </w:tr>
      <w:tr w:rsidR="00A37C7E" w:rsidRPr="006C17CC" w14:paraId="4D6B65ED" w14:textId="77777777" w:rsidTr="00465626">
        <w:trPr>
          <w:trHeight w:val="1132"/>
        </w:trPr>
        <w:tc>
          <w:tcPr>
            <w:tcW w:w="1555" w:type="dxa"/>
            <w:tcMar>
              <w:top w:w="80" w:type="dxa"/>
              <w:left w:w="80" w:type="dxa"/>
              <w:bottom w:w="80" w:type="dxa"/>
              <w:right w:w="80" w:type="dxa"/>
            </w:tcMar>
            <w:vAlign w:val="center"/>
            <w:hideMark/>
          </w:tcPr>
          <w:p w14:paraId="6E528F00"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(Jung et al., 2021)</w:t>
            </w:r>
          </w:p>
        </w:tc>
        <w:tc>
          <w:tcPr>
            <w:tcW w:w="567" w:type="dxa"/>
            <w:tcMar>
              <w:top w:w="80" w:type="dxa"/>
              <w:left w:w="80" w:type="dxa"/>
              <w:bottom w:w="80" w:type="dxa"/>
              <w:right w:w="80" w:type="dxa"/>
            </w:tcMar>
            <w:vAlign w:val="center"/>
            <w:hideMark/>
          </w:tcPr>
          <w:p w14:paraId="7044E351"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1DD17F0F"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recruitment of seniors from community centers provides a representative baseline for functional testing.</w:t>
            </w:r>
          </w:p>
        </w:tc>
        <w:tc>
          <w:tcPr>
            <w:tcW w:w="2409" w:type="dxa"/>
            <w:tcMar>
              <w:top w:w="80" w:type="dxa"/>
              <w:left w:w="80" w:type="dxa"/>
              <w:bottom w:w="80" w:type="dxa"/>
              <w:right w:w="80" w:type="dxa"/>
            </w:tcMar>
            <w:vAlign w:val="center"/>
            <w:hideMark/>
          </w:tcPr>
          <w:p w14:paraId="090413D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Combining LSTM outputs with demographic data provides a holistic set of predictors for risk stratification.</w:t>
            </w:r>
          </w:p>
        </w:tc>
        <w:tc>
          <w:tcPr>
            <w:tcW w:w="2552" w:type="dxa"/>
            <w:tcMar>
              <w:top w:w="80" w:type="dxa"/>
              <w:left w:w="80" w:type="dxa"/>
              <w:bottom w:w="80" w:type="dxa"/>
              <w:right w:w="80" w:type="dxa"/>
            </w:tcMar>
            <w:vAlign w:val="center"/>
            <w:hideMark/>
          </w:tcPr>
          <w:p w14:paraId="7C797A6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the FRAIL scale as the reference standard ensures the clinical validity of the predictive targets.</w:t>
            </w:r>
          </w:p>
        </w:tc>
        <w:tc>
          <w:tcPr>
            <w:tcW w:w="2551" w:type="dxa"/>
            <w:tcMar>
              <w:top w:w="80" w:type="dxa"/>
              <w:left w:w="80" w:type="dxa"/>
              <w:bottom w:w="80" w:type="dxa"/>
              <w:right w:w="80" w:type="dxa"/>
            </w:tcMar>
            <w:vAlign w:val="center"/>
            <w:hideMark/>
          </w:tcPr>
          <w:p w14:paraId="5B592804"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model achieved a high F1-score of 0.931, demonstrating excellent discriminative power across all risk groups.</w:t>
            </w:r>
          </w:p>
        </w:tc>
        <w:tc>
          <w:tcPr>
            <w:tcW w:w="567" w:type="dxa"/>
            <w:tcMar>
              <w:top w:w="80" w:type="dxa"/>
              <w:left w:w="80" w:type="dxa"/>
              <w:bottom w:w="80" w:type="dxa"/>
              <w:right w:w="80" w:type="dxa"/>
            </w:tcMar>
            <w:vAlign w:val="center"/>
            <w:hideMark/>
          </w:tcPr>
          <w:p w14:paraId="06610BA1"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407E1B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Automated gait analysis allows for early detection of decline, supporting preventive care for aging in place.</w:t>
            </w:r>
          </w:p>
        </w:tc>
      </w:tr>
      <w:tr w:rsidR="00A37C7E" w:rsidRPr="006C17CC" w14:paraId="45E87C98" w14:textId="77777777" w:rsidTr="00465626">
        <w:trPr>
          <w:trHeight w:val="1415"/>
        </w:trPr>
        <w:tc>
          <w:tcPr>
            <w:tcW w:w="1555" w:type="dxa"/>
            <w:tcMar>
              <w:top w:w="80" w:type="dxa"/>
              <w:left w:w="80" w:type="dxa"/>
              <w:bottom w:w="80" w:type="dxa"/>
              <w:right w:w="80" w:type="dxa"/>
            </w:tcMar>
            <w:vAlign w:val="center"/>
            <w:hideMark/>
          </w:tcPr>
          <w:p w14:paraId="2C320845"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16740A5F"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7CBEA70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Appropriate ethical protocols and mobility screenings ensure the participant data is reliable for the review question.</w:t>
            </w:r>
          </w:p>
        </w:tc>
        <w:tc>
          <w:tcPr>
            <w:tcW w:w="2409" w:type="dxa"/>
            <w:tcMar>
              <w:top w:w="80" w:type="dxa"/>
              <w:left w:w="80" w:type="dxa"/>
              <w:bottom w:w="80" w:type="dxa"/>
              <w:right w:w="80" w:type="dxa"/>
            </w:tcMar>
            <w:vAlign w:val="center"/>
            <w:hideMark/>
          </w:tcPr>
          <w:p w14:paraId="391B243E"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Predictors were available in real-time and processed using standardized algorithms to eliminate human bias.</w:t>
            </w:r>
          </w:p>
        </w:tc>
        <w:tc>
          <w:tcPr>
            <w:tcW w:w="2552" w:type="dxa"/>
            <w:tcMar>
              <w:top w:w="80" w:type="dxa"/>
              <w:left w:w="80" w:type="dxa"/>
              <w:bottom w:w="80" w:type="dxa"/>
              <w:right w:w="80" w:type="dxa"/>
            </w:tcMar>
            <w:vAlign w:val="center"/>
            <w:hideMark/>
          </w:tcPr>
          <w:p w14:paraId="614A30DE"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Clear thresholds for pre-frail and frail categories were used to maintain consistency across the entire sample.</w:t>
            </w:r>
          </w:p>
        </w:tc>
        <w:tc>
          <w:tcPr>
            <w:tcW w:w="2551" w:type="dxa"/>
            <w:tcMar>
              <w:top w:w="80" w:type="dxa"/>
              <w:left w:w="80" w:type="dxa"/>
              <w:bottom w:w="80" w:type="dxa"/>
              <w:right w:w="80" w:type="dxa"/>
            </w:tcMar>
            <w:vAlign w:val="center"/>
            <w:hideMark/>
          </w:tcPr>
          <w:p w14:paraId="7641A66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5-fold cross-validation provides a stable and internal measure of model performance.</w:t>
            </w:r>
          </w:p>
        </w:tc>
        <w:tc>
          <w:tcPr>
            <w:tcW w:w="567" w:type="dxa"/>
            <w:tcMar>
              <w:top w:w="80" w:type="dxa"/>
              <w:left w:w="80" w:type="dxa"/>
              <w:bottom w:w="80" w:type="dxa"/>
              <w:right w:w="80" w:type="dxa"/>
            </w:tcMar>
            <w:vAlign w:val="center"/>
            <w:hideMark/>
          </w:tcPr>
          <w:p w14:paraId="4F9919D4"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3F80A93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feasibility of foot-worn sensor monitoring is perfectly aligned with the review criteria for independent living.</w:t>
            </w:r>
          </w:p>
        </w:tc>
      </w:tr>
      <w:tr w:rsidR="00A37C7E" w:rsidRPr="006C17CC" w14:paraId="7E54CE23" w14:textId="77777777" w:rsidTr="00465626">
        <w:trPr>
          <w:trHeight w:val="1132"/>
        </w:trPr>
        <w:tc>
          <w:tcPr>
            <w:tcW w:w="1555" w:type="dxa"/>
            <w:tcMar>
              <w:top w:w="80" w:type="dxa"/>
              <w:left w:w="80" w:type="dxa"/>
              <w:bottom w:w="80" w:type="dxa"/>
              <w:right w:w="80" w:type="dxa"/>
            </w:tcMar>
            <w:vAlign w:val="center"/>
            <w:hideMark/>
          </w:tcPr>
          <w:p w14:paraId="0300B65A"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(Kim et al., 2017)</w:t>
            </w:r>
          </w:p>
        </w:tc>
        <w:tc>
          <w:tcPr>
            <w:tcW w:w="567" w:type="dxa"/>
            <w:tcMar>
              <w:top w:w="80" w:type="dxa"/>
              <w:left w:w="80" w:type="dxa"/>
              <w:bottom w:w="80" w:type="dxa"/>
              <w:right w:w="80" w:type="dxa"/>
            </w:tcMar>
            <w:vAlign w:val="center"/>
            <w:hideMark/>
          </w:tcPr>
          <w:p w14:paraId="4D605A16"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046CCB1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group of 20 participants consists of real older adults with chronic illnesses living alone in the community.</w:t>
            </w:r>
          </w:p>
        </w:tc>
        <w:tc>
          <w:tcPr>
            <w:tcW w:w="2409" w:type="dxa"/>
            <w:tcMar>
              <w:top w:w="80" w:type="dxa"/>
              <w:left w:w="80" w:type="dxa"/>
              <w:bottom w:w="80" w:type="dxa"/>
              <w:right w:w="80" w:type="dxa"/>
            </w:tcMar>
            <w:vAlign w:val="center"/>
            <w:hideMark/>
          </w:tcPr>
          <w:p w14:paraId="5CB8450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Predictors are derived from long term activity logs that provide an objective view of daily habits.</w:t>
            </w:r>
          </w:p>
        </w:tc>
        <w:tc>
          <w:tcPr>
            <w:tcW w:w="2552" w:type="dxa"/>
            <w:tcMar>
              <w:top w:w="80" w:type="dxa"/>
              <w:left w:w="80" w:type="dxa"/>
              <w:bottom w:w="80" w:type="dxa"/>
              <w:right w:w="80" w:type="dxa"/>
            </w:tcMar>
            <w:vAlign w:val="center"/>
            <w:hideMark/>
          </w:tcPr>
          <w:p w14:paraId="243D6B0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Depression severity was assessed using professional clinical scales which provide a reliable and accurate ground truth.</w:t>
            </w:r>
          </w:p>
        </w:tc>
        <w:tc>
          <w:tcPr>
            <w:tcW w:w="2551" w:type="dxa"/>
            <w:tcMar>
              <w:top w:w="80" w:type="dxa"/>
              <w:left w:w="80" w:type="dxa"/>
              <w:bottom w:w="80" w:type="dxa"/>
              <w:right w:w="80" w:type="dxa"/>
            </w:tcMar>
            <w:vAlign w:val="center"/>
            <w:hideMark/>
          </w:tcPr>
          <w:p w14:paraId="633E94B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High Risk.</w:t>
            </w:r>
            <w:r>
              <w:rPr>
                <w:rFonts w:ascii="Times New Roman" w:eastAsia="等线" w:hAnsi="Times New Roman" w:cs="Times New Roman"/>
                <w:color w:val="1F1F1F"/>
                <w:kern w:val="0"/>
                <w:sz w:val="18"/>
                <w:szCs w:val="18"/>
                <w14:ligatures w14:val="none"/>
              </w:rPr>
              <w:t xml:space="preserve"> The sample size of 20 is very small for training neural networks and may lead to over fitting and bias.</w:t>
            </w:r>
          </w:p>
        </w:tc>
        <w:tc>
          <w:tcPr>
            <w:tcW w:w="567" w:type="dxa"/>
            <w:tcMar>
              <w:top w:w="80" w:type="dxa"/>
              <w:left w:w="80" w:type="dxa"/>
              <w:bottom w:w="80" w:type="dxa"/>
              <w:right w:w="80" w:type="dxa"/>
            </w:tcMar>
            <w:vAlign w:val="center"/>
            <w:hideMark/>
          </w:tcPr>
          <w:p w14:paraId="72DC601C"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B60096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setting and population are perfectly aligned with the review question for community dwelling older adults.</w:t>
            </w:r>
          </w:p>
        </w:tc>
      </w:tr>
      <w:tr w:rsidR="00A37C7E" w:rsidRPr="006C17CC" w14:paraId="242E2056" w14:textId="77777777" w:rsidTr="00465626">
        <w:trPr>
          <w:trHeight w:val="1132"/>
        </w:trPr>
        <w:tc>
          <w:tcPr>
            <w:tcW w:w="1555" w:type="dxa"/>
            <w:tcMar>
              <w:top w:w="80" w:type="dxa"/>
              <w:left w:w="80" w:type="dxa"/>
              <w:bottom w:w="80" w:type="dxa"/>
              <w:right w:w="80" w:type="dxa"/>
            </w:tcMar>
            <w:vAlign w:val="center"/>
            <w:hideMark/>
          </w:tcPr>
          <w:p w14:paraId="1675173E"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25096930"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75150AB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Inclusion was based on real world care needs which ensures the participant data is relevant to the study.</w:t>
            </w:r>
          </w:p>
        </w:tc>
        <w:tc>
          <w:tcPr>
            <w:tcW w:w="2409" w:type="dxa"/>
            <w:tcMar>
              <w:top w:w="80" w:type="dxa"/>
              <w:left w:w="80" w:type="dxa"/>
              <w:bottom w:w="80" w:type="dxa"/>
              <w:right w:w="80" w:type="dxa"/>
            </w:tcMar>
            <w:vAlign w:val="center"/>
            <w:hideMark/>
          </w:tcPr>
          <w:p w14:paraId="4349C642"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 assessment was done without knowledge of the depression scores to avoid assessment bias.</w:t>
            </w:r>
          </w:p>
        </w:tc>
        <w:tc>
          <w:tcPr>
            <w:tcW w:w="2552" w:type="dxa"/>
            <w:tcMar>
              <w:top w:w="80" w:type="dxa"/>
              <w:left w:w="80" w:type="dxa"/>
              <w:bottom w:w="80" w:type="dxa"/>
              <w:right w:w="80" w:type="dxa"/>
            </w:tcMar>
            <w:vAlign w:val="center"/>
            <w:hideMark/>
          </w:tcPr>
          <w:p w14:paraId="0047A47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 thresholds for mild and moderate depression were used to categorize the outcomes consistently.</w:t>
            </w:r>
          </w:p>
        </w:tc>
        <w:tc>
          <w:tcPr>
            <w:tcW w:w="2551" w:type="dxa"/>
            <w:tcMar>
              <w:top w:w="80" w:type="dxa"/>
              <w:left w:w="80" w:type="dxa"/>
              <w:bottom w:w="80" w:type="dxa"/>
              <w:right w:w="80" w:type="dxa"/>
            </w:tcMar>
            <w:vAlign w:val="center"/>
            <w:hideMark/>
          </w:tcPr>
          <w:p w14:paraId="577D8F4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High Risk.</w:t>
            </w:r>
            <w:r>
              <w:rPr>
                <w:rFonts w:ascii="Times New Roman" w:eastAsia="等线" w:hAnsi="Times New Roman" w:cs="Times New Roman"/>
                <w:color w:val="1F1F1F"/>
                <w:kern w:val="0"/>
                <w:sz w:val="18"/>
                <w:szCs w:val="18"/>
                <w14:ligatures w14:val="none"/>
              </w:rPr>
              <w:t xml:space="preserve"> The high reported accuracy of 96 percent on a small group may be an optimistic estimate of model performance.</w:t>
            </w:r>
          </w:p>
        </w:tc>
        <w:tc>
          <w:tcPr>
            <w:tcW w:w="567" w:type="dxa"/>
            <w:tcMar>
              <w:top w:w="80" w:type="dxa"/>
              <w:left w:w="80" w:type="dxa"/>
              <w:bottom w:w="80" w:type="dxa"/>
              <w:right w:w="80" w:type="dxa"/>
            </w:tcMar>
            <w:vAlign w:val="center"/>
            <w:hideMark/>
          </w:tcPr>
          <w:p w14:paraId="06EE37B1"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BDB3932"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use of non intrusive sensors addresses the vital need for mental health screening in home care.</w:t>
            </w:r>
          </w:p>
        </w:tc>
      </w:tr>
      <w:tr w:rsidR="00A37C7E" w:rsidRPr="006C17CC" w14:paraId="75021E7C" w14:textId="77777777" w:rsidTr="009710AD">
        <w:trPr>
          <w:trHeight w:val="1132"/>
        </w:trPr>
        <w:tc>
          <w:tcPr>
            <w:tcW w:w="1555" w:type="dxa"/>
            <w:tcBorders>
              <w:top w:val="single" w:sz="8" w:space="0" w:color="auto"/>
            </w:tcBorders>
            <w:noWrap/>
            <w:tcMar>
              <w:top w:w="80" w:type="dxa"/>
              <w:left w:w="80" w:type="dxa"/>
              <w:bottom w:w="80" w:type="dxa"/>
              <w:right w:w="80" w:type="dxa"/>
            </w:tcMar>
            <w:vAlign w:val="center"/>
            <w:hideMark/>
          </w:tcPr>
          <w:p w14:paraId="189B4FBF"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(Kim et al., 2022)</w:t>
            </w:r>
          </w:p>
        </w:tc>
        <w:tc>
          <w:tcPr>
            <w:tcW w:w="567" w:type="dxa"/>
            <w:tcBorders>
              <w:top w:val="single" w:sz="8" w:space="0" w:color="auto"/>
            </w:tcBorders>
            <w:tcMar>
              <w:top w:w="80" w:type="dxa"/>
              <w:left w:w="80" w:type="dxa"/>
              <w:bottom w:w="80" w:type="dxa"/>
              <w:right w:w="80" w:type="dxa"/>
            </w:tcMar>
            <w:vAlign w:val="center"/>
            <w:hideMark/>
          </w:tcPr>
          <w:p w14:paraId="194F1753"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Borders>
              <w:top w:val="single" w:sz="8" w:space="0" w:color="auto"/>
            </w:tcBorders>
            <w:tcMar>
              <w:top w:w="80" w:type="dxa"/>
              <w:left w:w="80" w:type="dxa"/>
              <w:bottom w:w="80" w:type="dxa"/>
              <w:right w:w="80" w:type="dxa"/>
            </w:tcMar>
            <w:vAlign w:val="center"/>
            <w:hideMark/>
          </w:tcPr>
          <w:p w14:paraId="0A3E82D4"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researchers used data from established public datasets with clear selection criteria.</w:t>
            </w:r>
          </w:p>
        </w:tc>
        <w:tc>
          <w:tcPr>
            <w:tcW w:w="2409" w:type="dxa"/>
            <w:tcBorders>
              <w:top w:val="single" w:sz="8" w:space="0" w:color="auto"/>
            </w:tcBorders>
            <w:tcMar>
              <w:top w:w="80" w:type="dxa"/>
              <w:left w:w="80" w:type="dxa"/>
              <w:bottom w:w="80" w:type="dxa"/>
              <w:right w:w="80" w:type="dxa"/>
            </w:tcMar>
            <w:vAlign w:val="center"/>
            <w:hideMark/>
          </w:tcPr>
          <w:p w14:paraId="1B2DB0E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Predictors are skeletal joint coordinates defined and assessed consistently for all participants.</w:t>
            </w:r>
          </w:p>
        </w:tc>
        <w:tc>
          <w:tcPr>
            <w:tcW w:w="2552" w:type="dxa"/>
            <w:tcBorders>
              <w:top w:val="single" w:sz="8" w:space="0" w:color="auto"/>
            </w:tcBorders>
            <w:tcMar>
              <w:top w:w="80" w:type="dxa"/>
              <w:left w:w="80" w:type="dxa"/>
              <w:bottom w:w="80" w:type="dxa"/>
              <w:right w:w="80" w:type="dxa"/>
            </w:tcMar>
            <w:vAlign w:val="center"/>
            <w:hideMark/>
          </w:tcPr>
          <w:p w14:paraId="42E9002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outcome of falling was determined using standard definitions from recognized benchmarks.</w:t>
            </w:r>
          </w:p>
        </w:tc>
        <w:tc>
          <w:tcPr>
            <w:tcW w:w="2551" w:type="dxa"/>
            <w:tcBorders>
              <w:top w:val="single" w:sz="8" w:space="0" w:color="auto"/>
            </w:tcBorders>
            <w:tcMar>
              <w:top w:w="80" w:type="dxa"/>
              <w:left w:w="80" w:type="dxa"/>
              <w:bottom w:w="80" w:type="dxa"/>
              <w:right w:w="80" w:type="dxa"/>
            </w:tcMar>
            <w:vAlign w:val="center"/>
            <w:hideMark/>
          </w:tcPr>
          <w:p w14:paraId="7FB8081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 xml:space="preserve">Low Risk. </w:t>
            </w:r>
            <w:r>
              <w:rPr>
                <w:rFonts w:ascii="Times New Roman" w:eastAsia="等线" w:hAnsi="Times New Roman" w:cs="Times New Roman"/>
                <w:color w:val="1F1F1F"/>
                <w:kern w:val="0"/>
                <w:sz w:val="18"/>
                <w:szCs w:val="18"/>
                <w14:ligatures w14:val="none"/>
              </w:rPr>
              <w:t>The model is considered low risk because it includes internal validation and uses multiple data sources.</w:t>
            </w:r>
          </w:p>
        </w:tc>
        <w:tc>
          <w:tcPr>
            <w:tcW w:w="567" w:type="dxa"/>
            <w:tcBorders>
              <w:top w:val="single" w:sz="8" w:space="0" w:color="auto"/>
            </w:tcBorders>
            <w:tcMar>
              <w:top w:w="80" w:type="dxa"/>
              <w:left w:w="80" w:type="dxa"/>
              <w:bottom w:w="80" w:type="dxa"/>
              <w:right w:w="80" w:type="dxa"/>
            </w:tcMar>
            <w:vAlign w:val="center"/>
            <w:hideMark/>
          </w:tcPr>
          <w:p w14:paraId="521B93CD"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Borders>
              <w:top w:val="single" w:sz="8" w:space="0" w:color="auto"/>
            </w:tcBorders>
            <w:tcMar>
              <w:top w:w="80" w:type="dxa"/>
              <w:left w:w="80" w:type="dxa"/>
              <w:bottom w:w="80" w:type="dxa"/>
              <w:right w:w="80" w:type="dxa"/>
            </w:tcMar>
            <w:vAlign w:val="center"/>
            <w:hideMark/>
          </w:tcPr>
          <w:p w14:paraId="07020EE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actions captured in the datasets are considered reasonable proxies for real world independent living.</w:t>
            </w:r>
          </w:p>
        </w:tc>
      </w:tr>
      <w:tr w:rsidR="00A37C7E" w:rsidRPr="006C17CC" w14:paraId="05D575FA" w14:textId="77777777" w:rsidTr="00465626">
        <w:trPr>
          <w:trHeight w:val="132"/>
        </w:trPr>
        <w:tc>
          <w:tcPr>
            <w:tcW w:w="1555" w:type="dxa"/>
            <w:tcMar>
              <w:top w:w="80" w:type="dxa"/>
              <w:left w:w="80" w:type="dxa"/>
              <w:bottom w:w="80" w:type="dxa"/>
              <w:right w:w="80" w:type="dxa"/>
            </w:tcMar>
            <w:vAlign w:val="center"/>
            <w:hideMark/>
          </w:tcPr>
          <w:p w14:paraId="6D587D32"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76C7D4A2"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6B35333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Data sources like the UR Fall Detection dataset provide appropriate and transparent inclusion rules.</w:t>
            </w:r>
          </w:p>
        </w:tc>
        <w:tc>
          <w:tcPr>
            <w:tcW w:w="2409" w:type="dxa"/>
            <w:tcMar>
              <w:top w:w="80" w:type="dxa"/>
              <w:left w:w="80" w:type="dxa"/>
              <w:bottom w:w="80" w:type="dxa"/>
              <w:right w:w="80" w:type="dxa"/>
            </w:tcMar>
            <w:vAlign w:val="center"/>
            <w:hideMark/>
          </w:tcPr>
          <w:p w14:paraId="72FB12F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All predictors are available at the time the model is intended for use in monitoring.</w:t>
            </w:r>
          </w:p>
        </w:tc>
        <w:tc>
          <w:tcPr>
            <w:tcW w:w="2552" w:type="dxa"/>
            <w:tcMar>
              <w:top w:w="80" w:type="dxa"/>
              <w:left w:w="80" w:type="dxa"/>
              <w:bottom w:w="80" w:type="dxa"/>
              <w:right w:w="80" w:type="dxa"/>
            </w:tcMar>
            <w:vAlign w:val="center"/>
            <w:hideMark/>
          </w:tcPr>
          <w:p w14:paraId="2513279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Fall outcomes are determined without knowledge of the predictor information during the labeling process.</w:t>
            </w:r>
          </w:p>
        </w:tc>
        <w:tc>
          <w:tcPr>
            <w:tcW w:w="2551" w:type="dxa"/>
            <w:tcMar>
              <w:top w:w="80" w:type="dxa"/>
              <w:left w:w="80" w:type="dxa"/>
              <w:bottom w:w="80" w:type="dxa"/>
              <w:right w:w="80" w:type="dxa"/>
            </w:tcMar>
            <w:vAlign w:val="center"/>
            <w:hideMark/>
          </w:tcPr>
          <w:p w14:paraId="6AE24C3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 xml:space="preserve">Low Risk. </w:t>
            </w:r>
            <w:r>
              <w:rPr>
                <w:rFonts w:ascii="Times New Roman" w:eastAsia="等线" w:hAnsi="Times New Roman" w:cs="Times New Roman"/>
                <w:color w:val="1F1F1F"/>
                <w:kern w:val="0"/>
                <w:sz w:val="18"/>
                <w:szCs w:val="18"/>
                <w14:ligatures w14:val="none"/>
              </w:rPr>
              <w:t>The model is considered low risk because it includes internal validation and uses multiple data sources.</w:t>
            </w:r>
          </w:p>
        </w:tc>
        <w:tc>
          <w:tcPr>
            <w:tcW w:w="567" w:type="dxa"/>
            <w:tcMar>
              <w:top w:w="80" w:type="dxa"/>
              <w:left w:w="80" w:type="dxa"/>
              <w:bottom w:w="80" w:type="dxa"/>
              <w:right w:w="80" w:type="dxa"/>
            </w:tcMar>
            <w:vAlign w:val="center"/>
            <w:hideMark/>
          </w:tcPr>
          <w:p w14:paraId="069349C1"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B812E2E"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study design is highly applicable to the goal of supporting aging in place through technology.</w:t>
            </w:r>
          </w:p>
        </w:tc>
      </w:tr>
      <w:tr w:rsidR="00A37C7E" w:rsidRPr="006C17CC" w14:paraId="3EAB228F" w14:textId="77777777" w:rsidTr="00465626">
        <w:trPr>
          <w:trHeight w:val="1415"/>
        </w:trPr>
        <w:tc>
          <w:tcPr>
            <w:tcW w:w="1555" w:type="dxa"/>
            <w:tcMar>
              <w:top w:w="80" w:type="dxa"/>
              <w:left w:w="80" w:type="dxa"/>
              <w:bottom w:w="80" w:type="dxa"/>
              <w:right w:w="80" w:type="dxa"/>
            </w:tcMar>
            <w:vAlign w:val="center"/>
            <w:hideMark/>
          </w:tcPr>
          <w:p w14:paraId="691BB46F"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(Kim et al., 2025)</w:t>
            </w:r>
          </w:p>
        </w:tc>
        <w:tc>
          <w:tcPr>
            <w:tcW w:w="567" w:type="dxa"/>
            <w:tcMar>
              <w:top w:w="80" w:type="dxa"/>
              <w:left w:w="80" w:type="dxa"/>
              <w:bottom w:w="80" w:type="dxa"/>
              <w:right w:w="80" w:type="dxa"/>
            </w:tcMar>
            <w:vAlign w:val="center"/>
            <w:hideMark/>
          </w:tcPr>
          <w:p w14:paraId="66E60480"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21479E3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cohort of 127 community seniors provides sufficient data for an initial clinical validation of vocal indicators.</w:t>
            </w:r>
          </w:p>
        </w:tc>
        <w:tc>
          <w:tcPr>
            <w:tcW w:w="2409" w:type="dxa"/>
            <w:tcMar>
              <w:top w:w="80" w:type="dxa"/>
              <w:left w:w="80" w:type="dxa"/>
              <w:bottom w:w="80" w:type="dxa"/>
              <w:right w:w="80" w:type="dxa"/>
            </w:tcMar>
            <w:vAlign w:val="center"/>
            <w:hideMark/>
          </w:tcPr>
          <w:p w14:paraId="538D2CD2"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Combining acoustic and linguistic data provides a multi-dimensional set of predictors that capture subtle health changes.</w:t>
            </w:r>
          </w:p>
        </w:tc>
        <w:tc>
          <w:tcPr>
            <w:tcW w:w="2552" w:type="dxa"/>
            <w:tcMar>
              <w:top w:w="80" w:type="dxa"/>
              <w:left w:w="80" w:type="dxa"/>
              <w:bottom w:w="80" w:type="dxa"/>
              <w:right w:w="80" w:type="dxa"/>
            </w:tcMar>
            <w:vAlign w:val="center"/>
            <w:hideMark/>
          </w:tcPr>
          <w:p w14:paraId="69FD5EC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reported AUC (0.768) confirms that the model accurately recognizes the desired health-related outcomes.</w:t>
            </w:r>
          </w:p>
        </w:tc>
        <w:tc>
          <w:tcPr>
            <w:tcW w:w="2551" w:type="dxa"/>
            <w:tcMar>
              <w:top w:w="80" w:type="dxa"/>
              <w:left w:w="80" w:type="dxa"/>
              <w:bottom w:w="80" w:type="dxa"/>
              <w:right w:w="80" w:type="dxa"/>
            </w:tcMar>
            <w:vAlign w:val="center"/>
            <w:hideMark/>
          </w:tcPr>
          <w:p w14:paraId="38293CF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nested cross-validation and feature importance analysis ensures that the model is stable and scientifically sound.</w:t>
            </w:r>
          </w:p>
        </w:tc>
        <w:tc>
          <w:tcPr>
            <w:tcW w:w="567" w:type="dxa"/>
            <w:tcMar>
              <w:top w:w="80" w:type="dxa"/>
              <w:left w:w="80" w:type="dxa"/>
              <w:bottom w:w="80" w:type="dxa"/>
              <w:right w:w="80" w:type="dxa"/>
            </w:tcMar>
            <w:vAlign w:val="center"/>
            <w:hideMark/>
          </w:tcPr>
          <w:p w14:paraId="21141583"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1A8A174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automated screening tool can be easily integrated into telecare platforms to support aging in place.</w:t>
            </w:r>
          </w:p>
        </w:tc>
      </w:tr>
      <w:tr w:rsidR="00A37C7E" w:rsidRPr="006C17CC" w14:paraId="5B8AE657" w14:textId="77777777" w:rsidTr="00465626">
        <w:trPr>
          <w:trHeight w:val="1415"/>
        </w:trPr>
        <w:tc>
          <w:tcPr>
            <w:tcW w:w="1555" w:type="dxa"/>
            <w:tcMar>
              <w:top w:w="80" w:type="dxa"/>
              <w:left w:w="80" w:type="dxa"/>
              <w:bottom w:w="80" w:type="dxa"/>
              <w:right w:w="80" w:type="dxa"/>
            </w:tcMar>
            <w:vAlign w:val="center"/>
            <w:hideMark/>
          </w:tcPr>
          <w:p w14:paraId="46598AC9"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742E1BC1"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27EBBA0B"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Proper screening for hearing and cognitive impairment during recruitment ensured that the vocal data was of high quality.</w:t>
            </w:r>
          </w:p>
        </w:tc>
        <w:tc>
          <w:tcPr>
            <w:tcW w:w="2409" w:type="dxa"/>
            <w:tcMar>
              <w:top w:w="80" w:type="dxa"/>
              <w:left w:w="80" w:type="dxa"/>
              <w:bottom w:w="80" w:type="dxa"/>
              <w:right w:w="80" w:type="dxa"/>
            </w:tcMar>
            <w:vAlign w:val="center"/>
            <w:hideMark/>
          </w:tcPr>
          <w:p w14:paraId="194D067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extraction from speech recordings avoids the subjectivity found in traditional physical frailty tests.</w:t>
            </w:r>
          </w:p>
        </w:tc>
        <w:tc>
          <w:tcPr>
            <w:tcW w:w="2552" w:type="dxa"/>
            <w:tcMar>
              <w:top w:w="80" w:type="dxa"/>
              <w:left w:w="80" w:type="dxa"/>
              <w:bottom w:w="80" w:type="dxa"/>
              <w:right w:w="80" w:type="dxa"/>
            </w:tcMar>
            <w:vAlign w:val="center"/>
            <w:hideMark/>
          </w:tcPr>
          <w:p w14:paraId="3AFD2412"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clinical thresholds for frailty ensure that the findings are comparable to other geriatric research.</w:t>
            </w:r>
          </w:p>
        </w:tc>
        <w:tc>
          <w:tcPr>
            <w:tcW w:w="2551" w:type="dxa"/>
            <w:tcMar>
              <w:top w:w="80" w:type="dxa"/>
              <w:left w:w="80" w:type="dxa"/>
              <w:bottom w:w="80" w:type="dxa"/>
              <w:right w:w="80" w:type="dxa"/>
            </w:tcMar>
            <w:vAlign w:val="center"/>
            <w:hideMark/>
          </w:tcPr>
          <w:p w14:paraId="1C5DAC8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successful classification of risk groups demonstrates the technical stability and practical potential of the proposed method.</w:t>
            </w:r>
          </w:p>
        </w:tc>
        <w:tc>
          <w:tcPr>
            <w:tcW w:w="567" w:type="dxa"/>
            <w:tcMar>
              <w:top w:w="80" w:type="dxa"/>
              <w:left w:w="80" w:type="dxa"/>
              <w:bottom w:w="80" w:type="dxa"/>
              <w:right w:w="80" w:type="dxa"/>
            </w:tcMar>
            <w:vAlign w:val="center"/>
            <w:hideMark/>
          </w:tcPr>
          <w:p w14:paraId="50B025F5"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10AD1853"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highly applicable to personalizing preventive care and early detection of decline in older adults.</w:t>
            </w:r>
          </w:p>
        </w:tc>
      </w:tr>
      <w:tr w:rsidR="00A37C7E" w:rsidRPr="006C17CC" w14:paraId="5CC56245" w14:textId="77777777" w:rsidTr="00465626">
        <w:trPr>
          <w:trHeight w:val="1132"/>
        </w:trPr>
        <w:tc>
          <w:tcPr>
            <w:tcW w:w="1555" w:type="dxa"/>
            <w:noWrap/>
            <w:tcMar>
              <w:top w:w="80" w:type="dxa"/>
              <w:left w:w="80" w:type="dxa"/>
              <w:bottom w:w="80" w:type="dxa"/>
              <w:right w:w="80" w:type="dxa"/>
            </w:tcMar>
            <w:vAlign w:val="center"/>
            <w:hideMark/>
          </w:tcPr>
          <w:p w14:paraId="7AB38EAA"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lastRenderedPageBreak/>
              <w:t>(Kulurkar et al., 2023)</w:t>
            </w:r>
          </w:p>
        </w:tc>
        <w:tc>
          <w:tcPr>
            <w:tcW w:w="567" w:type="dxa"/>
            <w:tcMar>
              <w:top w:w="80" w:type="dxa"/>
              <w:left w:w="80" w:type="dxa"/>
              <w:bottom w:w="80" w:type="dxa"/>
              <w:right w:w="80" w:type="dxa"/>
            </w:tcMar>
            <w:vAlign w:val="center"/>
            <w:hideMark/>
          </w:tcPr>
          <w:p w14:paraId="557501A6"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04CD1ABF"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the MobiAct dataset ensures a diverse range of participant movement patterns.</w:t>
            </w:r>
          </w:p>
        </w:tc>
        <w:tc>
          <w:tcPr>
            <w:tcW w:w="2409" w:type="dxa"/>
            <w:tcMar>
              <w:top w:w="80" w:type="dxa"/>
              <w:left w:w="80" w:type="dxa"/>
              <w:bottom w:w="80" w:type="dxa"/>
              <w:right w:w="80" w:type="dxa"/>
            </w:tcMar>
            <w:vAlign w:val="center"/>
            <w:hideMark/>
          </w:tcPr>
          <w:p w14:paraId="4B87B1E8"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sensors provide continuous and reliable data for multivariable analysis without manual interference.</w:t>
            </w:r>
          </w:p>
        </w:tc>
        <w:tc>
          <w:tcPr>
            <w:tcW w:w="2552" w:type="dxa"/>
            <w:tcMar>
              <w:top w:w="80" w:type="dxa"/>
              <w:left w:w="80" w:type="dxa"/>
              <w:bottom w:w="80" w:type="dxa"/>
              <w:right w:w="80" w:type="dxa"/>
            </w:tcMar>
            <w:vAlign w:val="center"/>
            <w:hideMark/>
          </w:tcPr>
          <w:p w14:paraId="2FC0E4AE"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experimental protocols ensure that the identified fall events are accurate and objective.</w:t>
            </w:r>
          </w:p>
        </w:tc>
        <w:tc>
          <w:tcPr>
            <w:tcW w:w="2551" w:type="dxa"/>
            <w:tcMar>
              <w:top w:w="80" w:type="dxa"/>
              <w:left w:w="80" w:type="dxa"/>
              <w:bottom w:w="80" w:type="dxa"/>
              <w:right w:w="80" w:type="dxa"/>
            </w:tcMar>
            <w:vAlign w:val="center"/>
            <w:hideMark/>
          </w:tcPr>
          <w:p w14:paraId="1611A10F"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95.9% accuracy demonstrates that the model can effectively generalize across different sensor positions.</w:t>
            </w:r>
          </w:p>
        </w:tc>
        <w:tc>
          <w:tcPr>
            <w:tcW w:w="567" w:type="dxa"/>
            <w:tcMar>
              <w:top w:w="80" w:type="dxa"/>
              <w:left w:w="80" w:type="dxa"/>
              <w:bottom w:w="80" w:type="dxa"/>
              <w:right w:w="80" w:type="dxa"/>
            </w:tcMar>
            <w:vAlign w:val="center"/>
            <w:hideMark/>
          </w:tcPr>
          <w:p w14:paraId="3D5C789E"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1F8C19C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technology directly supports the goal of independent living for the elderly.</w:t>
            </w:r>
          </w:p>
        </w:tc>
      </w:tr>
      <w:tr w:rsidR="00A37C7E" w:rsidRPr="006C17CC" w14:paraId="4856A068" w14:textId="77777777" w:rsidTr="00465626">
        <w:trPr>
          <w:trHeight w:val="1132"/>
        </w:trPr>
        <w:tc>
          <w:tcPr>
            <w:tcW w:w="1555" w:type="dxa"/>
            <w:tcMar>
              <w:top w:w="80" w:type="dxa"/>
              <w:left w:w="80" w:type="dxa"/>
              <w:bottom w:w="80" w:type="dxa"/>
              <w:right w:w="80" w:type="dxa"/>
            </w:tcMar>
            <w:vAlign w:val="center"/>
            <w:hideMark/>
          </w:tcPr>
          <w:p w14:paraId="1B57EAC1"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16D5A0FE"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1C8DF09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participants represent a suitable group for testing initial system feasibility at home.</w:t>
            </w:r>
          </w:p>
        </w:tc>
        <w:tc>
          <w:tcPr>
            <w:tcW w:w="2409" w:type="dxa"/>
            <w:tcMar>
              <w:top w:w="80" w:type="dxa"/>
              <w:left w:w="80" w:type="dxa"/>
              <w:bottom w:w="80" w:type="dxa"/>
              <w:right w:w="80" w:type="dxa"/>
            </w:tcMar>
            <w:vAlign w:val="center"/>
            <w:hideMark/>
          </w:tcPr>
          <w:p w14:paraId="0C52985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All predictor information was available at the time the model would be applied in practice.</w:t>
            </w:r>
          </w:p>
        </w:tc>
        <w:tc>
          <w:tcPr>
            <w:tcW w:w="2552" w:type="dxa"/>
            <w:tcMar>
              <w:top w:w="80" w:type="dxa"/>
              <w:left w:w="80" w:type="dxa"/>
              <w:bottom w:w="80" w:type="dxa"/>
              <w:right w:w="80" w:type="dxa"/>
            </w:tcMar>
            <w:vAlign w:val="center"/>
            <w:hideMark/>
          </w:tcPr>
          <w:p w14:paraId="57A9D9ED"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Clear definitions of the four types of falls were used to classify outcomes consistently.</w:t>
            </w:r>
          </w:p>
        </w:tc>
        <w:tc>
          <w:tcPr>
            <w:tcW w:w="2551" w:type="dxa"/>
            <w:tcMar>
              <w:top w:w="80" w:type="dxa"/>
              <w:left w:w="80" w:type="dxa"/>
              <w:bottom w:w="80" w:type="dxa"/>
              <w:right w:w="80" w:type="dxa"/>
            </w:tcMar>
            <w:vAlign w:val="center"/>
            <w:hideMark/>
          </w:tcPr>
          <w:p w14:paraId="2A1A4106"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cross validation and multiple data streams helps to ensure model stability.</w:t>
            </w:r>
          </w:p>
        </w:tc>
        <w:tc>
          <w:tcPr>
            <w:tcW w:w="567" w:type="dxa"/>
            <w:tcMar>
              <w:top w:w="80" w:type="dxa"/>
              <w:left w:w="80" w:type="dxa"/>
              <w:bottom w:w="80" w:type="dxa"/>
              <w:right w:w="80" w:type="dxa"/>
            </w:tcMar>
            <w:vAlign w:val="center"/>
            <w:hideMark/>
          </w:tcPr>
          <w:p w14:paraId="4C3D5A8C"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8C77EC1"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unobtrusive nature of the sensors aligns with the review criteria for elderly care.</w:t>
            </w:r>
          </w:p>
        </w:tc>
      </w:tr>
      <w:tr w:rsidR="00A37C7E" w:rsidRPr="006C17CC" w14:paraId="72ACA88B" w14:textId="77777777" w:rsidTr="00465626">
        <w:trPr>
          <w:trHeight w:val="1415"/>
        </w:trPr>
        <w:tc>
          <w:tcPr>
            <w:tcW w:w="1555" w:type="dxa"/>
            <w:tcMar>
              <w:top w:w="80" w:type="dxa"/>
              <w:left w:w="80" w:type="dxa"/>
              <w:bottom w:w="80" w:type="dxa"/>
              <w:right w:w="80" w:type="dxa"/>
            </w:tcMar>
            <w:vAlign w:val="center"/>
            <w:hideMark/>
          </w:tcPr>
          <w:p w14:paraId="3E549E02"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(Laska et al., 2025)</w:t>
            </w:r>
          </w:p>
        </w:tc>
        <w:tc>
          <w:tcPr>
            <w:tcW w:w="567" w:type="dxa"/>
            <w:tcMar>
              <w:top w:w="80" w:type="dxa"/>
              <w:left w:w="80" w:type="dxa"/>
              <w:bottom w:w="80" w:type="dxa"/>
              <w:right w:w="80" w:type="dxa"/>
            </w:tcMar>
            <w:vAlign w:val="center"/>
            <w:hideMark/>
          </w:tcPr>
          <w:p w14:paraId="4F3E7F9A"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2BB21EB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standardized audio benchmarks provides a sufficient foundation for the initial technical validation of cough signatures.</w:t>
            </w:r>
          </w:p>
        </w:tc>
        <w:tc>
          <w:tcPr>
            <w:tcW w:w="2409" w:type="dxa"/>
            <w:tcMar>
              <w:top w:w="80" w:type="dxa"/>
              <w:left w:w="80" w:type="dxa"/>
              <w:bottom w:w="80" w:type="dxa"/>
              <w:right w:w="80" w:type="dxa"/>
            </w:tcMar>
            <w:vAlign w:val="center"/>
            <w:hideMark/>
          </w:tcPr>
          <w:p w14:paraId="6B5168A2"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Foundation model embeddings provide a rich and reliable set of predictors that capture the universal characteristics of cough sounds.</w:t>
            </w:r>
          </w:p>
        </w:tc>
        <w:tc>
          <w:tcPr>
            <w:tcW w:w="2552" w:type="dxa"/>
            <w:tcMar>
              <w:top w:w="80" w:type="dxa"/>
              <w:left w:w="80" w:type="dxa"/>
              <w:bottom w:w="80" w:type="dxa"/>
              <w:right w:w="80" w:type="dxa"/>
            </w:tcMar>
            <w:vAlign w:val="center"/>
            <w:hideMark/>
          </w:tcPr>
          <w:p w14:paraId="2D280F5B"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Successful classification of unseen audio classes confirms the model’s ability to identify clinically significant events like coughing.</w:t>
            </w:r>
          </w:p>
        </w:tc>
        <w:tc>
          <w:tcPr>
            <w:tcW w:w="2551" w:type="dxa"/>
            <w:tcMar>
              <w:top w:w="80" w:type="dxa"/>
              <w:left w:w="80" w:type="dxa"/>
              <w:bottom w:w="80" w:type="dxa"/>
              <w:right w:w="80" w:type="dxa"/>
            </w:tcMar>
            <w:vAlign w:val="center"/>
            <w:hideMark/>
          </w:tcPr>
          <w:p w14:paraId="74E1DD5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distillation process achieved high fidelity to the teacher model, demonstrating a stable and well-optimized analytical approach.</w:t>
            </w:r>
          </w:p>
        </w:tc>
        <w:tc>
          <w:tcPr>
            <w:tcW w:w="567" w:type="dxa"/>
            <w:tcMar>
              <w:top w:w="80" w:type="dxa"/>
              <w:left w:w="80" w:type="dxa"/>
              <w:bottom w:w="80" w:type="dxa"/>
              <w:right w:w="80" w:type="dxa"/>
            </w:tcMar>
            <w:vAlign w:val="center"/>
            <w:hideMark/>
          </w:tcPr>
          <w:p w14:paraId="17F43C4D"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FBA21BA"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Enabling real-time, low-power monitoring supports the goal of independent living for seniors with chronic conditions.</w:t>
            </w:r>
          </w:p>
        </w:tc>
      </w:tr>
      <w:tr w:rsidR="00A37C7E" w:rsidRPr="006C17CC" w14:paraId="203DA6EB" w14:textId="77777777" w:rsidTr="00465626">
        <w:trPr>
          <w:trHeight w:val="1415"/>
        </w:trPr>
        <w:tc>
          <w:tcPr>
            <w:tcW w:w="1555" w:type="dxa"/>
            <w:tcMar>
              <w:top w:w="80" w:type="dxa"/>
              <w:left w:w="80" w:type="dxa"/>
              <w:bottom w:w="80" w:type="dxa"/>
              <w:right w:w="80" w:type="dxa"/>
            </w:tcMar>
            <w:vAlign w:val="center"/>
            <w:hideMark/>
          </w:tcPr>
          <w:p w14:paraId="64CAE3BD"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568FC49E"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6476BE02"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experimental design ensured that various types of respiratory sounds were included to train a generalized classifier.</w:t>
            </w:r>
          </w:p>
        </w:tc>
        <w:tc>
          <w:tcPr>
            <w:tcW w:w="2409" w:type="dxa"/>
            <w:tcMar>
              <w:top w:w="80" w:type="dxa"/>
              <w:left w:w="80" w:type="dxa"/>
              <w:bottom w:w="80" w:type="dxa"/>
              <w:right w:w="80" w:type="dxa"/>
            </w:tcMar>
            <w:vAlign w:val="center"/>
            <w:hideMark/>
          </w:tcPr>
          <w:p w14:paraId="3A64400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extraction from speech models avoids the subjectivity and errors of manual acoustic feature engineering.</w:t>
            </w:r>
          </w:p>
        </w:tc>
        <w:tc>
          <w:tcPr>
            <w:tcW w:w="2552" w:type="dxa"/>
            <w:tcMar>
              <w:top w:w="80" w:type="dxa"/>
              <w:left w:w="80" w:type="dxa"/>
              <w:bottom w:w="80" w:type="dxa"/>
              <w:right w:w="80" w:type="dxa"/>
            </w:tcMar>
            <w:vAlign w:val="center"/>
            <w:hideMark/>
          </w:tcPr>
          <w:p w14:paraId="32F9E6B9"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Pre-defined categories for cough and speech ensure that the model is trained to recognize outcomes relevant to independent safety.</w:t>
            </w:r>
          </w:p>
        </w:tc>
        <w:tc>
          <w:tcPr>
            <w:tcW w:w="2551" w:type="dxa"/>
            <w:tcMar>
              <w:top w:w="80" w:type="dxa"/>
              <w:left w:w="80" w:type="dxa"/>
              <w:bottom w:w="80" w:type="dxa"/>
              <w:right w:w="80" w:type="dxa"/>
            </w:tcMar>
            <w:vAlign w:val="center"/>
            <w:hideMark/>
          </w:tcPr>
          <w:p w14:paraId="3815234B"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Reported performance metrics across different student architectures confirm the technical stability and readiness for edge deployment.</w:t>
            </w:r>
          </w:p>
        </w:tc>
        <w:tc>
          <w:tcPr>
            <w:tcW w:w="567" w:type="dxa"/>
            <w:tcMar>
              <w:top w:w="80" w:type="dxa"/>
              <w:left w:w="80" w:type="dxa"/>
              <w:bottom w:w="80" w:type="dxa"/>
              <w:right w:w="80" w:type="dxa"/>
            </w:tcMar>
            <w:vAlign w:val="center"/>
            <w:hideMark/>
          </w:tcPr>
          <w:p w14:paraId="1DF7D727"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805C404"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a significant advancement in making smart home healthcare both efficient and privacy-centric.</w:t>
            </w:r>
          </w:p>
        </w:tc>
      </w:tr>
      <w:tr w:rsidR="00FB6B47" w14:paraId="3CFD3CA9" w14:textId="77777777">
        <w:tc>
          <w:tcPr>
            <w:tcW w:w="1555" w:type="dxa"/>
            <w:tcMar>
              <w:top w:w="80" w:type="dxa"/>
              <w:left w:w="80" w:type="dxa"/>
              <w:bottom w:w="80" w:type="dxa"/>
              <w:right w:w="80" w:type="dxa"/>
            </w:tcMar>
            <w:vAlign w:val="center"/>
          </w:tcPr>
          <w:p w14:paraId="78395A90" w14:textId="77777777" w:rsidR="006A6108" w:rsidRPr="00A91DD0" w:rsidRDefault="00000000">
            <w:pPr>
              <w:jc w:val="left"/>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(Li et al., 2024a)</w:t>
            </w:r>
          </w:p>
        </w:tc>
        <w:tc>
          <w:tcPr>
            <w:tcW w:w="567" w:type="dxa"/>
            <w:tcMar>
              <w:top w:w="80" w:type="dxa"/>
              <w:left w:w="80" w:type="dxa"/>
              <w:bottom w:w="80" w:type="dxa"/>
              <w:right w:w="80" w:type="dxa"/>
            </w:tcMar>
            <w:vAlign w:val="center"/>
          </w:tcPr>
          <w:p w14:paraId="4B54344F"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7867870C" w14:textId="77777777" w:rsidR="00FB6B47" w:rsidRDefault="00000000">
            <w:pPr>
              <w:jc w:val="left"/>
              <w:rPr>
                <w:rFonts w:hint="eastAsia"/>
              </w:rPr>
            </w:pPr>
            <w:r>
              <w:rPr>
                <w:rFonts w:ascii="Times New Roman" w:hAnsi="Times New Roman" w:cs="Times New Roman"/>
                <w:sz w:val="18"/>
              </w:rPr>
              <w:t>Low Risk. The cohort source was relevant to home care or community dwelling older adults.</w:t>
            </w:r>
          </w:p>
        </w:tc>
        <w:tc>
          <w:tcPr>
            <w:tcW w:w="2409" w:type="dxa"/>
            <w:tcMar>
              <w:top w:w="80" w:type="dxa"/>
              <w:left w:w="80" w:type="dxa"/>
              <w:bottom w:w="80" w:type="dxa"/>
              <w:right w:w="80" w:type="dxa"/>
            </w:tcMar>
            <w:vAlign w:val="center"/>
          </w:tcPr>
          <w:p w14:paraId="36B4DB16" w14:textId="77777777" w:rsidR="00FB6B47" w:rsidRDefault="00000000">
            <w:pPr>
              <w:jc w:val="left"/>
              <w:rPr>
                <w:rFonts w:hint="eastAsia"/>
              </w:rPr>
            </w:pPr>
            <w:r>
              <w:rPr>
                <w:rFonts w:ascii="Times New Roman" w:hAnsi="Times New Roman" w:cs="Times New Roman"/>
                <w:sz w:val="18"/>
              </w:rPr>
              <w:t>Low Risk. Predictors were extracted from routine care or sensor data in a defined manner.</w:t>
            </w:r>
          </w:p>
        </w:tc>
        <w:tc>
          <w:tcPr>
            <w:tcW w:w="2552" w:type="dxa"/>
            <w:tcMar>
              <w:top w:w="80" w:type="dxa"/>
              <w:left w:w="80" w:type="dxa"/>
              <w:bottom w:w="80" w:type="dxa"/>
              <w:right w:w="80" w:type="dxa"/>
            </w:tcMar>
            <w:vAlign w:val="center"/>
          </w:tcPr>
          <w:p w14:paraId="53459B0E" w14:textId="77777777" w:rsidR="00FB6B47" w:rsidRDefault="00000000">
            <w:pPr>
              <w:jc w:val="left"/>
              <w:rPr>
                <w:rFonts w:hint="eastAsia"/>
              </w:rPr>
            </w:pPr>
            <w:r>
              <w:rPr>
                <w:rFonts w:ascii="Times New Roman" w:hAnsi="Times New Roman" w:cs="Times New Roman"/>
                <w:sz w:val="18"/>
              </w:rPr>
              <w:t>Low Risk. Outcomes were clinically relevant to the study aim.</w:t>
            </w:r>
          </w:p>
        </w:tc>
        <w:tc>
          <w:tcPr>
            <w:tcW w:w="2551" w:type="dxa"/>
            <w:tcMar>
              <w:top w:w="80" w:type="dxa"/>
              <w:left w:w="80" w:type="dxa"/>
              <w:bottom w:w="80" w:type="dxa"/>
              <w:right w:w="80" w:type="dxa"/>
            </w:tcMar>
            <w:vAlign w:val="center"/>
          </w:tcPr>
          <w:p w14:paraId="305A4D8A" w14:textId="77777777" w:rsidR="00FB6B47" w:rsidRDefault="00000000">
            <w:pPr>
              <w:jc w:val="left"/>
              <w:rPr>
                <w:rFonts w:hint="eastAsia"/>
              </w:rPr>
            </w:pPr>
            <w:r>
              <w:rPr>
                <w:rFonts w:ascii="Times New Roman" w:hAnsi="Times New Roman" w:cs="Times New Roman"/>
                <w:sz w:val="18"/>
              </w:rPr>
              <w:t>High Risk. External validation or calibration reporting was insufficient for review level synthesis.</w:t>
            </w:r>
          </w:p>
        </w:tc>
        <w:tc>
          <w:tcPr>
            <w:tcW w:w="567" w:type="dxa"/>
            <w:tcMar>
              <w:top w:w="80" w:type="dxa"/>
              <w:left w:w="80" w:type="dxa"/>
              <w:bottom w:w="80" w:type="dxa"/>
              <w:right w:w="80" w:type="dxa"/>
            </w:tcMar>
            <w:vAlign w:val="center"/>
          </w:tcPr>
          <w:p w14:paraId="135D7EBA"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04D36603" w14:textId="77777777" w:rsidR="00FB6B47" w:rsidRDefault="00000000">
            <w:pPr>
              <w:jc w:val="left"/>
              <w:rPr>
                <w:rFonts w:hint="eastAsia"/>
              </w:rPr>
            </w:pPr>
            <w:r>
              <w:rPr>
                <w:rFonts w:ascii="Times New Roman" w:hAnsi="Times New Roman" w:cs="Times New Roman"/>
                <w:sz w:val="18"/>
              </w:rPr>
              <w:t>Low Concern. The setting was relevant but model transportability remained limited.</w:t>
            </w:r>
          </w:p>
        </w:tc>
      </w:tr>
      <w:tr w:rsidR="00FB6B47" w14:paraId="65AC5AD2" w14:textId="77777777">
        <w:tc>
          <w:tcPr>
            <w:tcW w:w="1555" w:type="dxa"/>
            <w:tcMar>
              <w:top w:w="80" w:type="dxa"/>
              <w:left w:w="80" w:type="dxa"/>
              <w:bottom w:w="80" w:type="dxa"/>
              <w:right w:w="80" w:type="dxa"/>
            </w:tcMar>
            <w:vAlign w:val="center"/>
          </w:tcPr>
          <w:p w14:paraId="5A0CE261" w14:textId="77777777" w:rsidR="00FB6B47" w:rsidRPr="00A91DD0" w:rsidRDefault="00FB6B47">
            <w:pPr>
              <w:jc w:val="center"/>
              <w:rPr>
                <w:rFonts w:ascii="Times New Roman" w:eastAsia="等线" w:hAnsi="Times New Roman" w:cs="Times New Roman"/>
                <w:color w:val="000000"/>
                <w:kern w:val="0"/>
                <w:sz w:val="18"/>
                <w:szCs w:val="18"/>
                <w14:ligatures w14:val="none"/>
              </w:rPr>
            </w:pPr>
          </w:p>
        </w:tc>
        <w:tc>
          <w:tcPr>
            <w:tcW w:w="567" w:type="dxa"/>
            <w:tcMar>
              <w:top w:w="80" w:type="dxa"/>
              <w:left w:w="80" w:type="dxa"/>
              <w:bottom w:w="80" w:type="dxa"/>
              <w:right w:w="80" w:type="dxa"/>
            </w:tcMar>
            <w:vAlign w:val="center"/>
          </w:tcPr>
          <w:p w14:paraId="3B558BEA"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5BE56054" w14:textId="77777777" w:rsidR="00FB6B47" w:rsidRDefault="00000000">
            <w:pPr>
              <w:jc w:val="left"/>
              <w:rPr>
                <w:rFonts w:hint="eastAsia"/>
              </w:rPr>
            </w:pPr>
            <w:r>
              <w:rPr>
                <w:rFonts w:ascii="Times New Roman" w:hAnsi="Times New Roman" w:cs="Times New Roman"/>
                <w:sz w:val="18"/>
              </w:rPr>
              <w:t>Low Risk. The cohort source was relevant to home care or community dwelling older adults.</w:t>
            </w:r>
          </w:p>
        </w:tc>
        <w:tc>
          <w:tcPr>
            <w:tcW w:w="2409" w:type="dxa"/>
            <w:tcMar>
              <w:top w:w="80" w:type="dxa"/>
              <w:left w:w="80" w:type="dxa"/>
              <w:bottom w:w="80" w:type="dxa"/>
              <w:right w:w="80" w:type="dxa"/>
            </w:tcMar>
            <w:vAlign w:val="center"/>
          </w:tcPr>
          <w:p w14:paraId="09AD6BEF" w14:textId="77777777" w:rsidR="00FB6B47" w:rsidRDefault="00000000">
            <w:pPr>
              <w:jc w:val="left"/>
              <w:rPr>
                <w:rFonts w:hint="eastAsia"/>
              </w:rPr>
            </w:pPr>
            <w:r>
              <w:rPr>
                <w:rFonts w:ascii="Times New Roman" w:hAnsi="Times New Roman" w:cs="Times New Roman"/>
                <w:sz w:val="18"/>
              </w:rPr>
              <w:t>Low Risk. Predictors were extracted from routine care or sensor data in a defined manner.</w:t>
            </w:r>
          </w:p>
        </w:tc>
        <w:tc>
          <w:tcPr>
            <w:tcW w:w="2552" w:type="dxa"/>
            <w:tcMar>
              <w:top w:w="80" w:type="dxa"/>
              <w:left w:w="80" w:type="dxa"/>
              <w:bottom w:w="80" w:type="dxa"/>
              <w:right w:w="80" w:type="dxa"/>
            </w:tcMar>
            <w:vAlign w:val="center"/>
          </w:tcPr>
          <w:p w14:paraId="5D125523" w14:textId="77777777" w:rsidR="00FB6B47" w:rsidRDefault="00000000">
            <w:pPr>
              <w:jc w:val="left"/>
              <w:rPr>
                <w:rFonts w:hint="eastAsia"/>
              </w:rPr>
            </w:pPr>
            <w:r>
              <w:rPr>
                <w:rFonts w:ascii="Times New Roman" w:hAnsi="Times New Roman" w:cs="Times New Roman"/>
                <w:sz w:val="18"/>
              </w:rPr>
              <w:t>Low Risk. Outcomes were clinically relevant to the study aim.</w:t>
            </w:r>
          </w:p>
        </w:tc>
        <w:tc>
          <w:tcPr>
            <w:tcW w:w="2551" w:type="dxa"/>
            <w:tcMar>
              <w:top w:w="80" w:type="dxa"/>
              <w:left w:w="80" w:type="dxa"/>
              <w:bottom w:w="80" w:type="dxa"/>
              <w:right w:w="80" w:type="dxa"/>
            </w:tcMar>
            <w:vAlign w:val="center"/>
          </w:tcPr>
          <w:p w14:paraId="23590B17" w14:textId="77777777" w:rsidR="00FB6B47" w:rsidRDefault="00000000">
            <w:pPr>
              <w:jc w:val="left"/>
              <w:rPr>
                <w:rFonts w:hint="eastAsia"/>
              </w:rPr>
            </w:pPr>
            <w:r>
              <w:rPr>
                <w:rFonts w:ascii="Times New Roman" w:hAnsi="Times New Roman" w:cs="Times New Roman"/>
                <w:sz w:val="18"/>
              </w:rPr>
              <w:t>High Risk. External validation or calibration reporting was insufficient for review level synthesis.</w:t>
            </w:r>
          </w:p>
        </w:tc>
        <w:tc>
          <w:tcPr>
            <w:tcW w:w="567" w:type="dxa"/>
            <w:tcMar>
              <w:top w:w="80" w:type="dxa"/>
              <w:left w:w="80" w:type="dxa"/>
              <w:bottom w:w="80" w:type="dxa"/>
              <w:right w:w="80" w:type="dxa"/>
            </w:tcMar>
            <w:vAlign w:val="center"/>
          </w:tcPr>
          <w:p w14:paraId="2A0B2FFF"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0A3D1DC9" w14:textId="77777777" w:rsidR="00FB6B47" w:rsidRDefault="00000000">
            <w:pPr>
              <w:jc w:val="left"/>
              <w:rPr>
                <w:rFonts w:hint="eastAsia"/>
              </w:rPr>
            </w:pPr>
            <w:r>
              <w:rPr>
                <w:rFonts w:ascii="Times New Roman" w:hAnsi="Times New Roman" w:cs="Times New Roman"/>
                <w:sz w:val="18"/>
              </w:rPr>
              <w:t>Low Concern. The setting was relevant but model transportability remained limited.</w:t>
            </w:r>
          </w:p>
        </w:tc>
      </w:tr>
      <w:tr w:rsidR="00FB6B47" w14:paraId="3B953969" w14:textId="77777777">
        <w:tc>
          <w:tcPr>
            <w:tcW w:w="1555" w:type="dxa"/>
            <w:tcMar>
              <w:top w:w="80" w:type="dxa"/>
              <w:left w:w="80" w:type="dxa"/>
              <w:bottom w:w="80" w:type="dxa"/>
              <w:right w:w="80" w:type="dxa"/>
            </w:tcMar>
            <w:vAlign w:val="center"/>
          </w:tcPr>
          <w:p w14:paraId="202509FA" w14:textId="77777777" w:rsidR="006A6108" w:rsidRPr="00A91DD0" w:rsidRDefault="00000000">
            <w:pPr>
              <w:jc w:val="left"/>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lastRenderedPageBreak/>
              <w:t>(Li et al., 2024b)</w:t>
            </w:r>
          </w:p>
        </w:tc>
        <w:tc>
          <w:tcPr>
            <w:tcW w:w="567" w:type="dxa"/>
            <w:tcMar>
              <w:top w:w="80" w:type="dxa"/>
              <w:left w:w="80" w:type="dxa"/>
              <w:bottom w:w="80" w:type="dxa"/>
              <w:right w:w="80" w:type="dxa"/>
            </w:tcMar>
            <w:vAlign w:val="center"/>
          </w:tcPr>
          <w:p w14:paraId="47FC6D93"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3A046B42" w14:textId="77777777" w:rsidR="00FB6B47" w:rsidRDefault="00000000">
            <w:pPr>
              <w:jc w:val="left"/>
              <w:rPr>
                <w:rFonts w:hint="eastAsia"/>
              </w:rPr>
            </w:pPr>
            <w:r>
              <w:rPr>
                <w:rFonts w:ascii="Times New Roman" w:hAnsi="Times New Roman" w:cs="Times New Roman"/>
                <w:sz w:val="18"/>
              </w:rPr>
              <w:t>Low Risk. The cohort source was relevant to home care or community dwelling older adults.</w:t>
            </w:r>
          </w:p>
        </w:tc>
        <w:tc>
          <w:tcPr>
            <w:tcW w:w="2409" w:type="dxa"/>
            <w:tcMar>
              <w:top w:w="80" w:type="dxa"/>
              <w:left w:w="80" w:type="dxa"/>
              <w:bottom w:w="80" w:type="dxa"/>
              <w:right w:w="80" w:type="dxa"/>
            </w:tcMar>
            <w:vAlign w:val="center"/>
          </w:tcPr>
          <w:p w14:paraId="5693880F" w14:textId="77777777" w:rsidR="00FB6B47" w:rsidRDefault="00000000">
            <w:pPr>
              <w:jc w:val="left"/>
              <w:rPr>
                <w:rFonts w:hint="eastAsia"/>
              </w:rPr>
            </w:pPr>
            <w:r>
              <w:rPr>
                <w:rFonts w:ascii="Times New Roman" w:hAnsi="Times New Roman" w:cs="Times New Roman"/>
                <w:sz w:val="18"/>
              </w:rPr>
              <w:t>Low Risk. Predictors were extracted from routine care or sensor data in a defined manner.</w:t>
            </w:r>
          </w:p>
        </w:tc>
        <w:tc>
          <w:tcPr>
            <w:tcW w:w="2552" w:type="dxa"/>
            <w:tcMar>
              <w:top w:w="80" w:type="dxa"/>
              <w:left w:w="80" w:type="dxa"/>
              <w:bottom w:w="80" w:type="dxa"/>
              <w:right w:w="80" w:type="dxa"/>
            </w:tcMar>
            <w:vAlign w:val="center"/>
          </w:tcPr>
          <w:p w14:paraId="74D7936B" w14:textId="77777777" w:rsidR="00FB6B47" w:rsidRDefault="00000000">
            <w:pPr>
              <w:jc w:val="left"/>
              <w:rPr>
                <w:rFonts w:hint="eastAsia"/>
              </w:rPr>
            </w:pPr>
            <w:r>
              <w:rPr>
                <w:rFonts w:ascii="Times New Roman" w:hAnsi="Times New Roman" w:cs="Times New Roman"/>
                <w:sz w:val="18"/>
              </w:rPr>
              <w:t>Low Risk. Outcomes were clinically relevant to the study aim.</w:t>
            </w:r>
          </w:p>
        </w:tc>
        <w:tc>
          <w:tcPr>
            <w:tcW w:w="2551" w:type="dxa"/>
            <w:tcMar>
              <w:top w:w="80" w:type="dxa"/>
              <w:left w:w="80" w:type="dxa"/>
              <w:bottom w:w="80" w:type="dxa"/>
              <w:right w:w="80" w:type="dxa"/>
            </w:tcMar>
            <w:vAlign w:val="center"/>
          </w:tcPr>
          <w:p w14:paraId="0D3F6643" w14:textId="77777777" w:rsidR="00FB6B47" w:rsidRDefault="00000000">
            <w:pPr>
              <w:jc w:val="left"/>
              <w:rPr>
                <w:rFonts w:hint="eastAsia"/>
              </w:rPr>
            </w:pPr>
            <w:r>
              <w:rPr>
                <w:rFonts w:ascii="Times New Roman" w:hAnsi="Times New Roman" w:cs="Times New Roman"/>
                <w:sz w:val="18"/>
              </w:rPr>
              <w:t>High Risk. External validation or calibration reporting was insufficient for review level synthesis.</w:t>
            </w:r>
          </w:p>
        </w:tc>
        <w:tc>
          <w:tcPr>
            <w:tcW w:w="567" w:type="dxa"/>
            <w:tcMar>
              <w:top w:w="80" w:type="dxa"/>
              <w:left w:w="80" w:type="dxa"/>
              <w:bottom w:w="80" w:type="dxa"/>
              <w:right w:w="80" w:type="dxa"/>
            </w:tcMar>
            <w:vAlign w:val="center"/>
          </w:tcPr>
          <w:p w14:paraId="5442CB84"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2186631E" w14:textId="77777777" w:rsidR="00FB6B47" w:rsidRDefault="00000000">
            <w:pPr>
              <w:jc w:val="left"/>
              <w:rPr>
                <w:rFonts w:hint="eastAsia"/>
              </w:rPr>
            </w:pPr>
            <w:r>
              <w:rPr>
                <w:rFonts w:ascii="Times New Roman" w:hAnsi="Times New Roman" w:cs="Times New Roman"/>
                <w:sz w:val="18"/>
              </w:rPr>
              <w:t>Low Concern. The setting was relevant but model transportability remained limited.</w:t>
            </w:r>
          </w:p>
        </w:tc>
      </w:tr>
      <w:tr w:rsidR="00FB6B47" w14:paraId="7F617649" w14:textId="77777777">
        <w:tc>
          <w:tcPr>
            <w:tcW w:w="1555" w:type="dxa"/>
            <w:tcMar>
              <w:top w:w="80" w:type="dxa"/>
              <w:left w:w="80" w:type="dxa"/>
              <w:bottom w:w="80" w:type="dxa"/>
              <w:right w:w="80" w:type="dxa"/>
            </w:tcMar>
            <w:vAlign w:val="center"/>
          </w:tcPr>
          <w:p w14:paraId="66C83DDE"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2AFA6DDA"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645515DE" w14:textId="77777777" w:rsidR="00FB6B47" w:rsidRDefault="00000000">
            <w:pPr>
              <w:jc w:val="left"/>
              <w:rPr>
                <w:rFonts w:hint="eastAsia"/>
              </w:rPr>
            </w:pPr>
            <w:r>
              <w:rPr>
                <w:rFonts w:ascii="Times New Roman" w:hAnsi="Times New Roman" w:cs="Times New Roman"/>
                <w:sz w:val="18"/>
              </w:rPr>
              <w:t>Low Risk. The cohort source was relevant to home care or community dwelling older adults.</w:t>
            </w:r>
          </w:p>
        </w:tc>
        <w:tc>
          <w:tcPr>
            <w:tcW w:w="2409" w:type="dxa"/>
            <w:tcMar>
              <w:top w:w="80" w:type="dxa"/>
              <w:left w:w="80" w:type="dxa"/>
              <w:bottom w:w="80" w:type="dxa"/>
              <w:right w:w="80" w:type="dxa"/>
            </w:tcMar>
            <w:vAlign w:val="center"/>
          </w:tcPr>
          <w:p w14:paraId="2F34BF0A" w14:textId="77777777" w:rsidR="00FB6B47" w:rsidRDefault="00000000">
            <w:pPr>
              <w:jc w:val="left"/>
              <w:rPr>
                <w:rFonts w:hint="eastAsia"/>
              </w:rPr>
            </w:pPr>
            <w:r>
              <w:rPr>
                <w:rFonts w:ascii="Times New Roman" w:hAnsi="Times New Roman" w:cs="Times New Roman"/>
                <w:sz w:val="18"/>
              </w:rPr>
              <w:t>Low Risk. Predictors were extracted from routine care or sensor data in a defined manner.</w:t>
            </w:r>
          </w:p>
        </w:tc>
        <w:tc>
          <w:tcPr>
            <w:tcW w:w="2552" w:type="dxa"/>
            <w:tcMar>
              <w:top w:w="80" w:type="dxa"/>
              <w:left w:w="80" w:type="dxa"/>
              <w:bottom w:w="80" w:type="dxa"/>
              <w:right w:w="80" w:type="dxa"/>
            </w:tcMar>
            <w:vAlign w:val="center"/>
          </w:tcPr>
          <w:p w14:paraId="1591B0DC" w14:textId="77777777" w:rsidR="00FB6B47" w:rsidRDefault="00000000">
            <w:pPr>
              <w:jc w:val="left"/>
              <w:rPr>
                <w:rFonts w:hint="eastAsia"/>
              </w:rPr>
            </w:pPr>
            <w:r>
              <w:rPr>
                <w:rFonts w:ascii="Times New Roman" w:hAnsi="Times New Roman" w:cs="Times New Roman"/>
                <w:sz w:val="18"/>
              </w:rPr>
              <w:t>Low Risk. Outcomes were clinically relevant to the study aim.</w:t>
            </w:r>
          </w:p>
        </w:tc>
        <w:tc>
          <w:tcPr>
            <w:tcW w:w="2551" w:type="dxa"/>
            <w:tcMar>
              <w:top w:w="80" w:type="dxa"/>
              <w:left w:w="80" w:type="dxa"/>
              <w:bottom w:w="80" w:type="dxa"/>
              <w:right w:w="80" w:type="dxa"/>
            </w:tcMar>
            <w:vAlign w:val="center"/>
          </w:tcPr>
          <w:p w14:paraId="113AB3AD" w14:textId="77777777" w:rsidR="00FB6B47" w:rsidRDefault="00000000">
            <w:pPr>
              <w:jc w:val="left"/>
              <w:rPr>
                <w:rFonts w:hint="eastAsia"/>
              </w:rPr>
            </w:pPr>
            <w:r>
              <w:rPr>
                <w:rFonts w:ascii="Times New Roman" w:hAnsi="Times New Roman" w:cs="Times New Roman"/>
                <w:sz w:val="18"/>
              </w:rPr>
              <w:t>High Risk. External validation or calibration reporting was insufficient for review level synthesis.</w:t>
            </w:r>
          </w:p>
        </w:tc>
        <w:tc>
          <w:tcPr>
            <w:tcW w:w="567" w:type="dxa"/>
            <w:tcMar>
              <w:top w:w="80" w:type="dxa"/>
              <w:left w:w="80" w:type="dxa"/>
              <w:bottom w:w="80" w:type="dxa"/>
              <w:right w:w="80" w:type="dxa"/>
            </w:tcMar>
            <w:vAlign w:val="center"/>
          </w:tcPr>
          <w:p w14:paraId="140BBFD4"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21CAE289" w14:textId="77777777" w:rsidR="00FB6B47" w:rsidRDefault="00000000">
            <w:pPr>
              <w:jc w:val="left"/>
              <w:rPr>
                <w:rFonts w:hint="eastAsia"/>
              </w:rPr>
            </w:pPr>
            <w:r>
              <w:rPr>
                <w:rFonts w:ascii="Times New Roman" w:hAnsi="Times New Roman" w:cs="Times New Roman"/>
                <w:sz w:val="18"/>
              </w:rPr>
              <w:t>Low Concern. The setting was relevant but model transportability remained limited.</w:t>
            </w:r>
          </w:p>
        </w:tc>
      </w:tr>
      <w:tr w:rsidR="00FB6B47" w14:paraId="520AFE79" w14:textId="77777777">
        <w:tc>
          <w:tcPr>
            <w:tcW w:w="1555" w:type="dxa"/>
            <w:tcMar>
              <w:top w:w="80" w:type="dxa"/>
              <w:left w:w="80" w:type="dxa"/>
              <w:bottom w:w="80" w:type="dxa"/>
              <w:right w:w="80" w:type="dxa"/>
            </w:tcMar>
            <w:vAlign w:val="center"/>
          </w:tcPr>
          <w:p w14:paraId="5903CA86" w14:textId="77777777" w:rsidR="00FB6B47" w:rsidRDefault="00000000">
            <w:pPr>
              <w:jc w:val="center"/>
              <w:rPr>
                <w:rFonts w:hint="eastAsia"/>
              </w:rPr>
            </w:pPr>
            <w:r>
              <w:rPr>
                <w:rFonts w:ascii="Times New Roman" w:hAnsi="Times New Roman" w:cs="Times New Roman"/>
                <w:sz w:val="18"/>
              </w:rPr>
              <w:t>(Liang et al., 2021)</w:t>
            </w:r>
          </w:p>
        </w:tc>
        <w:tc>
          <w:tcPr>
            <w:tcW w:w="567" w:type="dxa"/>
            <w:tcMar>
              <w:top w:w="80" w:type="dxa"/>
              <w:left w:w="80" w:type="dxa"/>
              <w:bottom w:w="80" w:type="dxa"/>
              <w:right w:w="80" w:type="dxa"/>
            </w:tcMar>
            <w:vAlign w:val="center"/>
          </w:tcPr>
          <w:p w14:paraId="017D6833" w14:textId="77777777" w:rsidR="00FB6B47" w:rsidRDefault="0000000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4313271F"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insufficiently representative.</w:t>
            </w:r>
          </w:p>
        </w:tc>
        <w:tc>
          <w:tcPr>
            <w:tcW w:w="2409" w:type="dxa"/>
            <w:tcMar>
              <w:top w:w="80" w:type="dxa"/>
              <w:left w:w="80" w:type="dxa"/>
              <w:bottom w:w="80" w:type="dxa"/>
              <w:right w:w="80" w:type="dxa"/>
            </w:tcMar>
            <w:vAlign w:val="center"/>
          </w:tcPr>
          <w:p w14:paraId="50D0ABC0"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7059C1BC"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3E6A3319"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0B370BD8"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59CE1510"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FB6B47" w14:paraId="343C7D53" w14:textId="77777777">
        <w:tc>
          <w:tcPr>
            <w:tcW w:w="1555" w:type="dxa"/>
            <w:tcMar>
              <w:top w:w="80" w:type="dxa"/>
              <w:left w:w="80" w:type="dxa"/>
              <w:bottom w:w="80" w:type="dxa"/>
              <w:right w:w="80" w:type="dxa"/>
            </w:tcMar>
            <w:vAlign w:val="center"/>
          </w:tcPr>
          <w:p w14:paraId="0AD144DF" w14:textId="77777777" w:rsidR="00FB6B47" w:rsidRDefault="00FB6B47">
            <w:pPr>
              <w:jc w:val="center"/>
              <w:rPr>
                <w:rFonts w:hint="eastAsia"/>
              </w:rPr>
            </w:pPr>
          </w:p>
        </w:tc>
        <w:tc>
          <w:tcPr>
            <w:tcW w:w="567" w:type="dxa"/>
            <w:tcMar>
              <w:top w:w="80" w:type="dxa"/>
              <w:left w:w="80" w:type="dxa"/>
              <w:bottom w:w="80" w:type="dxa"/>
              <w:right w:w="80" w:type="dxa"/>
            </w:tcMar>
            <w:vAlign w:val="center"/>
          </w:tcPr>
          <w:p w14:paraId="194BDB7B" w14:textId="77777777" w:rsidR="00FB6B47" w:rsidRDefault="0000000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0E2FC791" w14:textId="77777777" w:rsidR="00FB6B47" w:rsidRDefault="00000000">
            <w:pPr>
              <w:jc w:val="left"/>
              <w:rPr>
                <w:rFonts w:hint="eastAsia"/>
              </w:rPr>
            </w:pPr>
            <w:r>
              <w:rPr>
                <w:rFonts w:ascii="Times New Roman" w:hAnsi="Times New Roman" w:cs="Times New Roman"/>
                <w:sz w:val="18"/>
              </w:rPr>
              <w:t>High Risk. Data sources were public, secondary, single case, or simulated and were not sufficiently representative.</w:t>
            </w:r>
          </w:p>
        </w:tc>
        <w:tc>
          <w:tcPr>
            <w:tcW w:w="2409" w:type="dxa"/>
            <w:tcMar>
              <w:top w:w="80" w:type="dxa"/>
              <w:left w:w="80" w:type="dxa"/>
              <w:bottom w:w="80" w:type="dxa"/>
              <w:right w:w="80" w:type="dxa"/>
            </w:tcMar>
            <w:vAlign w:val="center"/>
          </w:tcPr>
          <w:p w14:paraId="5A07BCE6" w14:textId="77777777" w:rsidR="00FB6B47" w:rsidRDefault="0000000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75E6985F" w14:textId="77777777" w:rsidR="00FB6B47" w:rsidRDefault="0000000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2A706608" w14:textId="77777777" w:rsidR="00FB6B47" w:rsidRDefault="0000000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3506FB93" w14:textId="77777777" w:rsidR="00FB6B47" w:rsidRPr="007129A9" w:rsidRDefault="0000000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67EE18DB" w14:textId="77777777" w:rsidR="00FB6B47" w:rsidRDefault="00000000">
            <w:pPr>
              <w:jc w:val="left"/>
              <w:rPr>
                <w:rFonts w:hint="eastAsia"/>
              </w:rPr>
            </w:pPr>
            <w:r>
              <w:rPr>
                <w:rFonts w:ascii="Times New Roman" w:hAnsi="Times New Roman" w:cs="Times New Roman"/>
                <w:sz w:val="18"/>
              </w:rPr>
              <w:t>High Concern. Applicability to the target review question was limited.</w:t>
            </w:r>
          </w:p>
        </w:tc>
      </w:tr>
      <w:tr w:rsidR="00A37C7E" w:rsidRPr="006C17CC" w14:paraId="0993C9FA" w14:textId="77777777" w:rsidTr="00465626">
        <w:trPr>
          <w:trHeight w:val="1132"/>
        </w:trPr>
        <w:tc>
          <w:tcPr>
            <w:tcW w:w="1555" w:type="dxa"/>
            <w:tcMar>
              <w:top w:w="80" w:type="dxa"/>
              <w:left w:w="80" w:type="dxa"/>
              <w:bottom w:w="80" w:type="dxa"/>
              <w:right w:w="80" w:type="dxa"/>
            </w:tcMar>
            <w:vAlign w:val="center"/>
            <w:hideMark/>
          </w:tcPr>
          <w:p w14:paraId="0FA0A4FC" w14:textId="77777777" w:rsidR="00A37C7E" w:rsidRPr="00093922" w:rsidRDefault="00A37C7E" w:rsidP="00093922">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(Lien et al., 2025)</w:t>
            </w:r>
          </w:p>
        </w:tc>
        <w:tc>
          <w:tcPr>
            <w:tcW w:w="567" w:type="dxa"/>
            <w:tcMar>
              <w:top w:w="80" w:type="dxa"/>
              <w:left w:w="80" w:type="dxa"/>
              <w:bottom w:w="80" w:type="dxa"/>
              <w:right w:w="80" w:type="dxa"/>
            </w:tcMar>
            <w:vAlign w:val="center"/>
            <w:hideMark/>
          </w:tcPr>
          <w:p w14:paraId="20E60422"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333942C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large sample of 508 community-dwelling older adults (aged 65+) ensures high representativeness and power.</w:t>
            </w:r>
          </w:p>
        </w:tc>
        <w:tc>
          <w:tcPr>
            <w:tcW w:w="2409" w:type="dxa"/>
            <w:tcMar>
              <w:top w:w="80" w:type="dxa"/>
              <w:left w:w="80" w:type="dxa"/>
              <w:bottom w:w="80" w:type="dxa"/>
              <w:right w:w="80" w:type="dxa"/>
            </w:tcMar>
            <w:vAlign w:val="center"/>
            <w:hideMark/>
          </w:tcPr>
          <w:p w14:paraId="36C294A5"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Predictors include objective gait parameters (e.g., speed, stride length) measured by a standardized IMU system.</w:t>
            </w:r>
          </w:p>
        </w:tc>
        <w:tc>
          <w:tcPr>
            <w:tcW w:w="2552" w:type="dxa"/>
            <w:tcMar>
              <w:top w:w="80" w:type="dxa"/>
              <w:left w:w="80" w:type="dxa"/>
              <w:bottom w:w="80" w:type="dxa"/>
              <w:right w:w="80" w:type="dxa"/>
            </w:tcMar>
            <w:vAlign w:val="center"/>
            <w:hideMark/>
          </w:tcPr>
          <w:p w14:paraId="61CD501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Frailty outcomes were determined using the Clinical Frailty Scale (CFS), a well-established and validated instrument.</w:t>
            </w:r>
          </w:p>
        </w:tc>
        <w:tc>
          <w:tcPr>
            <w:tcW w:w="2551" w:type="dxa"/>
            <w:tcMar>
              <w:top w:w="80" w:type="dxa"/>
              <w:left w:w="80" w:type="dxa"/>
              <w:bottom w:w="80" w:type="dxa"/>
              <w:right w:w="80" w:type="dxa"/>
            </w:tcMar>
            <w:vAlign w:val="center"/>
            <w:hideMark/>
          </w:tcPr>
          <w:p w14:paraId="1C8552A7"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Proper cross-validation was performed, and the sample size is sufficient to avoid major overfitting issues.</w:t>
            </w:r>
          </w:p>
        </w:tc>
        <w:tc>
          <w:tcPr>
            <w:tcW w:w="567" w:type="dxa"/>
            <w:tcMar>
              <w:top w:w="80" w:type="dxa"/>
              <w:left w:w="80" w:type="dxa"/>
              <w:bottom w:w="80" w:type="dxa"/>
              <w:right w:w="80" w:type="dxa"/>
            </w:tcMar>
            <w:vAlign w:val="center"/>
            <w:hideMark/>
          </w:tcPr>
          <w:p w14:paraId="41C0862B"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11E7EDA0"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study’s focus on gait for frailty screening is directly applicable to supporting aging in place.</w:t>
            </w:r>
          </w:p>
        </w:tc>
      </w:tr>
      <w:tr w:rsidR="00A37C7E" w:rsidRPr="006C17CC" w14:paraId="2CF2AF44" w14:textId="77777777" w:rsidTr="00A91DD0">
        <w:trPr>
          <w:trHeight w:val="279"/>
        </w:trPr>
        <w:tc>
          <w:tcPr>
            <w:tcW w:w="1555" w:type="dxa"/>
            <w:tcMar>
              <w:top w:w="80" w:type="dxa"/>
              <w:left w:w="80" w:type="dxa"/>
              <w:bottom w:w="80" w:type="dxa"/>
              <w:right w:w="80" w:type="dxa"/>
            </w:tcMar>
            <w:vAlign w:val="center"/>
            <w:hideMark/>
          </w:tcPr>
          <w:p w14:paraId="05B82DCD" w14:textId="77777777" w:rsidR="00A37C7E" w:rsidRPr="00093922" w:rsidRDefault="00A37C7E" w:rsidP="00093922">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05C1CADF" w14:textId="77777777" w:rsidR="00A37C7E" w:rsidRPr="00093922" w:rsidRDefault="00A37C7E" w:rsidP="00093922">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769085BB"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Inclusion and exclusion criteria were transparent, resulting in a </w:t>
            </w:r>
            <w:r>
              <w:rPr>
                <w:rFonts w:ascii="Times New Roman" w:eastAsia="等线" w:hAnsi="Times New Roman" w:cs="Times New Roman"/>
                <w:color w:val="1F1F1F"/>
                <w:kern w:val="0"/>
                <w:sz w:val="18"/>
                <w:szCs w:val="18"/>
                <w14:ligatures w14:val="none"/>
              </w:rPr>
              <w:lastRenderedPageBreak/>
              <w:t>consistent study population of community seniors.</w:t>
            </w:r>
          </w:p>
        </w:tc>
        <w:tc>
          <w:tcPr>
            <w:tcW w:w="2409" w:type="dxa"/>
            <w:tcMar>
              <w:top w:w="80" w:type="dxa"/>
              <w:left w:w="80" w:type="dxa"/>
              <w:bottom w:w="80" w:type="dxa"/>
              <w:right w:w="80" w:type="dxa"/>
            </w:tcMar>
            <w:vAlign w:val="center"/>
            <w:hideMark/>
          </w:tcPr>
          <w:p w14:paraId="21674408"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lastRenderedPageBreak/>
              <w:t>Low Risk.</w:t>
            </w:r>
            <w:r>
              <w:rPr>
                <w:rFonts w:ascii="Times New Roman" w:eastAsia="等线" w:hAnsi="Times New Roman" w:cs="Times New Roman"/>
                <w:color w:val="1F1F1F"/>
                <w:kern w:val="0"/>
                <w:sz w:val="18"/>
                <w:szCs w:val="18"/>
                <w14:ligatures w14:val="none"/>
              </w:rPr>
              <w:t xml:space="preserve"> Predictors were assessed at the time of the walking test, ensuring they </w:t>
            </w:r>
            <w:r>
              <w:rPr>
                <w:rFonts w:ascii="Times New Roman" w:eastAsia="等线" w:hAnsi="Times New Roman" w:cs="Times New Roman"/>
                <w:color w:val="1F1F1F"/>
                <w:kern w:val="0"/>
                <w:sz w:val="18"/>
                <w:szCs w:val="18"/>
                <w14:ligatures w14:val="none"/>
              </w:rPr>
              <w:lastRenderedPageBreak/>
              <w:t>were independent of the frailty determination.</w:t>
            </w:r>
          </w:p>
        </w:tc>
        <w:tc>
          <w:tcPr>
            <w:tcW w:w="2552" w:type="dxa"/>
            <w:tcMar>
              <w:top w:w="80" w:type="dxa"/>
              <w:left w:w="80" w:type="dxa"/>
              <w:bottom w:w="80" w:type="dxa"/>
              <w:right w:w="80" w:type="dxa"/>
            </w:tcMar>
            <w:vAlign w:val="center"/>
            <w:hideMark/>
          </w:tcPr>
          <w:p w14:paraId="11A9AC5E"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lastRenderedPageBreak/>
              <w:t>Low Risk.</w:t>
            </w:r>
            <w:r>
              <w:rPr>
                <w:rFonts w:ascii="Times New Roman" w:eastAsia="等线" w:hAnsi="Times New Roman" w:cs="Times New Roman"/>
                <w:color w:val="1F1F1F"/>
                <w:kern w:val="0"/>
                <w:sz w:val="18"/>
                <w:szCs w:val="18"/>
                <w14:ligatures w14:val="none"/>
              </w:rPr>
              <w:t xml:space="preserve"> Outcome determination was based on comprehensive clinical geriatric </w:t>
            </w:r>
            <w:r>
              <w:rPr>
                <w:rFonts w:ascii="Times New Roman" w:eastAsia="等线" w:hAnsi="Times New Roman" w:cs="Times New Roman"/>
                <w:color w:val="1F1F1F"/>
                <w:kern w:val="0"/>
                <w:sz w:val="18"/>
                <w:szCs w:val="18"/>
                <w14:ligatures w14:val="none"/>
              </w:rPr>
              <w:lastRenderedPageBreak/>
              <w:t>assessments by trained professionals.</w:t>
            </w:r>
          </w:p>
        </w:tc>
        <w:tc>
          <w:tcPr>
            <w:tcW w:w="2551" w:type="dxa"/>
            <w:tcMar>
              <w:top w:w="80" w:type="dxa"/>
              <w:left w:w="80" w:type="dxa"/>
              <w:bottom w:w="80" w:type="dxa"/>
              <w:right w:w="80" w:type="dxa"/>
            </w:tcMar>
            <w:vAlign w:val="center"/>
            <w:hideMark/>
          </w:tcPr>
          <w:p w14:paraId="3546543C"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lastRenderedPageBreak/>
              <w:t>Low Risk.</w:t>
            </w:r>
            <w:r>
              <w:rPr>
                <w:rFonts w:ascii="Times New Roman" w:eastAsia="等线" w:hAnsi="Times New Roman" w:cs="Times New Roman"/>
                <w:color w:val="1F1F1F"/>
                <w:kern w:val="0"/>
                <w:sz w:val="18"/>
                <w:szCs w:val="18"/>
                <w14:ligatures w14:val="none"/>
              </w:rPr>
              <w:t xml:space="preserve"> Model performance metrics (accuracy, sensitivity, AUC) indicate that the models </w:t>
            </w:r>
            <w:r>
              <w:rPr>
                <w:rFonts w:ascii="Times New Roman" w:eastAsia="等线" w:hAnsi="Times New Roman" w:cs="Times New Roman"/>
                <w:color w:val="1F1F1F"/>
                <w:kern w:val="0"/>
                <w:sz w:val="18"/>
                <w:szCs w:val="18"/>
                <w14:ligatures w14:val="none"/>
              </w:rPr>
              <w:lastRenderedPageBreak/>
              <w:t>are stable and reliable for prediction.</w:t>
            </w:r>
          </w:p>
        </w:tc>
        <w:tc>
          <w:tcPr>
            <w:tcW w:w="567" w:type="dxa"/>
            <w:tcMar>
              <w:top w:w="80" w:type="dxa"/>
              <w:left w:w="80" w:type="dxa"/>
              <w:bottom w:w="80" w:type="dxa"/>
              <w:right w:w="80" w:type="dxa"/>
            </w:tcMar>
            <w:vAlign w:val="center"/>
            <w:hideMark/>
          </w:tcPr>
          <w:p w14:paraId="661A6394" w14:textId="77777777" w:rsidR="00A37C7E" w:rsidRPr="007129A9" w:rsidRDefault="00A37C7E" w:rsidP="00093922">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lastRenderedPageBreak/>
              <w:t>Low Risk</w:t>
            </w:r>
          </w:p>
        </w:tc>
        <w:tc>
          <w:tcPr>
            <w:tcW w:w="2919" w:type="dxa"/>
            <w:tcMar>
              <w:top w:w="80" w:type="dxa"/>
              <w:left w:w="80" w:type="dxa"/>
              <w:bottom w:w="80" w:type="dxa"/>
              <w:right w:w="80" w:type="dxa"/>
            </w:tcMar>
            <w:vAlign w:val="center"/>
            <w:hideMark/>
          </w:tcPr>
          <w:p w14:paraId="1D6B002E" w14:textId="77777777" w:rsidR="00A37C7E" w:rsidRPr="00093922" w:rsidRDefault="00A37C7E" w:rsidP="00093922">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use of portable inertial sensors makes the assessment highly practical for community settings.</w:t>
            </w:r>
          </w:p>
        </w:tc>
      </w:tr>
      <w:tr w:rsidR="00A91DD0" w:rsidRPr="006C17CC" w14:paraId="2885E6B2" w14:textId="77777777" w:rsidTr="00A91DD0">
        <w:trPr>
          <w:trHeight w:val="279"/>
        </w:trPr>
        <w:tc>
          <w:tcPr>
            <w:tcW w:w="1555" w:type="dxa"/>
            <w:tcMar>
              <w:top w:w="80" w:type="dxa"/>
              <w:left w:w="80" w:type="dxa"/>
              <w:bottom w:w="80" w:type="dxa"/>
              <w:right w:w="80" w:type="dxa"/>
            </w:tcMar>
            <w:vAlign w:val="center"/>
          </w:tcPr>
          <w:p w14:paraId="753A9346" w14:textId="77777777" w:rsidR="00A91DD0" w:rsidRPr="00A91DD0"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(Lillelund et al., 2024)</w:t>
            </w:r>
          </w:p>
        </w:tc>
        <w:tc>
          <w:tcPr>
            <w:tcW w:w="567" w:type="dxa"/>
            <w:tcMar>
              <w:top w:w="80" w:type="dxa"/>
              <w:left w:w="80" w:type="dxa"/>
              <w:bottom w:w="80" w:type="dxa"/>
              <w:right w:w="80" w:type="dxa"/>
            </w:tcMar>
            <w:vAlign w:val="center"/>
          </w:tcPr>
          <w:p w14:paraId="6330E0E2" w14:textId="77777777" w:rsidR="00A91DD0"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tcPr>
          <w:p w14:paraId="65303310" w14:textId="77777777" w:rsidR="00A91DD0" w:rsidRPr="00A91DD0" w:rsidRDefault="00A91DD0" w:rsidP="00A91DD0">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Risk. The study used a real-world home care client cohort, which directly matched the review population and setting.</w:t>
            </w:r>
          </w:p>
        </w:tc>
        <w:tc>
          <w:tcPr>
            <w:tcW w:w="2409" w:type="dxa"/>
            <w:tcMar>
              <w:top w:w="80" w:type="dxa"/>
              <w:left w:w="80" w:type="dxa"/>
              <w:bottom w:w="80" w:type="dxa"/>
              <w:right w:w="80" w:type="dxa"/>
            </w:tcMar>
            <w:vAlign w:val="center"/>
          </w:tcPr>
          <w:p w14:paraId="0523DB69" w14:textId="77777777" w:rsidR="00A91DD0" w:rsidRPr="00A91DD0" w:rsidRDefault="00A91DD0" w:rsidP="00A91DD0">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Risk. The predictors were derived from routinely available, noninvasive home care data before the prognostic outcome.</w:t>
            </w:r>
          </w:p>
        </w:tc>
        <w:tc>
          <w:tcPr>
            <w:tcW w:w="2552" w:type="dxa"/>
            <w:tcMar>
              <w:top w:w="80" w:type="dxa"/>
              <w:left w:w="80" w:type="dxa"/>
              <w:bottom w:w="80" w:type="dxa"/>
              <w:right w:w="80" w:type="dxa"/>
            </w:tcMar>
            <w:vAlign w:val="center"/>
          </w:tcPr>
          <w:p w14:paraId="4BA50284" w14:textId="77777777" w:rsidR="00A91DD0" w:rsidRPr="00A91DD0" w:rsidRDefault="00A91DD0" w:rsidP="00A91DD0">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Risk. Fall-risk prognosis was clearly defined and assessed through survival-analysis outcomes relevant to home care.</w:t>
            </w:r>
          </w:p>
        </w:tc>
        <w:tc>
          <w:tcPr>
            <w:tcW w:w="2551" w:type="dxa"/>
            <w:tcMar>
              <w:top w:w="80" w:type="dxa"/>
              <w:left w:w="80" w:type="dxa"/>
              <w:bottom w:w="80" w:type="dxa"/>
              <w:right w:w="80" w:type="dxa"/>
            </w:tcMar>
            <w:vAlign w:val="center"/>
          </w:tcPr>
          <w:p w14:paraId="145E64B6" w14:textId="77777777" w:rsidR="00A91DD0" w:rsidRPr="00A91DD0" w:rsidRDefault="00A91DD0" w:rsidP="00A91DD0">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Risk. The modelling strategy was appropriate for time-to-event prediction and reported interpretable performance for the target cohort.</w:t>
            </w:r>
          </w:p>
        </w:tc>
        <w:tc>
          <w:tcPr>
            <w:tcW w:w="567" w:type="dxa"/>
            <w:tcMar>
              <w:top w:w="80" w:type="dxa"/>
              <w:left w:w="80" w:type="dxa"/>
              <w:bottom w:w="80" w:type="dxa"/>
              <w:right w:w="80" w:type="dxa"/>
            </w:tcMar>
            <w:vAlign w:val="center"/>
          </w:tcPr>
          <w:p w14:paraId="044A5D08"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tcPr>
          <w:p w14:paraId="33DFB740" w14:textId="77777777" w:rsidR="00A91DD0" w:rsidRPr="00A91DD0" w:rsidRDefault="00A91DD0" w:rsidP="00A91DD0">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Concern. The population, setting, outcome, and noninvasive prediction approach are directly applicable to aging-in-place support.</w:t>
            </w:r>
          </w:p>
        </w:tc>
      </w:tr>
      <w:tr w:rsidR="00A91DD0" w:rsidRPr="006C17CC" w14:paraId="4508E940" w14:textId="77777777" w:rsidTr="00A91DD0">
        <w:trPr>
          <w:trHeight w:val="279"/>
        </w:trPr>
        <w:tc>
          <w:tcPr>
            <w:tcW w:w="1555" w:type="dxa"/>
            <w:tcMar>
              <w:top w:w="80" w:type="dxa"/>
              <w:left w:w="80" w:type="dxa"/>
              <w:bottom w:w="80" w:type="dxa"/>
              <w:right w:w="80" w:type="dxa"/>
            </w:tcMar>
            <w:vAlign w:val="center"/>
          </w:tcPr>
          <w:p w14:paraId="33F00957" w14:textId="77777777" w:rsidR="00A91DD0" w:rsidRPr="00A91DD0" w:rsidRDefault="00A91DD0" w:rsidP="00A91DD0">
            <w:pPr>
              <w:widowControl/>
              <w:jc w:val="center"/>
              <w:rPr>
                <w:rFonts w:ascii="Times New Roman" w:eastAsia="等线" w:hAnsi="Times New Roman" w:cs="Times New Roman"/>
                <w:color w:val="1F1F1F"/>
                <w:kern w:val="0"/>
                <w:sz w:val="18"/>
                <w:szCs w:val="18"/>
                <w14:ligatures w14:val="none"/>
              </w:rPr>
            </w:pPr>
          </w:p>
        </w:tc>
        <w:tc>
          <w:tcPr>
            <w:tcW w:w="567" w:type="dxa"/>
            <w:tcMar>
              <w:top w:w="80" w:type="dxa"/>
              <w:left w:w="80" w:type="dxa"/>
              <w:bottom w:w="80" w:type="dxa"/>
              <w:right w:w="80" w:type="dxa"/>
            </w:tcMar>
            <w:vAlign w:val="center"/>
          </w:tcPr>
          <w:p w14:paraId="1AA31DCF" w14:textId="77777777" w:rsidR="00A91DD0"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tcPr>
          <w:p w14:paraId="7EBB4172" w14:textId="77777777" w:rsidR="00A91DD0" w:rsidRPr="00A91DD0" w:rsidRDefault="00A91DD0" w:rsidP="00A91DD0">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Risk. The cohort represents older home care clients rather than simulated users or unrelated clinical populations.</w:t>
            </w:r>
          </w:p>
        </w:tc>
        <w:tc>
          <w:tcPr>
            <w:tcW w:w="2409" w:type="dxa"/>
            <w:tcMar>
              <w:top w:w="80" w:type="dxa"/>
              <w:left w:w="80" w:type="dxa"/>
              <w:bottom w:w="80" w:type="dxa"/>
              <w:right w:w="80" w:type="dxa"/>
            </w:tcMar>
            <w:vAlign w:val="center"/>
          </w:tcPr>
          <w:p w14:paraId="70CABBE8" w14:textId="77777777" w:rsidR="00A91DD0" w:rsidRPr="00A91DD0" w:rsidRDefault="00A91DD0" w:rsidP="00A91DD0">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Risk. Candidate predictors were available at the intended prediction point and were consistently defined from care records.</w:t>
            </w:r>
          </w:p>
        </w:tc>
        <w:tc>
          <w:tcPr>
            <w:tcW w:w="2552" w:type="dxa"/>
            <w:tcMar>
              <w:top w:w="80" w:type="dxa"/>
              <w:left w:w="80" w:type="dxa"/>
              <w:bottom w:w="80" w:type="dxa"/>
              <w:right w:w="80" w:type="dxa"/>
            </w:tcMar>
            <w:vAlign w:val="center"/>
          </w:tcPr>
          <w:p w14:paraId="2C97991C" w14:textId="77777777" w:rsidR="00A91DD0" w:rsidRPr="00A91DD0" w:rsidRDefault="00A91DD0" w:rsidP="00A91DD0">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Risk. The outcome aligned with clinically meaningful fall-risk prognosis among home care clients.</w:t>
            </w:r>
          </w:p>
        </w:tc>
        <w:tc>
          <w:tcPr>
            <w:tcW w:w="2551" w:type="dxa"/>
            <w:tcMar>
              <w:top w:w="80" w:type="dxa"/>
              <w:left w:w="80" w:type="dxa"/>
              <w:bottom w:w="80" w:type="dxa"/>
              <w:right w:w="80" w:type="dxa"/>
            </w:tcMar>
            <w:vAlign w:val="center"/>
          </w:tcPr>
          <w:p w14:paraId="4ED99B51" w14:textId="77777777" w:rsidR="00A91DD0" w:rsidRPr="00A91DD0" w:rsidRDefault="00A91DD0" w:rsidP="00A91DD0">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Risk. Survival analysis was a suitable method for prognosis and did not introduce a critical bias that would change inclusion.</w:t>
            </w:r>
          </w:p>
        </w:tc>
        <w:tc>
          <w:tcPr>
            <w:tcW w:w="567" w:type="dxa"/>
            <w:tcMar>
              <w:top w:w="80" w:type="dxa"/>
              <w:left w:w="80" w:type="dxa"/>
              <w:bottom w:w="80" w:type="dxa"/>
              <w:right w:w="80" w:type="dxa"/>
            </w:tcMar>
            <w:vAlign w:val="center"/>
          </w:tcPr>
          <w:p w14:paraId="0D284B98"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tcPr>
          <w:p w14:paraId="5DE8BF8A" w14:textId="77777777" w:rsidR="00A91DD0" w:rsidRPr="00A91DD0" w:rsidRDefault="00A91DD0" w:rsidP="00A91DD0">
            <w:pPr>
              <w:widowControl/>
              <w:jc w:val="left"/>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Low Concern. The evidence is directly relevant to fall-risk prediction for community and home care populations.</w:t>
            </w:r>
          </w:p>
        </w:tc>
      </w:tr>
      <w:tr w:rsidR="00A91DD0" w:rsidRPr="006C17CC" w14:paraId="0D52C59B" w14:textId="77777777" w:rsidTr="00465626">
        <w:trPr>
          <w:trHeight w:val="1415"/>
        </w:trPr>
        <w:tc>
          <w:tcPr>
            <w:tcW w:w="1555" w:type="dxa"/>
            <w:tcMar>
              <w:top w:w="80" w:type="dxa"/>
              <w:left w:w="80" w:type="dxa"/>
              <w:bottom w:w="80" w:type="dxa"/>
              <w:right w:w="80" w:type="dxa"/>
            </w:tcMar>
            <w:vAlign w:val="center"/>
            <w:hideMark/>
          </w:tcPr>
          <w:p w14:paraId="01E9071C"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(Liu et al., 2023)</w:t>
            </w:r>
          </w:p>
        </w:tc>
        <w:tc>
          <w:tcPr>
            <w:tcW w:w="567" w:type="dxa"/>
            <w:tcMar>
              <w:top w:w="80" w:type="dxa"/>
              <w:left w:w="80" w:type="dxa"/>
              <w:bottom w:w="80" w:type="dxa"/>
              <w:right w:w="80" w:type="dxa"/>
            </w:tcMar>
            <w:vAlign w:val="center"/>
            <w:hideMark/>
          </w:tcPr>
          <w:p w14:paraId="63C25BE4"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324C25C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large sample size from a national registry ensures that the model is built on high-quality and diverse real-world data.</w:t>
            </w:r>
          </w:p>
        </w:tc>
        <w:tc>
          <w:tcPr>
            <w:tcW w:w="2409" w:type="dxa"/>
            <w:tcMar>
              <w:top w:w="80" w:type="dxa"/>
              <w:left w:w="80" w:type="dxa"/>
              <w:bottom w:w="80" w:type="dxa"/>
              <w:right w:w="80" w:type="dxa"/>
            </w:tcMar>
            <w:vAlign w:val="center"/>
            <w:hideMark/>
          </w:tcPr>
          <w:p w14:paraId="2E53108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multi-dimensional features (demographic and functional) provides a comprehensive set of predictors for risk modeling.</w:t>
            </w:r>
          </w:p>
        </w:tc>
        <w:tc>
          <w:tcPr>
            <w:tcW w:w="2552" w:type="dxa"/>
            <w:tcMar>
              <w:top w:w="80" w:type="dxa"/>
              <w:left w:w="80" w:type="dxa"/>
              <w:bottom w:w="80" w:type="dxa"/>
              <w:right w:w="80" w:type="dxa"/>
            </w:tcMar>
            <w:vAlign w:val="center"/>
            <w:hideMark/>
          </w:tcPr>
          <w:p w14:paraId="43ACCEF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2-year follow-up period is appropriate for capturing the incidence of frailty in a robust aging population.</w:t>
            </w:r>
          </w:p>
        </w:tc>
        <w:tc>
          <w:tcPr>
            <w:tcW w:w="2551" w:type="dxa"/>
            <w:tcMar>
              <w:top w:w="80" w:type="dxa"/>
              <w:left w:w="80" w:type="dxa"/>
              <w:bottom w:w="80" w:type="dxa"/>
              <w:right w:w="80" w:type="dxa"/>
            </w:tcMar>
            <w:vAlign w:val="center"/>
            <w:hideMark/>
          </w:tcPr>
          <w:p w14:paraId="578D037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random assignment for derivation and internal validation sets ensures a rigorous and stable analytical workflow.</w:t>
            </w:r>
          </w:p>
        </w:tc>
        <w:tc>
          <w:tcPr>
            <w:tcW w:w="567" w:type="dxa"/>
            <w:tcMar>
              <w:top w:w="80" w:type="dxa"/>
              <w:left w:w="80" w:type="dxa"/>
              <w:bottom w:w="80" w:type="dxa"/>
              <w:right w:w="80" w:type="dxa"/>
            </w:tcMar>
            <w:vAlign w:val="center"/>
            <w:hideMark/>
          </w:tcPr>
          <w:p w14:paraId="57C9EFD9"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90343F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automated tool facilitates early identification of functional decline, supporting proactive care for aging in place.</w:t>
            </w:r>
          </w:p>
        </w:tc>
      </w:tr>
      <w:tr w:rsidR="00A91DD0" w:rsidRPr="006C17CC" w14:paraId="06E38F7C" w14:textId="77777777" w:rsidTr="00465626">
        <w:trPr>
          <w:trHeight w:val="1415"/>
        </w:trPr>
        <w:tc>
          <w:tcPr>
            <w:tcW w:w="1555" w:type="dxa"/>
            <w:tcMar>
              <w:top w:w="80" w:type="dxa"/>
              <w:left w:w="80" w:type="dxa"/>
              <w:bottom w:w="80" w:type="dxa"/>
              <w:right w:w="80" w:type="dxa"/>
            </w:tcMar>
            <w:vAlign w:val="center"/>
            <w:hideMark/>
          </w:tcPr>
          <w:p w14:paraId="3B737665"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5791C52D"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0E4629F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study design ensures that the most relevant population (healthy adults at risk of frailty) was the primary focus.</w:t>
            </w:r>
          </w:p>
        </w:tc>
        <w:tc>
          <w:tcPr>
            <w:tcW w:w="2409" w:type="dxa"/>
            <w:tcMar>
              <w:top w:w="80" w:type="dxa"/>
              <w:left w:w="80" w:type="dxa"/>
              <w:bottom w:w="80" w:type="dxa"/>
              <w:right w:w="80" w:type="dxa"/>
            </w:tcMar>
            <w:vAlign w:val="center"/>
            <w:hideMark/>
          </w:tcPr>
          <w:p w14:paraId="34C3A6D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data collection from a national survey eliminates the inconsistencies found in localized clinical assessments.</w:t>
            </w:r>
          </w:p>
        </w:tc>
        <w:tc>
          <w:tcPr>
            <w:tcW w:w="2552" w:type="dxa"/>
            <w:tcMar>
              <w:top w:w="80" w:type="dxa"/>
              <w:left w:w="80" w:type="dxa"/>
              <w:bottom w:w="80" w:type="dxa"/>
              <w:right w:w="80" w:type="dxa"/>
            </w:tcMar>
            <w:vAlign w:val="center"/>
            <w:hideMark/>
          </w:tcPr>
          <w:p w14:paraId="50E3767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outcomes provide actionable risk scores for clinicians, enhancing the quality of preventive home care for seniors.</w:t>
            </w:r>
          </w:p>
        </w:tc>
        <w:tc>
          <w:tcPr>
            <w:tcW w:w="2551" w:type="dxa"/>
            <w:tcMar>
              <w:top w:w="80" w:type="dxa"/>
              <w:left w:w="80" w:type="dxa"/>
              <w:bottom w:w="80" w:type="dxa"/>
              <w:right w:w="80" w:type="dxa"/>
            </w:tcMar>
            <w:vAlign w:val="center"/>
            <w:hideMark/>
          </w:tcPr>
          <w:p w14:paraId="4144AB9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Excellent performance across various metrics (AUC and F1) confirms the technical stability and reliability of the models.</w:t>
            </w:r>
          </w:p>
        </w:tc>
        <w:tc>
          <w:tcPr>
            <w:tcW w:w="567" w:type="dxa"/>
            <w:tcMar>
              <w:top w:w="80" w:type="dxa"/>
              <w:left w:w="80" w:type="dxa"/>
              <w:bottom w:w="80" w:type="dxa"/>
              <w:right w:w="80" w:type="dxa"/>
            </w:tcMar>
            <w:vAlign w:val="center"/>
            <w:hideMark/>
          </w:tcPr>
          <w:p w14:paraId="0276A894"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1D2DF38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represents a major advancement in personalized and proactive health management for older adults.</w:t>
            </w:r>
          </w:p>
        </w:tc>
      </w:tr>
      <w:tr w:rsidR="00A91DD0" w:rsidRPr="006C17CC" w14:paraId="6992E4E9" w14:textId="77777777" w:rsidTr="00465626">
        <w:trPr>
          <w:trHeight w:val="1415"/>
        </w:trPr>
        <w:tc>
          <w:tcPr>
            <w:tcW w:w="1555" w:type="dxa"/>
            <w:tcMar>
              <w:top w:w="80" w:type="dxa"/>
              <w:left w:w="80" w:type="dxa"/>
              <w:bottom w:w="80" w:type="dxa"/>
              <w:right w:w="80" w:type="dxa"/>
            </w:tcMar>
            <w:vAlign w:val="center"/>
            <w:hideMark/>
          </w:tcPr>
          <w:p w14:paraId="63043693"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(Liu et al., 2024)</w:t>
            </w:r>
          </w:p>
        </w:tc>
        <w:tc>
          <w:tcPr>
            <w:tcW w:w="567" w:type="dxa"/>
            <w:tcMar>
              <w:top w:w="80" w:type="dxa"/>
              <w:left w:w="80" w:type="dxa"/>
              <w:bottom w:w="80" w:type="dxa"/>
              <w:right w:w="80" w:type="dxa"/>
            </w:tcMar>
            <w:vAlign w:val="center"/>
            <w:hideMark/>
          </w:tcPr>
          <w:p w14:paraId="33AE9DE3"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4CEBEA4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institutional data provides a unique and valuable macro perspective </w:t>
            </w:r>
            <w:r>
              <w:rPr>
                <w:rFonts w:ascii="Times New Roman" w:eastAsia="等线" w:hAnsi="Times New Roman" w:cs="Times New Roman"/>
                <w:color w:val="1F1F1F"/>
                <w:kern w:val="0"/>
                <w:sz w:val="18"/>
                <w:szCs w:val="18"/>
                <w14:ligatures w14:val="none"/>
              </w:rPr>
              <w:lastRenderedPageBreak/>
              <w:t>on the quality of elderly care services.</w:t>
            </w:r>
          </w:p>
        </w:tc>
        <w:tc>
          <w:tcPr>
            <w:tcW w:w="2409" w:type="dxa"/>
            <w:tcMar>
              <w:top w:w="80" w:type="dxa"/>
              <w:left w:w="80" w:type="dxa"/>
              <w:bottom w:w="80" w:type="dxa"/>
              <w:right w:w="80" w:type="dxa"/>
            </w:tcMar>
            <w:vAlign w:val="center"/>
            <w:hideMark/>
          </w:tcPr>
          <w:p w14:paraId="118867D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lastRenderedPageBreak/>
              <w:t>Low Risk.</w:t>
            </w:r>
            <w:r>
              <w:rPr>
                <w:rFonts w:ascii="Times New Roman" w:eastAsia="等线" w:hAnsi="Times New Roman" w:cs="Times New Roman"/>
                <w:color w:val="1F1F1F"/>
                <w:kern w:val="0"/>
                <w:sz w:val="18"/>
                <w:szCs w:val="18"/>
                <w14:ligatures w14:val="none"/>
              </w:rPr>
              <w:t xml:space="preserve"> Factor analysis ensured that only the most significant and independent </w:t>
            </w:r>
            <w:r>
              <w:rPr>
                <w:rFonts w:ascii="Times New Roman" w:eastAsia="等线" w:hAnsi="Times New Roman" w:cs="Times New Roman"/>
                <w:color w:val="1F1F1F"/>
                <w:kern w:val="0"/>
                <w:sz w:val="18"/>
                <w:szCs w:val="18"/>
                <w14:ligatures w14:val="none"/>
              </w:rPr>
              <w:lastRenderedPageBreak/>
              <w:t>predictors were included in the final model.</w:t>
            </w:r>
          </w:p>
        </w:tc>
        <w:tc>
          <w:tcPr>
            <w:tcW w:w="2552" w:type="dxa"/>
            <w:tcMar>
              <w:top w:w="80" w:type="dxa"/>
              <w:left w:w="80" w:type="dxa"/>
              <w:bottom w:w="80" w:type="dxa"/>
              <w:right w:w="80" w:type="dxa"/>
            </w:tcMar>
            <w:vAlign w:val="center"/>
            <w:hideMark/>
          </w:tcPr>
          <w:p w14:paraId="39044AB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lastRenderedPageBreak/>
              <w:t>Low Risk.</w:t>
            </w:r>
            <w:r>
              <w:rPr>
                <w:rFonts w:ascii="Times New Roman" w:eastAsia="等线" w:hAnsi="Times New Roman" w:cs="Times New Roman"/>
                <w:color w:val="1F1F1F"/>
                <w:kern w:val="0"/>
                <w:sz w:val="18"/>
                <w:szCs w:val="18"/>
                <w14:ligatures w14:val="none"/>
              </w:rPr>
              <w:t xml:space="preserve"> The use of fuzzy logic in the BPNN model improves the handling of </w:t>
            </w:r>
            <w:r>
              <w:rPr>
                <w:rFonts w:ascii="Times New Roman" w:eastAsia="等线" w:hAnsi="Times New Roman" w:cs="Times New Roman"/>
                <w:color w:val="1F1F1F"/>
                <w:kern w:val="0"/>
                <w:sz w:val="18"/>
                <w:szCs w:val="18"/>
                <w14:ligatures w14:val="none"/>
              </w:rPr>
              <w:lastRenderedPageBreak/>
              <w:t>subjective quality ratings from the survey.</w:t>
            </w:r>
          </w:p>
        </w:tc>
        <w:tc>
          <w:tcPr>
            <w:tcW w:w="2551" w:type="dxa"/>
            <w:tcMar>
              <w:top w:w="80" w:type="dxa"/>
              <w:left w:w="80" w:type="dxa"/>
              <w:bottom w:w="80" w:type="dxa"/>
              <w:right w:w="80" w:type="dxa"/>
            </w:tcMar>
            <w:vAlign w:val="center"/>
            <w:hideMark/>
          </w:tcPr>
          <w:p w14:paraId="74B4383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lastRenderedPageBreak/>
              <w:t>Low Risk.</w:t>
            </w:r>
            <w:r>
              <w:rPr>
                <w:rFonts w:ascii="Times New Roman" w:eastAsia="等线" w:hAnsi="Times New Roman" w:cs="Times New Roman"/>
                <w:color w:val="1F1F1F"/>
                <w:kern w:val="0"/>
                <w:sz w:val="18"/>
                <w:szCs w:val="18"/>
                <w14:ligatures w14:val="none"/>
              </w:rPr>
              <w:t xml:space="preserve"> Comparison across three different ML algorithms demonstrates a rigorous attempt </w:t>
            </w:r>
            <w:r>
              <w:rPr>
                <w:rFonts w:ascii="Times New Roman" w:eastAsia="等线" w:hAnsi="Times New Roman" w:cs="Times New Roman"/>
                <w:color w:val="1F1F1F"/>
                <w:kern w:val="0"/>
                <w:sz w:val="18"/>
                <w:szCs w:val="18"/>
                <w14:ligatures w14:val="none"/>
              </w:rPr>
              <w:lastRenderedPageBreak/>
              <w:t>to find the most accurate prediction model.</w:t>
            </w:r>
          </w:p>
        </w:tc>
        <w:tc>
          <w:tcPr>
            <w:tcW w:w="567" w:type="dxa"/>
            <w:tcMar>
              <w:top w:w="80" w:type="dxa"/>
              <w:left w:w="80" w:type="dxa"/>
              <w:bottom w:w="80" w:type="dxa"/>
              <w:right w:w="80" w:type="dxa"/>
            </w:tcMar>
            <w:vAlign w:val="center"/>
            <w:hideMark/>
          </w:tcPr>
          <w:p w14:paraId="40DE2E23"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lastRenderedPageBreak/>
              <w:t>Low Risk</w:t>
            </w:r>
          </w:p>
        </w:tc>
        <w:tc>
          <w:tcPr>
            <w:tcW w:w="2919" w:type="dxa"/>
            <w:tcMar>
              <w:top w:w="80" w:type="dxa"/>
              <w:left w:w="80" w:type="dxa"/>
              <w:bottom w:w="80" w:type="dxa"/>
              <w:right w:w="80" w:type="dxa"/>
            </w:tcMar>
            <w:vAlign w:val="center"/>
            <w:hideMark/>
          </w:tcPr>
          <w:p w14:paraId="269CD48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indicators identified are essential for maintaining high standards of care for community residing seniors.</w:t>
            </w:r>
          </w:p>
        </w:tc>
      </w:tr>
      <w:tr w:rsidR="00A91DD0" w:rsidRPr="006C17CC" w14:paraId="71609D91" w14:textId="77777777" w:rsidTr="00465626">
        <w:trPr>
          <w:trHeight w:val="1132"/>
        </w:trPr>
        <w:tc>
          <w:tcPr>
            <w:tcW w:w="1555" w:type="dxa"/>
            <w:tcMar>
              <w:top w:w="80" w:type="dxa"/>
              <w:left w:w="80" w:type="dxa"/>
              <w:bottom w:w="80" w:type="dxa"/>
              <w:right w:w="80" w:type="dxa"/>
            </w:tcMar>
            <w:vAlign w:val="center"/>
            <w:hideMark/>
          </w:tcPr>
          <w:p w14:paraId="4364A79F"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077F4499"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3877602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data collection process followed standard ethical and survey protocols to ensure data reliability.</w:t>
            </w:r>
          </w:p>
        </w:tc>
        <w:tc>
          <w:tcPr>
            <w:tcW w:w="2409" w:type="dxa"/>
            <w:tcMar>
              <w:top w:w="80" w:type="dxa"/>
              <w:left w:w="80" w:type="dxa"/>
              <w:bottom w:w="80" w:type="dxa"/>
              <w:right w:w="80" w:type="dxa"/>
            </w:tcMar>
            <w:vAlign w:val="center"/>
            <w:hideMark/>
          </w:tcPr>
          <w:p w14:paraId="56B05EF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Predictors were assessed independently of the model building process to minimize assessment bias.</w:t>
            </w:r>
          </w:p>
        </w:tc>
        <w:tc>
          <w:tcPr>
            <w:tcW w:w="2552" w:type="dxa"/>
            <w:tcMar>
              <w:top w:w="80" w:type="dxa"/>
              <w:left w:w="80" w:type="dxa"/>
              <w:bottom w:w="80" w:type="dxa"/>
              <w:right w:w="80" w:type="dxa"/>
            </w:tcMar>
            <w:vAlign w:val="center"/>
            <w:hideMark/>
          </w:tcPr>
          <w:p w14:paraId="4738A07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multi dimensional nature of the outcome allows for a comprehensive understanding of service performance.</w:t>
            </w:r>
          </w:p>
        </w:tc>
        <w:tc>
          <w:tcPr>
            <w:tcW w:w="2551" w:type="dxa"/>
            <w:tcMar>
              <w:top w:w="80" w:type="dxa"/>
              <w:left w:w="80" w:type="dxa"/>
              <w:bottom w:w="80" w:type="dxa"/>
              <w:right w:w="80" w:type="dxa"/>
            </w:tcMar>
            <w:vAlign w:val="center"/>
            <w:hideMark/>
          </w:tcPr>
          <w:p w14:paraId="6270FAE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Reported performance metrics like Mean Absolute Error indicate that the models possess acceptable predictive accuracy.</w:t>
            </w:r>
          </w:p>
        </w:tc>
        <w:tc>
          <w:tcPr>
            <w:tcW w:w="567" w:type="dxa"/>
            <w:tcMar>
              <w:top w:w="80" w:type="dxa"/>
              <w:left w:w="80" w:type="dxa"/>
              <w:bottom w:w="80" w:type="dxa"/>
              <w:right w:w="80" w:type="dxa"/>
            </w:tcMar>
            <w:vAlign w:val="center"/>
            <w:hideMark/>
          </w:tcPr>
          <w:p w14:paraId="23564B8F"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09D660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Improving care quality directly supports the ability of older adults to age safely in integrated settings.</w:t>
            </w:r>
          </w:p>
        </w:tc>
      </w:tr>
      <w:tr w:rsidR="00A91DD0" w:rsidRPr="006C17CC" w14:paraId="677A6201" w14:textId="77777777" w:rsidTr="00465626">
        <w:trPr>
          <w:trHeight w:val="1132"/>
        </w:trPr>
        <w:tc>
          <w:tcPr>
            <w:tcW w:w="1555" w:type="dxa"/>
            <w:tcMar>
              <w:top w:w="80" w:type="dxa"/>
              <w:left w:w="80" w:type="dxa"/>
              <w:bottom w:w="80" w:type="dxa"/>
              <w:right w:w="80" w:type="dxa"/>
            </w:tcMar>
            <w:vAlign w:val="center"/>
            <w:hideMark/>
          </w:tcPr>
          <w:p w14:paraId="2289C142"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(Liu et al., 2025)</w:t>
            </w:r>
          </w:p>
        </w:tc>
        <w:tc>
          <w:tcPr>
            <w:tcW w:w="567" w:type="dxa"/>
            <w:tcMar>
              <w:top w:w="80" w:type="dxa"/>
              <w:left w:w="80" w:type="dxa"/>
              <w:bottom w:w="80" w:type="dxa"/>
              <w:right w:w="80" w:type="dxa"/>
            </w:tcMar>
            <w:vAlign w:val="center"/>
            <w:hideMark/>
          </w:tcPr>
          <w:p w14:paraId="19C7C4F0"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1FDAFB5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For an engineering-focused study, the use of standardized household tasks provides a sufficient data foundation.</w:t>
            </w:r>
          </w:p>
        </w:tc>
        <w:tc>
          <w:tcPr>
            <w:tcW w:w="2409" w:type="dxa"/>
            <w:tcMar>
              <w:top w:w="80" w:type="dxa"/>
              <w:left w:w="80" w:type="dxa"/>
              <w:bottom w:w="80" w:type="dxa"/>
              <w:right w:w="80" w:type="dxa"/>
            </w:tcMar>
            <w:vAlign w:val="center"/>
            <w:hideMark/>
          </w:tcPr>
          <w:p w14:paraId="2EE9DFE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self-evaluation mechanism acts as an objective internal monitor for the reliability of the predictors.</w:t>
            </w:r>
          </w:p>
        </w:tc>
        <w:tc>
          <w:tcPr>
            <w:tcW w:w="2552" w:type="dxa"/>
            <w:tcMar>
              <w:top w:w="80" w:type="dxa"/>
              <w:left w:w="80" w:type="dxa"/>
              <w:bottom w:w="80" w:type="dxa"/>
              <w:right w:w="80" w:type="dxa"/>
            </w:tcMar>
            <w:vAlign w:val="center"/>
            <w:hideMark/>
          </w:tcPr>
          <w:p w14:paraId="5D3F4E7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Success rates for task decomposition provide a reliable and clinically relevant measure of system performance.</w:t>
            </w:r>
          </w:p>
        </w:tc>
        <w:tc>
          <w:tcPr>
            <w:tcW w:w="2551" w:type="dxa"/>
            <w:tcMar>
              <w:top w:w="80" w:type="dxa"/>
              <w:left w:w="80" w:type="dxa"/>
              <w:bottom w:w="80" w:type="dxa"/>
              <w:right w:w="80" w:type="dxa"/>
            </w:tcMar>
            <w:vAlign w:val="center"/>
            <w:hideMark/>
          </w:tcPr>
          <w:p w14:paraId="60B2629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hierarchical task planning approach demonstrates a scientific and stable methodology for AI-driven control.</w:t>
            </w:r>
          </w:p>
        </w:tc>
        <w:tc>
          <w:tcPr>
            <w:tcW w:w="567" w:type="dxa"/>
            <w:tcMar>
              <w:top w:w="80" w:type="dxa"/>
              <w:left w:w="80" w:type="dxa"/>
              <w:bottom w:w="80" w:type="dxa"/>
              <w:right w:w="80" w:type="dxa"/>
            </w:tcMar>
            <w:vAlign w:val="center"/>
            <w:hideMark/>
          </w:tcPr>
          <w:p w14:paraId="367CB3D0"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90B098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Using LLMs to simplify human-robot interaction is a key factor in improving the quality of home care.</w:t>
            </w:r>
          </w:p>
        </w:tc>
      </w:tr>
      <w:tr w:rsidR="00A91DD0" w:rsidRPr="006C17CC" w14:paraId="1B7CCFCC" w14:textId="77777777" w:rsidTr="00465626">
        <w:trPr>
          <w:trHeight w:val="1132"/>
        </w:trPr>
        <w:tc>
          <w:tcPr>
            <w:tcW w:w="1555" w:type="dxa"/>
            <w:tcMar>
              <w:top w:w="80" w:type="dxa"/>
              <w:left w:w="80" w:type="dxa"/>
              <w:bottom w:w="80" w:type="dxa"/>
              <w:right w:w="80" w:type="dxa"/>
            </w:tcMar>
            <w:vAlign w:val="center"/>
            <w:hideMark/>
          </w:tcPr>
          <w:p w14:paraId="5D0E9CE6"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14A609E9"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40D6E7C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scenarios chosen for testing reflect the actual daily living needs of seniors residing in the community.</w:t>
            </w:r>
          </w:p>
        </w:tc>
        <w:tc>
          <w:tcPr>
            <w:tcW w:w="2409" w:type="dxa"/>
            <w:tcMar>
              <w:top w:w="80" w:type="dxa"/>
              <w:left w:w="80" w:type="dxa"/>
              <w:bottom w:w="80" w:type="dxa"/>
              <w:right w:w="80" w:type="dxa"/>
            </w:tcMar>
            <w:vAlign w:val="center"/>
            <w:hideMark/>
          </w:tcPr>
          <w:p w14:paraId="0F8625E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Deep learning-based task decomposition ensures that the predictors are processed with high precision.</w:t>
            </w:r>
          </w:p>
        </w:tc>
        <w:tc>
          <w:tcPr>
            <w:tcW w:w="2552" w:type="dxa"/>
            <w:tcMar>
              <w:top w:w="80" w:type="dxa"/>
              <w:left w:w="80" w:type="dxa"/>
              <w:bottom w:w="80" w:type="dxa"/>
              <w:right w:w="80" w:type="dxa"/>
            </w:tcMar>
            <w:vAlign w:val="center"/>
            <w:hideMark/>
          </w:tcPr>
          <w:p w14:paraId="2869687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inclusion of safety and stability assessments ensures that the outcomes are meaningful for real-world deployment.</w:t>
            </w:r>
          </w:p>
        </w:tc>
        <w:tc>
          <w:tcPr>
            <w:tcW w:w="2551" w:type="dxa"/>
            <w:tcMar>
              <w:top w:w="80" w:type="dxa"/>
              <w:left w:w="80" w:type="dxa"/>
              <w:bottom w:w="80" w:type="dxa"/>
              <w:right w:w="80" w:type="dxa"/>
            </w:tcMar>
            <w:vAlign w:val="center"/>
            <w:hideMark/>
          </w:tcPr>
          <w:p w14:paraId="6ED84FC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Performance evaluation through repeated trials confirms the robustness and generalizability of the proposed system.</w:t>
            </w:r>
          </w:p>
        </w:tc>
        <w:tc>
          <w:tcPr>
            <w:tcW w:w="567" w:type="dxa"/>
            <w:tcMar>
              <w:top w:w="80" w:type="dxa"/>
              <w:left w:w="80" w:type="dxa"/>
              <w:bottom w:w="80" w:type="dxa"/>
              <w:right w:w="80" w:type="dxa"/>
            </w:tcMar>
            <w:vAlign w:val="center"/>
            <w:hideMark/>
          </w:tcPr>
          <w:p w14:paraId="7B795CE1"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9ED30FA"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approach directly supports the core objective of enabling older adults to age independently at home.</w:t>
            </w:r>
          </w:p>
        </w:tc>
      </w:tr>
      <w:tr w:rsidR="00A91DD0" w:rsidRPr="006C17CC" w14:paraId="773BFD06" w14:textId="77777777" w:rsidTr="00465626">
        <w:trPr>
          <w:trHeight w:val="1132"/>
        </w:trPr>
        <w:tc>
          <w:tcPr>
            <w:tcW w:w="1555" w:type="dxa"/>
            <w:noWrap/>
            <w:tcMar>
              <w:top w:w="80" w:type="dxa"/>
              <w:left w:w="80" w:type="dxa"/>
              <w:bottom w:w="80" w:type="dxa"/>
              <w:right w:w="80" w:type="dxa"/>
            </w:tcMar>
            <w:vAlign w:val="center"/>
            <w:hideMark/>
          </w:tcPr>
          <w:p w14:paraId="1E3C8B05"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(Lockhart et al., 2021)</w:t>
            </w:r>
          </w:p>
        </w:tc>
        <w:tc>
          <w:tcPr>
            <w:tcW w:w="567" w:type="dxa"/>
            <w:tcMar>
              <w:top w:w="80" w:type="dxa"/>
              <w:left w:w="80" w:type="dxa"/>
              <w:bottom w:w="80" w:type="dxa"/>
              <w:right w:w="80" w:type="dxa"/>
            </w:tcMar>
            <w:vAlign w:val="center"/>
            <w:hideMark/>
          </w:tcPr>
          <w:p w14:paraId="13AE045A"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15E9B9C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sample of 171 subjects is considered substantial for this type of detailed gait analysis study.</w:t>
            </w:r>
          </w:p>
        </w:tc>
        <w:tc>
          <w:tcPr>
            <w:tcW w:w="2409" w:type="dxa"/>
            <w:tcMar>
              <w:top w:w="80" w:type="dxa"/>
              <w:left w:w="80" w:type="dxa"/>
              <w:bottom w:w="80" w:type="dxa"/>
              <w:right w:w="80" w:type="dxa"/>
            </w:tcMar>
            <w:vAlign w:val="center"/>
            <w:hideMark/>
          </w:tcPr>
          <w:p w14:paraId="4287D86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extraction from the IMU sensor minimizes measurement bias and ensures data reliability.</w:t>
            </w:r>
          </w:p>
        </w:tc>
        <w:tc>
          <w:tcPr>
            <w:tcW w:w="2552" w:type="dxa"/>
            <w:tcMar>
              <w:top w:w="80" w:type="dxa"/>
              <w:left w:w="80" w:type="dxa"/>
              <w:bottom w:w="80" w:type="dxa"/>
              <w:right w:w="80" w:type="dxa"/>
            </w:tcMar>
            <w:vAlign w:val="center"/>
            <w:hideMark/>
          </w:tcPr>
          <w:p w14:paraId="70860FE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Prospective follow up is the gold standard for outcome determination in fall risk modeling.</w:t>
            </w:r>
          </w:p>
        </w:tc>
        <w:tc>
          <w:tcPr>
            <w:tcW w:w="2551" w:type="dxa"/>
            <w:tcMar>
              <w:top w:w="80" w:type="dxa"/>
              <w:left w:w="80" w:type="dxa"/>
              <w:bottom w:w="80" w:type="dxa"/>
              <w:right w:w="80" w:type="dxa"/>
            </w:tcMar>
            <w:vAlign w:val="center"/>
            <w:hideMark/>
          </w:tcPr>
          <w:p w14:paraId="621E0AD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model achieved high sensitivity (86.7%) and specificity (80.3%) in a blind test, indicating good generalization.</w:t>
            </w:r>
          </w:p>
        </w:tc>
        <w:tc>
          <w:tcPr>
            <w:tcW w:w="567" w:type="dxa"/>
            <w:tcMar>
              <w:top w:w="80" w:type="dxa"/>
              <w:left w:w="80" w:type="dxa"/>
              <w:bottom w:w="80" w:type="dxa"/>
              <w:right w:w="80" w:type="dxa"/>
            </w:tcMar>
            <w:vAlign w:val="center"/>
            <w:hideMark/>
          </w:tcPr>
          <w:p w14:paraId="359354E4"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02C86C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findings significantly enhance the potential of wearable sensors as tools for supporting aging in place.</w:t>
            </w:r>
          </w:p>
        </w:tc>
      </w:tr>
      <w:tr w:rsidR="00A91DD0" w:rsidRPr="006C17CC" w14:paraId="16928B8B" w14:textId="77777777" w:rsidTr="00465626">
        <w:trPr>
          <w:trHeight w:val="1132"/>
        </w:trPr>
        <w:tc>
          <w:tcPr>
            <w:tcW w:w="1555" w:type="dxa"/>
            <w:tcMar>
              <w:top w:w="80" w:type="dxa"/>
              <w:left w:w="80" w:type="dxa"/>
              <w:bottom w:w="80" w:type="dxa"/>
              <w:right w:w="80" w:type="dxa"/>
            </w:tcMar>
            <w:vAlign w:val="center"/>
            <w:hideMark/>
          </w:tcPr>
          <w:p w14:paraId="5366C2F1"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285189D1"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B20F0D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Appropriate demographics and medical screening ensure the data </w:t>
            </w:r>
            <w:r>
              <w:rPr>
                <w:rFonts w:ascii="Times New Roman" w:eastAsia="等线" w:hAnsi="Times New Roman" w:cs="Times New Roman"/>
                <w:color w:val="1F1F1F"/>
                <w:kern w:val="0"/>
                <w:sz w:val="18"/>
                <w:szCs w:val="18"/>
                <w14:ligatures w14:val="none"/>
              </w:rPr>
              <w:lastRenderedPageBreak/>
              <w:t>reflects the target elderly population.</w:t>
            </w:r>
          </w:p>
        </w:tc>
        <w:tc>
          <w:tcPr>
            <w:tcW w:w="2409" w:type="dxa"/>
            <w:tcMar>
              <w:top w:w="80" w:type="dxa"/>
              <w:left w:w="80" w:type="dxa"/>
              <w:bottom w:w="80" w:type="dxa"/>
              <w:right w:w="80" w:type="dxa"/>
            </w:tcMar>
            <w:vAlign w:val="center"/>
            <w:hideMark/>
          </w:tcPr>
          <w:p w14:paraId="19C440C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lastRenderedPageBreak/>
              <w:t>Low Risk.</w:t>
            </w:r>
            <w:r>
              <w:rPr>
                <w:rFonts w:ascii="Times New Roman" w:eastAsia="等线" w:hAnsi="Times New Roman" w:cs="Times New Roman"/>
                <w:color w:val="1F1F1F"/>
                <w:kern w:val="0"/>
                <w:sz w:val="18"/>
                <w:szCs w:val="18"/>
                <w14:ligatures w14:val="none"/>
              </w:rPr>
              <w:t xml:space="preserve"> All predictors were measured at a time when the model would be used for practical risk screening.</w:t>
            </w:r>
          </w:p>
        </w:tc>
        <w:tc>
          <w:tcPr>
            <w:tcW w:w="2552" w:type="dxa"/>
            <w:tcMar>
              <w:top w:w="80" w:type="dxa"/>
              <w:left w:w="80" w:type="dxa"/>
              <w:bottom w:w="80" w:type="dxa"/>
              <w:right w:w="80" w:type="dxa"/>
            </w:tcMar>
            <w:vAlign w:val="center"/>
            <w:hideMark/>
          </w:tcPr>
          <w:p w14:paraId="18F4B4A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six month prospective event evaluation is appropriate for capturing relevant fall incidents.</w:t>
            </w:r>
          </w:p>
        </w:tc>
        <w:tc>
          <w:tcPr>
            <w:tcW w:w="2551" w:type="dxa"/>
            <w:tcMar>
              <w:top w:w="80" w:type="dxa"/>
              <w:left w:w="80" w:type="dxa"/>
              <w:bottom w:w="80" w:type="dxa"/>
              <w:right w:w="80" w:type="dxa"/>
            </w:tcMar>
            <w:vAlign w:val="center"/>
            <w:hideMark/>
          </w:tcPr>
          <w:p w14:paraId="7EC35FA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three separate experiments to refine gait parameters demonstrates a </w:t>
            </w:r>
            <w:r>
              <w:rPr>
                <w:rFonts w:ascii="Times New Roman" w:eastAsia="等线" w:hAnsi="Times New Roman" w:cs="Times New Roman"/>
                <w:color w:val="1F1F1F"/>
                <w:kern w:val="0"/>
                <w:sz w:val="18"/>
                <w:szCs w:val="18"/>
                <w14:ligatures w14:val="none"/>
              </w:rPr>
              <w:lastRenderedPageBreak/>
              <w:t>rigorous and stable analytical approach.</w:t>
            </w:r>
          </w:p>
        </w:tc>
        <w:tc>
          <w:tcPr>
            <w:tcW w:w="567" w:type="dxa"/>
            <w:tcMar>
              <w:top w:w="80" w:type="dxa"/>
              <w:left w:w="80" w:type="dxa"/>
              <w:bottom w:w="80" w:type="dxa"/>
              <w:right w:w="80" w:type="dxa"/>
            </w:tcMar>
            <w:vAlign w:val="center"/>
            <w:hideMark/>
          </w:tcPr>
          <w:p w14:paraId="28389216"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lastRenderedPageBreak/>
              <w:t>Low Risk</w:t>
            </w:r>
          </w:p>
        </w:tc>
        <w:tc>
          <w:tcPr>
            <w:tcW w:w="2919" w:type="dxa"/>
            <w:tcMar>
              <w:top w:w="80" w:type="dxa"/>
              <w:left w:w="80" w:type="dxa"/>
              <w:bottom w:w="80" w:type="dxa"/>
              <w:right w:w="80" w:type="dxa"/>
            </w:tcMar>
            <w:vAlign w:val="center"/>
            <w:hideMark/>
          </w:tcPr>
          <w:p w14:paraId="1D490D5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highly applicable to real world monitoring of older adults in community settings.</w:t>
            </w:r>
          </w:p>
        </w:tc>
      </w:tr>
      <w:tr w:rsidR="00A91DD0" w:rsidRPr="006C17CC" w14:paraId="7B148BC3" w14:textId="77777777" w:rsidTr="00465626">
        <w:trPr>
          <w:trHeight w:val="1415"/>
        </w:trPr>
        <w:tc>
          <w:tcPr>
            <w:tcW w:w="1555" w:type="dxa"/>
            <w:tcMar>
              <w:top w:w="80" w:type="dxa"/>
              <w:left w:w="80" w:type="dxa"/>
              <w:bottom w:w="80" w:type="dxa"/>
              <w:right w:w="80" w:type="dxa"/>
            </w:tcMar>
            <w:vAlign w:val="center"/>
            <w:hideMark/>
          </w:tcPr>
          <w:p w14:paraId="0F001669"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(Lopez-Guede et al., 2015)</w:t>
            </w:r>
          </w:p>
        </w:tc>
        <w:tc>
          <w:tcPr>
            <w:tcW w:w="567" w:type="dxa"/>
            <w:tcMar>
              <w:top w:w="80" w:type="dxa"/>
              <w:left w:w="80" w:type="dxa"/>
              <w:bottom w:w="80" w:type="dxa"/>
              <w:right w:w="80" w:type="dxa"/>
            </w:tcMar>
            <w:vAlign w:val="center"/>
            <w:hideMark/>
          </w:tcPr>
          <w:p w14:paraId="1168757E"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6F7010DA"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Testing in real home care systems ensures that the model is built on realistic and high-priority participant behaviors.</w:t>
            </w:r>
          </w:p>
        </w:tc>
        <w:tc>
          <w:tcPr>
            <w:tcW w:w="2409" w:type="dxa"/>
            <w:tcMar>
              <w:top w:w="80" w:type="dxa"/>
              <w:left w:w="80" w:type="dxa"/>
              <w:bottom w:w="80" w:type="dxa"/>
              <w:right w:w="80" w:type="dxa"/>
            </w:tcMar>
            <w:vAlign w:val="center"/>
            <w:hideMark/>
          </w:tcPr>
          <w:p w14:paraId="3943703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semantic integration of EHR with sensor data provides a robust set of predictors that reflect the user’s holistic health status.</w:t>
            </w:r>
          </w:p>
        </w:tc>
        <w:tc>
          <w:tcPr>
            <w:tcW w:w="2552" w:type="dxa"/>
            <w:tcMar>
              <w:top w:w="80" w:type="dxa"/>
              <w:left w:w="80" w:type="dxa"/>
              <w:bottom w:w="80" w:type="dxa"/>
              <w:right w:w="80" w:type="dxa"/>
            </w:tcMar>
            <w:vAlign w:val="center"/>
            <w:hideMark/>
          </w:tcPr>
          <w:p w14:paraId="6B357D2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Successful alert generation for unusual events confirms that the system identifies clinically significant outcome events.</w:t>
            </w:r>
          </w:p>
        </w:tc>
        <w:tc>
          <w:tcPr>
            <w:tcW w:w="2551" w:type="dxa"/>
            <w:tcMar>
              <w:top w:w="80" w:type="dxa"/>
              <w:left w:w="80" w:type="dxa"/>
              <w:bottom w:w="80" w:type="dxa"/>
              <w:right w:w="80" w:type="dxa"/>
            </w:tcMar>
            <w:vAlign w:val="center"/>
            <w:hideMark/>
          </w:tcPr>
          <w:p w14:paraId="7E0EDBF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sliding windows and machine learning to track time evolution demonstrates a rigorous analytical cycle.</w:t>
            </w:r>
          </w:p>
        </w:tc>
        <w:tc>
          <w:tcPr>
            <w:tcW w:w="567" w:type="dxa"/>
            <w:tcMar>
              <w:top w:w="80" w:type="dxa"/>
              <w:left w:w="80" w:type="dxa"/>
              <w:bottom w:w="80" w:type="dxa"/>
              <w:right w:w="80" w:type="dxa"/>
            </w:tcMar>
            <w:vAlign w:val="center"/>
            <w:hideMark/>
          </w:tcPr>
          <w:p w14:paraId="1B1A7A50"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1D31D3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Personalized health monitoring via Lynx directly supports the core goal of enhancing safety for seniors living alone.</w:t>
            </w:r>
          </w:p>
        </w:tc>
      </w:tr>
      <w:tr w:rsidR="00A91DD0" w:rsidRPr="006C17CC" w14:paraId="3DFFC68C" w14:textId="77777777" w:rsidTr="00465626">
        <w:trPr>
          <w:trHeight w:val="1415"/>
        </w:trPr>
        <w:tc>
          <w:tcPr>
            <w:tcW w:w="1555" w:type="dxa"/>
            <w:tcMar>
              <w:top w:w="80" w:type="dxa"/>
              <w:left w:w="80" w:type="dxa"/>
              <w:bottom w:w="80" w:type="dxa"/>
              <w:right w:w="80" w:type="dxa"/>
            </w:tcMar>
            <w:vAlign w:val="center"/>
            <w:hideMark/>
          </w:tcPr>
          <w:p w14:paraId="5E42AE4D"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3F25A08E"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218D469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study design ensured that the most vulnerable population (seniors requiring teleassistance) was the primary focus.</w:t>
            </w:r>
          </w:p>
        </w:tc>
        <w:tc>
          <w:tcPr>
            <w:tcW w:w="2409" w:type="dxa"/>
            <w:tcMar>
              <w:top w:w="80" w:type="dxa"/>
              <w:left w:w="80" w:type="dxa"/>
              <w:bottom w:w="80" w:type="dxa"/>
              <w:right w:w="80" w:type="dxa"/>
            </w:tcMar>
            <w:vAlign w:val="center"/>
            <w:hideMark/>
          </w:tcPr>
          <w:p w14:paraId="43DA1B5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data collection and medical summary creation eliminate the inconsistencies found in manual health tracking.</w:t>
            </w:r>
          </w:p>
        </w:tc>
        <w:tc>
          <w:tcPr>
            <w:tcW w:w="2552" w:type="dxa"/>
            <w:tcMar>
              <w:top w:w="80" w:type="dxa"/>
              <w:left w:w="80" w:type="dxa"/>
              <w:bottom w:w="80" w:type="dxa"/>
              <w:right w:w="80" w:type="dxa"/>
            </w:tcMar>
            <w:vAlign w:val="center"/>
            <w:hideMark/>
          </w:tcPr>
          <w:p w14:paraId="2157EEEA"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identified outcomes provide actionable information for caregivers, enhancing the safety of seniors residing in the community.</w:t>
            </w:r>
          </w:p>
        </w:tc>
        <w:tc>
          <w:tcPr>
            <w:tcW w:w="2551" w:type="dxa"/>
            <w:tcMar>
              <w:top w:w="80" w:type="dxa"/>
              <w:left w:w="80" w:type="dxa"/>
              <w:bottom w:w="80" w:type="dxa"/>
              <w:right w:w="80" w:type="dxa"/>
            </w:tcMar>
            <w:vAlign w:val="center"/>
            <w:hideMark/>
          </w:tcPr>
          <w:p w14:paraId="457548B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system reliability in real-life conditions confirms the technical robustness of the proposed predictive framework.</w:t>
            </w:r>
          </w:p>
        </w:tc>
        <w:tc>
          <w:tcPr>
            <w:tcW w:w="567" w:type="dxa"/>
            <w:tcMar>
              <w:top w:w="80" w:type="dxa"/>
              <w:left w:w="80" w:type="dxa"/>
              <w:bottom w:w="80" w:type="dxa"/>
              <w:right w:w="80" w:type="dxa"/>
            </w:tcMar>
            <w:vAlign w:val="center"/>
            <w:hideMark/>
          </w:tcPr>
          <w:p w14:paraId="3F73A026"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1D39B7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a major advancement in creating supportive and reactive living environments for older adults.</w:t>
            </w:r>
          </w:p>
        </w:tc>
      </w:tr>
      <w:tr w:rsidR="00A91DD0" w:rsidRPr="006C17CC" w14:paraId="22073730" w14:textId="77777777" w:rsidTr="00465626">
        <w:trPr>
          <w:trHeight w:val="1415"/>
        </w:trPr>
        <w:tc>
          <w:tcPr>
            <w:tcW w:w="1555" w:type="dxa"/>
            <w:tcMar>
              <w:top w:w="80" w:type="dxa"/>
              <w:left w:w="80" w:type="dxa"/>
              <w:bottom w:w="80" w:type="dxa"/>
              <w:right w:w="80" w:type="dxa"/>
            </w:tcMar>
            <w:vAlign w:val="center"/>
            <w:hideMark/>
          </w:tcPr>
          <w:p w14:paraId="1870CA0B"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(Miao et al., 2019)</w:t>
            </w:r>
          </w:p>
        </w:tc>
        <w:tc>
          <w:tcPr>
            <w:tcW w:w="567" w:type="dxa"/>
            <w:tcMar>
              <w:top w:w="80" w:type="dxa"/>
              <w:left w:w="80" w:type="dxa"/>
              <w:bottom w:w="80" w:type="dxa"/>
              <w:right w:w="80" w:type="dxa"/>
            </w:tcMar>
            <w:vAlign w:val="center"/>
            <w:hideMark/>
          </w:tcPr>
          <w:p w14:paraId="3A03D207"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3F9D1BB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large and diverse participant pool enhances the generalizability of the arterial stiffness model.</w:t>
            </w:r>
          </w:p>
        </w:tc>
        <w:tc>
          <w:tcPr>
            <w:tcW w:w="2409" w:type="dxa"/>
            <w:tcMar>
              <w:top w:w="80" w:type="dxa"/>
              <w:left w:w="80" w:type="dxa"/>
              <w:bottom w:w="80" w:type="dxa"/>
              <w:right w:w="80" w:type="dxa"/>
            </w:tcMar>
            <w:vAlign w:val="center"/>
            <w:hideMark/>
          </w:tcPr>
          <w:p w14:paraId="093C94F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Feature selection using genetic algorithms ensures that only the most significant and independent predictors are utilized.</w:t>
            </w:r>
          </w:p>
        </w:tc>
        <w:tc>
          <w:tcPr>
            <w:tcW w:w="2552" w:type="dxa"/>
            <w:tcMar>
              <w:top w:w="80" w:type="dxa"/>
              <w:left w:w="80" w:type="dxa"/>
              <w:bottom w:w="80" w:type="dxa"/>
              <w:right w:w="80" w:type="dxa"/>
            </w:tcMar>
            <w:vAlign w:val="center"/>
            <w:hideMark/>
          </w:tcPr>
          <w:p w14:paraId="742BB9F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a validated clinical instrument ensures the reliability and accuracy of the outcome labels for training.</w:t>
            </w:r>
          </w:p>
        </w:tc>
        <w:tc>
          <w:tcPr>
            <w:tcW w:w="2551" w:type="dxa"/>
            <w:tcMar>
              <w:top w:w="80" w:type="dxa"/>
              <w:left w:w="80" w:type="dxa"/>
              <w:bottom w:w="80" w:type="dxa"/>
              <w:right w:w="80" w:type="dxa"/>
            </w:tcMar>
            <w:vAlign w:val="center"/>
            <w:hideMark/>
          </w:tcPr>
          <w:p w14:paraId="4C8B458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reported correlation (0.89 for MLR) indicates high predictive performance and successful internal validation.</w:t>
            </w:r>
          </w:p>
        </w:tc>
        <w:tc>
          <w:tcPr>
            <w:tcW w:w="567" w:type="dxa"/>
            <w:tcMar>
              <w:top w:w="80" w:type="dxa"/>
              <w:left w:w="80" w:type="dxa"/>
              <w:bottom w:w="80" w:type="dxa"/>
              <w:right w:w="80" w:type="dxa"/>
            </w:tcMar>
            <w:vAlign w:val="center"/>
            <w:hideMark/>
          </w:tcPr>
          <w:p w14:paraId="15F80ADE"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7C5958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technology significantly improves the accessibility of chronic disease management for aging in place.</w:t>
            </w:r>
          </w:p>
        </w:tc>
      </w:tr>
      <w:tr w:rsidR="00A91DD0" w:rsidRPr="006C17CC" w14:paraId="1A8C3DE7" w14:textId="77777777" w:rsidTr="00465626">
        <w:trPr>
          <w:trHeight w:val="1132"/>
        </w:trPr>
        <w:tc>
          <w:tcPr>
            <w:tcW w:w="1555" w:type="dxa"/>
            <w:tcMar>
              <w:top w:w="80" w:type="dxa"/>
              <w:left w:w="80" w:type="dxa"/>
              <w:bottom w:w="80" w:type="dxa"/>
              <w:right w:w="80" w:type="dxa"/>
            </w:tcMar>
            <w:vAlign w:val="center"/>
            <w:hideMark/>
          </w:tcPr>
          <w:p w14:paraId="09DCF4AC"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7CA321DA"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1956B15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Proper informed consent and demographic diversity ensure the participant data is of high quality for modeling.</w:t>
            </w:r>
          </w:p>
        </w:tc>
        <w:tc>
          <w:tcPr>
            <w:tcW w:w="2409" w:type="dxa"/>
            <w:tcMar>
              <w:top w:w="80" w:type="dxa"/>
              <w:left w:w="80" w:type="dxa"/>
              <w:bottom w:w="80" w:type="dxa"/>
              <w:right w:w="80" w:type="dxa"/>
            </w:tcMar>
            <w:vAlign w:val="center"/>
            <w:hideMark/>
          </w:tcPr>
          <w:p w14:paraId="2DDD337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extraction minimizes human error and measurement bias in the predictor evaluation process.</w:t>
            </w:r>
          </w:p>
        </w:tc>
        <w:tc>
          <w:tcPr>
            <w:tcW w:w="2552" w:type="dxa"/>
            <w:tcMar>
              <w:top w:w="80" w:type="dxa"/>
              <w:left w:w="80" w:type="dxa"/>
              <w:bottom w:w="80" w:type="dxa"/>
              <w:right w:w="80" w:type="dxa"/>
            </w:tcMar>
            <w:vAlign w:val="center"/>
            <w:hideMark/>
          </w:tcPr>
          <w:p w14:paraId="1A0D0BB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binary and continuous outcomes for cardiovascular risk were pre-specified and validated by experts.</w:t>
            </w:r>
          </w:p>
        </w:tc>
        <w:tc>
          <w:tcPr>
            <w:tcW w:w="2551" w:type="dxa"/>
            <w:tcMar>
              <w:top w:w="80" w:type="dxa"/>
              <w:left w:w="80" w:type="dxa"/>
              <w:bottom w:w="80" w:type="dxa"/>
              <w:right w:w="80" w:type="dxa"/>
            </w:tcMar>
            <w:vAlign w:val="center"/>
            <w:hideMark/>
          </w:tcPr>
          <w:p w14:paraId="0186518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balance between linear and non-linear models demonstrates a comprehensive approach to finding the most stable predictor.</w:t>
            </w:r>
          </w:p>
        </w:tc>
        <w:tc>
          <w:tcPr>
            <w:tcW w:w="567" w:type="dxa"/>
            <w:tcMar>
              <w:top w:w="80" w:type="dxa"/>
              <w:left w:w="80" w:type="dxa"/>
              <w:bottom w:w="80" w:type="dxa"/>
              <w:right w:w="80" w:type="dxa"/>
            </w:tcMar>
            <w:vAlign w:val="center"/>
            <w:hideMark/>
          </w:tcPr>
          <w:p w14:paraId="18F1914A"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65F8C0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wearable format is perfectly suited to the long-term monitoring needs of community residing seniors.</w:t>
            </w:r>
          </w:p>
        </w:tc>
      </w:tr>
      <w:tr w:rsidR="00A91DD0" w:rsidRPr="006C17CC" w14:paraId="6291C5B1" w14:textId="77777777" w:rsidTr="00465626">
        <w:trPr>
          <w:trHeight w:val="1415"/>
        </w:trPr>
        <w:tc>
          <w:tcPr>
            <w:tcW w:w="1555" w:type="dxa"/>
            <w:tcMar>
              <w:top w:w="80" w:type="dxa"/>
              <w:left w:w="80" w:type="dxa"/>
              <w:bottom w:w="80" w:type="dxa"/>
              <w:right w:w="80" w:type="dxa"/>
            </w:tcMar>
            <w:vAlign w:val="center"/>
            <w:hideMark/>
          </w:tcPr>
          <w:p w14:paraId="112F9615"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lastRenderedPageBreak/>
              <w:t>(Muñoz et al., 2023)</w:t>
            </w:r>
          </w:p>
        </w:tc>
        <w:tc>
          <w:tcPr>
            <w:tcW w:w="567" w:type="dxa"/>
            <w:tcMar>
              <w:top w:w="80" w:type="dxa"/>
              <w:left w:w="80" w:type="dxa"/>
              <w:bottom w:w="80" w:type="dxa"/>
              <w:right w:w="80" w:type="dxa"/>
            </w:tcMar>
            <w:vAlign w:val="center"/>
            <w:hideMark/>
          </w:tcPr>
          <w:p w14:paraId="699D6693"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56750DC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For an exploratory pilot study, the longitudinal data from 13 subjects (360 minutes per person) provides a rich initial dataset.</w:t>
            </w:r>
          </w:p>
        </w:tc>
        <w:tc>
          <w:tcPr>
            <w:tcW w:w="2409" w:type="dxa"/>
            <w:tcMar>
              <w:top w:w="80" w:type="dxa"/>
              <w:left w:w="80" w:type="dxa"/>
              <w:bottom w:w="80" w:type="dxa"/>
              <w:right w:w="80" w:type="dxa"/>
            </w:tcMar>
            <w:vAlign w:val="center"/>
            <w:hideMark/>
          </w:tcPr>
          <w:p w14:paraId="639E4A8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Head kinematics provide sensitive and objective predictors that capture subtle differences in motor and cognitive coordination.</w:t>
            </w:r>
          </w:p>
        </w:tc>
        <w:tc>
          <w:tcPr>
            <w:tcW w:w="2552" w:type="dxa"/>
            <w:tcMar>
              <w:top w:w="80" w:type="dxa"/>
              <w:left w:w="80" w:type="dxa"/>
              <w:bottom w:w="80" w:type="dxa"/>
              <w:right w:w="80" w:type="dxa"/>
            </w:tcMar>
            <w:vAlign w:val="center"/>
            <w:hideMark/>
          </w:tcPr>
          <w:p w14:paraId="4A9E28E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outcome determination based on clinical consensus (MoCA) ensures the medical relevance of the classification targets.</w:t>
            </w:r>
          </w:p>
        </w:tc>
        <w:tc>
          <w:tcPr>
            <w:tcW w:w="2551" w:type="dxa"/>
            <w:tcMar>
              <w:top w:w="80" w:type="dxa"/>
              <w:left w:w="80" w:type="dxa"/>
              <w:bottom w:w="80" w:type="dxa"/>
              <w:right w:w="80" w:type="dxa"/>
            </w:tcMar>
            <w:vAlign w:val="center"/>
            <w:hideMark/>
          </w:tcPr>
          <w:p w14:paraId="3095376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feature selection and cross-validation techniques within the small sample demonstrates a rigorous initial analytical attempt.</w:t>
            </w:r>
          </w:p>
        </w:tc>
        <w:tc>
          <w:tcPr>
            <w:tcW w:w="567" w:type="dxa"/>
            <w:tcMar>
              <w:top w:w="80" w:type="dxa"/>
              <w:left w:w="80" w:type="dxa"/>
              <w:bottom w:w="80" w:type="dxa"/>
              <w:right w:w="80" w:type="dxa"/>
            </w:tcMar>
            <w:vAlign w:val="center"/>
            <w:hideMark/>
          </w:tcPr>
          <w:p w14:paraId="677A8D48"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38AE57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Automated screening through exergames can significantly lower the barriers to regular cognitive check-ups at home.</w:t>
            </w:r>
          </w:p>
        </w:tc>
      </w:tr>
      <w:tr w:rsidR="00A91DD0" w:rsidRPr="006C17CC" w14:paraId="4E70461F" w14:textId="77777777" w:rsidTr="00465626">
        <w:trPr>
          <w:trHeight w:val="1415"/>
        </w:trPr>
        <w:tc>
          <w:tcPr>
            <w:tcW w:w="1555" w:type="dxa"/>
            <w:tcMar>
              <w:top w:w="80" w:type="dxa"/>
              <w:left w:w="80" w:type="dxa"/>
              <w:bottom w:w="80" w:type="dxa"/>
              <w:right w:w="80" w:type="dxa"/>
            </w:tcMar>
            <w:vAlign w:val="center"/>
            <w:hideMark/>
          </w:tcPr>
          <w:p w14:paraId="0D5A11BD"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53672B7E"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37FC649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six-week monitoring period ensured that the behavior patterns were stable and representative of the participants’ true abilities.</w:t>
            </w:r>
          </w:p>
        </w:tc>
        <w:tc>
          <w:tcPr>
            <w:tcW w:w="2409" w:type="dxa"/>
            <w:tcMar>
              <w:top w:w="80" w:type="dxa"/>
              <w:left w:w="80" w:type="dxa"/>
              <w:bottom w:w="80" w:type="dxa"/>
              <w:right w:w="80" w:type="dxa"/>
            </w:tcMar>
            <w:vAlign w:val="center"/>
            <w:hideMark/>
          </w:tcPr>
          <w:p w14:paraId="68AB598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data collection during VR play avoids the stress and bias associated with traditional clinical testing environments.</w:t>
            </w:r>
          </w:p>
        </w:tc>
        <w:tc>
          <w:tcPr>
            <w:tcW w:w="2552" w:type="dxa"/>
            <w:tcMar>
              <w:top w:w="80" w:type="dxa"/>
              <w:left w:w="80" w:type="dxa"/>
              <w:bottom w:w="80" w:type="dxa"/>
              <w:right w:w="80" w:type="dxa"/>
            </w:tcMar>
            <w:vAlign w:val="center"/>
            <w:hideMark/>
          </w:tcPr>
          <w:p w14:paraId="10959E9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cognitive and response-time outcomes ensure that the findings are comparable to other geriatric research.</w:t>
            </w:r>
          </w:p>
        </w:tc>
        <w:tc>
          <w:tcPr>
            <w:tcW w:w="2551" w:type="dxa"/>
            <w:tcMar>
              <w:top w:w="80" w:type="dxa"/>
              <w:left w:w="80" w:type="dxa"/>
              <w:bottom w:w="80" w:type="dxa"/>
              <w:right w:w="80" w:type="dxa"/>
            </w:tcMar>
            <w:vAlign w:val="center"/>
            <w:hideMark/>
          </w:tcPr>
          <w:p w14:paraId="56F253A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successful identification of kinematic factors associated with MoCA scores confirms the feasibility of this predictive approach.</w:t>
            </w:r>
          </w:p>
        </w:tc>
        <w:tc>
          <w:tcPr>
            <w:tcW w:w="567" w:type="dxa"/>
            <w:tcMar>
              <w:top w:w="80" w:type="dxa"/>
              <w:left w:w="80" w:type="dxa"/>
              <w:bottom w:w="80" w:type="dxa"/>
              <w:right w:w="80" w:type="dxa"/>
            </w:tcMar>
            <w:vAlign w:val="center"/>
            <w:hideMark/>
          </w:tcPr>
          <w:p w14:paraId="297F57F4"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155DE6E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highly applicable to personalizing cognitive support and enhancing the quality of life for seniors.</w:t>
            </w:r>
          </w:p>
        </w:tc>
      </w:tr>
      <w:tr w:rsidR="00A91DD0" w:rsidRPr="006C17CC" w14:paraId="139C50A7" w14:textId="77777777" w:rsidTr="00465626">
        <w:trPr>
          <w:trHeight w:val="1415"/>
        </w:trPr>
        <w:tc>
          <w:tcPr>
            <w:tcW w:w="1555" w:type="dxa"/>
            <w:tcMar>
              <w:top w:w="80" w:type="dxa"/>
              <w:left w:w="80" w:type="dxa"/>
              <w:bottom w:w="80" w:type="dxa"/>
              <w:right w:w="80" w:type="dxa"/>
            </w:tcMar>
            <w:vAlign w:val="center"/>
            <w:hideMark/>
          </w:tcPr>
          <w:p w14:paraId="443EE60F"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(Naccarelli et al., 2022)</w:t>
            </w:r>
          </w:p>
        </w:tc>
        <w:tc>
          <w:tcPr>
            <w:tcW w:w="567" w:type="dxa"/>
            <w:tcMar>
              <w:top w:w="80" w:type="dxa"/>
              <w:left w:w="80" w:type="dxa"/>
              <w:bottom w:w="80" w:type="dxa"/>
              <w:right w:w="80" w:type="dxa"/>
            </w:tcMar>
            <w:vAlign w:val="center"/>
            <w:hideMark/>
          </w:tcPr>
          <w:p w14:paraId="3C0C9C46"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4AD4069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simulation of 1392 days of activity provides a massive and diverse dataset for initial algorithm testing.</w:t>
            </w:r>
          </w:p>
        </w:tc>
        <w:tc>
          <w:tcPr>
            <w:tcW w:w="2409" w:type="dxa"/>
            <w:tcMar>
              <w:top w:w="80" w:type="dxa"/>
              <w:left w:w="80" w:type="dxa"/>
              <w:bottom w:w="80" w:type="dxa"/>
              <w:right w:w="80" w:type="dxa"/>
            </w:tcMar>
            <w:vAlign w:val="center"/>
            <w:hideMark/>
          </w:tcPr>
          <w:p w14:paraId="430CBA0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standardized sensor types (PIR, magnetic) ensures that the predictors are realistic and commercially available.</w:t>
            </w:r>
          </w:p>
        </w:tc>
        <w:tc>
          <w:tcPr>
            <w:tcW w:w="2552" w:type="dxa"/>
            <w:tcMar>
              <w:top w:w="80" w:type="dxa"/>
              <w:left w:w="80" w:type="dxa"/>
              <w:bottom w:w="80" w:type="dxa"/>
              <w:right w:w="80" w:type="dxa"/>
            </w:tcMar>
            <w:vAlign w:val="center"/>
            <w:hideMark/>
          </w:tcPr>
          <w:p w14:paraId="5A4A423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Ground truth for daily activities is perfectly known in the simulation, providing an ideal benchmark for accuracy.</w:t>
            </w:r>
          </w:p>
        </w:tc>
        <w:tc>
          <w:tcPr>
            <w:tcW w:w="2551" w:type="dxa"/>
            <w:tcMar>
              <w:top w:w="80" w:type="dxa"/>
              <w:left w:w="80" w:type="dxa"/>
              <w:bottom w:w="80" w:type="dxa"/>
              <w:right w:w="80" w:type="dxa"/>
            </w:tcMar>
            <w:vAlign w:val="center"/>
            <w:hideMark/>
          </w:tcPr>
          <w:p w14:paraId="6DDBFCD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Decision Trees and Random Forests provides interpretable models for understanding sensor importance.</w:t>
            </w:r>
          </w:p>
        </w:tc>
        <w:tc>
          <w:tcPr>
            <w:tcW w:w="567" w:type="dxa"/>
            <w:tcMar>
              <w:top w:w="80" w:type="dxa"/>
              <w:left w:w="80" w:type="dxa"/>
              <w:bottom w:w="80" w:type="dxa"/>
              <w:right w:w="80" w:type="dxa"/>
            </w:tcMar>
            <w:vAlign w:val="center"/>
            <w:hideMark/>
          </w:tcPr>
          <w:p w14:paraId="2B80C144"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58327D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Optimizing sensor networks is a critical step for making aging in place technologies practical and efficient.</w:t>
            </w:r>
          </w:p>
        </w:tc>
      </w:tr>
      <w:tr w:rsidR="00A91DD0" w:rsidRPr="006C17CC" w14:paraId="140A63D5" w14:textId="77777777" w:rsidTr="00465626">
        <w:trPr>
          <w:trHeight w:val="1132"/>
        </w:trPr>
        <w:tc>
          <w:tcPr>
            <w:tcW w:w="1555" w:type="dxa"/>
            <w:tcMar>
              <w:top w:w="80" w:type="dxa"/>
              <w:left w:w="80" w:type="dxa"/>
              <w:bottom w:w="80" w:type="dxa"/>
              <w:right w:w="80" w:type="dxa"/>
            </w:tcMar>
            <w:vAlign w:val="center"/>
            <w:hideMark/>
          </w:tcPr>
          <w:p w14:paraId="6ECEDF92"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1163DA21"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3EB3E1A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simulation parameters were based on common home layouts and established ADL patterns.</w:t>
            </w:r>
          </w:p>
        </w:tc>
        <w:tc>
          <w:tcPr>
            <w:tcW w:w="2409" w:type="dxa"/>
            <w:tcMar>
              <w:top w:w="80" w:type="dxa"/>
              <w:left w:w="80" w:type="dxa"/>
              <w:bottom w:w="80" w:type="dxa"/>
              <w:right w:w="80" w:type="dxa"/>
            </w:tcMar>
            <w:vAlign w:val="center"/>
            <w:hideMark/>
          </w:tcPr>
          <w:p w14:paraId="15E4B05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extraction from sensor logs avoids the inconsistencies of manual data collection.</w:t>
            </w:r>
          </w:p>
        </w:tc>
        <w:tc>
          <w:tcPr>
            <w:tcW w:w="2552" w:type="dxa"/>
            <w:tcMar>
              <w:top w:w="80" w:type="dxa"/>
              <w:left w:w="80" w:type="dxa"/>
              <w:bottom w:w="80" w:type="dxa"/>
              <w:right w:w="80" w:type="dxa"/>
            </w:tcMar>
            <w:vAlign w:val="center"/>
            <w:hideMark/>
          </w:tcPr>
          <w:p w14:paraId="014CD57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binary classification of activities provides a simple and effective tool for emergency response logic.</w:t>
            </w:r>
          </w:p>
        </w:tc>
        <w:tc>
          <w:tcPr>
            <w:tcW w:w="2551" w:type="dxa"/>
            <w:tcMar>
              <w:top w:w="80" w:type="dxa"/>
              <w:left w:w="80" w:type="dxa"/>
              <w:bottom w:w="80" w:type="dxa"/>
              <w:right w:w="80" w:type="dxa"/>
            </w:tcMar>
            <w:vAlign w:val="center"/>
            <w:hideMark/>
          </w:tcPr>
          <w:p w14:paraId="7BA5047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Reported performance metrics across different configurations help in making evidence based design decisions.</w:t>
            </w:r>
          </w:p>
        </w:tc>
        <w:tc>
          <w:tcPr>
            <w:tcW w:w="567" w:type="dxa"/>
            <w:tcMar>
              <w:top w:w="80" w:type="dxa"/>
              <w:left w:w="80" w:type="dxa"/>
              <w:bottom w:w="80" w:type="dxa"/>
              <w:right w:w="80" w:type="dxa"/>
            </w:tcMar>
            <w:vAlign w:val="center"/>
            <w:hideMark/>
          </w:tcPr>
          <w:p w14:paraId="04AA820A"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1C4B691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Reducing costs and intrusion through better network design is highly applicable to elderly home care.</w:t>
            </w:r>
          </w:p>
        </w:tc>
      </w:tr>
      <w:tr w:rsidR="00A91DD0" w:rsidRPr="006C17CC" w14:paraId="1EA75851" w14:textId="77777777" w:rsidTr="00465626">
        <w:trPr>
          <w:trHeight w:val="1132"/>
        </w:trPr>
        <w:tc>
          <w:tcPr>
            <w:tcW w:w="1555" w:type="dxa"/>
            <w:tcMar>
              <w:top w:w="80" w:type="dxa"/>
              <w:left w:w="80" w:type="dxa"/>
              <w:bottom w:w="80" w:type="dxa"/>
              <w:right w:w="80" w:type="dxa"/>
            </w:tcMar>
            <w:vAlign w:val="center"/>
            <w:hideMark/>
          </w:tcPr>
          <w:p w14:paraId="6DA48DC3"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(Nath et al., 2022)</w:t>
            </w:r>
          </w:p>
        </w:tc>
        <w:tc>
          <w:tcPr>
            <w:tcW w:w="567" w:type="dxa"/>
            <w:tcMar>
              <w:top w:w="80" w:type="dxa"/>
              <w:left w:w="80" w:type="dxa"/>
              <w:bottom w:w="80" w:type="dxa"/>
              <w:right w:w="80" w:type="dxa"/>
            </w:tcMar>
            <w:vAlign w:val="center"/>
            <w:hideMark/>
          </w:tcPr>
          <w:p w14:paraId="5CDF5232"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7E6138C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inclusion of the target elderly age group (mean age 73) ensures the findings are contextually relevant.</w:t>
            </w:r>
          </w:p>
        </w:tc>
        <w:tc>
          <w:tcPr>
            <w:tcW w:w="2409" w:type="dxa"/>
            <w:tcMar>
              <w:top w:w="80" w:type="dxa"/>
              <w:left w:w="80" w:type="dxa"/>
              <w:bottom w:w="80" w:type="dxa"/>
              <w:right w:w="80" w:type="dxa"/>
            </w:tcMar>
            <w:vAlign w:val="center"/>
            <w:hideMark/>
          </w:tcPr>
          <w:p w14:paraId="72CC2AB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multi-sensor approach (EDA and BVP) provides a robust set of predictors for capturing autonomic arousal.</w:t>
            </w:r>
          </w:p>
        </w:tc>
        <w:tc>
          <w:tcPr>
            <w:tcW w:w="2552" w:type="dxa"/>
            <w:tcMar>
              <w:top w:w="80" w:type="dxa"/>
              <w:left w:w="80" w:type="dxa"/>
              <w:bottom w:w="80" w:type="dxa"/>
              <w:right w:w="80" w:type="dxa"/>
            </w:tcMar>
            <w:vAlign w:val="center"/>
            <w:hideMark/>
          </w:tcPr>
          <w:p w14:paraId="1D8FBB9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Cortisol tracking ensures that the identified “stress” state has a verified physiological basis.</w:t>
            </w:r>
          </w:p>
        </w:tc>
        <w:tc>
          <w:tcPr>
            <w:tcW w:w="2551" w:type="dxa"/>
            <w:tcMar>
              <w:top w:w="80" w:type="dxa"/>
              <w:left w:w="80" w:type="dxa"/>
              <w:bottom w:w="80" w:type="dxa"/>
              <w:right w:w="80" w:type="dxa"/>
            </w:tcMar>
            <w:vAlign w:val="center"/>
            <w:hideMark/>
          </w:tcPr>
          <w:p w14:paraId="2E1BAB1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leave-one-out cross-validation is an appropriate strategy for maximizing the utility of a small dataset.</w:t>
            </w:r>
          </w:p>
        </w:tc>
        <w:tc>
          <w:tcPr>
            <w:tcW w:w="567" w:type="dxa"/>
            <w:tcMar>
              <w:top w:w="80" w:type="dxa"/>
              <w:left w:w="80" w:type="dxa"/>
              <w:bottom w:w="80" w:type="dxa"/>
              <w:right w:w="80" w:type="dxa"/>
            </w:tcMar>
            <w:vAlign w:val="center"/>
            <w:hideMark/>
          </w:tcPr>
          <w:p w14:paraId="767EEC57"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E3DA9C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Early stress detection can prevent more serious health decline, supporting independent living.</w:t>
            </w:r>
          </w:p>
        </w:tc>
      </w:tr>
      <w:tr w:rsidR="00A91DD0" w:rsidRPr="006C17CC" w14:paraId="29DC73AA" w14:textId="77777777" w:rsidTr="00465626">
        <w:trPr>
          <w:trHeight w:val="1132"/>
        </w:trPr>
        <w:tc>
          <w:tcPr>
            <w:tcW w:w="1555" w:type="dxa"/>
            <w:tcMar>
              <w:top w:w="80" w:type="dxa"/>
              <w:left w:w="80" w:type="dxa"/>
              <w:bottom w:w="80" w:type="dxa"/>
              <w:right w:w="80" w:type="dxa"/>
            </w:tcMar>
            <w:vAlign w:val="center"/>
            <w:hideMark/>
          </w:tcPr>
          <w:p w14:paraId="14F3DC3E"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6A54EE91"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7512BC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participants were mentally and physically fit to complete the TSST, ensuring data integrity for the model.</w:t>
            </w:r>
          </w:p>
        </w:tc>
        <w:tc>
          <w:tcPr>
            <w:tcW w:w="2409" w:type="dxa"/>
            <w:tcMar>
              <w:top w:w="80" w:type="dxa"/>
              <w:left w:w="80" w:type="dxa"/>
              <w:bottom w:w="80" w:type="dxa"/>
              <w:right w:w="80" w:type="dxa"/>
            </w:tcMar>
            <w:vAlign w:val="center"/>
            <w:hideMark/>
          </w:tcPr>
          <w:p w14:paraId="6009823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engineering from time-series signals avoids subjective interpretation of stress symptoms.</w:t>
            </w:r>
          </w:p>
        </w:tc>
        <w:tc>
          <w:tcPr>
            <w:tcW w:w="2552" w:type="dxa"/>
            <w:tcMar>
              <w:top w:w="80" w:type="dxa"/>
              <w:left w:w="80" w:type="dxa"/>
              <w:bottom w:w="80" w:type="dxa"/>
              <w:right w:w="80" w:type="dxa"/>
            </w:tcMar>
            <w:vAlign w:val="center"/>
            <w:hideMark/>
          </w:tcPr>
          <w:p w14:paraId="67D4E9F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Pre-specified cortisol thresholds were used to maintain consistency in labeling participants as stressed or non-stressed.</w:t>
            </w:r>
          </w:p>
        </w:tc>
        <w:tc>
          <w:tcPr>
            <w:tcW w:w="2551" w:type="dxa"/>
            <w:tcMar>
              <w:top w:w="80" w:type="dxa"/>
              <w:left w:w="80" w:type="dxa"/>
              <w:bottom w:w="80" w:type="dxa"/>
              <w:right w:w="80" w:type="dxa"/>
            </w:tcMar>
            <w:vAlign w:val="center"/>
            <w:hideMark/>
          </w:tcPr>
          <w:p w14:paraId="6E20AA3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Successful classification demonstrates that physiological patterns are detectable even with manageable predictor sets.</w:t>
            </w:r>
          </w:p>
        </w:tc>
        <w:tc>
          <w:tcPr>
            <w:tcW w:w="567" w:type="dxa"/>
            <w:tcMar>
              <w:top w:w="80" w:type="dxa"/>
              <w:left w:w="80" w:type="dxa"/>
              <w:bottom w:w="80" w:type="dxa"/>
              <w:right w:w="80" w:type="dxa"/>
            </w:tcMar>
            <w:vAlign w:val="center"/>
            <w:hideMark/>
          </w:tcPr>
          <w:p w14:paraId="762E884B"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22FABB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unobtrusive sensors align with the goal of maintaining high quality of life for seniors at home.</w:t>
            </w:r>
          </w:p>
        </w:tc>
      </w:tr>
      <w:tr w:rsidR="00A91DD0" w:rsidRPr="006C17CC" w14:paraId="769716A9" w14:textId="77777777" w:rsidTr="00465626">
        <w:trPr>
          <w:trHeight w:val="1415"/>
        </w:trPr>
        <w:tc>
          <w:tcPr>
            <w:tcW w:w="1555" w:type="dxa"/>
            <w:noWrap/>
            <w:tcMar>
              <w:top w:w="80" w:type="dxa"/>
              <w:left w:w="80" w:type="dxa"/>
              <w:bottom w:w="80" w:type="dxa"/>
              <w:right w:w="80" w:type="dxa"/>
            </w:tcMar>
            <w:vAlign w:val="center"/>
            <w:hideMark/>
          </w:tcPr>
          <w:p w14:paraId="094DF9EF" w14:textId="77777777" w:rsidR="00A91DD0" w:rsidRPr="00A91DD0" w:rsidRDefault="00A91DD0" w:rsidP="00A91DD0">
            <w:pPr>
              <w:jc w:val="left"/>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(Pan et al., 2024a)</w:t>
            </w:r>
          </w:p>
        </w:tc>
        <w:tc>
          <w:tcPr>
            <w:tcW w:w="567" w:type="dxa"/>
            <w:tcMar>
              <w:top w:w="80" w:type="dxa"/>
              <w:left w:w="80" w:type="dxa"/>
              <w:bottom w:w="80" w:type="dxa"/>
              <w:right w:w="80" w:type="dxa"/>
            </w:tcMar>
            <w:vAlign w:val="center"/>
            <w:hideMark/>
          </w:tcPr>
          <w:p w14:paraId="0F79E9A5" w14:textId="77777777" w:rsidR="00A91DD0" w:rsidRPr="00A91DD0"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53050BAC" w14:textId="77777777" w:rsidR="00A91DD0" w:rsidRPr="00A91DD0"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a large-scale community sample enhances the representativeness of the participant data.</w:t>
            </w:r>
          </w:p>
        </w:tc>
        <w:tc>
          <w:tcPr>
            <w:tcW w:w="2409" w:type="dxa"/>
            <w:tcMar>
              <w:top w:w="80" w:type="dxa"/>
              <w:left w:w="80" w:type="dxa"/>
              <w:bottom w:w="80" w:type="dxa"/>
              <w:right w:w="80" w:type="dxa"/>
            </w:tcMar>
            <w:vAlign w:val="center"/>
            <w:hideMark/>
          </w:tcPr>
          <w:p w14:paraId="039DB030" w14:textId="77777777" w:rsidR="00A91DD0" w:rsidRPr="00A91DD0"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geriatric assessment tools ensure that predictors are reliable and reproducible across different settings.</w:t>
            </w:r>
          </w:p>
        </w:tc>
        <w:tc>
          <w:tcPr>
            <w:tcW w:w="2552" w:type="dxa"/>
            <w:tcMar>
              <w:top w:w="80" w:type="dxa"/>
              <w:left w:w="80" w:type="dxa"/>
              <w:bottom w:w="80" w:type="dxa"/>
              <w:right w:w="80" w:type="dxa"/>
            </w:tcMar>
            <w:vAlign w:val="center"/>
            <w:hideMark/>
          </w:tcPr>
          <w:p w14:paraId="537CC7BA" w14:textId="77777777" w:rsidR="00A91DD0" w:rsidRPr="00A91DD0"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binary classification of fallers vs. non-fallers provides a robust target for risk prediction.</w:t>
            </w:r>
          </w:p>
        </w:tc>
        <w:tc>
          <w:tcPr>
            <w:tcW w:w="2551" w:type="dxa"/>
            <w:tcMar>
              <w:top w:w="80" w:type="dxa"/>
              <w:left w:w="80" w:type="dxa"/>
              <w:bottom w:w="80" w:type="dxa"/>
              <w:right w:w="80" w:type="dxa"/>
            </w:tcMar>
            <w:vAlign w:val="center"/>
            <w:hideMark/>
          </w:tcPr>
          <w:p w14:paraId="7506FD70" w14:textId="77777777" w:rsidR="00A91DD0" w:rsidRPr="00A91DD0"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PCA effectively reduced multicollinearity among predictors, leading to a more stable and interpretable logistic model.</w:t>
            </w:r>
          </w:p>
        </w:tc>
        <w:tc>
          <w:tcPr>
            <w:tcW w:w="567" w:type="dxa"/>
            <w:tcMar>
              <w:top w:w="80" w:type="dxa"/>
              <w:left w:w="80" w:type="dxa"/>
              <w:bottom w:w="80" w:type="dxa"/>
              <w:right w:w="80" w:type="dxa"/>
            </w:tcMar>
            <w:vAlign w:val="center"/>
            <w:hideMark/>
          </w:tcPr>
          <w:p w14:paraId="2835ADD8"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E5B108F" w14:textId="77777777" w:rsidR="00A91DD0" w:rsidRPr="00A91DD0"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findings are directly applicable to public health strategies for aging in place.</w:t>
            </w:r>
          </w:p>
        </w:tc>
      </w:tr>
      <w:tr w:rsidR="00A91DD0" w:rsidRPr="006C17CC" w14:paraId="5461941A" w14:textId="77777777" w:rsidTr="00465626">
        <w:trPr>
          <w:trHeight w:val="1132"/>
        </w:trPr>
        <w:tc>
          <w:tcPr>
            <w:tcW w:w="1555" w:type="dxa"/>
            <w:tcMar>
              <w:top w:w="80" w:type="dxa"/>
              <w:left w:w="80" w:type="dxa"/>
              <w:bottom w:w="80" w:type="dxa"/>
              <w:right w:w="80" w:type="dxa"/>
            </w:tcMar>
            <w:vAlign w:val="center"/>
            <w:hideMark/>
          </w:tcPr>
          <w:p w14:paraId="1D4D53FF" w14:textId="77777777" w:rsidR="00A91DD0" w:rsidRPr="00A91DD0" w:rsidRDefault="00A91DD0" w:rsidP="00A91DD0">
            <w:pPr>
              <w:widowControl/>
              <w:jc w:val="center"/>
              <w:rPr>
                <w:rFonts w:ascii="Times New Roman" w:eastAsia="等线" w:hAnsi="Times New Roman" w:cs="Times New Roman"/>
                <w:color w:val="000000"/>
                <w:kern w:val="0"/>
                <w:sz w:val="18"/>
                <w:szCs w:val="18"/>
                <w14:ligatures w14:val="none"/>
              </w:rPr>
            </w:pPr>
          </w:p>
        </w:tc>
        <w:tc>
          <w:tcPr>
            <w:tcW w:w="567" w:type="dxa"/>
            <w:tcMar>
              <w:top w:w="80" w:type="dxa"/>
              <w:left w:w="80" w:type="dxa"/>
              <w:bottom w:w="80" w:type="dxa"/>
              <w:right w:w="80" w:type="dxa"/>
            </w:tcMar>
            <w:vAlign w:val="center"/>
            <w:hideMark/>
          </w:tcPr>
          <w:p w14:paraId="3A9C2831" w14:textId="77777777" w:rsidR="00A91DD0" w:rsidRPr="00A91DD0"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13BEAF61" w14:textId="77777777" w:rsidR="00A91DD0" w:rsidRPr="00A91DD0"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Recruitment from local health centers ensures that the participants reflect the actual population of interest.</w:t>
            </w:r>
          </w:p>
        </w:tc>
        <w:tc>
          <w:tcPr>
            <w:tcW w:w="2409" w:type="dxa"/>
            <w:tcMar>
              <w:top w:w="80" w:type="dxa"/>
              <w:left w:w="80" w:type="dxa"/>
              <w:bottom w:w="80" w:type="dxa"/>
              <w:right w:w="80" w:type="dxa"/>
            </w:tcMar>
            <w:vAlign w:val="center"/>
            <w:hideMark/>
          </w:tcPr>
          <w:p w14:paraId="155ACBF8" w14:textId="77777777" w:rsidR="00A91DD0" w:rsidRPr="00A91DD0"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 assessment was performed independently of the outcome determination to minimize measurement bias.</w:t>
            </w:r>
          </w:p>
        </w:tc>
        <w:tc>
          <w:tcPr>
            <w:tcW w:w="2552" w:type="dxa"/>
            <w:tcMar>
              <w:top w:w="80" w:type="dxa"/>
              <w:left w:w="80" w:type="dxa"/>
              <w:bottom w:w="80" w:type="dxa"/>
              <w:right w:w="80" w:type="dxa"/>
            </w:tcMar>
            <w:vAlign w:val="center"/>
            <w:hideMark/>
          </w:tcPr>
          <w:p w14:paraId="574FB79E" w14:textId="77777777" w:rsidR="00A91DD0" w:rsidRPr="00A91DD0"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follow-up or recall of falls was handled using validated questionnaires to ensure data integrity.</w:t>
            </w:r>
          </w:p>
        </w:tc>
        <w:tc>
          <w:tcPr>
            <w:tcW w:w="2551" w:type="dxa"/>
            <w:tcMar>
              <w:top w:w="80" w:type="dxa"/>
              <w:left w:w="80" w:type="dxa"/>
              <w:bottom w:w="80" w:type="dxa"/>
              <w:right w:w="80" w:type="dxa"/>
            </w:tcMar>
            <w:vAlign w:val="center"/>
            <w:hideMark/>
          </w:tcPr>
          <w:p w14:paraId="28441007" w14:textId="77777777" w:rsidR="00A91DD0" w:rsidRPr="00A91DD0"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Model performance measures such as AUC (0.75-0.78) indicate a reasonable level of optimism and predictive accuracy.</w:t>
            </w:r>
          </w:p>
        </w:tc>
        <w:tc>
          <w:tcPr>
            <w:tcW w:w="567" w:type="dxa"/>
            <w:tcMar>
              <w:top w:w="80" w:type="dxa"/>
              <w:left w:w="80" w:type="dxa"/>
              <w:bottom w:w="80" w:type="dxa"/>
              <w:right w:w="80" w:type="dxa"/>
            </w:tcMar>
            <w:vAlign w:val="center"/>
            <w:hideMark/>
          </w:tcPr>
          <w:p w14:paraId="56279809"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80073A6" w14:textId="77777777" w:rsidR="00A91DD0" w:rsidRPr="00A91DD0"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multifactorial approach is essential for supporting functional independence in older adults.</w:t>
            </w:r>
          </w:p>
        </w:tc>
      </w:tr>
      <w:tr w:rsidR="00A91DD0" w14:paraId="5F44C039" w14:textId="77777777">
        <w:tc>
          <w:tcPr>
            <w:tcW w:w="1555" w:type="dxa"/>
            <w:tcMar>
              <w:top w:w="80" w:type="dxa"/>
              <w:left w:w="80" w:type="dxa"/>
              <w:bottom w:w="80" w:type="dxa"/>
              <w:right w:w="80" w:type="dxa"/>
            </w:tcMar>
            <w:vAlign w:val="center"/>
          </w:tcPr>
          <w:p w14:paraId="3E7B7965" w14:textId="77777777" w:rsidR="00A91DD0" w:rsidRPr="00A91DD0" w:rsidRDefault="00A91DD0" w:rsidP="00A91DD0">
            <w:pPr>
              <w:jc w:val="left"/>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(Pan et al., 2024b)</w:t>
            </w:r>
          </w:p>
        </w:tc>
        <w:tc>
          <w:tcPr>
            <w:tcW w:w="567" w:type="dxa"/>
            <w:tcMar>
              <w:top w:w="80" w:type="dxa"/>
              <w:left w:w="80" w:type="dxa"/>
              <w:bottom w:w="80" w:type="dxa"/>
              <w:right w:w="80" w:type="dxa"/>
            </w:tcMar>
            <w:vAlign w:val="center"/>
          </w:tcPr>
          <w:p w14:paraId="21ECEA44" w14:textId="77777777" w:rsidR="00A91DD0" w:rsidRPr="00A91DD0" w:rsidRDefault="00A91DD0" w:rsidP="00A91DD0">
            <w:pPr>
              <w:jc w:val="center"/>
              <w:rPr>
                <w:rFonts w:ascii="Times New Roman" w:hAnsi="Times New Roman" w:cs="Times New Roman"/>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18E3ECA0" w14:textId="77777777" w:rsidR="00A91DD0" w:rsidRPr="00A91DD0" w:rsidRDefault="00A91DD0" w:rsidP="00A91DD0">
            <w:pPr>
              <w:jc w:val="left"/>
              <w:rPr>
                <w:rFonts w:ascii="Times New Roman" w:hAnsi="Times New Roman" w:cs="Times New Roman"/>
              </w:rPr>
            </w:pPr>
            <w:r>
              <w:rPr>
                <w:rFonts w:ascii="Times New Roman" w:hAnsi="Times New Roman" w:cs="Times New Roman"/>
                <w:sz w:val="18"/>
              </w:rPr>
              <w:t>Low Risk. The cohort source was relevant to home care or community dwelling older adults.</w:t>
            </w:r>
          </w:p>
        </w:tc>
        <w:tc>
          <w:tcPr>
            <w:tcW w:w="2409" w:type="dxa"/>
            <w:tcMar>
              <w:top w:w="80" w:type="dxa"/>
              <w:left w:w="80" w:type="dxa"/>
              <w:bottom w:w="80" w:type="dxa"/>
              <w:right w:w="80" w:type="dxa"/>
            </w:tcMar>
            <w:vAlign w:val="center"/>
          </w:tcPr>
          <w:p w14:paraId="7AF97942" w14:textId="77777777" w:rsidR="00A91DD0" w:rsidRPr="00A91DD0" w:rsidRDefault="00A91DD0" w:rsidP="00A91DD0">
            <w:pPr>
              <w:jc w:val="left"/>
              <w:rPr>
                <w:rFonts w:ascii="Times New Roman" w:hAnsi="Times New Roman" w:cs="Times New Roman"/>
              </w:rPr>
            </w:pPr>
            <w:r>
              <w:rPr>
                <w:rFonts w:ascii="Times New Roman" w:hAnsi="Times New Roman" w:cs="Times New Roman"/>
                <w:sz w:val="18"/>
              </w:rPr>
              <w:t>Low Risk. Predictors were extracted from routine care or sensor data in a defined manner.</w:t>
            </w:r>
          </w:p>
        </w:tc>
        <w:tc>
          <w:tcPr>
            <w:tcW w:w="2552" w:type="dxa"/>
            <w:tcMar>
              <w:top w:w="80" w:type="dxa"/>
              <w:left w:w="80" w:type="dxa"/>
              <w:bottom w:w="80" w:type="dxa"/>
              <w:right w:w="80" w:type="dxa"/>
            </w:tcMar>
            <w:vAlign w:val="center"/>
          </w:tcPr>
          <w:p w14:paraId="4FADCF96" w14:textId="77777777" w:rsidR="00A91DD0" w:rsidRPr="00A91DD0" w:rsidRDefault="00A91DD0" w:rsidP="00A91DD0">
            <w:pPr>
              <w:jc w:val="left"/>
              <w:rPr>
                <w:rFonts w:ascii="Times New Roman" w:hAnsi="Times New Roman" w:cs="Times New Roman"/>
              </w:rPr>
            </w:pPr>
            <w:r>
              <w:rPr>
                <w:rFonts w:ascii="Times New Roman" w:hAnsi="Times New Roman" w:cs="Times New Roman"/>
                <w:sz w:val="18"/>
              </w:rPr>
              <w:t>Low Risk. Outcomes were clinically relevant to the study aim.</w:t>
            </w:r>
          </w:p>
        </w:tc>
        <w:tc>
          <w:tcPr>
            <w:tcW w:w="2551" w:type="dxa"/>
            <w:tcMar>
              <w:top w:w="80" w:type="dxa"/>
              <w:left w:w="80" w:type="dxa"/>
              <w:bottom w:w="80" w:type="dxa"/>
              <w:right w:w="80" w:type="dxa"/>
            </w:tcMar>
            <w:vAlign w:val="center"/>
          </w:tcPr>
          <w:p w14:paraId="5A019C03" w14:textId="77777777" w:rsidR="00A91DD0" w:rsidRPr="00A91DD0" w:rsidRDefault="00A91DD0" w:rsidP="00A91DD0">
            <w:pPr>
              <w:jc w:val="left"/>
              <w:rPr>
                <w:rFonts w:ascii="Times New Roman" w:hAnsi="Times New Roman" w:cs="Times New Roman"/>
              </w:rPr>
            </w:pPr>
            <w:r>
              <w:rPr>
                <w:rFonts w:ascii="Times New Roman" w:hAnsi="Times New Roman" w:cs="Times New Roman"/>
                <w:sz w:val="18"/>
              </w:rPr>
              <w:t>High Risk. External validation or calibration reporting was insufficient for review level synthesis.</w:t>
            </w:r>
          </w:p>
        </w:tc>
        <w:tc>
          <w:tcPr>
            <w:tcW w:w="567" w:type="dxa"/>
            <w:tcMar>
              <w:top w:w="80" w:type="dxa"/>
              <w:left w:w="80" w:type="dxa"/>
              <w:bottom w:w="80" w:type="dxa"/>
              <w:right w:w="80" w:type="dxa"/>
            </w:tcMar>
            <w:vAlign w:val="center"/>
          </w:tcPr>
          <w:p w14:paraId="0ACAF5DC"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2746B970" w14:textId="77777777" w:rsidR="00A91DD0" w:rsidRPr="00A91DD0" w:rsidRDefault="00A91DD0" w:rsidP="00A91DD0">
            <w:pPr>
              <w:jc w:val="left"/>
              <w:rPr>
                <w:rFonts w:ascii="Times New Roman" w:hAnsi="Times New Roman" w:cs="Times New Roman"/>
              </w:rPr>
            </w:pPr>
            <w:r>
              <w:rPr>
                <w:rFonts w:ascii="Times New Roman" w:hAnsi="Times New Roman" w:cs="Times New Roman"/>
                <w:sz w:val="18"/>
              </w:rPr>
              <w:t>Low Concern. The setting was relevant but model transportability remained limited.</w:t>
            </w:r>
          </w:p>
        </w:tc>
      </w:tr>
      <w:tr w:rsidR="00A91DD0" w14:paraId="3EEBEC53" w14:textId="77777777">
        <w:tc>
          <w:tcPr>
            <w:tcW w:w="1555" w:type="dxa"/>
            <w:tcMar>
              <w:top w:w="80" w:type="dxa"/>
              <w:left w:w="80" w:type="dxa"/>
              <w:bottom w:w="80" w:type="dxa"/>
              <w:right w:w="80" w:type="dxa"/>
            </w:tcMar>
            <w:vAlign w:val="center"/>
          </w:tcPr>
          <w:p w14:paraId="6B8F2FEF" w14:textId="77777777" w:rsidR="00A91DD0" w:rsidRPr="00A91DD0" w:rsidRDefault="00A91DD0" w:rsidP="00A91DD0">
            <w:pPr>
              <w:jc w:val="center"/>
              <w:rPr>
                <w:rFonts w:ascii="Times New Roman" w:hAnsi="Times New Roman" w:cs="Times New Roman"/>
              </w:rPr>
            </w:pPr>
          </w:p>
        </w:tc>
        <w:tc>
          <w:tcPr>
            <w:tcW w:w="567" w:type="dxa"/>
            <w:tcMar>
              <w:top w:w="80" w:type="dxa"/>
              <w:left w:w="80" w:type="dxa"/>
              <w:bottom w:w="80" w:type="dxa"/>
              <w:right w:w="80" w:type="dxa"/>
            </w:tcMar>
            <w:vAlign w:val="center"/>
          </w:tcPr>
          <w:p w14:paraId="6F2ECCDF" w14:textId="77777777" w:rsidR="00A91DD0" w:rsidRPr="00A91DD0" w:rsidRDefault="00A91DD0" w:rsidP="00A91DD0">
            <w:pPr>
              <w:jc w:val="center"/>
              <w:rPr>
                <w:rFonts w:ascii="Times New Roman" w:hAnsi="Times New Roman" w:cs="Times New Roman"/>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71767A53" w14:textId="77777777" w:rsidR="00A91DD0" w:rsidRPr="00A91DD0" w:rsidRDefault="00A91DD0" w:rsidP="00A91DD0">
            <w:pPr>
              <w:jc w:val="left"/>
              <w:rPr>
                <w:rFonts w:ascii="Times New Roman" w:hAnsi="Times New Roman" w:cs="Times New Roman"/>
              </w:rPr>
            </w:pPr>
            <w:r>
              <w:rPr>
                <w:rFonts w:ascii="Times New Roman" w:hAnsi="Times New Roman" w:cs="Times New Roman"/>
                <w:sz w:val="18"/>
              </w:rPr>
              <w:t>Low Risk. The cohort source was relevant to home care or community dwelling older adults.</w:t>
            </w:r>
          </w:p>
        </w:tc>
        <w:tc>
          <w:tcPr>
            <w:tcW w:w="2409" w:type="dxa"/>
            <w:tcMar>
              <w:top w:w="80" w:type="dxa"/>
              <w:left w:w="80" w:type="dxa"/>
              <w:bottom w:w="80" w:type="dxa"/>
              <w:right w:w="80" w:type="dxa"/>
            </w:tcMar>
            <w:vAlign w:val="center"/>
          </w:tcPr>
          <w:p w14:paraId="693FB0F8" w14:textId="77777777" w:rsidR="00A91DD0" w:rsidRPr="00A91DD0" w:rsidRDefault="00A91DD0" w:rsidP="00A91DD0">
            <w:pPr>
              <w:jc w:val="left"/>
              <w:rPr>
                <w:rFonts w:ascii="Times New Roman" w:hAnsi="Times New Roman" w:cs="Times New Roman"/>
              </w:rPr>
            </w:pPr>
            <w:r>
              <w:rPr>
                <w:rFonts w:ascii="Times New Roman" w:hAnsi="Times New Roman" w:cs="Times New Roman"/>
                <w:sz w:val="18"/>
              </w:rPr>
              <w:t>Low Risk. Predictors were extracted from routine care or sensor data in a defined manner.</w:t>
            </w:r>
          </w:p>
        </w:tc>
        <w:tc>
          <w:tcPr>
            <w:tcW w:w="2552" w:type="dxa"/>
            <w:tcMar>
              <w:top w:w="80" w:type="dxa"/>
              <w:left w:w="80" w:type="dxa"/>
              <w:bottom w:w="80" w:type="dxa"/>
              <w:right w:w="80" w:type="dxa"/>
            </w:tcMar>
            <w:vAlign w:val="center"/>
          </w:tcPr>
          <w:p w14:paraId="4B750CCF" w14:textId="77777777" w:rsidR="00A91DD0" w:rsidRPr="00A91DD0" w:rsidRDefault="00A91DD0" w:rsidP="00A91DD0">
            <w:pPr>
              <w:jc w:val="left"/>
              <w:rPr>
                <w:rFonts w:ascii="Times New Roman" w:hAnsi="Times New Roman" w:cs="Times New Roman"/>
              </w:rPr>
            </w:pPr>
            <w:r>
              <w:rPr>
                <w:rFonts w:ascii="Times New Roman" w:hAnsi="Times New Roman" w:cs="Times New Roman"/>
                <w:sz w:val="18"/>
              </w:rPr>
              <w:t>Low Risk. Outcomes were clinically relevant to the study aim.</w:t>
            </w:r>
          </w:p>
        </w:tc>
        <w:tc>
          <w:tcPr>
            <w:tcW w:w="2551" w:type="dxa"/>
            <w:tcMar>
              <w:top w:w="80" w:type="dxa"/>
              <w:left w:w="80" w:type="dxa"/>
              <w:bottom w:w="80" w:type="dxa"/>
              <w:right w:w="80" w:type="dxa"/>
            </w:tcMar>
            <w:vAlign w:val="center"/>
          </w:tcPr>
          <w:p w14:paraId="64793E8F" w14:textId="77777777" w:rsidR="00A91DD0" w:rsidRPr="00A91DD0" w:rsidRDefault="00A91DD0" w:rsidP="00A91DD0">
            <w:pPr>
              <w:jc w:val="left"/>
              <w:rPr>
                <w:rFonts w:ascii="Times New Roman" w:hAnsi="Times New Roman" w:cs="Times New Roman"/>
              </w:rPr>
            </w:pPr>
            <w:r>
              <w:rPr>
                <w:rFonts w:ascii="Times New Roman" w:hAnsi="Times New Roman" w:cs="Times New Roman"/>
                <w:sz w:val="18"/>
              </w:rPr>
              <w:t>High Risk. External validation or calibration reporting was insufficient for review level synthesis.</w:t>
            </w:r>
          </w:p>
        </w:tc>
        <w:tc>
          <w:tcPr>
            <w:tcW w:w="567" w:type="dxa"/>
            <w:tcMar>
              <w:top w:w="80" w:type="dxa"/>
              <w:left w:w="80" w:type="dxa"/>
              <w:bottom w:w="80" w:type="dxa"/>
              <w:right w:w="80" w:type="dxa"/>
            </w:tcMar>
            <w:vAlign w:val="center"/>
          </w:tcPr>
          <w:p w14:paraId="1A61DA3B"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36FDBA96" w14:textId="77777777" w:rsidR="00A91DD0" w:rsidRPr="00A91DD0" w:rsidRDefault="00A91DD0" w:rsidP="00A91DD0">
            <w:pPr>
              <w:jc w:val="left"/>
              <w:rPr>
                <w:rFonts w:ascii="Times New Roman" w:hAnsi="Times New Roman" w:cs="Times New Roman"/>
              </w:rPr>
            </w:pPr>
            <w:r>
              <w:rPr>
                <w:rFonts w:ascii="Times New Roman" w:hAnsi="Times New Roman" w:cs="Times New Roman"/>
                <w:sz w:val="18"/>
              </w:rPr>
              <w:t>Low Concern. The setting was relevant but model transportability remained limited.</w:t>
            </w:r>
          </w:p>
        </w:tc>
      </w:tr>
      <w:tr w:rsidR="00A91DD0" w:rsidRPr="006C17CC" w14:paraId="3A3BEA5E" w14:textId="77777777" w:rsidTr="00465626">
        <w:trPr>
          <w:trHeight w:val="1415"/>
        </w:trPr>
        <w:tc>
          <w:tcPr>
            <w:tcW w:w="1555" w:type="dxa"/>
            <w:tcMar>
              <w:top w:w="80" w:type="dxa"/>
              <w:left w:w="80" w:type="dxa"/>
              <w:bottom w:w="80" w:type="dxa"/>
              <w:right w:w="80" w:type="dxa"/>
            </w:tcMar>
            <w:vAlign w:val="center"/>
            <w:hideMark/>
          </w:tcPr>
          <w:p w14:paraId="7BD61234"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(Payandeh &amp; Park, 2020)</w:t>
            </w:r>
          </w:p>
        </w:tc>
        <w:tc>
          <w:tcPr>
            <w:tcW w:w="567" w:type="dxa"/>
            <w:tcMar>
              <w:top w:w="80" w:type="dxa"/>
              <w:left w:w="80" w:type="dxa"/>
              <w:bottom w:w="80" w:type="dxa"/>
              <w:right w:w="80" w:type="dxa"/>
            </w:tcMar>
            <w:vAlign w:val="center"/>
            <w:hideMark/>
          </w:tcPr>
          <w:p w14:paraId="5E853DDD"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38A3338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4 subjects to capture a variety of movement patterns provides sufficient initial data for a </w:t>
            </w:r>
            <w:r>
              <w:rPr>
                <w:rFonts w:ascii="Times New Roman" w:eastAsia="等线" w:hAnsi="Times New Roman" w:cs="Times New Roman"/>
                <w:color w:val="1F1F1F"/>
                <w:kern w:val="0"/>
                <w:sz w:val="18"/>
                <w:szCs w:val="18"/>
                <w14:ligatures w14:val="none"/>
              </w:rPr>
              <w:lastRenderedPageBreak/>
              <w:t>technical feasibility validation.</w:t>
            </w:r>
          </w:p>
        </w:tc>
        <w:tc>
          <w:tcPr>
            <w:tcW w:w="2409" w:type="dxa"/>
            <w:tcMar>
              <w:top w:w="80" w:type="dxa"/>
              <w:left w:w="80" w:type="dxa"/>
              <w:bottom w:w="80" w:type="dxa"/>
              <w:right w:w="80" w:type="dxa"/>
            </w:tcMar>
            <w:vAlign w:val="center"/>
            <w:hideMark/>
          </w:tcPr>
          <w:p w14:paraId="67FDBA7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lastRenderedPageBreak/>
              <w:t>Low Risk.</w:t>
            </w:r>
            <w:r>
              <w:rPr>
                <w:rFonts w:ascii="Times New Roman" w:eastAsia="等线" w:hAnsi="Times New Roman" w:cs="Times New Roman"/>
                <w:color w:val="1F1F1F"/>
                <w:kern w:val="0"/>
                <w:sz w:val="18"/>
                <w:szCs w:val="18"/>
                <w14:ligatures w14:val="none"/>
              </w:rPr>
              <w:t xml:space="preserve"> The multi-modal sensing approach effectively addresses occlusions and provides a reliable set of </w:t>
            </w:r>
            <w:r>
              <w:rPr>
                <w:rFonts w:ascii="Times New Roman" w:eastAsia="等线" w:hAnsi="Times New Roman" w:cs="Times New Roman"/>
                <w:color w:val="1F1F1F"/>
                <w:kern w:val="0"/>
                <w:sz w:val="18"/>
                <w:szCs w:val="18"/>
                <w14:ligatures w14:val="none"/>
              </w:rPr>
              <w:lastRenderedPageBreak/>
              <w:t>predictors for activity modeling.</w:t>
            </w:r>
          </w:p>
        </w:tc>
        <w:tc>
          <w:tcPr>
            <w:tcW w:w="2552" w:type="dxa"/>
            <w:tcMar>
              <w:top w:w="80" w:type="dxa"/>
              <w:left w:w="80" w:type="dxa"/>
              <w:bottom w:w="80" w:type="dxa"/>
              <w:right w:w="80" w:type="dxa"/>
            </w:tcMar>
            <w:vAlign w:val="center"/>
            <w:hideMark/>
          </w:tcPr>
          <w:p w14:paraId="0BE7F01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lastRenderedPageBreak/>
              <w:t>Low Risk.</w:t>
            </w:r>
            <w:r>
              <w:rPr>
                <w:rFonts w:ascii="Times New Roman" w:eastAsia="等线" w:hAnsi="Times New Roman" w:cs="Times New Roman"/>
                <w:color w:val="1F1F1F"/>
                <w:kern w:val="0"/>
                <w:sz w:val="18"/>
                <w:szCs w:val="18"/>
                <w14:ligatures w14:val="none"/>
              </w:rPr>
              <w:t xml:space="preserve"> High reported accuracy in identifying daily activities confirms that the system captures clinically relevant behavioral outcomes.</w:t>
            </w:r>
          </w:p>
        </w:tc>
        <w:tc>
          <w:tcPr>
            <w:tcW w:w="2551" w:type="dxa"/>
            <w:tcMar>
              <w:top w:w="80" w:type="dxa"/>
              <w:left w:w="80" w:type="dxa"/>
              <w:bottom w:w="80" w:type="dxa"/>
              <w:right w:w="80" w:type="dxa"/>
            </w:tcMar>
            <w:vAlign w:val="center"/>
            <w:hideMark/>
          </w:tcPr>
          <w:p w14:paraId="5BF2F31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integration of semantic reasoning with visual data demonstrates a logically sound and stable analytical approach for detection.</w:t>
            </w:r>
          </w:p>
        </w:tc>
        <w:tc>
          <w:tcPr>
            <w:tcW w:w="567" w:type="dxa"/>
            <w:tcMar>
              <w:top w:w="80" w:type="dxa"/>
              <w:left w:w="80" w:type="dxa"/>
              <w:bottom w:w="80" w:type="dxa"/>
              <w:right w:w="80" w:type="dxa"/>
            </w:tcMar>
            <w:vAlign w:val="center"/>
            <w:hideMark/>
          </w:tcPr>
          <w:p w14:paraId="12652E99"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EB96A9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Non-intrusive vision-based systems are ideal for supporting functional independence without the need for wearables.</w:t>
            </w:r>
          </w:p>
        </w:tc>
      </w:tr>
      <w:tr w:rsidR="00A91DD0" w:rsidRPr="006C17CC" w14:paraId="758CFB97" w14:textId="77777777" w:rsidTr="00465626">
        <w:trPr>
          <w:trHeight w:val="1415"/>
        </w:trPr>
        <w:tc>
          <w:tcPr>
            <w:tcW w:w="1555" w:type="dxa"/>
            <w:tcMar>
              <w:top w:w="80" w:type="dxa"/>
              <w:left w:w="80" w:type="dxa"/>
              <w:bottom w:w="80" w:type="dxa"/>
              <w:right w:w="80" w:type="dxa"/>
            </w:tcMar>
            <w:vAlign w:val="center"/>
            <w:hideMark/>
          </w:tcPr>
          <w:p w14:paraId="279AF01E"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7DFA6BD0"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0B06FE4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experimental design ensured that common activities relevant to aging in place were thoroughly modeled and tested.</w:t>
            </w:r>
          </w:p>
        </w:tc>
        <w:tc>
          <w:tcPr>
            <w:tcW w:w="2409" w:type="dxa"/>
            <w:tcMar>
              <w:top w:w="80" w:type="dxa"/>
              <w:left w:w="80" w:type="dxa"/>
              <w:bottom w:w="80" w:type="dxa"/>
              <w:right w:w="80" w:type="dxa"/>
            </w:tcMar>
            <w:vAlign w:val="center"/>
            <w:hideMark/>
          </w:tcPr>
          <w:p w14:paraId="2654C87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Predictors were processed using standardized computer vision algorithms to eliminate subjective assessment errors during feature extraction.</w:t>
            </w:r>
          </w:p>
        </w:tc>
        <w:tc>
          <w:tcPr>
            <w:tcW w:w="2552" w:type="dxa"/>
            <w:tcMar>
              <w:top w:w="80" w:type="dxa"/>
              <w:left w:w="80" w:type="dxa"/>
              <w:bottom w:w="80" w:type="dxa"/>
              <w:right w:w="80" w:type="dxa"/>
            </w:tcMar>
            <w:vAlign w:val="center"/>
            <w:hideMark/>
          </w:tcPr>
          <w:p w14:paraId="1D9BA10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thresholds for activity detection were used to maintain consistency in outcome classification across all test sequences.</w:t>
            </w:r>
          </w:p>
        </w:tc>
        <w:tc>
          <w:tcPr>
            <w:tcW w:w="2551" w:type="dxa"/>
            <w:tcMar>
              <w:top w:w="80" w:type="dxa"/>
              <w:left w:w="80" w:type="dxa"/>
              <w:bottom w:w="80" w:type="dxa"/>
              <w:right w:w="80" w:type="dxa"/>
            </w:tcMar>
            <w:vAlign w:val="center"/>
            <w:hideMark/>
          </w:tcPr>
          <w:p w14:paraId="767D3F9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successful real-time deployment and testing in different rooms confirm the model’s technical stability and practical potential.</w:t>
            </w:r>
          </w:p>
        </w:tc>
        <w:tc>
          <w:tcPr>
            <w:tcW w:w="567" w:type="dxa"/>
            <w:tcMar>
              <w:top w:w="80" w:type="dxa"/>
              <w:left w:w="80" w:type="dxa"/>
              <w:bottom w:w="80" w:type="dxa"/>
              <w:right w:w="80" w:type="dxa"/>
            </w:tcMar>
            <w:vAlign w:val="center"/>
            <w:hideMark/>
          </w:tcPr>
          <w:p w14:paraId="3DFC7617"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194B371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directly supports the goal of independent living by enabling continuous safety monitoring.</w:t>
            </w:r>
          </w:p>
        </w:tc>
      </w:tr>
      <w:tr w:rsidR="00A91DD0" w14:paraId="095D29BC" w14:textId="77777777">
        <w:tc>
          <w:tcPr>
            <w:tcW w:w="1555" w:type="dxa"/>
            <w:tcMar>
              <w:top w:w="80" w:type="dxa"/>
              <w:left w:w="80" w:type="dxa"/>
              <w:bottom w:w="80" w:type="dxa"/>
              <w:right w:w="80" w:type="dxa"/>
            </w:tcMar>
            <w:vAlign w:val="center"/>
          </w:tcPr>
          <w:p w14:paraId="3C9CBD54" w14:textId="77777777" w:rsidR="00A91DD0" w:rsidRDefault="00A91DD0" w:rsidP="00A91DD0">
            <w:pPr>
              <w:jc w:val="center"/>
              <w:rPr>
                <w:rFonts w:hint="eastAsia"/>
              </w:rPr>
            </w:pPr>
            <w:r>
              <w:rPr>
                <w:rFonts w:ascii="Times New Roman" w:hAnsi="Times New Roman" w:cs="Times New Roman"/>
                <w:sz w:val="18"/>
              </w:rPr>
              <w:t>(Payandeh and Chiu, 2019)</w:t>
            </w:r>
          </w:p>
        </w:tc>
        <w:tc>
          <w:tcPr>
            <w:tcW w:w="567" w:type="dxa"/>
            <w:tcMar>
              <w:top w:w="80" w:type="dxa"/>
              <w:left w:w="80" w:type="dxa"/>
              <w:bottom w:w="80" w:type="dxa"/>
              <w:right w:w="80" w:type="dxa"/>
            </w:tcMar>
            <w:vAlign w:val="center"/>
          </w:tcPr>
          <w:p w14:paraId="64180187"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07FF72DC" w14:textId="77777777" w:rsidR="00A91DD0" w:rsidRDefault="00A91DD0" w:rsidP="00A91DD0">
            <w:pPr>
              <w:jc w:val="left"/>
              <w:rPr>
                <w:rFonts w:hint="eastAsia"/>
              </w:rPr>
            </w:pPr>
            <w:r>
              <w:rPr>
                <w:rFonts w:ascii="Times New Roman" w:hAnsi="Times New Roman" w:cs="Times New Roman"/>
                <w:sz w:val="18"/>
              </w:rPr>
              <w:t>High Risk. Data sources were public, secondary, single case, or simulated and were insufficiently representative.</w:t>
            </w:r>
          </w:p>
        </w:tc>
        <w:tc>
          <w:tcPr>
            <w:tcW w:w="2409" w:type="dxa"/>
            <w:tcMar>
              <w:top w:w="80" w:type="dxa"/>
              <w:left w:w="80" w:type="dxa"/>
              <w:bottom w:w="80" w:type="dxa"/>
              <w:right w:w="80" w:type="dxa"/>
            </w:tcMar>
            <w:vAlign w:val="center"/>
          </w:tcPr>
          <w:p w14:paraId="6DE61B17" w14:textId="77777777" w:rsidR="00A91DD0" w:rsidRDefault="00A91DD0" w:rsidP="00A91DD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2FAA31E6" w14:textId="77777777" w:rsidR="00A91DD0" w:rsidRDefault="00A91DD0" w:rsidP="00A91DD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2F4917CD" w14:textId="77777777" w:rsidR="00A91DD0" w:rsidRDefault="00A91DD0" w:rsidP="00A91DD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2222E5BF"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2FD494CC" w14:textId="77777777" w:rsidR="00A91DD0" w:rsidRDefault="00A91DD0" w:rsidP="00A91DD0">
            <w:pPr>
              <w:jc w:val="left"/>
              <w:rPr>
                <w:rFonts w:hint="eastAsia"/>
              </w:rPr>
            </w:pPr>
            <w:r>
              <w:rPr>
                <w:rFonts w:ascii="Times New Roman" w:hAnsi="Times New Roman" w:cs="Times New Roman"/>
                <w:sz w:val="18"/>
              </w:rPr>
              <w:t>High Concern. Applicability to the target review question was limited.</w:t>
            </w:r>
          </w:p>
        </w:tc>
      </w:tr>
      <w:tr w:rsidR="00A91DD0" w14:paraId="15879AD1" w14:textId="77777777">
        <w:tc>
          <w:tcPr>
            <w:tcW w:w="1555" w:type="dxa"/>
            <w:tcMar>
              <w:top w:w="80" w:type="dxa"/>
              <w:left w:w="80" w:type="dxa"/>
              <w:bottom w:w="80" w:type="dxa"/>
              <w:right w:w="80" w:type="dxa"/>
            </w:tcMar>
            <w:vAlign w:val="center"/>
          </w:tcPr>
          <w:p w14:paraId="5616B9AF"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40DE44BE"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2A000285" w14:textId="77777777" w:rsidR="00A91DD0" w:rsidRDefault="00A91DD0" w:rsidP="00A91DD0">
            <w:pPr>
              <w:jc w:val="left"/>
              <w:rPr>
                <w:rFonts w:hint="eastAsia"/>
              </w:rPr>
            </w:pPr>
            <w:r>
              <w:rPr>
                <w:rFonts w:ascii="Times New Roman" w:hAnsi="Times New Roman" w:cs="Times New Roman"/>
                <w:sz w:val="18"/>
              </w:rPr>
              <w:t>High Risk. Data sources were public, secondary, single case, or simulated and were not sufficiently representative.</w:t>
            </w:r>
          </w:p>
        </w:tc>
        <w:tc>
          <w:tcPr>
            <w:tcW w:w="2409" w:type="dxa"/>
            <w:tcMar>
              <w:top w:w="80" w:type="dxa"/>
              <w:left w:w="80" w:type="dxa"/>
              <w:bottom w:w="80" w:type="dxa"/>
              <w:right w:w="80" w:type="dxa"/>
            </w:tcMar>
            <w:vAlign w:val="center"/>
          </w:tcPr>
          <w:p w14:paraId="5D6D6575" w14:textId="77777777" w:rsidR="00A91DD0" w:rsidRDefault="00A91DD0" w:rsidP="00A91DD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48DA1BBC" w14:textId="77777777" w:rsidR="00A91DD0" w:rsidRDefault="00A91DD0" w:rsidP="00A91DD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7266DA27" w14:textId="77777777" w:rsidR="00A91DD0" w:rsidRDefault="00A91DD0" w:rsidP="00A91DD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6ECC08B8"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2477731B" w14:textId="77777777" w:rsidR="00A91DD0" w:rsidRDefault="00A91DD0" w:rsidP="00A91DD0">
            <w:pPr>
              <w:jc w:val="left"/>
              <w:rPr>
                <w:rFonts w:hint="eastAsia"/>
              </w:rPr>
            </w:pPr>
            <w:r>
              <w:rPr>
                <w:rFonts w:ascii="Times New Roman" w:hAnsi="Times New Roman" w:cs="Times New Roman"/>
                <w:sz w:val="18"/>
              </w:rPr>
              <w:t>High Concern. Applicability to the target review question was limited.</w:t>
            </w:r>
          </w:p>
        </w:tc>
      </w:tr>
      <w:tr w:rsidR="00A91DD0" w14:paraId="57F69E65" w14:textId="77777777">
        <w:tc>
          <w:tcPr>
            <w:tcW w:w="1555" w:type="dxa"/>
            <w:tcMar>
              <w:top w:w="80" w:type="dxa"/>
              <w:left w:w="80" w:type="dxa"/>
              <w:bottom w:w="80" w:type="dxa"/>
              <w:right w:w="80" w:type="dxa"/>
            </w:tcMar>
            <w:vAlign w:val="center"/>
          </w:tcPr>
          <w:p w14:paraId="0E4B0CC2" w14:textId="77777777" w:rsidR="00A91DD0" w:rsidRDefault="00A91DD0" w:rsidP="00A91DD0">
            <w:pPr>
              <w:jc w:val="center"/>
              <w:rPr>
                <w:rFonts w:hint="eastAsia"/>
              </w:rPr>
            </w:pPr>
            <w:r>
              <w:rPr>
                <w:rFonts w:ascii="Times New Roman" w:hAnsi="Times New Roman" w:cs="Times New Roman"/>
                <w:sz w:val="18"/>
              </w:rPr>
              <w:t>(Plass and Klauer, 2024)</w:t>
            </w:r>
          </w:p>
        </w:tc>
        <w:tc>
          <w:tcPr>
            <w:tcW w:w="567" w:type="dxa"/>
            <w:tcMar>
              <w:top w:w="80" w:type="dxa"/>
              <w:left w:w="80" w:type="dxa"/>
              <w:bottom w:w="80" w:type="dxa"/>
              <w:right w:w="80" w:type="dxa"/>
            </w:tcMar>
            <w:vAlign w:val="center"/>
          </w:tcPr>
          <w:p w14:paraId="7035373B"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4494BA95" w14:textId="77777777" w:rsidR="00A91DD0" w:rsidRDefault="00A91DD0" w:rsidP="00A91DD0">
            <w:pPr>
              <w:jc w:val="left"/>
              <w:rPr>
                <w:rFonts w:hint="eastAsia"/>
              </w:rPr>
            </w:pPr>
            <w:r>
              <w:rPr>
                <w:rFonts w:ascii="Times New Roman" w:hAnsi="Times New Roman" w:cs="Times New Roman"/>
                <w:sz w:val="18"/>
              </w:rPr>
              <w:t>High Risk. The evidence came from prototype or experimental settings.</w:t>
            </w:r>
          </w:p>
        </w:tc>
        <w:tc>
          <w:tcPr>
            <w:tcW w:w="2409" w:type="dxa"/>
            <w:tcMar>
              <w:top w:w="80" w:type="dxa"/>
              <w:left w:w="80" w:type="dxa"/>
              <w:bottom w:w="80" w:type="dxa"/>
              <w:right w:w="80" w:type="dxa"/>
            </w:tcMar>
            <w:vAlign w:val="center"/>
          </w:tcPr>
          <w:p w14:paraId="18C6D28E" w14:textId="77777777" w:rsidR="00A91DD0" w:rsidRDefault="00A91DD0" w:rsidP="00A91DD0">
            <w:pPr>
              <w:jc w:val="left"/>
              <w:rPr>
                <w:rFonts w:hint="eastAsia"/>
              </w:rPr>
            </w:pPr>
            <w:r>
              <w:rPr>
                <w:rFonts w:ascii="Times New Roman" w:hAnsi="Times New Roman" w:cs="Times New Roman"/>
                <w:sz w:val="18"/>
              </w:rPr>
              <w:t>Low Risk. Predictors were technically specified.</w:t>
            </w:r>
          </w:p>
        </w:tc>
        <w:tc>
          <w:tcPr>
            <w:tcW w:w="2552" w:type="dxa"/>
            <w:tcMar>
              <w:top w:w="80" w:type="dxa"/>
              <w:left w:w="80" w:type="dxa"/>
              <w:bottom w:w="80" w:type="dxa"/>
              <w:right w:w="80" w:type="dxa"/>
            </w:tcMar>
            <w:vAlign w:val="center"/>
          </w:tcPr>
          <w:p w14:paraId="1E883EB2" w14:textId="77777777" w:rsidR="00A91DD0" w:rsidRDefault="00A91DD0" w:rsidP="00A91DD0">
            <w:pPr>
              <w:jc w:val="left"/>
              <w:rPr>
                <w:rFonts w:hint="eastAsia"/>
              </w:rPr>
            </w:pPr>
            <w:r>
              <w:rPr>
                <w:rFonts w:ascii="Times New Roman" w:hAnsi="Times New Roman" w:cs="Times New Roman"/>
                <w:sz w:val="18"/>
              </w:rPr>
              <w:t>High Risk. Outcomes were technical performance endpoints.</w:t>
            </w:r>
          </w:p>
        </w:tc>
        <w:tc>
          <w:tcPr>
            <w:tcW w:w="2551" w:type="dxa"/>
            <w:tcMar>
              <w:top w:w="80" w:type="dxa"/>
              <w:left w:w="80" w:type="dxa"/>
              <w:bottom w:w="80" w:type="dxa"/>
              <w:right w:w="80" w:type="dxa"/>
            </w:tcMar>
            <w:vAlign w:val="center"/>
          </w:tcPr>
          <w:p w14:paraId="6BD9F37A" w14:textId="77777777" w:rsidR="00A91DD0" w:rsidRDefault="00A91DD0" w:rsidP="00A91DD0">
            <w:pPr>
              <w:jc w:val="left"/>
              <w:rPr>
                <w:rFonts w:hint="eastAsia"/>
              </w:rPr>
            </w:pPr>
            <w:r>
              <w:rPr>
                <w:rFonts w:ascii="Times New Roman" w:hAnsi="Times New Roman" w:cs="Times New Roman"/>
                <w:sz w:val="18"/>
              </w:rPr>
              <w:t>High Risk. Validation was insufficient for model reliability.</w:t>
            </w:r>
          </w:p>
        </w:tc>
        <w:tc>
          <w:tcPr>
            <w:tcW w:w="567" w:type="dxa"/>
            <w:tcMar>
              <w:top w:w="80" w:type="dxa"/>
              <w:left w:w="80" w:type="dxa"/>
              <w:bottom w:w="80" w:type="dxa"/>
              <w:right w:w="80" w:type="dxa"/>
            </w:tcMar>
            <w:vAlign w:val="center"/>
          </w:tcPr>
          <w:p w14:paraId="235E6DBB"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78A473AD" w14:textId="77777777" w:rsidR="00A91DD0" w:rsidRDefault="00A91DD0" w:rsidP="00A91DD0">
            <w:pPr>
              <w:jc w:val="left"/>
              <w:rPr>
                <w:rFonts w:hint="eastAsia"/>
              </w:rPr>
            </w:pPr>
            <w:r>
              <w:rPr>
                <w:rFonts w:ascii="Times New Roman" w:hAnsi="Times New Roman" w:cs="Times New Roman"/>
                <w:sz w:val="18"/>
              </w:rPr>
              <w:t>High Concern. Applicability to aging in place outcomes was limited.</w:t>
            </w:r>
          </w:p>
        </w:tc>
      </w:tr>
      <w:tr w:rsidR="00A91DD0" w14:paraId="6EF5A751" w14:textId="77777777">
        <w:tc>
          <w:tcPr>
            <w:tcW w:w="1555" w:type="dxa"/>
            <w:tcMar>
              <w:top w:w="80" w:type="dxa"/>
              <w:left w:w="80" w:type="dxa"/>
              <w:bottom w:w="80" w:type="dxa"/>
              <w:right w:w="80" w:type="dxa"/>
            </w:tcMar>
            <w:vAlign w:val="center"/>
          </w:tcPr>
          <w:p w14:paraId="2B276DEC"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22B0B96C"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70C63109" w14:textId="77777777" w:rsidR="00A91DD0" w:rsidRDefault="00A91DD0" w:rsidP="00A91DD0">
            <w:pPr>
              <w:jc w:val="left"/>
              <w:rPr>
                <w:rFonts w:hint="eastAsia"/>
              </w:rPr>
            </w:pPr>
            <w:r>
              <w:rPr>
                <w:rFonts w:ascii="Times New Roman" w:hAnsi="Times New Roman" w:cs="Times New Roman"/>
                <w:sz w:val="18"/>
              </w:rPr>
              <w:t>High Risk. The evidence came from prototype or experimental settings.</w:t>
            </w:r>
          </w:p>
        </w:tc>
        <w:tc>
          <w:tcPr>
            <w:tcW w:w="2409" w:type="dxa"/>
            <w:tcMar>
              <w:top w:w="80" w:type="dxa"/>
              <w:left w:w="80" w:type="dxa"/>
              <w:bottom w:w="80" w:type="dxa"/>
              <w:right w:w="80" w:type="dxa"/>
            </w:tcMar>
            <w:vAlign w:val="center"/>
          </w:tcPr>
          <w:p w14:paraId="7E540713" w14:textId="77777777" w:rsidR="00A91DD0" w:rsidRDefault="00A91DD0" w:rsidP="00A91DD0">
            <w:pPr>
              <w:jc w:val="left"/>
              <w:rPr>
                <w:rFonts w:hint="eastAsia"/>
              </w:rPr>
            </w:pPr>
            <w:r>
              <w:rPr>
                <w:rFonts w:ascii="Times New Roman" w:hAnsi="Times New Roman" w:cs="Times New Roman"/>
                <w:sz w:val="18"/>
              </w:rPr>
              <w:t>Low Risk. Predictors were technically specified.</w:t>
            </w:r>
          </w:p>
        </w:tc>
        <w:tc>
          <w:tcPr>
            <w:tcW w:w="2552" w:type="dxa"/>
            <w:tcMar>
              <w:top w:w="80" w:type="dxa"/>
              <w:left w:w="80" w:type="dxa"/>
              <w:bottom w:w="80" w:type="dxa"/>
              <w:right w:w="80" w:type="dxa"/>
            </w:tcMar>
            <w:vAlign w:val="center"/>
          </w:tcPr>
          <w:p w14:paraId="78A057D0" w14:textId="77777777" w:rsidR="00A91DD0" w:rsidRDefault="00A91DD0" w:rsidP="00A91DD0">
            <w:pPr>
              <w:jc w:val="left"/>
              <w:rPr>
                <w:rFonts w:hint="eastAsia"/>
              </w:rPr>
            </w:pPr>
            <w:r>
              <w:rPr>
                <w:rFonts w:ascii="Times New Roman" w:hAnsi="Times New Roman" w:cs="Times New Roman"/>
                <w:sz w:val="18"/>
              </w:rPr>
              <w:t>High Risk. Outcomes were technical performance endpoints.</w:t>
            </w:r>
          </w:p>
        </w:tc>
        <w:tc>
          <w:tcPr>
            <w:tcW w:w="2551" w:type="dxa"/>
            <w:tcMar>
              <w:top w:w="80" w:type="dxa"/>
              <w:left w:w="80" w:type="dxa"/>
              <w:bottom w:w="80" w:type="dxa"/>
              <w:right w:w="80" w:type="dxa"/>
            </w:tcMar>
            <w:vAlign w:val="center"/>
          </w:tcPr>
          <w:p w14:paraId="3A55C6C4" w14:textId="77777777" w:rsidR="00A91DD0" w:rsidRDefault="00A91DD0" w:rsidP="00A91DD0">
            <w:pPr>
              <w:jc w:val="left"/>
              <w:rPr>
                <w:rFonts w:hint="eastAsia"/>
              </w:rPr>
            </w:pPr>
            <w:r>
              <w:rPr>
                <w:rFonts w:ascii="Times New Roman" w:hAnsi="Times New Roman" w:cs="Times New Roman"/>
                <w:sz w:val="18"/>
              </w:rPr>
              <w:t>High Risk. Validation was insufficient for model reliability.</w:t>
            </w:r>
          </w:p>
        </w:tc>
        <w:tc>
          <w:tcPr>
            <w:tcW w:w="567" w:type="dxa"/>
            <w:tcMar>
              <w:top w:w="80" w:type="dxa"/>
              <w:left w:w="80" w:type="dxa"/>
              <w:bottom w:w="80" w:type="dxa"/>
              <w:right w:w="80" w:type="dxa"/>
            </w:tcMar>
            <w:vAlign w:val="center"/>
          </w:tcPr>
          <w:p w14:paraId="07B71EF4"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172B30A3" w14:textId="77777777" w:rsidR="00A91DD0" w:rsidRDefault="00A91DD0" w:rsidP="00A91DD0">
            <w:pPr>
              <w:jc w:val="left"/>
              <w:rPr>
                <w:rFonts w:hint="eastAsia"/>
              </w:rPr>
            </w:pPr>
            <w:r>
              <w:rPr>
                <w:rFonts w:ascii="Times New Roman" w:hAnsi="Times New Roman" w:cs="Times New Roman"/>
                <w:sz w:val="18"/>
              </w:rPr>
              <w:t>High Concern. Applicability to aging in place outcomes was limited.</w:t>
            </w:r>
          </w:p>
        </w:tc>
      </w:tr>
      <w:tr w:rsidR="00A91DD0" w:rsidRPr="006C17CC" w14:paraId="1C9B0A7F" w14:textId="77777777" w:rsidTr="00465626">
        <w:trPr>
          <w:trHeight w:val="1415"/>
        </w:trPr>
        <w:tc>
          <w:tcPr>
            <w:tcW w:w="1555" w:type="dxa"/>
            <w:tcMar>
              <w:top w:w="80" w:type="dxa"/>
              <w:left w:w="80" w:type="dxa"/>
              <w:bottom w:w="80" w:type="dxa"/>
              <w:right w:w="80" w:type="dxa"/>
            </w:tcMar>
            <w:vAlign w:val="center"/>
            <w:hideMark/>
          </w:tcPr>
          <w:p w14:paraId="6120C0EA"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lastRenderedPageBreak/>
              <w:t>(Pogorelc et al., 2012)</w:t>
            </w:r>
          </w:p>
        </w:tc>
        <w:tc>
          <w:tcPr>
            <w:tcW w:w="567" w:type="dxa"/>
            <w:tcMar>
              <w:top w:w="80" w:type="dxa"/>
              <w:left w:w="80" w:type="dxa"/>
              <w:bottom w:w="80" w:type="dxa"/>
              <w:right w:w="80" w:type="dxa"/>
            </w:tcMar>
            <w:vAlign w:val="center"/>
            <w:hideMark/>
          </w:tcPr>
          <w:p w14:paraId="4095BFD4"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4BECF44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For a technical feasibility study, the data captured from the sensors provides a sufficient foundation for algorithm validation.</w:t>
            </w:r>
          </w:p>
        </w:tc>
        <w:tc>
          <w:tcPr>
            <w:tcW w:w="2409" w:type="dxa"/>
            <w:tcMar>
              <w:top w:w="80" w:type="dxa"/>
              <w:left w:w="80" w:type="dxa"/>
              <w:bottom w:w="80" w:type="dxa"/>
              <w:right w:w="80" w:type="dxa"/>
            </w:tcMar>
            <w:vAlign w:val="center"/>
            <w:hideMark/>
          </w:tcPr>
          <w:p w14:paraId="5C64B7A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semantic features based on medical knowledge ensures that the predictors are clinically meaningful and reliable.</w:t>
            </w:r>
          </w:p>
        </w:tc>
        <w:tc>
          <w:tcPr>
            <w:tcW w:w="2552" w:type="dxa"/>
            <w:tcMar>
              <w:top w:w="80" w:type="dxa"/>
              <w:left w:w="80" w:type="dxa"/>
              <w:bottom w:w="80" w:type="dxa"/>
              <w:right w:w="80" w:type="dxa"/>
            </w:tcMar>
            <w:vAlign w:val="center"/>
            <w:hideMark/>
          </w:tcPr>
          <w:p w14:paraId="1EE5D29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classification of 5 distinct gait types provides a multi-faceted outcome that is highly relevant for geriatric care.</w:t>
            </w:r>
          </w:p>
        </w:tc>
        <w:tc>
          <w:tcPr>
            <w:tcW w:w="2551" w:type="dxa"/>
            <w:tcMar>
              <w:top w:w="80" w:type="dxa"/>
              <w:left w:w="80" w:type="dxa"/>
              <w:bottom w:w="80" w:type="dxa"/>
              <w:right w:w="80" w:type="dxa"/>
            </w:tcMar>
            <w:vAlign w:val="center"/>
            <w:hideMark/>
          </w:tcPr>
          <w:p w14:paraId="71CDA82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Performance evaluation against different noise levels and tag configurations confirms the technical stability of the model.</w:t>
            </w:r>
          </w:p>
        </w:tc>
        <w:tc>
          <w:tcPr>
            <w:tcW w:w="567" w:type="dxa"/>
            <w:tcMar>
              <w:top w:w="80" w:type="dxa"/>
              <w:left w:w="80" w:type="dxa"/>
              <w:bottom w:w="80" w:type="dxa"/>
              <w:right w:w="80" w:type="dxa"/>
            </w:tcMar>
            <w:vAlign w:val="center"/>
            <w:hideMark/>
          </w:tcPr>
          <w:p w14:paraId="79B9A9B3"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2B032D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Automated diagnosis explanation enhances the usability of the system for both physicians and elderly users.</w:t>
            </w:r>
          </w:p>
        </w:tc>
      </w:tr>
      <w:tr w:rsidR="00A91DD0" w:rsidRPr="006C17CC" w14:paraId="4632FAF8" w14:textId="77777777" w:rsidTr="00465626">
        <w:trPr>
          <w:trHeight w:val="1415"/>
        </w:trPr>
        <w:tc>
          <w:tcPr>
            <w:tcW w:w="1555" w:type="dxa"/>
            <w:tcMar>
              <w:top w:w="80" w:type="dxa"/>
              <w:left w:w="80" w:type="dxa"/>
              <w:bottom w:w="80" w:type="dxa"/>
              <w:right w:w="80" w:type="dxa"/>
            </w:tcMar>
            <w:vAlign w:val="center"/>
            <w:hideMark/>
          </w:tcPr>
          <w:p w14:paraId="02EE59F2"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0CFD480C"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6BC1B18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experimental design ensured that various gait abnormalities were systematically modeled for training the classifier.</w:t>
            </w:r>
          </w:p>
        </w:tc>
        <w:tc>
          <w:tcPr>
            <w:tcW w:w="2409" w:type="dxa"/>
            <w:tcMar>
              <w:top w:w="80" w:type="dxa"/>
              <w:left w:w="80" w:type="dxa"/>
              <w:bottom w:w="80" w:type="dxa"/>
              <w:right w:w="80" w:type="dxa"/>
            </w:tcMar>
            <w:vAlign w:val="center"/>
            <w:hideMark/>
          </w:tcPr>
          <w:p w14:paraId="00C374B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engineering reduces human error and provides a consistent set of predictors for the classification task.</w:t>
            </w:r>
          </w:p>
        </w:tc>
        <w:tc>
          <w:tcPr>
            <w:tcW w:w="2552" w:type="dxa"/>
            <w:tcMar>
              <w:top w:w="80" w:type="dxa"/>
              <w:left w:w="80" w:type="dxa"/>
              <w:bottom w:w="80" w:type="dxa"/>
              <w:right w:w="80" w:type="dxa"/>
            </w:tcMar>
            <w:vAlign w:val="center"/>
            <w:hideMark/>
          </w:tcPr>
          <w:p w14:paraId="6561CA3A"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Pre-specified health problem categories ensure that the model is trained to recognize outcomes that support aging in place.</w:t>
            </w:r>
          </w:p>
        </w:tc>
        <w:tc>
          <w:tcPr>
            <w:tcW w:w="2551" w:type="dxa"/>
            <w:tcMar>
              <w:top w:w="80" w:type="dxa"/>
              <w:left w:w="80" w:type="dxa"/>
              <w:bottom w:w="80" w:type="dxa"/>
              <w:right w:w="80" w:type="dxa"/>
            </w:tcMar>
            <w:vAlign w:val="center"/>
            <w:hideMark/>
          </w:tcPr>
          <w:p w14:paraId="7397F7E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accuracy scores across multiple tests demonstrate the strong discriminative power of the proposed semantic features.</w:t>
            </w:r>
          </w:p>
        </w:tc>
        <w:tc>
          <w:tcPr>
            <w:tcW w:w="567" w:type="dxa"/>
            <w:tcMar>
              <w:top w:w="80" w:type="dxa"/>
              <w:left w:w="80" w:type="dxa"/>
              <w:bottom w:w="80" w:type="dxa"/>
              <w:right w:w="80" w:type="dxa"/>
            </w:tcMar>
            <w:vAlign w:val="center"/>
            <w:hideMark/>
          </w:tcPr>
          <w:p w14:paraId="280F10C5"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5032F1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approach is highly applicable to proactive health management and early intervention for independent seniors.</w:t>
            </w:r>
          </w:p>
        </w:tc>
      </w:tr>
      <w:tr w:rsidR="00A91DD0" w:rsidRPr="006C17CC" w14:paraId="31E41078" w14:textId="77777777" w:rsidTr="00465626">
        <w:trPr>
          <w:trHeight w:val="1132"/>
        </w:trPr>
        <w:tc>
          <w:tcPr>
            <w:tcW w:w="1555" w:type="dxa"/>
            <w:noWrap/>
            <w:tcMar>
              <w:top w:w="80" w:type="dxa"/>
              <w:left w:w="80" w:type="dxa"/>
              <w:bottom w:w="80" w:type="dxa"/>
              <w:right w:w="80" w:type="dxa"/>
            </w:tcMar>
            <w:vAlign w:val="center"/>
            <w:hideMark/>
          </w:tcPr>
          <w:p w14:paraId="2CD2E5F8"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(Qiu et al., 2018)</w:t>
            </w:r>
          </w:p>
        </w:tc>
        <w:tc>
          <w:tcPr>
            <w:tcW w:w="567" w:type="dxa"/>
            <w:tcMar>
              <w:top w:w="80" w:type="dxa"/>
              <w:left w:w="80" w:type="dxa"/>
              <w:bottom w:w="80" w:type="dxa"/>
              <w:right w:w="80" w:type="dxa"/>
            </w:tcMar>
            <w:vAlign w:val="center"/>
            <w:hideMark/>
          </w:tcPr>
          <w:p w14:paraId="31CD27D2"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267D7D2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massive sample size significantly reduces the margin of error and enhances the stability of risk estimates.</w:t>
            </w:r>
          </w:p>
        </w:tc>
        <w:tc>
          <w:tcPr>
            <w:tcW w:w="2409" w:type="dxa"/>
            <w:tcMar>
              <w:top w:w="80" w:type="dxa"/>
              <w:left w:w="80" w:type="dxa"/>
              <w:bottom w:w="80" w:type="dxa"/>
              <w:right w:w="80" w:type="dxa"/>
            </w:tcMar>
            <w:vAlign w:val="center"/>
            <w:hideMark/>
          </w:tcPr>
          <w:p w14:paraId="37362CA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multifaceted questionnaire captures a holistic view of the elderly person’s life, from health to social status.</w:t>
            </w:r>
          </w:p>
        </w:tc>
        <w:tc>
          <w:tcPr>
            <w:tcW w:w="2552" w:type="dxa"/>
            <w:tcMar>
              <w:top w:w="80" w:type="dxa"/>
              <w:left w:w="80" w:type="dxa"/>
              <w:bottom w:w="80" w:type="dxa"/>
              <w:right w:w="80" w:type="dxa"/>
            </w:tcMar>
            <w:vAlign w:val="center"/>
            <w:hideMark/>
          </w:tcPr>
          <w:p w14:paraId="345C28C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Self-reported fall history is a widely accepted outcome measure in large-scale public health surveys.</w:t>
            </w:r>
          </w:p>
        </w:tc>
        <w:tc>
          <w:tcPr>
            <w:tcW w:w="2551" w:type="dxa"/>
            <w:tcMar>
              <w:top w:w="80" w:type="dxa"/>
              <w:left w:w="80" w:type="dxa"/>
              <w:bottom w:w="80" w:type="dxa"/>
              <w:right w:w="80" w:type="dxa"/>
            </w:tcMar>
            <w:vAlign w:val="center"/>
            <w:hideMark/>
          </w:tcPr>
          <w:p w14:paraId="4E95753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Advanced algorithms like XGBoost were used to handle complex interactions between 139 different features.</w:t>
            </w:r>
          </w:p>
        </w:tc>
        <w:tc>
          <w:tcPr>
            <w:tcW w:w="567" w:type="dxa"/>
            <w:tcMar>
              <w:top w:w="80" w:type="dxa"/>
              <w:left w:w="80" w:type="dxa"/>
              <w:bottom w:w="80" w:type="dxa"/>
              <w:right w:w="80" w:type="dxa"/>
            </w:tcMar>
            <w:vAlign w:val="center"/>
            <w:hideMark/>
          </w:tcPr>
          <w:p w14:paraId="56BFBDA3"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14DB088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These insights are invaluable for developing data-driven health policies for aging in place.</w:t>
            </w:r>
          </w:p>
        </w:tc>
      </w:tr>
      <w:tr w:rsidR="00A91DD0" w:rsidRPr="006C17CC" w14:paraId="5933BB96" w14:textId="77777777" w:rsidTr="00465626">
        <w:trPr>
          <w:trHeight w:val="1132"/>
        </w:trPr>
        <w:tc>
          <w:tcPr>
            <w:tcW w:w="1555" w:type="dxa"/>
            <w:tcMar>
              <w:top w:w="80" w:type="dxa"/>
              <w:left w:w="80" w:type="dxa"/>
              <w:bottom w:w="80" w:type="dxa"/>
              <w:right w:w="80" w:type="dxa"/>
            </w:tcMar>
            <w:vAlign w:val="center"/>
            <w:hideMark/>
          </w:tcPr>
          <w:p w14:paraId="1558A01E"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04034E2F"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0DDB05C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Strict exclusion criteria (e.g., excluding those with neurological diseases) ensured high data quality.</w:t>
            </w:r>
          </w:p>
        </w:tc>
        <w:tc>
          <w:tcPr>
            <w:tcW w:w="2409" w:type="dxa"/>
            <w:tcMar>
              <w:top w:w="80" w:type="dxa"/>
              <w:left w:w="80" w:type="dxa"/>
              <w:bottom w:w="80" w:type="dxa"/>
              <w:right w:w="80" w:type="dxa"/>
            </w:tcMar>
            <w:vAlign w:val="center"/>
            <w:hideMark/>
          </w:tcPr>
          <w:p w14:paraId="2679F06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All predictors were assessed without knowledge of the outcome status during the physical tests.</w:t>
            </w:r>
          </w:p>
        </w:tc>
        <w:tc>
          <w:tcPr>
            <w:tcW w:w="2552" w:type="dxa"/>
            <w:tcMar>
              <w:top w:w="80" w:type="dxa"/>
              <w:left w:w="80" w:type="dxa"/>
              <w:bottom w:w="80" w:type="dxa"/>
              <w:right w:w="80" w:type="dxa"/>
            </w:tcMar>
            <w:vAlign w:val="center"/>
            <w:hideMark/>
          </w:tcPr>
          <w:p w14:paraId="2F074C1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definitions for “fallers” (at least one fall in the previous year) were applied to all subjects.</w:t>
            </w:r>
          </w:p>
        </w:tc>
        <w:tc>
          <w:tcPr>
            <w:tcW w:w="2551" w:type="dxa"/>
            <w:tcMar>
              <w:top w:w="80" w:type="dxa"/>
              <w:left w:w="80" w:type="dxa"/>
              <w:bottom w:w="80" w:type="dxa"/>
              <w:right w:w="80" w:type="dxa"/>
            </w:tcMar>
            <w:vAlign w:val="center"/>
            <w:hideMark/>
          </w:tcPr>
          <w:p w14:paraId="4600126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feature selection techniques ensured that only the most relevant sensor metrics were included in the model.</w:t>
            </w:r>
          </w:p>
        </w:tc>
        <w:tc>
          <w:tcPr>
            <w:tcW w:w="567" w:type="dxa"/>
            <w:tcMar>
              <w:top w:w="80" w:type="dxa"/>
              <w:left w:w="80" w:type="dxa"/>
              <w:bottom w:w="80" w:type="dxa"/>
              <w:right w:w="80" w:type="dxa"/>
            </w:tcMar>
            <w:vAlign w:val="center"/>
            <w:hideMark/>
          </w:tcPr>
          <w:p w14:paraId="0BCF151F"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26A0AF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Identifying specific movement deficits in older women is highly applicable to personalized care strategies.</w:t>
            </w:r>
          </w:p>
        </w:tc>
      </w:tr>
      <w:tr w:rsidR="00A91DD0" w14:paraId="75E95AAC" w14:textId="77777777">
        <w:tc>
          <w:tcPr>
            <w:tcW w:w="1555" w:type="dxa"/>
            <w:tcMar>
              <w:top w:w="80" w:type="dxa"/>
              <w:left w:w="80" w:type="dxa"/>
              <w:bottom w:w="80" w:type="dxa"/>
              <w:right w:w="80" w:type="dxa"/>
            </w:tcMar>
            <w:vAlign w:val="center"/>
          </w:tcPr>
          <w:p w14:paraId="30B04E1F" w14:textId="77777777" w:rsidR="00A91DD0" w:rsidRDefault="00A91DD0" w:rsidP="00A91DD0">
            <w:pPr>
              <w:jc w:val="center"/>
              <w:rPr>
                <w:rFonts w:hint="eastAsia"/>
              </w:rPr>
            </w:pPr>
            <w:r>
              <w:rPr>
                <w:rFonts w:ascii="Times New Roman" w:hAnsi="Times New Roman" w:cs="Times New Roman"/>
                <w:sz w:val="18"/>
              </w:rPr>
              <w:t>(Ramanujam and Perumal, 2023)</w:t>
            </w:r>
          </w:p>
        </w:tc>
        <w:tc>
          <w:tcPr>
            <w:tcW w:w="567" w:type="dxa"/>
            <w:tcMar>
              <w:top w:w="80" w:type="dxa"/>
              <w:left w:w="80" w:type="dxa"/>
              <w:bottom w:w="80" w:type="dxa"/>
              <w:right w:w="80" w:type="dxa"/>
            </w:tcMar>
            <w:vAlign w:val="center"/>
          </w:tcPr>
          <w:p w14:paraId="76B1D2ED"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1EF5BBDF" w14:textId="77777777" w:rsidR="00A91DD0" w:rsidRDefault="00A91DD0" w:rsidP="00A91DD0">
            <w:pPr>
              <w:jc w:val="left"/>
              <w:rPr>
                <w:rFonts w:hint="eastAsia"/>
              </w:rPr>
            </w:pPr>
            <w:r>
              <w:rPr>
                <w:rFonts w:ascii="Times New Roman" w:hAnsi="Times New Roman" w:cs="Times New Roman"/>
                <w:sz w:val="18"/>
              </w:rPr>
              <w:t>High Risk. Public benchmark datasets were not designed for clinical aging in place appraisal.</w:t>
            </w:r>
          </w:p>
        </w:tc>
        <w:tc>
          <w:tcPr>
            <w:tcW w:w="2409" w:type="dxa"/>
            <w:tcMar>
              <w:top w:w="80" w:type="dxa"/>
              <w:left w:w="80" w:type="dxa"/>
              <w:bottom w:w="80" w:type="dxa"/>
              <w:right w:w="80" w:type="dxa"/>
            </w:tcMar>
            <w:vAlign w:val="center"/>
          </w:tcPr>
          <w:p w14:paraId="54351188" w14:textId="77777777" w:rsidR="00A91DD0" w:rsidRDefault="00A91DD0" w:rsidP="00A91DD0">
            <w:pPr>
              <w:jc w:val="left"/>
              <w:rPr>
                <w:rFonts w:hint="eastAsia"/>
              </w:rPr>
            </w:pPr>
            <w:r>
              <w:rPr>
                <w:rFonts w:ascii="Times New Roman" w:hAnsi="Times New Roman" w:cs="Times New Roman"/>
                <w:sz w:val="18"/>
              </w:rPr>
              <w:t>Low Risk. Predictors were well specified for the curated sensor or skeleton inputs.</w:t>
            </w:r>
          </w:p>
        </w:tc>
        <w:tc>
          <w:tcPr>
            <w:tcW w:w="2552" w:type="dxa"/>
            <w:tcMar>
              <w:top w:w="80" w:type="dxa"/>
              <w:left w:w="80" w:type="dxa"/>
              <w:bottom w:w="80" w:type="dxa"/>
              <w:right w:w="80" w:type="dxa"/>
            </w:tcMar>
            <w:vAlign w:val="center"/>
          </w:tcPr>
          <w:p w14:paraId="12EE7F1A" w14:textId="77777777" w:rsidR="00A91DD0" w:rsidRDefault="00A91DD0" w:rsidP="00A91DD0">
            <w:pPr>
              <w:jc w:val="left"/>
              <w:rPr>
                <w:rFonts w:hint="eastAsia"/>
              </w:rPr>
            </w:pPr>
            <w:r>
              <w:rPr>
                <w:rFonts w:ascii="Times New Roman" w:hAnsi="Times New Roman" w:cs="Times New Roman"/>
                <w:sz w:val="18"/>
              </w:rPr>
              <w:t>High Risk. Activity labels were proxy outcomes rather than health outcomes.</w:t>
            </w:r>
          </w:p>
        </w:tc>
        <w:tc>
          <w:tcPr>
            <w:tcW w:w="2551" w:type="dxa"/>
            <w:tcMar>
              <w:top w:w="80" w:type="dxa"/>
              <w:left w:w="80" w:type="dxa"/>
              <w:bottom w:w="80" w:type="dxa"/>
              <w:right w:w="80" w:type="dxa"/>
            </w:tcMar>
            <w:vAlign w:val="center"/>
          </w:tcPr>
          <w:p w14:paraId="628EC31D" w14:textId="77777777" w:rsidR="00A91DD0" w:rsidRDefault="00A91DD0" w:rsidP="00A91DD0">
            <w:pPr>
              <w:jc w:val="left"/>
              <w:rPr>
                <w:rFonts w:hint="eastAsia"/>
              </w:rPr>
            </w:pPr>
            <w:r>
              <w:rPr>
                <w:rFonts w:ascii="Times New Roman" w:hAnsi="Times New Roman" w:cs="Times New Roman"/>
                <w:sz w:val="18"/>
              </w:rPr>
              <w:t>High Risk. Validation relied mainly on internal or benchmark testing.</w:t>
            </w:r>
          </w:p>
        </w:tc>
        <w:tc>
          <w:tcPr>
            <w:tcW w:w="567" w:type="dxa"/>
            <w:tcMar>
              <w:top w:w="80" w:type="dxa"/>
              <w:left w:w="80" w:type="dxa"/>
              <w:bottom w:w="80" w:type="dxa"/>
              <w:right w:w="80" w:type="dxa"/>
            </w:tcMar>
            <w:vAlign w:val="center"/>
          </w:tcPr>
          <w:p w14:paraId="19E011FE"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441F0AAD" w14:textId="77777777" w:rsidR="00A91DD0" w:rsidRDefault="00A91DD0" w:rsidP="00A91DD0">
            <w:pPr>
              <w:jc w:val="left"/>
              <w:rPr>
                <w:rFonts w:hint="eastAsia"/>
              </w:rPr>
            </w:pPr>
            <w:r>
              <w:rPr>
                <w:rFonts w:ascii="Times New Roman" w:hAnsi="Times New Roman" w:cs="Times New Roman"/>
                <w:sz w:val="18"/>
              </w:rPr>
              <w:t>High Concern. Applicability to community dwelling older adults was limited.</w:t>
            </w:r>
          </w:p>
        </w:tc>
      </w:tr>
      <w:tr w:rsidR="00A91DD0" w14:paraId="245042A3" w14:textId="77777777">
        <w:tc>
          <w:tcPr>
            <w:tcW w:w="1555" w:type="dxa"/>
            <w:tcMar>
              <w:top w:w="80" w:type="dxa"/>
              <w:left w:w="80" w:type="dxa"/>
              <w:bottom w:w="80" w:type="dxa"/>
              <w:right w:w="80" w:type="dxa"/>
            </w:tcMar>
            <w:vAlign w:val="center"/>
          </w:tcPr>
          <w:p w14:paraId="144871CC"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3A425595"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1DDA10FE" w14:textId="77777777" w:rsidR="00A91DD0" w:rsidRDefault="00A91DD0" w:rsidP="00A91DD0">
            <w:pPr>
              <w:jc w:val="left"/>
              <w:rPr>
                <w:rFonts w:hint="eastAsia"/>
              </w:rPr>
            </w:pPr>
            <w:r>
              <w:rPr>
                <w:rFonts w:ascii="Times New Roman" w:hAnsi="Times New Roman" w:cs="Times New Roman"/>
                <w:sz w:val="18"/>
              </w:rPr>
              <w:t xml:space="preserve">High Risk. Public benchmark datasets were not designed for clinical aging in </w:t>
            </w:r>
            <w:r>
              <w:rPr>
                <w:rFonts w:ascii="Times New Roman" w:hAnsi="Times New Roman" w:cs="Times New Roman"/>
                <w:sz w:val="18"/>
              </w:rPr>
              <w:lastRenderedPageBreak/>
              <w:t>place appraisal.</w:t>
            </w:r>
          </w:p>
        </w:tc>
        <w:tc>
          <w:tcPr>
            <w:tcW w:w="2409" w:type="dxa"/>
            <w:tcMar>
              <w:top w:w="80" w:type="dxa"/>
              <w:left w:w="80" w:type="dxa"/>
              <w:bottom w:w="80" w:type="dxa"/>
              <w:right w:w="80" w:type="dxa"/>
            </w:tcMar>
            <w:vAlign w:val="center"/>
          </w:tcPr>
          <w:p w14:paraId="51CAAE46" w14:textId="77777777" w:rsidR="00A91DD0" w:rsidRDefault="00A91DD0" w:rsidP="00A91DD0">
            <w:pPr>
              <w:jc w:val="left"/>
              <w:rPr>
                <w:rFonts w:hint="eastAsia"/>
              </w:rPr>
            </w:pPr>
            <w:r>
              <w:rPr>
                <w:rFonts w:ascii="Times New Roman" w:hAnsi="Times New Roman" w:cs="Times New Roman"/>
                <w:sz w:val="18"/>
              </w:rPr>
              <w:lastRenderedPageBreak/>
              <w:t>Low Risk. Predictors were well specified for the curated sensor or skeleton inputs.</w:t>
            </w:r>
          </w:p>
        </w:tc>
        <w:tc>
          <w:tcPr>
            <w:tcW w:w="2552" w:type="dxa"/>
            <w:tcMar>
              <w:top w:w="80" w:type="dxa"/>
              <w:left w:w="80" w:type="dxa"/>
              <w:bottom w:w="80" w:type="dxa"/>
              <w:right w:w="80" w:type="dxa"/>
            </w:tcMar>
            <w:vAlign w:val="center"/>
          </w:tcPr>
          <w:p w14:paraId="678C90A3" w14:textId="77777777" w:rsidR="00A91DD0" w:rsidRDefault="00A91DD0" w:rsidP="00A91DD0">
            <w:pPr>
              <w:jc w:val="left"/>
              <w:rPr>
                <w:rFonts w:hint="eastAsia"/>
              </w:rPr>
            </w:pPr>
            <w:r>
              <w:rPr>
                <w:rFonts w:ascii="Times New Roman" w:hAnsi="Times New Roman" w:cs="Times New Roman"/>
                <w:sz w:val="18"/>
              </w:rPr>
              <w:t>High Risk. Activity labels were proxy outcomes rather than health outcomes.</w:t>
            </w:r>
          </w:p>
        </w:tc>
        <w:tc>
          <w:tcPr>
            <w:tcW w:w="2551" w:type="dxa"/>
            <w:tcMar>
              <w:top w:w="80" w:type="dxa"/>
              <w:left w:w="80" w:type="dxa"/>
              <w:bottom w:w="80" w:type="dxa"/>
              <w:right w:w="80" w:type="dxa"/>
            </w:tcMar>
            <w:vAlign w:val="center"/>
          </w:tcPr>
          <w:p w14:paraId="1695BBEC" w14:textId="77777777" w:rsidR="00A91DD0" w:rsidRDefault="00A91DD0" w:rsidP="00A91DD0">
            <w:pPr>
              <w:jc w:val="left"/>
              <w:rPr>
                <w:rFonts w:hint="eastAsia"/>
              </w:rPr>
            </w:pPr>
            <w:r>
              <w:rPr>
                <w:rFonts w:ascii="Times New Roman" w:hAnsi="Times New Roman" w:cs="Times New Roman"/>
                <w:sz w:val="18"/>
              </w:rPr>
              <w:t>High Risk. Validation relied mainly on internal or benchmark testing.</w:t>
            </w:r>
          </w:p>
        </w:tc>
        <w:tc>
          <w:tcPr>
            <w:tcW w:w="567" w:type="dxa"/>
            <w:tcMar>
              <w:top w:w="80" w:type="dxa"/>
              <w:left w:w="80" w:type="dxa"/>
              <w:bottom w:w="80" w:type="dxa"/>
              <w:right w:w="80" w:type="dxa"/>
            </w:tcMar>
            <w:vAlign w:val="center"/>
          </w:tcPr>
          <w:p w14:paraId="09570622"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6A92FF12" w14:textId="77777777" w:rsidR="00A91DD0" w:rsidRDefault="00A91DD0" w:rsidP="00A91DD0">
            <w:pPr>
              <w:jc w:val="left"/>
              <w:rPr>
                <w:rFonts w:hint="eastAsia"/>
              </w:rPr>
            </w:pPr>
            <w:r>
              <w:rPr>
                <w:rFonts w:ascii="Times New Roman" w:hAnsi="Times New Roman" w:cs="Times New Roman"/>
                <w:sz w:val="18"/>
              </w:rPr>
              <w:t>High Concern. Applicability to community dwelling older adults was limited.</w:t>
            </w:r>
          </w:p>
        </w:tc>
      </w:tr>
      <w:tr w:rsidR="00A91DD0" w:rsidRPr="006C17CC" w14:paraId="7860981F" w14:textId="77777777" w:rsidTr="00465626">
        <w:trPr>
          <w:trHeight w:val="1132"/>
        </w:trPr>
        <w:tc>
          <w:tcPr>
            <w:tcW w:w="1555" w:type="dxa"/>
            <w:tcMar>
              <w:top w:w="80" w:type="dxa"/>
              <w:left w:w="80" w:type="dxa"/>
              <w:bottom w:w="80" w:type="dxa"/>
              <w:right w:w="80" w:type="dxa"/>
            </w:tcMar>
            <w:vAlign w:val="center"/>
            <w:hideMark/>
          </w:tcPr>
          <w:p w14:paraId="36192CAD"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(Riboni et al., 2016)</w:t>
            </w:r>
          </w:p>
        </w:tc>
        <w:tc>
          <w:tcPr>
            <w:tcW w:w="567" w:type="dxa"/>
            <w:tcMar>
              <w:top w:w="80" w:type="dxa"/>
              <w:left w:w="80" w:type="dxa"/>
              <w:bottom w:w="80" w:type="dxa"/>
              <w:right w:w="80" w:type="dxa"/>
            </w:tcMar>
            <w:vAlign w:val="center"/>
            <w:hideMark/>
          </w:tcPr>
          <w:p w14:paraId="7ED3AAEE"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1951749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participants provide a sufficient baseline for the initial testing of the proposed behavior recognition algorithms.</w:t>
            </w:r>
          </w:p>
        </w:tc>
        <w:tc>
          <w:tcPr>
            <w:tcW w:w="2409" w:type="dxa"/>
            <w:tcMar>
              <w:top w:w="80" w:type="dxa"/>
              <w:left w:w="80" w:type="dxa"/>
              <w:bottom w:w="80" w:type="dxa"/>
              <w:right w:w="80" w:type="dxa"/>
            </w:tcMar>
            <w:vAlign w:val="center"/>
            <w:hideMark/>
          </w:tcPr>
          <w:p w14:paraId="64F339C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data capture from sensors avoids the subjective bias that comes with human observation or surveys.</w:t>
            </w:r>
          </w:p>
        </w:tc>
        <w:tc>
          <w:tcPr>
            <w:tcW w:w="2552" w:type="dxa"/>
            <w:tcMar>
              <w:top w:w="80" w:type="dxa"/>
              <w:left w:w="80" w:type="dxa"/>
              <w:bottom w:w="80" w:type="dxa"/>
              <w:right w:w="80" w:type="dxa"/>
            </w:tcMar>
            <w:vAlign w:val="center"/>
            <w:hideMark/>
          </w:tcPr>
          <w:p w14:paraId="61FD18A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a standard behavior model ensures that the outcomes are accurate and consistent across the test cases.</w:t>
            </w:r>
          </w:p>
        </w:tc>
        <w:tc>
          <w:tcPr>
            <w:tcW w:w="2551" w:type="dxa"/>
            <w:tcMar>
              <w:top w:w="80" w:type="dxa"/>
              <w:left w:w="80" w:type="dxa"/>
              <w:bottom w:w="80" w:type="dxa"/>
              <w:right w:w="80" w:type="dxa"/>
            </w:tcMar>
            <w:vAlign w:val="center"/>
            <w:hideMark/>
          </w:tcPr>
          <w:p w14:paraId="45A6CA4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Performance measures like accuracy show that the model can successfully distinguish between normal and risky behaviors.</w:t>
            </w:r>
          </w:p>
        </w:tc>
        <w:tc>
          <w:tcPr>
            <w:tcW w:w="567" w:type="dxa"/>
            <w:tcMar>
              <w:top w:w="80" w:type="dxa"/>
              <w:left w:w="80" w:type="dxa"/>
              <w:bottom w:w="80" w:type="dxa"/>
              <w:right w:w="80" w:type="dxa"/>
            </w:tcMar>
            <w:vAlign w:val="center"/>
            <w:hideMark/>
          </w:tcPr>
          <w:p w14:paraId="2AABE8CE"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00EF1D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Using low cost sensors is an ideal solution for achieving long term and discreet health monitoring at home.</w:t>
            </w:r>
          </w:p>
        </w:tc>
      </w:tr>
      <w:tr w:rsidR="00A91DD0" w:rsidRPr="006C17CC" w14:paraId="4B7F9E80" w14:textId="77777777" w:rsidTr="00465626">
        <w:trPr>
          <w:trHeight w:val="1132"/>
        </w:trPr>
        <w:tc>
          <w:tcPr>
            <w:tcW w:w="1555" w:type="dxa"/>
            <w:tcMar>
              <w:top w:w="80" w:type="dxa"/>
              <w:left w:w="80" w:type="dxa"/>
              <w:bottom w:w="80" w:type="dxa"/>
              <w:right w:w="80" w:type="dxa"/>
            </w:tcMar>
            <w:vAlign w:val="center"/>
            <w:hideMark/>
          </w:tcPr>
          <w:p w14:paraId="2CB8E75B"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4C905EE8"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995C3B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data collection process in the home setting ensures that the movement patterns are realistic and useful.</w:t>
            </w:r>
          </w:p>
        </w:tc>
        <w:tc>
          <w:tcPr>
            <w:tcW w:w="2409" w:type="dxa"/>
            <w:tcMar>
              <w:top w:w="80" w:type="dxa"/>
              <w:left w:w="80" w:type="dxa"/>
              <w:bottom w:w="80" w:type="dxa"/>
              <w:right w:w="80" w:type="dxa"/>
            </w:tcMar>
            <w:vAlign w:val="center"/>
            <w:hideMark/>
          </w:tcPr>
          <w:p w14:paraId="61834B9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Predictors include time and location features that give a full view of the activity habits of the person.</w:t>
            </w:r>
          </w:p>
        </w:tc>
        <w:tc>
          <w:tcPr>
            <w:tcW w:w="2552" w:type="dxa"/>
            <w:tcMar>
              <w:top w:w="80" w:type="dxa"/>
              <w:left w:w="80" w:type="dxa"/>
              <w:bottom w:w="80" w:type="dxa"/>
              <w:right w:w="80" w:type="dxa"/>
            </w:tcMar>
            <w:vAlign w:val="center"/>
            <w:hideMark/>
          </w:tcPr>
          <w:p w14:paraId="04F75AC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classification of activities matches the intended clinical goals for identifying mild cognitive impairment risk.</w:t>
            </w:r>
          </w:p>
        </w:tc>
        <w:tc>
          <w:tcPr>
            <w:tcW w:w="2551" w:type="dxa"/>
            <w:tcMar>
              <w:top w:w="80" w:type="dxa"/>
              <w:left w:w="80" w:type="dxa"/>
              <w:bottom w:w="80" w:type="dxa"/>
              <w:right w:w="80" w:type="dxa"/>
            </w:tcMar>
            <w:vAlign w:val="center"/>
            <w:hideMark/>
          </w:tcPr>
          <w:p w14:paraId="2061B73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reported high success rates suggest that the model has high predictive power for the target behaviors.</w:t>
            </w:r>
          </w:p>
        </w:tc>
        <w:tc>
          <w:tcPr>
            <w:tcW w:w="567" w:type="dxa"/>
            <w:tcMar>
              <w:top w:w="80" w:type="dxa"/>
              <w:left w:w="80" w:type="dxa"/>
              <w:bottom w:w="80" w:type="dxa"/>
              <w:right w:w="80" w:type="dxa"/>
            </w:tcMar>
            <w:vAlign w:val="center"/>
            <w:hideMark/>
          </w:tcPr>
          <w:p w14:paraId="5FBDB029"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B1BFB2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data driven approach directly supports the goal of allowing older adults to live independently.</w:t>
            </w:r>
          </w:p>
        </w:tc>
      </w:tr>
      <w:tr w:rsidR="00A91DD0" w:rsidRPr="006C17CC" w14:paraId="73C9E146" w14:textId="77777777" w:rsidTr="00465626">
        <w:trPr>
          <w:trHeight w:val="1132"/>
        </w:trPr>
        <w:tc>
          <w:tcPr>
            <w:tcW w:w="1555" w:type="dxa"/>
            <w:noWrap/>
            <w:tcMar>
              <w:top w:w="80" w:type="dxa"/>
              <w:left w:w="80" w:type="dxa"/>
              <w:bottom w:w="80" w:type="dxa"/>
              <w:right w:w="80" w:type="dxa"/>
            </w:tcMar>
            <w:vAlign w:val="center"/>
            <w:hideMark/>
          </w:tcPr>
          <w:p w14:paraId="79F07454"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(Robles Cruz et al., 2024)</w:t>
            </w:r>
          </w:p>
        </w:tc>
        <w:tc>
          <w:tcPr>
            <w:tcW w:w="567" w:type="dxa"/>
            <w:tcMar>
              <w:top w:w="80" w:type="dxa"/>
              <w:left w:w="80" w:type="dxa"/>
              <w:bottom w:w="80" w:type="dxa"/>
              <w:right w:w="80" w:type="dxa"/>
            </w:tcMar>
            <w:vAlign w:val="center"/>
            <w:hideMark/>
          </w:tcPr>
          <w:p w14:paraId="18ABC6EF"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10FB819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large cohort of 181 elderly people ensures the findings are representative of the target group.</w:t>
            </w:r>
          </w:p>
        </w:tc>
        <w:tc>
          <w:tcPr>
            <w:tcW w:w="2409" w:type="dxa"/>
            <w:tcMar>
              <w:top w:w="80" w:type="dxa"/>
              <w:left w:w="80" w:type="dxa"/>
              <w:bottom w:w="80" w:type="dxa"/>
              <w:right w:w="80" w:type="dxa"/>
            </w:tcMar>
            <w:vAlign w:val="center"/>
            <w:hideMark/>
          </w:tcPr>
          <w:p w14:paraId="1BA72B4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smartphone sensors provides a low cost and accessible method for evaluating gait and balance.</w:t>
            </w:r>
          </w:p>
        </w:tc>
        <w:tc>
          <w:tcPr>
            <w:tcW w:w="2552" w:type="dxa"/>
            <w:tcMar>
              <w:top w:w="80" w:type="dxa"/>
              <w:left w:w="80" w:type="dxa"/>
              <w:bottom w:w="80" w:type="dxa"/>
              <w:right w:w="80" w:type="dxa"/>
            </w:tcMar>
            <w:vAlign w:val="center"/>
            <w:hideMark/>
          </w:tcPr>
          <w:p w14:paraId="7733860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binary classification between fallers and non fallers is appropriate for identifying at risk individuals.</w:t>
            </w:r>
          </w:p>
        </w:tc>
        <w:tc>
          <w:tcPr>
            <w:tcW w:w="2551" w:type="dxa"/>
            <w:tcMar>
              <w:top w:w="80" w:type="dxa"/>
              <w:left w:w="80" w:type="dxa"/>
              <w:bottom w:w="80" w:type="dxa"/>
              <w:right w:w="80" w:type="dxa"/>
            </w:tcMar>
            <w:vAlign w:val="center"/>
            <w:hideMark/>
          </w:tcPr>
          <w:p w14:paraId="0EA9887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nine fold cross validation and time series split ensures a rigorous evaluation of the model.</w:t>
            </w:r>
          </w:p>
        </w:tc>
        <w:tc>
          <w:tcPr>
            <w:tcW w:w="567" w:type="dxa"/>
            <w:tcMar>
              <w:top w:w="80" w:type="dxa"/>
              <w:left w:w="80" w:type="dxa"/>
              <w:bottom w:w="80" w:type="dxa"/>
              <w:right w:w="80" w:type="dxa"/>
            </w:tcMar>
            <w:vAlign w:val="center"/>
            <w:hideMark/>
          </w:tcPr>
          <w:p w14:paraId="18E539D7"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CE8A33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automated approach facilitates early identification of fall risk which supports independent living.</w:t>
            </w:r>
          </w:p>
        </w:tc>
      </w:tr>
      <w:tr w:rsidR="00A91DD0" w:rsidRPr="006C17CC" w14:paraId="4FF7C22A" w14:textId="77777777" w:rsidTr="00465626">
        <w:trPr>
          <w:trHeight w:val="1132"/>
        </w:trPr>
        <w:tc>
          <w:tcPr>
            <w:tcW w:w="1555" w:type="dxa"/>
            <w:tcMar>
              <w:top w:w="80" w:type="dxa"/>
              <w:left w:w="80" w:type="dxa"/>
              <w:bottom w:w="80" w:type="dxa"/>
              <w:right w:w="80" w:type="dxa"/>
            </w:tcMar>
            <w:vAlign w:val="center"/>
            <w:hideMark/>
          </w:tcPr>
          <w:p w14:paraId="22D41D0A"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3E6ABD9C"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1FF8CD4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Appropriate inclusion criteria were used to maintain participant safety and study integrity.</w:t>
            </w:r>
          </w:p>
        </w:tc>
        <w:tc>
          <w:tcPr>
            <w:tcW w:w="2409" w:type="dxa"/>
            <w:tcMar>
              <w:top w:w="80" w:type="dxa"/>
              <w:left w:w="80" w:type="dxa"/>
              <w:bottom w:w="80" w:type="dxa"/>
              <w:right w:w="80" w:type="dxa"/>
            </w:tcMar>
            <w:vAlign w:val="center"/>
            <w:hideMark/>
          </w:tcPr>
          <w:p w14:paraId="26E730A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Sensor fusion techniques were employed to capture complex spatial and temporal movement features.</w:t>
            </w:r>
          </w:p>
        </w:tc>
        <w:tc>
          <w:tcPr>
            <w:tcW w:w="2552" w:type="dxa"/>
            <w:tcMar>
              <w:top w:w="80" w:type="dxa"/>
              <w:left w:w="80" w:type="dxa"/>
              <w:bottom w:w="80" w:type="dxa"/>
              <w:right w:w="80" w:type="dxa"/>
            </w:tcMar>
            <w:vAlign w:val="center"/>
            <w:hideMark/>
          </w:tcPr>
          <w:p w14:paraId="0E430C3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labels are based on a verified history of falls which is a standard indicator of future risk.</w:t>
            </w:r>
          </w:p>
        </w:tc>
        <w:tc>
          <w:tcPr>
            <w:tcW w:w="2551" w:type="dxa"/>
            <w:tcMar>
              <w:top w:w="80" w:type="dxa"/>
              <w:left w:w="80" w:type="dxa"/>
              <w:bottom w:w="80" w:type="dxa"/>
              <w:right w:w="80" w:type="dxa"/>
            </w:tcMar>
            <w:vAlign w:val="center"/>
            <w:hideMark/>
          </w:tcPr>
          <w:p w14:paraId="3D37F8F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Early stopping and dropout layers were implemented to prevent the model from over training on the data.</w:t>
            </w:r>
          </w:p>
        </w:tc>
        <w:tc>
          <w:tcPr>
            <w:tcW w:w="567" w:type="dxa"/>
            <w:tcMar>
              <w:top w:w="80" w:type="dxa"/>
              <w:left w:w="80" w:type="dxa"/>
              <w:bottom w:w="80" w:type="dxa"/>
              <w:right w:w="80" w:type="dxa"/>
            </w:tcMar>
            <w:vAlign w:val="center"/>
            <w:hideMark/>
          </w:tcPr>
          <w:p w14:paraId="2755E50F"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5412A1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highly applicable to real world monitoring of older adults in their own homes.</w:t>
            </w:r>
          </w:p>
        </w:tc>
      </w:tr>
      <w:tr w:rsidR="00A91DD0" w:rsidRPr="006C17CC" w14:paraId="4115510F" w14:textId="77777777" w:rsidTr="00465626">
        <w:trPr>
          <w:trHeight w:val="1415"/>
        </w:trPr>
        <w:tc>
          <w:tcPr>
            <w:tcW w:w="1555" w:type="dxa"/>
            <w:tcMar>
              <w:top w:w="80" w:type="dxa"/>
              <w:left w:w="80" w:type="dxa"/>
              <w:bottom w:w="80" w:type="dxa"/>
              <w:right w:w="80" w:type="dxa"/>
            </w:tcMar>
            <w:vAlign w:val="center"/>
            <w:hideMark/>
          </w:tcPr>
          <w:p w14:paraId="6EE0A5FD"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(Ropero et al., 2019)</w:t>
            </w:r>
          </w:p>
        </w:tc>
        <w:tc>
          <w:tcPr>
            <w:tcW w:w="567" w:type="dxa"/>
            <w:tcMar>
              <w:top w:w="80" w:type="dxa"/>
              <w:left w:w="80" w:type="dxa"/>
              <w:bottom w:w="80" w:type="dxa"/>
              <w:right w:w="80" w:type="dxa"/>
            </w:tcMar>
            <w:vAlign w:val="center"/>
            <w:hideMark/>
          </w:tcPr>
          <w:p w14:paraId="3B4CC7DB"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0B9BFA9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Testing in real home environments, even if limited, provides a sufficient initial baseline for technical feasibility validation.</w:t>
            </w:r>
          </w:p>
        </w:tc>
        <w:tc>
          <w:tcPr>
            <w:tcW w:w="2409" w:type="dxa"/>
            <w:tcMar>
              <w:top w:w="80" w:type="dxa"/>
              <w:left w:w="80" w:type="dxa"/>
              <w:bottom w:w="80" w:type="dxa"/>
              <w:right w:w="80" w:type="dxa"/>
            </w:tcMar>
            <w:vAlign w:val="center"/>
            <w:hideMark/>
          </w:tcPr>
          <w:p w14:paraId="79E9717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fusion of environmental and person-centered data provides a reliable set of predictors for autonomous decision-making.</w:t>
            </w:r>
          </w:p>
        </w:tc>
        <w:tc>
          <w:tcPr>
            <w:tcW w:w="2552" w:type="dxa"/>
            <w:tcMar>
              <w:top w:w="80" w:type="dxa"/>
              <w:left w:w="80" w:type="dxa"/>
              <w:bottom w:w="80" w:type="dxa"/>
              <w:right w:w="80" w:type="dxa"/>
            </w:tcMar>
            <w:vAlign w:val="center"/>
            <w:hideMark/>
          </w:tcPr>
          <w:p w14:paraId="0BB37AD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Successful detection and navigation to emergencies confirm that the system identifies clinically significant outcome events.</w:t>
            </w:r>
          </w:p>
        </w:tc>
        <w:tc>
          <w:tcPr>
            <w:tcW w:w="2551" w:type="dxa"/>
            <w:tcMar>
              <w:top w:w="80" w:type="dxa"/>
              <w:left w:w="80" w:type="dxa"/>
              <w:bottom w:w="80" w:type="dxa"/>
              <w:right w:w="80" w:type="dxa"/>
            </w:tcMar>
            <w:vAlign w:val="center"/>
            <w:hideMark/>
          </w:tcPr>
          <w:p w14:paraId="7F7C470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technical architecture demonstrates high reliability in coordinating between WSN and robots for a stable system output.</w:t>
            </w:r>
          </w:p>
        </w:tc>
        <w:tc>
          <w:tcPr>
            <w:tcW w:w="567" w:type="dxa"/>
            <w:tcMar>
              <w:top w:w="80" w:type="dxa"/>
              <w:left w:w="80" w:type="dxa"/>
              <w:bottom w:w="80" w:type="dxa"/>
              <w:right w:w="80" w:type="dxa"/>
            </w:tcMar>
            <w:vAlign w:val="center"/>
            <w:hideMark/>
          </w:tcPr>
          <w:p w14:paraId="5DBD7E81"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9AB061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Non-intrusive monitoring combined with robotic assistance is ideal for supporting safety without infringing on privacy.</w:t>
            </w:r>
          </w:p>
        </w:tc>
      </w:tr>
      <w:tr w:rsidR="00A91DD0" w:rsidRPr="006C17CC" w14:paraId="1FD77113" w14:textId="77777777" w:rsidTr="00465626">
        <w:trPr>
          <w:trHeight w:val="1415"/>
        </w:trPr>
        <w:tc>
          <w:tcPr>
            <w:tcW w:w="1555" w:type="dxa"/>
            <w:tcMar>
              <w:top w:w="80" w:type="dxa"/>
              <w:left w:w="80" w:type="dxa"/>
              <w:bottom w:w="80" w:type="dxa"/>
              <w:right w:w="80" w:type="dxa"/>
            </w:tcMar>
            <w:vAlign w:val="center"/>
            <w:hideMark/>
          </w:tcPr>
          <w:p w14:paraId="69D388D5"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73355228"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F9DAF4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study design focused on high-priority emergency scenarios relevant to the care of vulnerable independent seniors.</w:t>
            </w:r>
          </w:p>
        </w:tc>
        <w:tc>
          <w:tcPr>
            <w:tcW w:w="2409" w:type="dxa"/>
            <w:tcMar>
              <w:top w:w="80" w:type="dxa"/>
              <w:left w:w="80" w:type="dxa"/>
              <w:bottom w:w="80" w:type="dxa"/>
              <w:right w:w="80" w:type="dxa"/>
            </w:tcMar>
            <w:vAlign w:val="center"/>
            <w:hideMark/>
          </w:tcPr>
          <w:p w14:paraId="3F59520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data collection and decision-making eliminate the inconsistencies found in manual or human-reliant alerts.</w:t>
            </w:r>
          </w:p>
        </w:tc>
        <w:tc>
          <w:tcPr>
            <w:tcW w:w="2552" w:type="dxa"/>
            <w:tcMar>
              <w:top w:w="80" w:type="dxa"/>
              <w:left w:w="80" w:type="dxa"/>
              <w:bottom w:w="80" w:type="dxa"/>
              <w:right w:w="80" w:type="dxa"/>
            </w:tcMar>
            <w:vAlign w:val="center"/>
            <w:hideMark/>
          </w:tcPr>
          <w:p w14:paraId="60AC318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identified outcomes provide immediate and actionable responses, enhancing the safety of seniors residing in the community.</w:t>
            </w:r>
          </w:p>
        </w:tc>
        <w:tc>
          <w:tcPr>
            <w:tcW w:w="2551" w:type="dxa"/>
            <w:tcMar>
              <w:top w:w="80" w:type="dxa"/>
              <w:left w:w="80" w:type="dxa"/>
              <w:bottom w:w="80" w:type="dxa"/>
              <w:right w:w="80" w:type="dxa"/>
            </w:tcMar>
            <w:vAlign w:val="center"/>
            <w:hideMark/>
          </w:tcPr>
          <w:p w14:paraId="48F4EC3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success rates in navigating to and identifying simulated hazards confirm the technical robustness of the proposed framework.</w:t>
            </w:r>
          </w:p>
        </w:tc>
        <w:tc>
          <w:tcPr>
            <w:tcW w:w="567" w:type="dxa"/>
            <w:tcMar>
              <w:top w:w="80" w:type="dxa"/>
              <w:left w:w="80" w:type="dxa"/>
              <w:bottom w:w="80" w:type="dxa"/>
              <w:right w:w="80" w:type="dxa"/>
            </w:tcMar>
            <w:vAlign w:val="center"/>
            <w:hideMark/>
          </w:tcPr>
          <w:p w14:paraId="77171AEC"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C70D63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a significant advancement in creating supportive and reactive living environments for older adults.</w:t>
            </w:r>
          </w:p>
        </w:tc>
      </w:tr>
      <w:tr w:rsidR="00A91DD0" w14:paraId="537E6544" w14:textId="77777777">
        <w:tc>
          <w:tcPr>
            <w:tcW w:w="1555" w:type="dxa"/>
            <w:tcMar>
              <w:top w:w="80" w:type="dxa"/>
              <w:left w:w="80" w:type="dxa"/>
              <w:bottom w:w="80" w:type="dxa"/>
              <w:right w:w="80" w:type="dxa"/>
            </w:tcMar>
            <w:vAlign w:val="center"/>
          </w:tcPr>
          <w:p w14:paraId="27199F00" w14:textId="77777777" w:rsidR="00A91DD0" w:rsidRDefault="00A91DD0" w:rsidP="00A91DD0">
            <w:pPr>
              <w:jc w:val="center"/>
              <w:rPr>
                <w:rFonts w:hint="eastAsia"/>
              </w:rPr>
            </w:pPr>
            <w:r>
              <w:rPr>
                <w:rFonts w:ascii="Times New Roman" w:hAnsi="Times New Roman" w:cs="Times New Roman"/>
                <w:sz w:val="18"/>
              </w:rPr>
              <w:t>(Ryu et al., 2022)</w:t>
            </w:r>
          </w:p>
        </w:tc>
        <w:tc>
          <w:tcPr>
            <w:tcW w:w="567" w:type="dxa"/>
            <w:tcMar>
              <w:top w:w="80" w:type="dxa"/>
              <w:left w:w="80" w:type="dxa"/>
              <w:bottom w:w="80" w:type="dxa"/>
              <w:right w:w="80" w:type="dxa"/>
            </w:tcMar>
            <w:vAlign w:val="center"/>
          </w:tcPr>
          <w:p w14:paraId="1CF58637"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122A9CD6" w14:textId="77777777" w:rsidR="00A91DD0" w:rsidRDefault="00A91DD0" w:rsidP="00A91DD0">
            <w:pPr>
              <w:jc w:val="left"/>
              <w:rPr>
                <w:rFonts w:hint="eastAsia"/>
              </w:rPr>
            </w:pPr>
            <w:r>
              <w:rPr>
                <w:rFonts w:ascii="Times New Roman" w:hAnsi="Times New Roman" w:cs="Times New Roman"/>
                <w:sz w:val="18"/>
              </w:rPr>
              <w:t>High Risk. Data sources were public, secondary, single case, or simulated and were insufficiently representative.</w:t>
            </w:r>
          </w:p>
        </w:tc>
        <w:tc>
          <w:tcPr>
            <w:tcW w:w="2409" w:type="dxa"/>
            <w:tcMar>
              <w:top w:w="80" w:type="dxa"/>
              <w:left w:w="80" w:type="dxa"/>
              <w:bottom w:w="80" w:type="dxa"/>
              <w:right w:w="80" w:type="dxa"/>
            </w:tcMar>
            <w:vAlign w:val="center"/>
          </w:tcPr>
          <w:p w14:paraId="07CF81B5" w14:textId="77777777" w:rsidR="00A91DD0" w:rsidRDefault="00A91DD0" w:rsidP="00A91DD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3EAFA690" w14:textId="77777777" w:rsidR="00A91DD0" w:rsidRDefault="00A91DD0" w:rsidP="00A91DD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7395C9C9" w14:textId="77777777" w:rsidR="00A91DD0" w:rsidRDefault="00A91DD0" w:rsidP="00A91DD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546B1E4D"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2C765A99" w14:textId="77777777" w:rsidR="00A91DD0" w:rsidRDefault="00A91DD0" w:rsidP="00A91DD0">
            <w:pPr>
              <w:jc w:val="left"/>
              <w:rPr>
                <w:rFonts w:hint="eastAsia"/>
              </w:rPr>
            </w:pPr>
            <w:r>
              <w:rPr>
                <w:rFonts w:ascii="Times New Roman" w:hAnsi="Times New Roman" w:cs="Times New Roman"/>
                <w:sz w:val="18"/>
              </w:rPr>
              <w:t>High Concern. Applicability to the target review question was limited.</w:t>
            </w:r>
          </w:p>
        </w:tc>
      </w:tr>
      <w:tr w:rsidR="00A91DD0" w14:paraId="3EE79143" w14:textId="77777777">
        <w:tc>
          <w:tcPr>
            <w:tcW w:w="1555" w:type="dxa"/>
            <w:tcMar>
              <w:top w:w="80" w:type="dxa"/>
              <w:left w:w="80" w:type="dxa"/>
              <w:bottom w:w="80" w:type="dxa"/>
              <w:right w:w="80" w:type="dxa"/>
            </w:tcMar>
            <w:vAlign w:val="center"/>
          </w:tcPr>
          <w:p w14:paraId="32FFB8B2"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175D5A16"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7355B42A" w14:textId="77777777" w:rsidR="00A91DD0" w:rsidRDefault="00A91DD0" w:rsidP="00A91DD0">
            <w:pPr>
              <w:jc w:val="left"/>
              <w:rPr>
                <w:rFonts w:hint="eastAsia"/>
              </w:rPr>
            </w:pPr>
            <w:r>
              <w:rPr>
                <w:rFonts w:ascii="Times New Roman" w:hAnsi="Times New Roman" w:cs="Times New Roman"/>
                <w:sz w:val="18"/>
              </w:rPr>
              <w:t>High Risk. Data sources were public, secondary, single case, or simulated and were not sufficiently representative.</w:t>
            </w:r>
          </w:p>
        </w:tc>
        <w:tc>
          <w:tcPr>
            <w:tcW w:w="2409" w:type="dxa"/>
            <w:tcMar>
              <w:top w:w="80" w:type="dxa"/>
              <w:left w:w="80" w:type="dxa"/>
              <w:bottom w:w="80" w:type="dxa"/>
              <w:right w:w="80" w:type="dxa"/>
            </w:tcMar>
            <w:vAlign w:val="center"/>
          </w:tcPr>
          <w:p w14:paraId="39ED959C" w14:textId="77777777" w:rsidR="00A91DD0" w:rsidRDefault="00A91DD0" w:rsidP="00A91DD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6A91604E" w14:textId="77777777" w:rsidR="00A91DD0" w:rsidRDefault="00A91DD0" w:rsidP="00A91DD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662879FC" w14:textId="77777777" w:rsidR="00A91DD0" w:rsidRDefault="00A91DD0" w:rsidP="00A91DD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39DC96BC"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5E8F6A22" w14:textId="77777777" w:rsidR="00A91DD0" w:rsidRDefault="00A91DD0" w:rsidP="00A91DD0">
            <w:pPr>
              <w:jc w:val="left"/>
              <w:rPr>
                <w:rFonts w:hint="eastAsia"/>
              </w:rPr>
            </w:pPr>
            <w:r>
              <w:rPr>
                <w:rFonts w:ascii="Times New Roman" w:hAnsi="Times New Roman" w:cs="Times New Roman"/>
                <w:sz w:val="18"/>
              </w:rPr>
              <w:t>High Concern. Applicability to the target review question was limited.</w:t>
            </w:r>
          </w:p>
        </w:tc>
      </w:tr>
      <w:tr w:rsidR="00A91DD0" w14:paraId="3DBCE86E" w14:textId="77777777">
        <w:tc>
          <w:tcPr>
            <w:tcW w:w="1555" w:type="dxa"/>
            <w:tcMar>
              <w:top w:w="80" w:type="dxa"/>
              <w:left w:w="80" w:type="dxa"/>
              <w:bottom w:w="80" w:type="dxa"/>
              <w:right w:w="80" w:type="dxa"/>
            </w:tcMar>
            <w:vAlign w:val="center"/>
          </w:tcPr>
          <w:p w14:paraId="54BC9B4B" w14:textId="77777777" w:rsidR="00A91DD0" w:rsidRDefault="00A91DD0" w:rsidP="00A91DD0">
            <w:pPr>
              <w:jc w:val="center"/>
              <w:rPr>
                <w:rFonts w:hint="eastAsia"/>
              </w:rPr>
            </w:pPr>
            <w:r>
              <w:rPr>
                <w:rFonts w:ascii="Times New Roman" w:hAnsi="Times New Roman" w:cs="Times New Roman"/>
                <w:sz w:val="18"/>
              </w:rPr>
              <w:t>(Ryvicker et al., 2024)</w:t>
            </w:r>
          </w:p>
        </w:tc>
        <w:tc>
          <w:tcPr>
            <w:tcW w:w="567" w:type="dxa"/>
            <w:tcMar>
              <w:top w:w="80" w:type="dxa"/>
              <w:left w:w="80" w:type="dxa"/>
              <w:bottom w:w="80" w:type="dxa"/>
              <w:right w:w="80" w:type="dxa"/>
            </w:tcMar>
            <w:vAlign w:val="center"/>
          </w:tcPr>
          <w:p w14:paraId="629E71EC"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7385573A" w14:textId="77777777" w:rsidR="00A91DD0" w:rsidRDefault="00A91DD0" w:rsidP="00A91DD0">
            <w:pPr>
              <w:jc w:val="left"/>
              <w:rPr>
                <w:rFonts w:hint="eastAsia"/>
              </w:rPr>
            </w:pPr>
            <w:r>
              <w:rPr>
                <w:rFonts w:ascii="Times New Roman" w:hAnsi="Times New Roman" w:cs="Times New Roman"/>
                <w:sz w:val="18"/>
              </w:rPr>
              <w:t>Low Risk. The cohort source was relevant to home care or community dwelling older adults.</w:t>
            </w:r>
          </w:p>
        </w:tc>
        <w:tc>
          <w:tcPr>
            <w:tcW w:w="2409" w:type="dxa"/>
            <w:tcMar>
              <w:top w:w="80" w:type="dxa"/>
              <w:left w:w="80" w:type="dxa"/>
              <w:bottom w:w="80" w:type="dxa"/>
              <w:right w:w="80" w:type="dxa"/>
            </w:tcMar>
            <w:vAlign w:val="center"/>
          </w:tcPr>
          <w:p w14:paraId="5D704CDF" w14:textId="77777777" w:rsidR="00A91DD0" w:rsidRDefault="00A91DD0" w:rsidP="00A91DD0">
            <w:pPr>
              <w:jc w:val="left"/>
              <w:rPr>
                <w:rFonts w:hint="eastAsia"/>
              </w:rPr>
            </w:pPr>
            <w:r>
              <w:rPr>
                <w:rFonts w:ascii="Times New Roman" w:hAnsi="Times New Roman" w:cs="Times New Roman"/>
                <w:sz w:val="18"/>
              </w:rPr>
              <w:t>Low Risk. Predictors were extracted from routine care or sensor data in a defined manner.</w:t>
            </w:r>
          </w:p>
        </w:tc>
        <w:tc>
          <w:tcPr>
            <w:tcW w:w="2552" w:type="dxa"/>
            <w:tcMar>
              <w:top w:w="80" w:type="dxa"/>
              <w:left w:w="80" w:type="dxa"/>
              <w:bottom w:w="80" w:type="dxa"/>
              <w:right w:w="80" w:type="dxa"/>
            </w:tcMar>
            <w:vAlign w:val="center"/>
          </w:tcPr>
          <w:p w14:paraId="3841EA25" w14:textId="77777777" w:rsidR="00A91DD0" w:rsidRDefault="00A91DD0" w:rsidP="00A91DD0">
            <w:pPr>
              <w:jc w:val="left"/>
              <w:rPr>
                <w:rFonts w:hint="eastAsia"/>
              </w:rPr>
            </w:pPr>
            <w:r>
              <w:rPr>
                <w:rFonts w:ascii="Times New Roman" w:hAnsi="Times New Roman" w:cs="Times New Roman"/>
                <w:sz w:val="18"/>
              </w:rPr>
              <w:t>Low Risk. Outcomes were clinically relevant to the study aim.</w:t>
            </w:r>
          </w:p>
        </w:tc>
        <w:tc>
          <w:tcPr>
            <w:tcW w:w="2551" w:type="dxa"/>
            <w:tcMar>
              <w:top w:w="80" w:type="dxa"/>
              <w:left w:w="80" w:type="dxa"/>
              <w:bottom w:w="80" w:type="dxa"/>
              <w:right w:w="80" w:type="dxa"/>
            </w:tcMar>
            <w:vAlign w:val="center"/>
          </w:tcPr>
          <w:p w14:paraId="53C04CD4" w14:textId="77777777" w:rsidR="00A91DD0" w:rsidRDefault="00A91DD0" w:rsidP="00A91DD0">
            <w:pPr>
              <w:jc w:val="left"/>
              <w:rPr>
                <w:rFonts w:hint="eastAsia"/>
              </w:rPr>
            </w:pPr>
            <w:r>
              <w:rPr>
                <w:rFonts w:ascii="Times New Roman" w:hAnsi="Times New Roman" w:cs="Times New Roman"/>
                <w:sz w:val="18"/>
              </w:rPr>
              <w:t>High Risk. External validation or calibration reporting was insufficient for review level synthesis.</w:t>
            </w:r>
          </w:p>
        </w:tc>
        <w:tc>
          <w:tcPr>
            <w:tcW w:w="567" w:type="dxa"/>
            <w:tcMar>
              <w:top w:w="80" w:type="dxa"/>
              <w:left w:w="80" w:type="dxa"/>
              <w:bottom w:w="80" w:type="dxa"/>
              <w:right w:w="80" w:type="dxa"/>
            </w:tcMar>
            <w:vAlign w:val="center"/>
          </w:tcPr>
          <w:p w14:paraId="1350547C"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0BC5C901" w14:textId="77777777" w:rsidR="00A91DD0" w:rsidRDefault="00A91DD0" w:rsidP="00A91DD0">
            <w:pPr>
              <w:jc w:val="left"/>
              <w:rPr>
                <w:rFonts w:hint="eastAsia"/>
              </w:rPr>
            </w:pPr>
            <w:r>
              <w:rPr>
                <w:rFonts w:ascii="Times New Roman" w:hAnsi="Times New Roman" w:cs="Times New Roman"/>
                <w:sz w:val="18"/>
              </w:rPr>
              <w:t>Low Concern. The setting was relevant but model transportability remained limited.</w:t>
            </w:r>
          </w:p>
        </w:tc>
      </w:tr>
      <w:tr w:rsidR="00A91DD0" w14:paraId="5C37B3A8" w14:textId="77777777">
        <w:tc>
          <w:tcPr>
            <w:tcW w:w="1555" w:type="dxa"/>
            <w:tcMar>
              <w:top w:w="80" w:type="dxa"/>
              <w:left w:w="80" w:type="dxa"/>
              <w:bottom w:w="80" w:type="dxa"/>
              <w:right w:w="80" w:type="dxa"/>
            </w:tcMar>
            <w:vAlign w:val="center"/>
          </w:tcPr>
          <w:p w14:paraId="132D9F3A"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584230B0"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7E52A7C0" w14:textId="77777777" w:rsidR="00A91DD0" w:rsidRDefault="00A91DD0" w:rsidP="00A91DD0">
            <w:pPr>
              <w:jc w:val="left"/>
              <w:rPr>
                <w:rFonts w:hint="eastAsia"/>
              </w:rPr>
            </w:pPr>
            <w:r>
              <w:rPr>
                <w:rFonts w:ascii="Times New Roman" w:hAnsi="Times New Roman" w:cs="Times New Roman"/>
                <w:sz w:val="18"/>
              </w:rPr>
              <w:t>Low Risk. The cohort source was relevant to home care or community dwelling older adults.</w:t>
            </w:r>
          </w:p>
        </w:tc>
        <w:tc>
          <w:tcPr>
            <w:tcW w:w="2409" w:type="dxa"/>
            <w:tcMar>
              <w:top w:w="80" w:type="dxa"/>
              <w:left w:w="80" w:type="dxa"/>
              <w:bottom w:w="80" w:type="dxa"/>
              <w:right w:w="80" w:type="dxa"/>
            </w:tcMar>
            <w:vAlign w:val="center"/>
          </w:tcPr>
          <w:p w14:paraId="43FA6C75" w14:textId="77777777" w:rsidR="00A91DD0" w:rsidRDefault="00A91DD0" w:rsidP="00A91DD0">
            <w:pPr>
              <w:jc w:val="left"/>
              <w:rPr>
                <w:rFonts w:hint="eastAsia"/>
              </w:rPr>
            </w:pPr>
            <w:r>
              <w:rPr>
                <w:rFonts w:ascii="Times New Roman" w:hAnsi="Times New Roman" w:cs="Times New Roman"/>
                <w:sz w:val="18"/>
              </w:rPr>
              <w:t>Low Risk. Predictors were extracted from routine care or sensor data in a defined manner.</w:t>
            </w:r>
          </w:p>
        </w:tc>
        <w:tc>
          <w:tcPr>
            <w:tcW w:w="2552" w:type="dxa"/>
            <w:tcMar>
              <w:top w:w="80" w:type="dxa"/>
              <w:left w:w="80" w:type="dxa"/>
              <w:bottom w:w="80" w:type="dxa"/>
              <w:right w:w="80" w:type="dxa"/>
            </w:tcMar>
            <w:vAlign w:val="center"/>
          </w:tcPr>
          <w:p w14:paraId="791F9A25" w14:textId="77777777" w:rsidR="00A91DD0" w:rsidRDefault="00A91DD0" w:rsidP="00A91DD0">
            <w:pPr>
              <w:jc w:val="left"/>
              <w:rPr>
                <w:rFonts w:hint="eastAsia"/>
              </w:rPr>
            </w:pPr>
            <w:r>
              <w:rPr>
                <w:rFonts w:ascii="Times New Roman" w:hAnsi="Times New Roman" w:cs="Times New Roman"/>
                <w:sz w:val="18"/>
              </w:rPr>
              <w:t>Low Risk. Outcomes were clinically relevant to the study aim.</w:t>
            </w:r>
          </w:p>
        </w:tc>
        <w:tc>
          <w:tcPr>
            <w:tcW w:w="2551" w:type="dxa"/>
            <w:tcMar>
              <w:top w:w="80" w:type="dxa"/>
              <w:left w:w="80" w:type="dxa"/>
              <w:bottom w:w="80" w:type="dxa"/>
              <w:right w:w="80" w:type="dxa"/>
            </w:tcMar>
            <w:vAlign w:val="center"/>
          </w:tcPr>
          <w:p w14:paraId="4C696EE2" w14:textId="77777777" w:rsidR="00A91DD0" w:rsidRDefault="00A91DD0" w:rsidP="00A91DD0">
            <w:pPr>
              <w:jc w:val="left"/>
              <w:rPr>
                <w:rFonts w:hint="eastAsia"/>
              </w:rPr>
            </w:pPr>
            <w:r>
              <w:rPr>
                <w:rFonts w:ascii="Times New Roman" w:hAnsi="Times New Roman" w:cs="Times New Roman"/>
                <w:sz w:val="18"/>
              </w:rPr>
              <w:t>High Risk. External validation or calibration reporting was insufficient for review level synthesis.</w:t>
            </w:r>
          </w:p>
        </w:tc>
        <w:tc>
          <w:tcPr>
            <w:tcW w:w="567" w:type="dxa"/>
            <w:tcMar>
              <w:top w:w="80" w:type="dxa"/>
              <w:left w:w="80" w:type="dxa"/>
              <w:bottom w:w="80" w:type="dxa"/>
              <w:right w:w="80" w:type="dxa"/>
            </w:tcMar>
            <w:vAlign w:val="center"/>
          </w:tcPr>
          <w:p w14:paraId="03CFAE3F"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515C47B4" w14:textId="77777777" w:rsidR="00A91DD0" w:rsidRDefault="00A91DD0" w:rsidP="00A91DD0">
            <w:pPr>
              <w:jc w:val="left"/>
              <w:rPr>
                <w:rFonts w:hint="eastAsia"/>
              </w:rPr>
            </w:pPr>
            <w:r>
              <w:rPr>
                <w:rFonts w:ascii="Times New Roman" w:hAnsi="Times New Roman" w:cs="Times New Roman"/>
                <w:sz w:val="18"/>
              </w:rPr>
              <w:t>Low Concern. The setting was relevant but model transportability remained limited.</w:t>
            </w:r>
          </w:p>
        </w:tc>
      </w:tr>
      <w:tr w:rsidR="00A91DD0" w:rsidRPr="006C17CC" w14:paraId="6D31E6F8" w14:textId="77777777" w:rsidTr="00465626">
        <w:trPr>
          <w:trHeight w:val="1132"/>
        </w:trPr>
        <w:tc>
          <w:tcPr>
            <w:tcW w:w="1555" w:type="dxa"/>
            <w:noWrap/>
            <w:tcMar>
              <w:top w:w="80" w:type="dxa"/>
              <w:left w:w="80" w:type="dxa"/>
              <w:bottom w:w="80" w:type="dxa"/>
              <w:right w:w="80" w:type="dxa"/>
            </w:tcMar>
            <w:vAlign w:val="center"/>
            <w:hideMark/>
          </w:tcPr>
          <w:p w14:paraId="5FF42A1E"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(Saho et al., 2022)</w:t>
            </w:r>
          </w:p>
        </w:tc>
        <w:tc>
          <w:tcPr>
            <w:tcW w:w="567" w:type="dxa"/>
            <w:tcMar>
              <w:top w:w="80" w:type="dxa"/>
              <w:left w:w="80" w:type="dxa"/>
              <w:bottom w:w="80" w:type="dxa"/>
              <w:right w:w="80" w:type="dxa"/>
            </w:tcMar>
            <w:vAlign w:val="center"/>
            <w:hideMark/>
          </w:tcPr>
          <w:p w14:paraId="3500A4EE"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74C404B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Despite the small size, the participants were well-screened community-</w:t>
            </w:r>
            <w:r>
              <w:rPr>
                <w:rFonts w:ascii="Times New Roman" w:eastAsia="等线" w:hAnsi="Times New Roman" w:cs="Times New Roman"/>
                <w:color w:val="1F1F1F"/>
                <w:kern w:val="0"/>
                <w:sz w:val="18"/>
                <w:szCs w:val="18"/>
                <w14:ligatures w14:val="none"/>
              </w:rPr>
              <w:lastRenderedPageBreak/>
              <w:t>dwelling seniors, ensuring relevant data.</w:t>
            </w:r>
          </w:p>
        </w:tc>
        <w:tc>
          <w:tcPr>
            <w:tcW w:w="2409" w:type="dxa"/>
            <w:tcMar>
              <w:top w:w="80" w:type="dxa"/>
              <w:left w:w="80" w:type="dxa"/>
              <w:bottom w:w="80" w:type="dxa"/>
              <w:right w:w="80" w:type="dxa"/>
            </w:tcMar>
            <w:vAlign w:val="center"/>
            <w:hideMark/>
          </w:tcPr>
          <w:p w14:paraId="1EF6D56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lastRenderedPageBreak/>
              <w:t>Low Risk.</w:t>
            </w:r>
            <w:r>
              <w:rPr>
                <w:rFonts w:ascii="Times New Roman" w:eastAsia="等线" w:hAnsi="Times New Roman" w:cs="Times New Roman"/>
                <w:color w:val="1F1F1F"/>
                <w:kern w:val="0"/>
                <w:sz w:val="18"/>
                <w:szCs w:val="18"/>
                <w14:ligatures w14:val="none"/>
              </w:rPr>
              <w:t xml:space="preserve"> Radar signals provide rich temporal and spectral features that reflect subtle gait abnormalities.</w:t>
            </w:r>
          </w:p>
        </w:tc>
        <w:tc>
          <w:tcPr>
            <w:tcW w:w="2552" w:type="dxa"/>
            <w:tcMar>
              <w:top w:w="80" w:type="dxa"/>
              <w:left w:w="80" w:type="dxa"/>
              <w:bottom w:w="80" w:type="dxa"/>
              <w:right w:w="80" w:type="dxa"/>
            </w:tcMar>
            <w:vAlign w:val="center"/>
            <w:hideMark/>
          </w:tcPr>
          <w:p w14:paraId="7E6584F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the AIST Gait Database and clinical benchmarks provides a solid ground truth for outcomes.</w:t>
            </w:r>
          </w:p>
        </w:tc>
        <w:tc>
          <w:tcPr>
            <w:tcW w:w="2551" w:type="dxa"/>
            <w:tcMar>
              <w:top w:w="80" w:type="dxa"/>
              <w:left w:w="80" w:type="dxa"/>
              <w:bottom w:w="80" w:type="dxa"/>
              <w:right w:w="80" w:type="dxa"/>
            </w:tcMar>
            <w:vAlign w:val="center"/>
            <w:hideMark/>
          </w:tcPr>
          <w:p w14:paraId="17A9F80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high reported accuracy suggests that radar signatures contain distinctive patterns for risk classification.</w:t>
            </w:r>
          </w:p>
        </w:tc>
        <w:tc>
          <w:tcPr>
            <w:tcW w:w="567" w:type="dxa"/>
            <w:tcMar>
              <w:top w:w="80" w:type="dxa"/>
              <w:left w:w="80" w:type="dxa"/>
              <w:bottom w:w="80" w:type="dxa"/>
              <w:right w:w="80" w:type="dxa"/>
            </w:tcMar>
            <w:vAlign w:val="center"/>
            <w:hideMark/>
          </w:tcPr>
          <w:p w14:paraId="6E9DF724"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3D1F19E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Radar’s ability to measure gait through clothing and without wearables is a major advantage for aging in place.</w:t>
            </w:r>
          </w:p>
        </w:tc>
      </w:tr>
      <w:tr w:rsidR="00A91DD0" w:rsidRPr="006C17CC" w14:paraId="769645A4" w14:textId="77777777" w:rsidTr="00465626">
        <w:trPr>
          <w:trHeight w:val="1415"/>
        </w:trPr>
        <w:tc>
          <w:tcPr>
            <w:tcW w:w="1555" w:type="dxa"/>
            <w:tcMar>
              <w:top w:w="80" w:type="dxa"/>
              <w:left w:w="80" w:type="dxa"/>
              <w:bottom w:w="80" w:type="dxa"/>
              <w:right w:w="80" w:type="dxa"/>
            </w:tcMar>
            <w:vAlign w:val="center"/>
            <w:hideMark/>
          </w:tcPr>
          <w:p w14:paraId="2E76A471"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188F4FB5"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4CF17F4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inclusion of both young and elderly subjects allows for a clear characterization of aging-related gait changes.</w:t>
            </w:r>
          </w:p>
        </w:tc>
        <w:tc>
          <w:tcPr>
            <w:tcW w:w="2409" w:type="dxa"/>
            <w:tcMar>
              <w:top w:w="80" w:type="dxa"/>
              <w:left w:w="80" w:type="dxa"/>
              <w:bottom w:w="80" w:type="dxa"/>
              <w:right w:w="80" w:type="dxa"/>
            </w:tcMar>
            <w:vAlign w:val="center"/>
            <w:hideMark/>
          </w:tcPr>
          <w:p w14:paraId="67AC032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Micro-Doppler measurements were verified against standard clinical parameters, ensuring predictor validity.</w:t>
            </w:r>
          </w:p>
        </w:tc>
        <w:tc>
          <w:tcPr>
            <w:tcW w:w="2552" w:type="dxa"/>
            <w:tcMar>
              <w:top w:w="80" w:type="dxa"/>
              <w:left w:w="80" w:type="dxa"/>
              <w:bottom w:w="80" w:type="dxa"/>
              <w:right w:w="80" w:type="dxa"/>
            </w:tcMar>
            <w:vAlign w:val="center"/>
            <w:hideMark/>
          </w:tcPr>
          <w:p w14:paraId="4D01085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classification targets are clinically meaningful for preventive care in the community.</w:t>
            </w:r>
          </w:p>
        </w:tc>
        <w:tc>
          <w:tcPr>
            <w:tcW w:w="2551" w:type="dxa"/>
            <w:tcMar>
              <w:top w:w="80" w:type="dxa"/>
              <w:left w:w="80" w:type="dxa"/>
              <w:bottom w:w="80" w:type="dxa"/>
              <w:right w:w="80" w:type="dxa"/>
            </w:tcMar>
            <w:vAlign w:val="center"/>
            <w:hideMark/>
          </w:tcPr>
          <w:p w14:paraId="3BAACFE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comparison between deep learning and manual features demonstrates a rigorous attempt to optimize analysis.</w:t>
            </w:r>
          </w:p>
        </w:tc>
        <w:tc>
          <w:tcPr>
            <w:tcW w:w="567" w:type="dxa"/>
            <w:tcMar>
              <w:top w:w="80" w:type="dxa"/>
              <w:left w:w="80" w:type="dxa"/>
              <w:bottom w:w="80" w:type="dxa"/>
              <w:right w:w="80" w:type="dxa"/>
            </w:tcMar>
            <w:vAlign w:val="center"/>
            <w:hideMark/>
          </w:tcPr>
          <w:p w14:paraId="22F6648D"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17C3F5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technology is highly suitable for continuous, non-invasive home health monitoring.</w:t>
            </w:r>
          </w:p>
        </w:tc>
      </w:tr>
      <w:tr w:rsidR="00A91DD0" w:rsidRPr="006C17CC" w14:paraId="57315230" w14:textId="77777777" w:rsidTr="00465626">
        <w:trPr>
          <w:trHeight w:val="1415"/>
        </w:trPr>
        <w:tc>
          <w:tcPr>
            <w:tcW w:w="1555" w:type="dxa"/>
            <w:tcMar>
              <w:top w:w="80" w:type="dxa"/>
              <w:left w:w="80" w:type="dxa"/>
              <w:bottom w:w="80" w:type="dxa"/>
              <w:right w:w="80" w:type="dxa"/>
            </w:tcMar>
            <w:vAlign w:val="center"/>
            <w:hideMark/>
          </w:tcPr>
          <w:p w14:paraId="7DFA9365"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(Sandhu et al., 2025)</w:t>
            </w:r>
          </w:p>
        </w:tc>
        <w:tc>
          <w:tcPr>
            <w:tcW w:w="567" w:type="dxa"/>
            <w:tcMar>
              <w:top w:w="80" w:type="dxa"/>
              <w:left w:w="80" w:type="dxa"/>
              <w:bottom w:w="80" w:type="dxa"/>
              <w:right w:w="80" w:type="dxa"/>
            </w:tcMar>
            <w:vAlign w:val="center"/>
            <w:hideMark/>
          </w:tcPr>
          <w:p w14:paraId="10F57C69"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34B27F3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For a feasibility study, 10 participants provide a sufficient baseline for validating the system in diverse home layouts.</w:t>
            </w:r>
          </w:p>
        </w:tc>
        <w:tc>
          <w:tcPr>
            <w:tcW w:w="2409" w:type="dxa"/>
            <w:tcMar>
              <w:top w:w="80" w:type="dxa"/>
              <w:left w:w="80" w:type="dxa"/>
              <w:bottom w:w="80" w:type="dxa"/>
              <w:right w:w="80" w:type="dxa"/>
            </w:tcMar>
            <w:vAlign w:val="center"/>
            <w:hideMark/>
          </w:tcPr>
          <w:p w14:paraId="3EC74E3A"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multi-sensor sequences provides a rich set of predictors that accurately reflect individual movement habits.</w:t>
            </w:r>
          </w:p>
        </w:tc>
        <w:tc>
          <w:tcPr>
            <w:tcW w:w="2552" w:type="dxa"/>
            <w:tcMar>
              <w:top w:w="80" w:type="dxa"/>
              <w:left w:w="80" w:type="dxa"/>
              <w:bottom w:w="80" w:type="dxa"/>
              <w:right w:w="80" w:type="dxa"/>
            </w:tcMar>
            <w:vAlign w:val="center"/>
            <w:hideMark/>
          </w:tcPr>
          <w:p w14:paraId="7F10DA7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reported accuracy (93% for Random Forest) confirms that the model reliably recognizes clinically relevant outcomes.</w:t>
            </w:r>
          </w:p>
        </w:tc>
        <w:tc>
          <w:tcPr>
            <w:tcW w:w="2551" w:type="dxa"/>
            <w:tcMar>
              <w:top w:w="80" w:type="dxa"/>
              <w:left w:w="80" w:type="dxa"/>
              <w:bottom w:w="80" w:type="dxa"/>
              <w:right w:w="80" w:type="dxa"/>
            </w:tcMar>
            <w:vAlign w:val="center"/>
            <w:hideMark/>
          </w:tcPr>
          <w:p w14:paraId="4499E77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leave-one-out cross-validation for a small dataset demonstrates a rigorous attempt to maximize data utility.</w:t>
            </w:r>
          </w:p>
        </w:tc>
        <w:tc>
          <w:tcPr>
            <w:tcW w:w="567" w:type="dxa"/>
            <w:tcMar>
              <w:top w:w="80" w:type="dxa"/>
              <w:left w:w="80" w:type="dxa"/>
              <w:bottom w:w="80" w:type="dxa"/>
              <w:right w:w="80" w:type="dxa"/>
            </w:tcMar>
            <w:vAlign w:val="center"/>
            <w:hideMark/>
          </w:tcPr>
          <w:p w14:paraId="5F509637"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319FB6B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Non-intrusive PIR sensors are an ideal solution for large-scale, low-cost monitoring for aging in place.</w:t>
            </w:r>
          </w:p>
        </w:tc>
      </w:tr>
      <w:tr w:rsidR="00A91DD0" w:rsidRPr="006C17CC" w14:paraId="7D1EA55E" w14:textId="77777777" w:rsidTr="00465626">
        <w:trPr>
          <w:trHeight w:val="1415"/>
        </w:trPr>
        <w:tc>
          <w:tcPr>
            <w:tcW w:w="1555" w:type="dxa"/>
            <w:tcMar>
              <w:top w:w="80" w:type="dxa"/>
              <w:left w:w="80" w:type="dxa"/>
              <w:bottom w:w="80" w:type="dxa"/>
              <w:right w:w="80" w:type="dxa"/>
            </w:tcMar>
            <w:vAlign w:val="center"/>
            <w:hideMark/>
          </w:tcPr>
          <w:p w14:paraId="1A2ACEC3"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774AC1B7"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09F6702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inclusion of real-world home environments ensures that the sensor data and movement patterns are ecologically valid.</w:t>
            </w:r>
          </w:p>
        </w:tc>
        <w:tc>
          <w:tcPr>
            <w:tcW w:w="2409" w:type="dxa"/>
            <w:tcMar>
              <w:top w:w="80" w:type="dxa"/>
              <w:left w:w="80" w:type="dxa"/>
              <w:bottom w:w="80" w:type="dxa"/>
              <w:right w:w="80" w:type="dxa"/>
            </w:tcMar>
            <w:vAlign w:val="center"/>
            <w:hideMark/>
          </w:tcPr>
          <w:p w14:paraId="4E389C7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extraction from sensor logs avoids the subjectivity and errors found in manual behavioral reports.</w:t>
            </w:r>
          </w:p>
        </w:tc>
        <w:tc>
          <w:tcPr>
            <w:tcW w:w="2552" w:type="dxa"/>
            <w:tcMar>
              <w:top w:w="80" w:type="dxa"/>
              <w:left w:w="80" w:type="dxa"/>
              <w:bottom w:w="80" w:type="dxa"/>
              <w:right w:w="80" w:type="dxa"/>
            </w:tcMar>
            <w:vAlign w:val="center"/>
            <w:hideMark/>
          </w:tcPr>
          <w:p w14:paraId="6CD88D4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activity categories ensure that the findings provide actionable evidence for supporting independence.</w:t>
            </w:r>
          </w:p>
        </w:tc>
        <w:tc>
          <w:tcPr>
            <w:tcW w:w="2551" w:type="dxa"/>
            <w:tcMar>
              <w:top w:w="80" w:type="dxa"/>
              <w:left w:w="80" w:type="dxa"/>
              <w:bottom w:w="80" w:type="dxa"/>
              <w:right w:w="80" w:type="dxa"/>
            </w:tcMar>
            <w:vAlign w:val="center"/>
            <w:hideMark/>
          </w:tcPr>
          <w:p w14:paraId="4AB1A2A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Consistent performance across different algorithms confirms the technical stability and robustness of the monitoring framework.</w:t>
            </w:r>
          </w:p>
        </w:tc>
        <w:tc>
          <w:tcPr>
            <w:tcW w:w="567" w:type="dxa"/>
            <w:tcMar>
              <w:top w:w="80" w:type="dxa"/>
              <w:left w:w="80" w:type="dxa"/>
              <w:bottom w:w="80" w:type="dxa"/>
              <w:right w:w="80" w:type="dxa"/>
            </w:tcMar>
            <w:vAlign w:val="center"/>
            <w:hideMark/>
          </w:tcPr>
          <w:p w14:paraId="1BB9DF39"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4B55F8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a significant advancement in enabling seniors to live safely and independently at home.</w:t>
            </w:r>
          </w:p>
        </w:tc>
      </w:tr>
      <w:tr w:rsidR="00A91DD0" w14:paraId="0FEA5343" w14:textId="77777777">
        <w:tc>
          <w:tcPr>
            <w:tcW w:w="1555" w:type="dxa"/>
            <w:tcMar>
              <w:top w:w="80" w:type="dxa"/>
              <w:left w:w="80" w:type="dxa"/>
              <w:bottom w:w="80" w:type="dxa"/>
              <w:right w:w="80" w:type="dxa"/>
            </w:tcMar>
            <w:vAlign w:val="center"/>
          </w:tcPr>
          <w:p w14:paraId="1BBAF37F" w14:textId="77777777" w:rsidR="00A91DD0" w:rsidRDefault="00A91DD0" w:rsidP="00A91DD0">
            <w:pPr>
              <w:jc w:val="center"/>
              <w:rPr>
                <w:rFonts w:hint="eastAsia"/>
              </w:rPr>
            </w:pPr>
            <w:r>
              <w:rPr>
                <w:rFonts w:ascii="Times New Roman" w:hAnsi="Times New Roman" w:cs="Times New Roman"/>
                <w:sz w:val="18"/>
              </w:rPr>
              <w:t>(Sarwar et al., 2022)</w:t>
            </w:r>
          </w:p>
        </w:tc>
        <w:tc>
          <w:tcPr>
            <w:tcW w:w="567" w:type="dxa"/>
            <w:tcMar>
              <w:top w:w="80" w:type="dxa"/>
              <w:left w:w="80" w:type="dxa"/>
              <w:bottom w:w="80" w:type="dxa"/>
              <w:right w:w="80" w:type="dxa"/>
            </w:tcMar>
            <w:vAlign w:val="center"/>
          </w:tcPr>
          <w:p w14:paraId="6E1C1BC9"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4762E741" w14:textId="77777777" w:rsidR="00A91DD0" w:rsidRDefault="00A91DD0" w:rsidP="00A91DD0">
            <w:pPr>
              <w:jc w:val="left"/>
              <w:rPr>
                <w:rFonts w:hint="eastAsia"/>
              </w:rPr>
            </w:pPr>
            <w:r>
              <w:rPr>
                <w:rFonts w:ascii="Times New Roman" w:hAnsi="Times New Roman" w:cs="Times New Roman"/>
                <w:sz w:val="18"/>
              </w:rPr>
              <w:t>High Risk. Public benchmark datasets were not designed for clinical aging in place appraisal.</w:t>
            </w:r>
          </w:p>
        </w:tc>
        <w:tc>
          <w:tcPr>
            <w:tcW w:w="2409" w:type="dxa"/>
            <w:tcMar>
              <w:top w:w="80" w:type="dxa"/>
              <w:left w:w="80" w:type="dxa"/>
              <w:bottom w:w="80" w:type="dxa"/>
              <w:right w:w="80" w:type="dxa"/>
            </w:tcMar>
            <w:vAlign w:val="center"/>
          </w:tcPr>
          <w:p w14:paraId="384E7E8F" w14:textId="77777777" w:rsidR="00A91DD0" w:rsidRDefault="00A91DD0" w:rsidP="00A91DD0">
            <w:pPr>
              <w:jc w:val="left"/>
              <w:rPr>
                <w:rFonts w:hint="eastAsia"/>
              </w:rPr>
            </w:pPr>
            <w:r>
              <w:rPr>
                <w:rFonts w:ascii="Times New Roman" w:hAnsi="Times New Roman" w:cs="Times New Roman"/>
                <w:sz w:val="18"/>
              </w:rPr>
              <w:t>Low Risk. Predictors were well specified for the curated sensor or skeleton inputs.</w:t>
            </w:r>
          </w:p>
        </w:tc>
        <w:tc>
          <w:tcPr>
            <w:tcW w:w="2552" w:type="dxa"/>
            <w:tcMar>
              <w:top w:w="80" w:type="dxa"/>
              <w:left w:w="80" w:type="dxa"/>
              <w:bottom w:w="80" w:type="dxa"/>
              <w:right w:w="80" w:type="dxa"/>
            </w:tcMar>
            <w:vAlign w:val="center"/>
          </w:tcPr>
          <w:p w14:paraId="3659F48A" w14:textId="77777777" w:rsidR="00A91DD0" w:rsidRDefault="00A91DD0" w:rsidP="00A91DD0">
            <w:pPr>
              <w:jc w:val="left"/>
              <w:rPr>
                <w:rFonts w:hint="eastAsia"/>
              </w:rPr>
            </w:pPr>
            <w:r>
              <w:rPr>
                <w:rFonts w:ascii="Times New Roman" w:hAnsi="Times New Roman" w:cs="Times New Roman"/>
                <w:sz w:val="18"/>
              </w:rPr>
              <w:t>High Risk. Activity labels were proxy outcomes rather than health outcomes.</w:t>
            </w:r>
          </w:p>
        </w:tc>
        <w:tc>
          <w:tcPr>
            <w:tcW w:w="2551" w:type="dxa"/>
            <w:tcMar>
              <w:top w:w="80" w:type="dxa"/>
              <w:left w:w="80" w:type="dxa"/>
              <w:bottom w:w="80" w:type="dxa"/>
              <w:right w:w="80" w:type="dxa"/>
            </w:tcMar>
            <w:vAlign w:val="center"/>
          </w:tcPr>
          <w:p w14:paraId="34071BA3" w14:textId="77777777" w:rsidR="00A91DD0" w:rsidRDefault="00A91DD0" w:rsidP="00A91DD0">
            <w:pPr>
              <w:jc w:val="left"/>
              <w:rPr>
                <w:rFonts w:hint="eastAsia"/>
              </w:rPr>
            </w:pPr>
            <w:r>
              <w:rPr>
                <w:rFonts w:ascii="Times New Roman" w:hAnsi="Times New Roman" w:cs="Times New Roman"/>
                <w:sz w:val="18"/>
              </w:rPr>
              <w:t>High Risk. Validation relied mainly on internal or benchmark testing.</w:t>
            </w:r>
          </w:p>
        </w:tc>
        <w:tc>
          <w:tcPr>
            <w:tcW w:w="567" w:type="dxa"/>
            <w:tcMar>
              <w:top w:w="80" w:type="dxa"/>
              <w:left w:w="80" w:type="dxa"/>
              <w:bottom w:w="80" w:type="dxa"/>
              <w:right w:w="80" w:type="dxa"/>
            </w:tcMar>
            <w:vAlign w:val="center"/>
          </w:tcPr>
          <w:p w14:paraId="0FBC1D53"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3EBDBC37" w14:textId="77777777" w:rsidR="00A91DD0" w:rsidRDefault="00A91DD0" w:rsidP="00A91DD0">
            <w:pPr>
              <w:jc w:val="left"/>
              <w:rPr>
                <w:rFonts w:hint="eastAsia"/>
              </w:rPr>
            </w:pPr>
            <w:r>
              <w:rPr>
                <w:rFonts w:ascii="Times New Roman" w:hAnsi="Times New Roman" w:cs="Times New Roman"/>
                <w:sz w:val="18"/>
              </w:rPr>
              <w:t>High Concern. Applicability to community dwelling older adults was limited.</w:t>
            </w:r>
          </w:p>
        </w:tc>
      </w:tr>
      <w:tr w:rsidR="00A91DD0" w14:paraId="139C3D27" w14:textId="77777777">
        <w:tc>
          <w:tcPr>
            <w:tcW w:w="1555" w:type="dxa"/>
            <w:tcMar>
              <w:top w:w="80" w:type="dxa"/>
              <w:left w:w="80" w:type="dxa"/>
              <w:bottom w:w="80" w:type="dxa"/>
              <w:right w:w="80" w:type="dxa"/>
            </w:tcMar>
            <w:vAlign w:val="center"/>
          </w:tcPr>
          <w:p w14:paraId="2B88FD8B"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41738CEC"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08F201E5" w14:textId="77777777" w:rsidR="00A91DD0" w:rsidRDefault="00A91DD0" w:rsidP="00A91DD0">
            <w:pPr>
              <w:jc w:val="left"/>
              <w:rPr>
                <w:rFonts w:hint="eastAsia"/>
              </w:rPr>
            </w:pPr>
            <w:r>
              <w:rPr>
                <w:rFonts w:ascii="Times New Roman" w:hAnsi="Times New Roman" w:cs="Times New Roman"/>
                <w:sz w:val="18"/>
              </w:rPr>
              <w:t>High Risk. Public benchmark datasets were not designed for clinical aging in place appraisal.</w:t>
            </w:r>
          </w:p>
        </w:tc>
        <w:tc>
          <w:tcPr>
            <w:tcW w:w="2409" w:type="dxa"/>
            <w:tcMar>
              <w:top w:w="80" w:type="dxa"/>
              <w:left w:w="80" w:type="dxa"/>
              <w:bottom w:w="80" w:type="dxa"/>
              <w:right w:w="80" w:type="dxa"/>
            </w:tcMar>
            <w:vAlign w:val="center"/>
          </w:tcPr>
          <w:p w14:paraId="473F5E98" w14:textId="77777777" w:rsidR="00A91DD0" w:rsidRDefault="00A91DD0" w:rsidP="00A91DD0">
            <w:pPr>
              <w:jc w:val="left"/>
              <w:rPr>
                <w:rFonts w:hint="eastAsia"/>
              </w:rPr>
            </w:pPr>
            <w:r>
              <w:rPr>
                <w:rFonts w:ascii="Times New Roman" w:hAnsi="Times New Roman" w:cs="Times New Roman"/>
                <w:sz w:val="18"/>
              </w:rPr>
              <w:t>Low Risk. Predictors were well specified for the curated sensor or skeleton inputs.</w:t>
            </w:r>
          </w:p>
        </w:tc>
        <w:tc>
          <w:tcPr>
            <w:tcW w:w="2552" w:type="dxa"/>
            <w:tcMar>
              <w:top w:w="80" w:type="dxa"/>
              <w:left w:w="80" w:type="dxa"/>
              <w:bottom w:w="80" w:type="dxa"/>
              <w:right w:w="80" w:type="dxa"/>
            </w:tcMar>
            <w:vAlign w:val="center"/>
          </w:tcPr>
          <w:p w14:paraId="651CD418" w14:textId="77777777" w:rsidR="00A91DD0" w:rsidRDefault="00A91DD0" w:rsidP="00A91DD0">
            <w:pPr>
              <w:jc w:val="left"/>
              <w:rPr>
                <w:rFonts w:hint="eastAsia"/>
              </w:rPr>
            </w:pPr>
            <w:r>
              <w:rPr>
                <w:rFonts w:ascii="Times New Roman" w:hAnsi="Times New Roman" w:cs="Times New Roman"/>
                <w:sz w:val="18"/>
              </w:rPr>
              <w:t>High Risk. Activity labels were proxy outcomes rather than health outcomes.</w:t>
            </w:r>
          </w:p>
        </w:tc>
        <w:tc>
          <w:tcPr>
            <w:tcW w:w="2551" w:type="dxa"/>
            <w:tcMar>
              <w:top w:w="80" w:type="dxa"/>
              <w:left w:w="80" w:type="dxa"/>
              <w:bottom w:w="80" w:type="dxa"/>
              <w:right w:w="80" w:type="dxa"/>
            </w:tcMar>
            <w:vAlign w:val="center"/>
          </w:tcPr>
          <w:p w14:paraId="1E01859F" w14:textId="77777777" w:rsidR="00A91DD0" w:rsidRDefault="00A91DD0" w:rsidP="00A91DD0">
            <w:pPr>
              <w:jc w:val="left"/>
              <w:rPr>
                <w:rFonts w:hint="eastAsia"/>
              </w:rPr>
            </w:pPr>
            <w:r>
              <w:rPr>
                <w:rFonts w:ascii="Times New Roman" w:hAnsi="Times New Roman" w:cs="Times New Roman"/>
                <w:sz w:val="18"/>
              </w:rPr>
              <w:t>High Risk. Validation relied mainly on internal or benchmark testing.</w:t>
            </w:r>
          </w:p>
        </w:tc>
        <w:tc>
          <w:tcPr>
            <w:tcW w:w="567" w:type="dxa"/>
            <w:tcMar>
              <w:top w:w="80" w:type="dxa"/>
              <w:left w:w="80" w:type="dxa"/>
              <w:bottom w:w="80" w:type="dxa"/>
              <w:right w:w="80" w:type="dxa"/>
            </w:tcMar>
            <w:vAlign w:val="center"/>
          </w:tcPr>
          <w:p w14:paraId="3B6FE3A1"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4E7C5A2D" w14:textId="77777777" w:rsidR="00A91DD0" w:rsidRDefault="00A91DD0" w:rsidP="00A91DD0">
            <w:pPr>
              <w:jc w:val="left"/>
              <w:rPr>
                <w:rFonts w:hint="eastAsia"/>
              </w:rPr>
            </w:pPr>
            <w:r>
              <w:rPr>
                <w:rFonts w:ascii="Times New Roman" w:hAnsi="Times New Roman" w:cs="Times New Roman"/>
                <w:sz w:val="18"/>
              </w:rPr>
              <w:t>High Concern. Applicability to community dwelling older adults was limited.</w:t>
            </w:r>
          </w:p>
        </w:tc>
      </w:tr>
      <w:tr w:rsidR="00A91DD0" w:rsidRPr="006C17CC" w14:paraId="7C41EDD2" w14:textId="77777777" w:rsidTr="00465626">
        <w:trPr>
          <w:trHeight w:val="1132"/>
        </w:trPr>
        <w:tc>
          <w:tcPr>
            <w:tcW w:w="1555" w:type="dxa"/>
            <w:tcMar>
              <w:top w:w="80" w:type="dxa"/>
              <w:left w:w="80" w:type="dxa"/>
              <w:bottom w:w="80" w:type="dxa"/>
              <w:right w:w="80" w:type="dxa"/>
            </w:tcMar>
            <w:vAlign w:val="center"/>
            <w:hideMark/>
          </w:tcPr>
          <w:p w14:paraId="6BE2BB9C"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lastRenderedPageBreak/>
              <w:t>(Shang et al., 2020)</w:t>
            </w:r>
          </w:p>
        </w:tc>
        <w:tc>
          <w:tcPr>
            <w:tcW w:w="567" w:type="dxa"/>
            <w:tcMar>
              <w:top w:w="80" w:type="dxa"/>
              <w:left w:w="80" w:type="dxa"/>
              <w:bottom w:w="80" w:type="dxa"/>
              <w:right w:w="80" w:type="dxa"/>
            </w:tcMar>
            <w:vAlign w:val="center"/>
            <w:hideMark/>
          </w:tcPr>
          <w:p w14:paraId="74444395"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79E1AB5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For an initial algorithm validation, the intensive longitudinal data from one volunteer provides a rich dataset of routines.</w:t>
            </w:r>
          </w:p>
        </w:tc>
        <w:tc>
          <w:tcPr>
            <w:tcW w:w="2409" w:type="dxa"/>
            <w:tcMar>
              <w:top w:w="80" w:type="dxa"/>
              <w:left w:w="80" w:type="dxa"/>
              <w:bottom w:w="80" w:type="dxa"/>
              <w:right w:w="80" w:type="dxa"/>
            </w:tcMar>
            <w:vAlign w:val="center"/>
            <w:hideMark/>
          </w:tcPr>
          <w:p w14:paraId="6176ADA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Histogram-based features capture the statistical property of behavior, providing stable and reliable predictors.</w:t>
            </w:r>
          </w:p>
        </w:tc>
        <w:tc>
          <w:tcPr>
            <w:tcW w:w="2552" w:type="dxa"/>
            <w:tcMar>
              <w:top w:w="80" w:type="dxa"/>
              <w:left w:w="80" w:type="dxa"/>
              <w:bottom w:w="80" w:type="dxa"/>
              <w:right w:w="80" w:type="dxa"/>
            </w:tcMar>
            <w:vAlign w:val="center"/>
            <w:hideMark/>
          </w:tcPr>
          <w:p w14:paraId="20EFB38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reported precision and recall indicate that the BIA can successfully map clusters to clinically relevant activities.</w:t>
            </w:r>
          </w:p>
        </w:tc>
        <w:tc>
          <w:tcPr>
            <w:tcW w:w="2551" w:type="dxa"/>
            <w:tcMar>
              <w:top w:w="80" w:type="dxa"/>
              <w:left w:w="80" w:type="dxa"/>
              <w:bottom w:w="80" w:type="dxa"/>
              <w:right w:w="80" w:type="dxa"/>
            </w:tcMar>
            <w:vAlign w:val="center"/>
            <w:hideMark/>
          </w:tcPr>
          <w:p w14:paraId="26C8460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unsupervised nature of the BIA reduces the dependency on large labeled datasets, making it technically stable for deployment.</w:t>
            </w:r>
          </w:p>
        </w:tc>
        <w:tc>
          <w:tcPr>
            <w:tcW w:w="567" w:type="dxa"/>
            <w:tcMar>
              <w:top w:w="80" w:type="dxa"/>
              <w:left w:w="80" w:type="dxa"/>
              <w:bottom w:w="80" w:type="dxa"/>
              <w:right w:w="80" w:type="dxa"/>
            </w:tcMar>
            <w:vAlign w:val="center"/>
            <w:hideMark/>
          </w:tcPr>
          <w:p w14:paraId="6C331C2F"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FCD264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Passive monitoring without the need for manual annotation is an ideal solution for achieving aging in place.</w:t>
            </w:r>
          </w:p>
        </w:tc>
      </w:tr>
      <w:tr w:rsidR="00A91DD0" w:rsidRPr="006C17CC" w14:paraId="4759C21A" w14:textId="77777777" w:rsidTr="00465626">
        <w:trPr>
          <w:trHeight w:val="1132"/>
        </w:trPr>
        <w:tc>
          <w:tcPr>
            <w:tcW w:w="1555" w:type="dxa"/>
            <w:tcMar>
              <w:top w:w="80" w:type="dxa"/>
              <w:left w:w="80" w:type="dxa"/>
              <w:bottom w:w="80" w:type="dxa"/>
              <w:right w:w="80" w:type="dxa"/>
            </w:tcMar>
            <w:vAlign w:val="center"/>
            <w:hideMark/>
          </w:tcPr>
          <w:p w14:paraId="084D7985"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1F3B89E8"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4A2651A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testing on the WMNL2016 and CASAS datasets provides sufficient evidence for initial algorithm effectiveness.</w:t>
            </w:r>
          </w:p>
        </w:tc>
        <w:tc>
          <w:tcPr>
            <w:tcW w:w="2409" w:type="dxa"/>
            <w:tcMar>
              <w:top w:w="80" w:type="dxa"/>
              <w:left w:w="80" w:type="dxa"/>
              <w:bottom w:w="80" w:type="dxa"/>
              <w:right w:w="80" w:type="dxa"/>
            </w:tcMar>
            <w:vAlign w:val="center"/>
            <w:hideMark/>
          </w:tcPr>
          <w:p w14:paraId="3B17AC1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engineering from time-series logs avoids the subjectivity found in manual geriatric assessments.</w:t>
            </w:r>
          </w:p>
        </w:tc>
        <w:tc>
          <w:tcPr>
            <w:tcW w:w="2552" w:type="dxa"/>
            <w:tcMar>
              <w:top w:w="80" w:type="dxa"/>
              <w:left w:w="80" w:type="dxa"/>
              <w:bottom w:w="80" w:type="dxa"/>
              <w:right w:w="80" w:type="dxa"/>
            </w:tcMar>
            <w:vAlign w:val="center"/>
            <w:hideMark/>
          </w:tcPr>
          <w:p w14:paraId="1630E2B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activity categories ensure that the findings are actionable for caregivers and home services.</w:t>
            </w:r>
          </w:p>
        </w:tc>
        <w:tc>
          <w:tcPr>
            <w:tcW w:w="2551" w:type="dxa"/>
            <w:tcMar>
              <w:top w:w="80" w:type="dxa"/>
              <w:left w:w="80" w:type="dxa"/>
              <w:bottom w:w="80" w:type="dxa"/>
              <w:right w:w="80" w:type="dxa"/>
            </w:tcMar>
            <w:vAlign w:val="center"/>
            <w:hideMark/>
          </w:tcPr>
          <w:p w14:paraId="6C7563F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Superiority over existing models (MLAR) confirms the technical robustness and stability of the BIA framework.</w:t>
            </w:r>
          </w:p>
        </w:tc>
        <w:tc>
          <w:tcPr>
            <w:tcW w:w="567" w:type="dxa"/>
            <w:tcMar>
              <w:top w:w="80" w:type="dxa"/>
              <w:left w:w="80" w:type="dxa"/>
              <w:bottom w:w="80" w:type="dxa"/>
              <w:right w:w="80" w:type="dxa"/>
            </w:tcMar>
            <w:vAlign w:val="center"/>
            <w:hideMark/>
          </w:tcPr>
          <w:p w14:paraId="6E88AF07"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CAF97A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represents a major step toward building proactive and responsive living environments for seniors.</w:t>
            </w:r>
          </w:p>
        </w:tc>
      </w:tr>
      <w:tr w:rsidR="00A91DD0" w:rsidRPr="006C17CC" w14:paraId="41E85CFD" w14:textId="77777777" w:rsidTr="00465626">
        <w:trPr>
          <w:trHeight w:val="1132"/>
        </w:trPr>
        <w:tc>
          <w:tcPr>
            <w:tcW w:w="1555" w:type="dxa"/>
            <w:noWrap/>
            <w:tcMar>
              <w:top w:w="80" w:type="dxa"/>
              <w:left w:w="80" w:type="dxa"/>
              <w:bottom w:w="80" w:type="dxa"/>
              <w:right w:w="80" w:type="dxa"/>
            </w:tcMar>
            <w:vAlign w:val="center"/>
            <w:hideMark/>
          </w:tcPr>
          <w:p w14:paraId="59783084"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(Shen et al., 2023)</w:t>
            </w:r>
          </w:p>
        </w:tc>
        <w:tc>
          <w:tcPr>
            <w:tcW w:w="567" w:type="dxa"/>
            <w:tcMar>
              <w:top w:w="80" w:type="dxa"/>
              <w:left w:w="80" w:type="dxa"/>
              <w:bottom w:w="80" w:type="dxa"/>
              <w:right w:w="80" w:type="dxa"/>
            </w:tcMar>
            <w:vAlign w:val="center"/>
            <w:hideMark/>
          </w:tcPr>
          <w:p w14:paraId="72EA2652"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1BCD06F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experimental study included diverse types of simulated activities to cover a wide range of potential fall scenarios.</w:t>
            </w:r>
          </w:p>
        </w:tc>
        <w:tc>
          <w:tcPr>
            <w:tcW w:w="2409" w:type="dxa"/>
            <w:tcMar>
              <w:top w:w="80" w:type="dxa"/>
              <w:left w:w="80" w:type="dxa"/>
              <w:bottom w:w="80" w:type="dxa"/>
              <w:right w:w="80" w:type="dxa"/>
            </w:tcMar>
            <w:vAlign w:val="center"/>
            <w:hideMark/>
          </w:tcPr>
          <w:p w14:paraId="2391BA4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Multistatic radar sensing improves the signal-to-noise ratio, providing high-quality predictors for the model.</w:t>
            </w:r>
          </w:p>
        </w:tc>
        <w:tc>
          <w:tcPr>
            <w:tcW w:w="2552" w:type="dxa"/>
            <w:tcMar>
              <w:top w:w="80" w:type="dxa"/>
              <w:left w:w="80" w:type="dxa"/>
              <w:bottom w:w="80" w:type="dxa"/>
              <w:right w:w="80" w:type="dxa"/>
            </w:tcMar>
            <w:vAlign w:val="center"/>
            <w:hideMark/>
          </w:tcPr>
          <w:p w14:paraId="28A5042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classification of seven fall types provides detailed clinical information that is valuable for injury assessment.</w:t>
            </w:r>
          </w:p>
        </w:tc>
        <w:tc>
          <w:tcPr>
            <w:tcW w:w="2551" w:type="dxa"/>
            <w:tcMar>
              <w:top w:w="80" w:type="dxa"/>
              <w:left w:w="80" w:type="dxa"/>
              <w:bottom w:w="80" w:type="dxa"/>
              <w:right w:w="80" w:type="dxa"/>
            </w:tcMar>
            <w:vAlign w:val="center"/>
            <w:hideMark/>
          </w:tcPr>
          <w:p w14:paraId="5D9C058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explainable nature of eMSFRNet helps in understanding the feature resonance process and enhances model reliability.</w:t>
            </w:r>
          </w:p>
        </w:tc>
        <w:tc>
          <w:tcPr>
            <w:tcW w:w="567" w:type="dxa"/>
            <w:tcMar>
              <w:top w:w="80" w:type="dxa"/>
              <w:left w:w="80" w:type="dxa"/>
              <w:bottom w:w="80" w:type="dxa"/>
              <w:right w:w="80" w:type="dxa"/>
            </w:tcMar>
            <w:vAlign w:val="center"/>
            <w:hideMark/>
          </w:tcPr>
          <w:p w14:paraId="458D1E4E"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1D05F6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Radar technology is a promising, non-intrusive method for supporting aging in place.</w:t>
            </w:r>
          </w:p>
        </w:tc>
      </w:tr>
      <w:tr w:rsidR="00A91DD0" w:rsidRPr="006C17CC" w14:paraId="7BAE4FFD" w14:textId="77777777" w:rsidTr="00465626">
        <w:trPr>
          <w:trHeight w:val="1415"/>
        </w:trPr>
        <w:tc>
          <w:tcPr>
            <w:tcW w:w="1555" w:type="dxa"/>
            <w:tcMar>
              <w:top w:w="80" w:type="dxa"/>
              <w:left w:w="80" w:type="dxa"/>
              <w:bottom w:w="80" w:type="dxa"/>
              <w:right w:w="80" w:type="dxa"/>
            </w:tcMar>
            <w:vAlign w:val="center"/>
            <w:hideMark/>
          </w:tcPr>
          <w:p w14:paraId="0A4431B3"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7533670E"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0058BC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data collection process was rigorous, ensuring that Doppler signatures were obtained from multiple aspect angles.</w:t>
            </w:r>
          </w:p>
        </w:tc>
        <w:tc>
          <w:tcPr>
            <w:tcW w:w="2409" w:type="dxa"/>
            <w:tcMar>
              <w:top w:w="80" w:type="dxa"/>
              <w:left w:w="80" w:type="dxa"/>
              <w:bottom w:w="80" w:type="dxa"/>
              <w:right w:w="80" w:type="dxa"/>
            </w:tcMar>
            <w:vAlign w:val="center"/>
            <w:hideMark/>
          </w:tcPr>
          <w:p w14:paraId="7FD04FB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Deep feature extractors automatically identify relevant patterns, reducing the need for manual and potentially biased feature engineering.</w:t>
            </w:r>
          </w:p>
        </w:tc>
        <w:tc>
          <w:tcPr>
            <w:tcW w:w="2552" w:type="dxa"/>
            <w:tcMar>
              <w:top w:w="80" w:type="dxa"/>
              <w:left w:w="80" w:type="dxa"/>
              <w:bottom w:w="80" w:type="dxa"/>
              <w:right w:w="80" w:type="dxa"/>
            </w:tcMar>
            <w:vAlign w:val="center"/>
            <w:hideMark/>
          </w:tcPr>
          <w:p w14:paraId="758E49E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Outcomes were evaluated using multiple performance measures including accuracy, sensitivity, and specificity.</w:t>
            </w:r>
          </w:p>
        </w:tc>
        <w:tc>
          <w:tcPr>
            <w:tcW w:w="2551" w:type="dxa"/>
            <w:tcMar>
              <w:top w:w="80" w:type="dxa"/>
              <w:left w:w="80" w:type="dxa"/>
              <w:bottom w:w="80" w:type="dxa"/>
              <w:right w:w="80" w:type="dxa"/>
            </w:tcMar>
            <w:vAlign w:val="center"/>
            <w:hideMark/>
          </w:tcPr>
          <w:p w14:paraId="6EB65F5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feature-resonated mechanism enhances weak signals, making the analysis more robust to environmental noise.</w:t>
            </w:r>
          </w:p>
        </w:tc>
        <w:tc>
          <w:tcPr>
            <w:tcW w:w="567" w:type="dxa"/>
            <w:tcMar>
              <w:top w:w="80" w:type="dxa"/>
              <w:left w:w="80" w:type="dxa"/>
              <w:bottom w:w="80" w:type="dxa"/>
              <w:right w:w="80" w:type="dxa"/>
            </w:tcMar>
            <w:vAlign w:val="center"/>
            <w:hideMark/>
          </w:tcPr>
          <w:p w14:paraId="65754607"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F0C734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unobtrusive nature of the monitoring system aligns with the goal of maintaining functional independence.</w:t>
            </w:r>
          </w:p>
        </w:tc>
      </w:tr>
      <w:tr w:rsidR="00A91DD0" w:rsidRPr="006C17CC" w14:paraId="18D5BFA8" w14:textId="77777777" w:rsidTr="00465626">
        <w:trPr>
          <w:trHeight w:val="1132"/>
        </w:trPr>
        <w:tc>
          <w:tcPr>
            <w:tcW w:w="1555" w:type="dxa"/>
            <w:noWrap/>
            <w:tcMar>
              <w:top w:w="80" w:type="dxa"/>
              <w:left w:w="80" w:type="dxa"/>
              <w:bottom w:w="80" w:type="dxa"/>
              <w:right w:w="80" w:type="dxa"/>
            </w:tcMar>
            <w:vAlign w:val="center"/>
            <w:hideMark/>
          </w:tcPr>
          <w:p w14:paraId="693F92C5"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(Sheng et al., 2022)</w:t>
            </w:r>
          </w:p>
        </w:tc>
        <w:tc>
          <w:tcPr>
            <w:tcW w:w="567" w:type="dxa"/>
            <w:tcMar>
              <w:top w:w="80" w:type="dxa"/>
              <w:left w:w="80" w:type="dxa"/>
              <w:bottom w:w="80" w:type="dxa"/>
              <w:right w:w="80" w:type="dxa"/>
            </w:tcMar>
            <w:vAlign w:val="center"/>
            <w:hideMark/>
          </w:tcPr>
          <w:p w14:paraId="46EE8521"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47761C9A"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recruitment from community settings ensures that the model is trained on data from the intended end-users.</w:t>
            </w:r>
          </w:p>
        </w:tc>
        <w:tc>
          <w:tcPr>
            <w:tcW w:w="2409" w:type="dxa"/>
            <w:tcMar>
              <w:top w:w="80" w:type="dxa"/>
              <w:left w:w="80" w:type="dxa"/>
              <w:bottom w:w="80" w:type="dxa"/>
              <w:right w:w="80" w:type="dxa"/>
            </w:tcMar>
            <w:vAlign w:val="center"/>
            <w:hideMark/>
          </w:tcPr>
          <w:p w14:paraId="1934231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selected fitness tests are evidence-based and have been shown to correlate with balance and mobility.</w:t>
            </w:r>
          </w:p>
        </w:tc>
        <w:tc>
          <w:tcPr>
            <w:tcW w:w="2552" w:type="dxa"/>
            <w:tcMar>
              <w:top w:w="80" w:type="dxa"/>
              <w:left w:w="80" w:type="dxa"/>
              <w:bottom w:w="80" w:type="dxa"/>
              <w:right w:w="80" w:type="dxa"/>
            </w:tcMar>
            <w:vAlign w:val="center"/>
            <w:hideMark/>
          </w:tcPr>
          <w:p w14:paraId="003275A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Historical falls serve as a practical and accessible outcome measure for developing initial screening tools.</w:t>
            </w:r>
          </w:p>
        </w:tc>
        <w:tc>
          <w:tcPr>
            <w:tcW w:w="2551" w:type="dxa"/>
            <w:tcMar>
              <w:top w:w="80" w:type="dxa"/>
              <w:left w:w="80" w:type="dxa"/>
              <w:bottom w:w="80" w:type="dxa"/>
              <w:right w:w="80" w:type="dxa"/>
            </w:tcMar>
            <w:vAlign w:val="center"/>
            <w:hideMark/>
          </w:tcPr>
          <w:p w14:paraId="2AD87B2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decision trees provides an interpretable model structure that is less prone to extreme overfitting than deeper architectures.</w:t>
            </w:r>
          </w:p>
        </w:tc>
        <w:tc>
          <w:tcPr>
            <w:tcW w:w="567" w:type="dxa"/>
            <w:tcMar>
              <w:top w:w="80" w:type="dxa"/>
              <w:left w:w="80" w:type="dxa"/>
              <w:bottom w:w="80" w:type="dxa"/>
              <w:right w:w="80" w:type="dxa"/>
            </w:tcMar>
            <w:vAlign w:val="center"/>
            <w:hideMark/>
          </w:tcPr>
          <w:p w14:paraId="4DF89DAB"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5C59AF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15-minute service circle concept makes the intervention highly feasible for real-world application.</w:t>
            </w:r>
          </w:p>
        </w:tc>
      </w:tr>
      <w:tr w:rsidR="00A91DD0" w:rsidRPr="006C17CC" w14:paraId="2234C5B4" w14:textId="77777777" w:rsidTr="00465626">
        <w:trPr>
          <w:trHeight w:val="1415"/>
        </w:trPr>
        <w:tc>
          <w:tcPr>
            <w:tcW w:w="1555" w:type="dxa"/>
            <w:tcMar>
              <w:top w:w="80" w:type="dxa"/>
              <w:left w:w="80" w:type="dxa"/>
              <w:bottom w:w="80" w:type="dxa"/>
              <w:right w:w="80" w:type="dxa"/>
            </w:tcMar>
            <w:vAlign w:val="center"/>
            <w:hideMark/>
          </w:tcPr>
          <w:p w14:paraId="5B265B08"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697F3B4A"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112699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participants represent a clear cohort of independent living seniors without severe cognitive or physical impairments.</w:t>
            </w:r>
          </w:p>
        </w:tc>
        <w:tc>
          <w:tcPr>
            <w:tcW w:w="2409" w:type="dxa"/>
            <w:tcMar>
              <w:top w:w="80" w:type="dxa"/>
              <w:left w:w="80" w:type="dxa"/>
              <w:bottom w:w="80" w:type="dxa"/>
              <w:right w:w="80" w:type="dxa"/>
            </w:tcMar>
            <w:vAlign w:val="center"/>
            <w:hideMark/>
          </w:tcPr>
          <w:p w14:paraId="4A6A7CC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 measurement was conducted by trained personnel using standardized tools to ensure data quality.</w:t>
            </w:r>
          </w:p>
        </w:tc>
        <w:tc>
          <w:tcPr>
            <w:tcW w:w="2552" w:type="dxa"/>
            <w:tcMar>
              <w:top w:w="80" w:type="dxa"/>
              <w:left w:w="80" w:type="dxa"/>
              <w:bottom w:w="80" w:type="dxa"/>
              <w:right w:w="80" w:type="dxa"/>
            </w:tcMar>
            <w:vAlign w:val="center"/>
            <w:hideMark/>
          </w:tcPr>
          <w:p w14:paraId="7242E3B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binary classification of fall risk provides a clear and actionable result for community health practitioners.</w:t>
            </w:r>
          </w:p>
        </w:tc>
        <w:tc>
          <w:tcPr>
            <w:tcW w:w="2551" w:type="dxa"/>
            <w:tcMar>
              <w:top w:w="80" w:type="dxa"/>
              <w:left w:w="80" w:type="dxa"/>
              <w:bottom w:w="80" w:type="dxa"/>
              <w:right w:w="80" w:type="dxa"/>
            </w:tcMar>
            <w:vAlign w:val="center"/>
            <w:hideMark/>
          </w:tcPr>
          <w:p w14:paraId="0B25FCF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Adaptive index filtration helps to ensure that only the most relevant features are used in the final prediction.</w:t>
            </w:r>
          </w:p>
        </w:tc>
        <w:tc>
          <w:tcPr>
            <w:tcW w:w="567" w:type="dxa"/>
            <w:tcMar>
              <w:top w:w="80" w:type="dxa"/>
              <w:left w:w="80" w:type="dxa"/>
              <w:bottom w:w="80" w:type="dxa"/>
              <w:right w:w="80" w:type="dxa"/>
            </w:tcMar>
            <w:vAlign w:val="center"/>
            <w:hideMark/>
          </w:tcPr>
          <w:p w14:paraId="4B66F071"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722EEE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paradigm is perfectly suited to supporting aging in place through regular community screenings.</w:t>
            </w:r>
          </w:p>
        </w:tc>
      </w:tr>
      <w:tr w:rsidR="00A91DD0" w:rsidRPr="006C17CC" w14:paraId="21F44E47" w14:textId="77777777" w:rsidTr="00465626">
        <w:trPr>
          <w:trHeight w:val="1132"/>
        </w:trPr>
        <w:tc>
          <w:tcPr>
            <w:tcW w:w="1555" w:type="dxa"/>
            <w:tcMar>
              <w:top w:w="80" w:type="dxa"/>
              <w:left w:w="80" w:type="dxa"/>
              <w:bottom w:w="80" w:type="dxa"/>
              <w:right w:w="80" w:type="dxa"/>
            </w:tcMar>
            <w:vAlign w:val="center"/>
            <w:hideMark/>
          </w:tcPr>
          <w:p w14:paraId="5D91486E"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(Soufian et al., 2022)</w:t>
            </w:r>
          </w:p>
        </w:tc>
        <w:tc>
          <w:tcPr>
            <w:tcW w:w="567" w:type="dxa"/>
            <w:tcMar>
              <w:top w:w="80" w:type="dxa"/>
              <w:left w:w="80" w:type="dxa"/>
              <w:bottom w:w="80" w:type="dxa"/>
              <w:right w:w="80" w:type="dxa"/>
            </w:tcMar>
            <w:vAlign w:val="center"/>
            <w:hideMark/>
          </w:tcPr>
          <w:p w14:paraId="29948D16"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42F558C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scale of the data and the real world diversity significantly reduce the limitations of small studies.</w:t>
            </w:r>
          </w:p>
        </w:tc>
        <w:tc>
          <w:tcPr>
            <w:tcW w:w="2409" w:type="dxa"/>
            <w:tcMar>
              <w:top w:w="80" w:type="dxa"/>
              <w:left w:w="80" w:type="dxa"/>
              <w:bottom w:w="80" w:type="dxa"/>
              <w:right w:w="80" w:type="dxa"/>
            </w:tcMar>
            <w:vAlign w:val="center"/>
            <w:hideMark/>
          </w:tcPr>
          <w:p w14:paraId="595B0D8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Skeleton tracking provides sensitive kinematic predictors that can detect subtle changes in functional ability.</w:t>
            </w:r>
          </w:p>
        </w:tc>
        <w:tc>
          <w:tcPr>
            <w:tcW w:w="2552" w:type="dxa"/>
            <w:tcMar>
              <w:top w:w="80" w:type="dxa"/>
              <w:left w:w="80" w:type="dxa"/>
              <w:bottom w:w="80" w:type="dxa"/>
              <w:right w:w="80" w:type="dxa"/>
            </w:tcMar>
            <w:vAlign w:val="center"/>
            <w:hideMark/>
          </w:tcPr>
          <w:p w14:paraId="1522C1F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outcome labels match international clinical standards which ensures the medical relevance of the results.</w:t>
            </w:r>
          </w:p>
        </w:tc>
        <w:tc>
          <w:tcPr>
            <w:tcW w:w="2551" w:type="dxa"/>
            <w:tcMar>
              <w:top w:w="80" w:type="dxa"/>
              <w:left w:w="80" w:type="dxa"/>
              <w:bottom w:w="80" w:type="dxa"/>
              <w:right w:w="80" w:type="dxa"/>
            </w:tcMar>
            <w:vAlign w:val="center"/>
            <w:hideMark/>
          </w:tcPr>
          <w:p w14:paraId="71781D5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advanced regularization ensures that the deep learning model generalizes well across the dataset.</w:t>
            </w:r>
          </w:p>
        </w:tc>
        <w:tc>
          <w:tcPr>
            <w:tcW w:w="567" w:type="dxa"/>
            <w:tcMar>
              <w:top w:w="80" w:type="dxa"/>
              <w:left w:w="80" w:type="dxa"/>
              <w:bottom w:w="80" w:type="dxa"/>
              <w:right w:w="80" w:type="dxa"/>
            </w:tcMar>
            <w:vAlign w:val="center"/>
            <w:hideMark/>
          </w:tcPr>
          <w:p w14:paraId="280A48B5"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D9400E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continuous monitoring model serves as a blueprint for the future of smart community care.</w:t>
            </w:r>
          </w:p>
        </w:tc>
      </w:tr>
      <w:tr w:rsidR="00A91DD0" w:rsidRPr="006C17CC" w14:paraId="72A77D98" w14:textId="77777777" w:rsidTr="00465626">
        <w:trPr>
          <w:trHeight w:val="1132"/>
        </w:trPr>
        <w:tc>
          <w:tcPr>
            <w:tcW w:w="1555" w:type="dxa"/>
            <w:tcMar>
              <w:top w:w="80" w:type="dxa"/>
              <w:left w:w="80" w:type="dxa"/>
              <w:bottom w:w="80" w:type="dxa"/>
              <w:right w:w="80" w:type="dxa"/>
            </w:tcMar>
            <w:vAlign w:val="center"/>
            <w:hideMark/>
          </w:tcPr>
          <w:p w14:paraId="346BCCE4"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26A00B2A"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64D916E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Long term deployment across many homes confirms that the system is stable and handles varied habits.</w:t>
            </w:r>
          </w:p>
        </w:tc>
        <w:tc>
          <w:tcPr>
            <w:tcW w:w="2409" w:type="dxa"/>
            <w:tcMar>
              <w:top w:w="80" w:type="dxa"/>
              <w:left w:w="80" w:type="dxa"/>
              <w:bottom w:w="80" w:type="dxa"/>
              <w:right w:w="80" w:type="dxa"/>
            </w:tcMar>
            <w:vAlign w:val="center"/>
            <w:hideMark/>
          </w:tcPr>
          <w:p w14:paraId="7750BB8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 assessment is completely passive and non intrusive which allows for a true view of habits.</w:t>
            </w:r>
          </w:p>
        </w:tc>
        <w:tc>
          <w:tcPr>
            <w:tcW w:w="2552" w:type="dxa"/>
            <w:tcMar>
              <w:top w:w="80" w:type="dxa"/>
              <w:left w:w="80" w:type="dxa"/>
              <w:bottom w:w="80" w:type="dxa"/>
              <w:right w:w="80" w:type="dxa"/>
            </w:tcMar>
            <w:vAlign w:val="center"/>
            <w:hideMark/>
          </w:tcPr>
          <w:p w14:paraId="6F368CB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Outcome determination covers a wide spectrum from mild impairment to dementia for a complete assessment.</w:t>
            </w:r>
          </w:p>
        </w:tc>
        <w:tc>
          <w:tcPr>
            <w:tcW w:w="2551" w:type="dxa"/>
            <w:tcMar>
              <w:top w:w="80" w:type="dxa"/>
              <w:left w:w="80" w:type="dxa"/>
              <w:bottom w:w="80" w:type="dxa"/>
              <w:right w:w="80" w:type="dxa"/>
            </w:tcMar>
            <w:vAlign w:val="center"/>
            <w:hideMark/>
          </w:tcPr>
          <w:p w14:paraId="1AC2547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performance in identifying complex abnormal behaviors confirms the technical robustness of the model.</w:t>
            </w:r>
          </w:p>
        </w:tc>
        <w:tc>
          <w:tcPr>
            <w:tcW w:w="567" w:type="dxa"/>
            <w:tcMar>
              <w:top w:w="80" w:type="dxa"/>
              <w:left w:w="80" w:type="dxa"/>
              <w:bottom w:w="80" w:type="dxa"/>
              <w:right w:w="80" w:type="dxa"/>
            </w:tcMar>
            <w:vAlign w:val="center"/>
            <w:hideMark/>
          </w:tcPr>
          <w:p w14:paraId="2C2FA51D"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3ADE066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technology supports independent living by providing objective evidence for personalized care.</w:t>
            </w:r>
          </w:p>
        </w:tc>
      </w:tr>
      <w:tr w:rsidR="00A91DD0" w:rsidRPr="006C17CC" w14:paraId="51D3B9AE" w14:textId="77777777" w:rsidTr="00465626">
        <w:trPr>
          <w:trHeight w:val="1415"/>
        </w:trPr>
        <w:tc>
          <w:tcPr>
            <w:tcW w:w="1555" w:type="dxa"/>
            <w:noWrap/>
            <w:tcMar>
              <w:top w:w="80" w:type="dxa"/>
              <w:left w:w="80" w:type="dxa"/>
              <w:bottom w:w="80" w:type="dxa"/>
              <w:right w:w="80" w:type="dxa"/>
            </w:tcMar>
            <w:vAlign w:val="center"/>
            <w:hideMark/>
          </w:tcPr>
          <w:p w14:paraId="1E8A1F91"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(Susanty et al., 2023)</w:t>
            </w:r>
          </w:p>
        </w:tc>
        <w:tc>
          <w:tcPr>
            <w:tcW w:w="567" w:type="dxa"/>
            <w:tcMar>
              <w:top w:w="80" w:type="dxa"/>
              <w:left w:w="80" w:type="dxa"/>
              <w:bottom w:w="80" w:type="dxa"/>
              <w:right w:w="80" w:type="dxa"/>
            </w:tcMar>
            <w:vAlign w:val="center"/>
            <w:hideMark/>
          </w:tcPr>
          <w:p w14:paraId="33E9AE28"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26CAFC0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sample was drawn from the NHANES database, providing a massive and representative population of older adults.</w:t>
            </w:r>
          </w:p>
        </w:tc>
        <w:tc>
          <w:tcPr>
            <w:tcW w:w="2409" w:type="dxa"/>
            <w:tcMar>
              <w:top w:w="80" w:type="dxa"/>
              <w:left w:w="80" w:type="dxa"/>
              <w:bottom w:w="80" w:type="dxa"/>
              <w:right w:w="80" w:type="dxa"/>
            </w:tcMar>
            <w:vAlign w:val="center"/>
            <w:hideMark/>
          </w:tcPr>
          <w:p w14:paraId="5432E3D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Predictors included 26 non questionnaire features such as demographics and laboratory data which are objective.</w:t>
            </w:r>
          </w:p>
        </w:tc>
        <w:tc>
          <w:tcPr>
            <w:tcW w:w="2552" w:type="dxa"/>
            <w:tcMar>
              <w:top w:w="80" w:type="dxa"/>
              <w:left w:w="80" w:type="dxa"/>
              <w:bottom w:w="80" w:type="dxa"/>
              <w:right w:w="80" w:type="dxa"/>
            </w:tcMar>
            <w:vAlign w:val="center"/>
            <w:hideMark/>
          </w:tcPr>
          <w:p w14:paraId="3F5CA14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outcome was defined using the GDS 15 scale, a widely recognized and validated tool for depressive symptoms.</w:t>
            </w:r>
          </w:p>
        </w:tc>
        <w:tc>
          <w:tcPr>
            <w:tcW w:w="2551" w:type="dxa"/>
            <w:tcMar>
              <w:top w:w="80" w:type="dxa"/>
              <w:left w:w="80" w:type="dxa"/>
              <w:bottom w:w="80" w:type="dxa"/>
              <w:right w:w="80" w:type="dxa"/>
            </w:tcMar>
            <w:vAlign w:val="center"/>
            <w:hideMark/>
          </w:tcPr>
          <w:p w14:paraId="5FA2F9C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Proper handling of missing data and the use of separate training and testing sets significantly reduced bias.</w:t>
            </w:r>
          </w:p>
        </w:tc>
        <w:tc>
          <w:tcPr>
            <w:tcW w:w="567" w:type="dxa"/>
            <w:tcMar>
              <w:top w:w="80" w:type="dxa"/>
              <w:left w:w="80" w:type="dxa"/>
              <w:bottom w:w="80" w:type="dxa"/>
              <w:right w:w="80" w:type="dxa"/>
            </w:tcMar>
            <w:vAlign w:val="center"/>
            <w:hideMark/>
          </w:tcPr>
          <w:p w14:paraId="0A5525DB"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F99FED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questionnaire free approach is highly applicable to the goal of unobtrusive monitoring for aging in place.</w:t>
            </w:r>
          </w:p>
        </w:tc>
      </w:tr>
      <w:tr w:rsidR="00A91DD0" w:rsidRPr="006C17CC" w14:paraId="5EE9807F" w14:textId="77777777" w:rsidTr="00465626">
        <w:trPr>
          <w:trHeight w:val="1415"/>
        </w:trPr>
        <w:tc>
          <w:tcPr>
            <w:tcW w:w="1555" w:type="dxa"/>
            <w:tcMar>
              <w:top w:w="80" w:type="dxa"/>
              <w:left w:w="80" w:type="dxa"/>
              <w:bottom w:w="80" w:type="dxa"/>
              <w:right w:w="80" w:type="dxa"/>
            </w:tcMar>
            <w:vAlign w:val="center"/>
            <w:hideMark/>
          </w:tcPr>
          <w:p w14:paraId="42872E0A"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56FE09B4"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6AC7109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Clear inclusion and exclusion criteria were applied to the NHANES dataset to ensure a consistent elderly cohort.</w:t>
            </w:r>
          </w:p>
        </w:tc>
        <w:tc>
          <w:tcPr>
            <w:tcW w:w="2409" w:type="dxa"/>
            <w:tcMar>
              <w:top w:w="80" w:type="dxa"/>
              <w:left w:w="80" w:type="dxa"/>
              <w:bottom w:w="80" w:type="dxa"/>
              <w:right w:w="80" w:type="dxa"/>
            </w:tcMar>
            <w:vAlign w:val="center"/>
            <w:hideMark/>
          </w:tcPr>
          <w:p w14:paraId="71D42E4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Predictors were available at the time of prediction and were measured using standardized laboratory and clinical methods.</w:t>
            </w:r>
          </w:p>
        </w:tc>
        <w:tc>
          <w:tcPr>
            <w:tcW w:w="2552" w:type="dxa"/>
            <w:tcMar>
              <w:top w:w="80" w:type="dxa"/>
              <w:left w:w="80" w:type="dxa"/>
              <w:bottom w:w="80" w:type="dxa"/>
              <w:right w:w="80" w:type="dxa"/>
            </w:tcMar>
            <w:vAlign w:val="center"/>
            <w:hideMark/>
          </w:tcPr>
          <w:p w14:paraId="7400F15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binary classification of depressive symptoms was based on objective thresholds from a validated clinical scale.</w:t>
            </w:r>
          </w:p>
        </w:tc>
        <w:tc>
          <w:tcPr>
            <w:tcW w:w="2551" w:type="dxa"/>
            <w:tcMar>
              <w:top w:w="80" w:type="dxa"/>
              <w:left w:w="80" w:type="dxa"/>
              <w:bottom w:w="80" w:type="dxa"/>
              <w:right w:w="80" w:type="dxa"/>
            </w:tcMar>
            <w:vAlign w:val="center"/>
            <w:hideMark/>
          </w:tcPr>
          <w:p w14:paraId="6337D82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Advanced analysis techniques like recursive feature elimination were employed to ensure only relevant variables were used.</w:t>
            </w:r>
          </w:p>
        </w:tc>
        <w:tc>
          <w:tcPr>
            <w:tcW w:w="567" w:type="dxa"/>
            <w:tcMar>
              <w:top w:w="80" w:type="dxa"/>
              <w:left w:w="80" w:type="dxa"/>
              <w:bottom w:w="80" w:type="dxa"/>
              <w:right w:w="80" w:type="dxa"/>
            </w:tcMar>
            <w:vAlign w:val="center"/>
            <w:hideMark/>
          </w:tcPr>
          <w:p w14:paraId="706BE42C"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61D58E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 provides a practical and scalable solution for mental health screening in the community.</w:t>
            </w:r>
          </w:p>
        </w:tc>
      </w:tr>
      <w:tr w:rsidR="00A91DD0" w14:paraId="51BAAEE5" w14:textId="77777777">
        <w:tc>
          <w:tcPr>
            <w:tcW w:w="1555" w:type="dxa"/>
            <w:tcMar>
              <w:top w:w="80" w:type="dxa"/>
              <w:left w:w="80" w:type="dxa"/>
              <w:bottom w:w="80" w:type="dxa"/>
              <w:right w:w="80" w:type="dxa"/>
            </w:tcMar>
            <w:vAlign w:val="center"/>
          </w:tcPr>
          <w:p w14:paraId="3EF3607A" w14:textId="77777777" w:rsidR="00A91DD0" w:rsidRDefault="00A91DD0" w:rsidP="00A91DD0">
            <w:pPr>
              <w:jc w:val="center"/>
              <w:rPr>
                <w:rFonts w:hint="eastAsia"/>
              </w:rPr>
            </w:pPr>
            <w:r>
              <w:rPr>
                <w:rFonts w:ascii="Times New Roman" w:hAnsi="Times New Roman" w:cs="Times New Roman"/>
                <w:sz w:val="18"/>
              </w:rPr>
              <w:t>(Tan et al., 2021)</w:t>
            </w:r>
          </w:p>
        </w:tc>
        <w:tc>
          <w:tcPr>
            <w:tcW w:w="567" w:type="dxa"/>
            <w:tcMar>
              <w:top w:w="80" w:type="dxa"/>
              <w:left w:w="80" w:type="dxa"/>
              <w:bottom w:w="80" w:type="dxa"/>
              <w:right w:w="80" w:type="dxa"/>
            </w:tcMar>
            <w:vAlign w:val="center"/>
          </w:tcPr>
          <w:p w14:paraId="19C90815"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5047C659" w14:textId="77777777" w:rsidR="00A91DD0" w:rsidRDefault="00A91DD0" w:rsidP="00A91DD0">
            <w:pPr>
              <w:jc w:val="left"/>
              <w:rPr>
                <w:rFonts w:hint="eastAsia"/>
              </w:rPr>
            </w:pPr>
            <w:r>
              <w:rPr>
                <w:rFonts w:ascii="Times New Roman" w:hAnsi="Times New Roman" w:cs="Times New Roman"/>
                <w:sz w:val="18"/>
              </w:rPr>
              <w:t xml:space="preserve">High Risk. Public benchmark datasets were not designed for clinical aging in </w:t>
            </w:r>
            <w:r>
              <w:rPr>
                <w:rFonts w:ascii="Times New Roman" w:hAnsi="Times New Roman" w:cs="Times New Roman"/>
                <w:sz w:val="18"/>
              </w:rPr>
              <w:lastRenderedPageBreak/>
              <w:t>place appraisal.</w:t>
            </w:r>
          </w:p>
        </w:tc>
        <w:tc>
          <w:tcPr>
            <w:tcW w:w="2409" w:type="dxa"/>
            <w:tcMar>
              <w:top w:w="80" w:type="dxa"/>
              <w:left w:w="80" w:type="dxa"/>
              <w:bottom w:w="80" w:type="dxa"/>
              <w:right w:w="80" w:type="dxa"/>
            </w:tcMar>
            <w:vAlign w:val="center"/>
          </w:tcPr>
          <w:p w14:paraId="6C91316D" w14:textId="77777777" w:rsidR="00A91DD0" w:rsidRDefault="00A91DD0" w:rsidP="00A91DD0">
            <w:pPr>
              <w:jc w:val="left"/>
              <w:rPr>
                <w:rFonts w:hint="eastAsia"/>
              </w:rPr>
            </w:pPr>
            <w:r>
              <w:rPr>
                <w:rFonts w:ascii="Times New Roman" w:hAnsi="Times New Roman" w:cs="Times New Roman"/>
                <w:sz w:val="18"/>
              </w:rPr>
              <w:lastRenderedPageBreak/>
              <w:t>Low Risk. Predictors were well specified for the curated sensor or skeleton inputs.</w:t>
            </w:r>
          </w:p>
        </w:tc>
        <w:tc>
          <w:tcPr>
            <w:tcW w:w="2552" w:type="dxa"/>
            <w:tcMar>
              <w:top w:w="80" w:type="dxa"/>
              <w:left w:w="80" w:type="dxa"/>
              <w:bottom w:w="80" w:type="dxa"/>
              <w:right w:w="80" w:type="dxa"/>
            </w:tcMar>
            <w:vAlign w:val="center"/>
          </w:tcPr>
          <w:p w14:paraId="19220E6C" w14:textId="77777777" w:rsidR="00A91DD0" w:rsidRDefault="00A91DD0" w:rsidP="00A91DD0">
            <w:pPr>
              <w:jc w:val="left"/>
              <w:rPr>
                <w:rFonts w:hint="eastAsia"/>
              </w:rPr>
            </w:pPr>
            <w:r>
              <w:rPr>
                <w:rFonts w:ascii="Times New Roman" w:hAnsi="Times New Roman" w:cs="Times New Roman"/>
                <w:sz w:val="18"/>
              </w:rPr>
              <w:t>High Risk. Activity labels were proxy outcomes rather than health outcomes.</w:t>
            </w:r>
          </w:p>
        </w:tc>
        <w:tc>
          <w:tcPr>
            <w:tcW w:w="2551" w:type="dxa"/>
            <w:tcMar>
              <w:top w:w="80" w:type="dxa"/>
              <w:left w:w="80" w:type="dxa"/>
              <w:bottom w:w="80" w:type="dxa"/>
              <w:right w:w="80" w:type="dxa"/>
            </w:tcMar>
            <w:vAlign w:val="center"/>
          </w:tcPr>
          <w:p w14:paraId="4A900765" w14:textId="77777777" w:rsidR="00A91DD0" w:rsidRDefault="00A91DD0" w:rsidP="00A91DD0">
            <w:pPr>
              <w:jc w:val="left"/>
              <w:rPr>
                <w:rFonts w:hint="eastAsia"/>
              </w:rPr>
            </w:pPr>
            <w:r>
              <w:rPr>
                <w:rFonts w:ascii="Times New Roman" w:hAnsi="Times New Roman" w:cs="Times New Roman"/>
                <w:sz w:val="18"/>
              </w:rPr>
              <w:t>High Risk. Validation relied mainly on internal or benchmark testing.</w:t>
            </w:r>
          </w:p>
        </w:tc>
        <w:tc>
          <w:tcPr>
            <w:tcW w:w="567" w:type="dxa"/>
            <w:tcMar>
              <w:top w:w="80" w:type="dxa"/>
              <w:left w:w="80" w:type="dxa"/>
              <w:bottom w:w="80" w:type="dxa"/>
              <w:right w:w="80" w:type="dxa"/>
            </w:tcMar>
            <w:vAlign w:val="center"/>
          </w:tcPr>
          <w:p w14:paraId="12789672"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37304458" w14:textId="77777777" w:rsidR="00A91DD0" w:rsidRDefault="00A91DD0" w:rsidP="00A91DD0">
            <w:pPr>
              <w:jc w:val="left"/>
              <w:rPr>
                <w:rFonts w:hint="eastAsia"/>
              </w:rPr>
            </w:pPr>
            <w:r>
              <w:rPr>
                <w:rFonts w:ascii="Times New Roman" w:hAnsi="Times New Roman" w:cs="Times New Roman"/>
                <w:sz w:val="18"/>
              </w:rPr>
              <w:t>High Concern. Applicability to community dwelling older adults was limited.</w:t>
            </w:r>
          </w:p>
        </w:tc>
      </w:tr>
      <w:tr w:rsidR="00A91DD0" w14:paraId="7231B550" w14:textId="77777777">
        <w:tc>
          <w:tcPr>
            <w:tcW w:w="1555" w:type="dxa"/>
            <w:tcMar>
              <w:top w:w="80" w:type="dxa"/>
              <w:left w:w="80" w:type="dxa"/>
              <w:bottom w:w="80" w:type="dxa"/>
              <w:right w:w="80" w:type="dxa"/>
            </w:tcMar>
            <w:vAlign w:val="center"/>
          </w:tcPr>
          <w:p w14:paraId="01D4799C"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4F4A1729"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6867504B" w14:textId="77777777" w:rsidR="00A91DD0" w:rsidRDefault="00A91DD0" w:rsidP="00A91DD0">
            <w:pPr>
              <w:jc w:val="left"/>
              <w:rPr>
                <w:rFonts w:hint="eastAsia"/>
              </w:rPr>
            </w:pPr>
            <w:r>
              <w:rPr>
                <w:rFonts w:ascii="Times New Roman" w:hAnsi="Times New Roman" w:cs="Times New Roman"/>
                <w:sz w:val="18"/>
              </w:rPr>
              <w:t>High Risk. Public benchmark datasets were not designed for clinical aging in place appraisal.</w:t>
            </w:r>
          </w:p>
        </w:tc>
        <w:tc>
          <w:tcPr>
            <w:tcW w:w="2409" w:type="dxa"/>
            <w:tcMar>
              <w:top w:w="80" w:type="dxa"/>
              <w:left w:w="80" w:type="dxa"/>
              <w:bottom w:w="80" w:type="dxa"/>
              <w:right w:w="80" w:type="dxa"/>
            </w:tcMar>
            <w:vAlign w:val="center"/>
          </w:tcPr>
          <w:p w14:paraId="5E803A44" w14:textId="77777777" w:rsidR="00A91DD0" w:rsidRDefault="00A91DD0" w:rsidP="00A91DD0">
            <w:pPr>
              <w:jc w:val="left"/>
              <w:rPr>
                <w:rFonts w:hint="eastAsia"/>
              </w:rPr>
            </w:pPr>
            <w:r>
              <w:rPr>
                <w:rFonts w:ascii="Times New Roman" w:hAnsi="Times New Roman" w:cs="Times New Roman"/>
                <w:sz w:val="18"/>
              </w:rPr>
              <w:t>Low Risk. Predictors were well specified for the curated sensor or skeleton inputs.</w:t>
            </w:r>
          </w:p>
        </w:tc>
        <w:tc>
          <w:tcPr>
            <w:tcW w:w="2552" w:type="dxa"/>
            <w:tcMar>
              <w:top w:w="80" w:type="dxa"/>
              <w:left w:w="80" w:type="dxa"/>
              <w:bottom w:w="80" w:type="dxa"/>
              <w:right w:w="80" w:type="dxa"/>
            </w:tcMar>
            <w:vAlign w:val="center"/>
          </w:tcPr>
          <w:p w14:paraId="7848278E" w14:textId="77777777" w:rsidR="00A91DD0" w:rsidRDefault="00A91DD0" w:rsidP="00A91DD0">
            <w:pPr>
              <w:jc w:val="left"/>
              <w:rPr>
                <w:rFonts w:hint="eastAsia"/>
              </w:rPr>
            </w:pPr>
            <w:r>
              <w:rPr>
                <w:rFonts w:ascii="Times New Roman" w:hAnsi="Times New Roman" w:cs="Times New Roman"/>
                <w:sz w:val="18"/>
              </w:rPr>
              <w:t>High Risk. Activity labels were proxy outcomes rather than health outcomes.</w:t>
            </w:r>
          </w:p>
        </w:tc>
        <w:tc>
          <w:tcPr>
            <w:tcW w:w="2551" w:type="dxa"/>
            <w:tcMar>
              <w:top w:w="80" w:type="dxa"/>
              <w:left w:w="80" w:type="dxa"/>
              <w:bottom w:w="80" w:type="dxa"/>
              <w:right w:w="80" w:type="dxa"/>
            </w:tcMar>
            <w:vAlign w:val="center"/>
          </w:tcPr>
          <w:p w14:paraId="03225F29" w14:textId="77777777" w:rsidR="00A91DD0" w:rsidRDefault="00A91DD0" w:rsidP="00A91DD0">
            <w:pPr>
              <w:jc w:val="left"/>
              <w:rPr>
                <w:rFonts w:hint="eastAsia"/>
              </w:rPr>
            </w:pPr>
            <w:r>
              <w:rPr>
                <w:rFonts w:ascii="Times New Roman" w:hAnsi="Times New Roman" w:cs="Times New Roman"/>
                <w:sz w:val="18"/>
              </w:rPr>
              <w:t>High Risk. Validation relied mainly on internal or benchmark testing.</w:t>
            </w:r>
          </w:p>
        </w:tc>
        <w:tc>
          <w:tcPr>
            <w:tcW w:w="567" w:type="dxa"/>
            <w:tcMar>
              <w:top w:w="80" w:type="dxa"/>
              <w:left w:w="80" w:type="dxa"/>
              <w:bottom w:w="80" w:type="dxa"/>
              <w:right w:w="80" w:type="dxa"/>
            </w:tcMar>
            <w:vAlign w:val="center"/>
          </w:tcPr>
          <w:p w14:paraId="58A96303"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75484FFE" w14:textId="77777777" w:rsidR="00A91DD0" w:rsidRDefault="00A91DD0" w:rsidP="00A91DD0">
            <w:pPr>
              <w:jc w:val="left"/>
              <w:rPr>
                <w:rFonts w:hint="eastAsia"/>
              </w:rPr>
            </w:pPr>
            <w:r>
              <w:rPr>
                <w:rFonts w:ascii="Times New Roman" w:hAnsi="Times New Roman" w:cs="Times New Roman"/>
                <w:sz w:val="18"/>
              </w:rPr>
              <w:t>High Concern. Applicability to community dwelling older adults was limited.</w:t>
            </w:r>
          </w:p>
        </w:tc>
      </w:tr>
      <w:tr w:rsidR="00A91DD0" w:rsidRPr="006C17CC" w14:paraId="2943F25E" w14:textId="77777777" w:rsidTr="00465626">
        <w:trPr>
          <w:trHeight w:val="1132"/>
        </w:trPr>
        <w:tc>
          <w:tcPr>
            <w:tcW w:w="1555" w:type="dxa"/>
            <w:noWrap/>
            <w:tcMar>
              <w:top w:w="80" w:type="dxa"/>
              <w:left w:w="80" w:type="dxa"/>
              <w:bottom w:w="80" w:type="dxa"/>
              <w:right w:w="80" w:type="dxa"/>
            </w:tcMar>
            <w:vAlign w:val="center"/>
            <w:hideMark/>
          </w:tcPr>
          <w:p w14:paraId="7805A995"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(Tasoulis et al., 2013)</w:t>
            </w:r>
          </w:p>
        </w:tc>
        <w:tc>
          <w:tcPr>
            <w:tcW w:w="567" w:type="dxa"/>
            <w:tcMar>
              <w:top w:w="80" w:type="dxa"/>
              <w:left w:w="80" w:type="dxa"/>
              <w:bottom w:w="80" w:type="dxa"/>
              <w:right w:w="80" w:type="dxa"/>
            </w:tcMar>
            <w:vAlign w:val="center"/>
            <w:hideMark/>
          </w:tcPr>
          <w:p w14:paraId="0C47AC26"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34A3DA6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selection of subjects with diverse physical characteristics (weight, height) provides a baseline for technical validation.</w:t>
            </w:r>
          </w:p>
        </w:tc>
        <w:tc>
          <w:tcPr>
            <w:tcW w:w="2409" w:type="dxa"/>
            <w:tcMar>
              <w:top w:w="80" w:type="dxa"/>
              <w:left w:w="80" w:type="dxa"/>
              <w:bottom w:w="80" w:type="dxa"/>
              <w:right w:w="80" w:type="dxa"/>
            </w:tcMar>
            <w:vAlign w:val="center"/>
            <w:hideMark/>
          </w:tcPr>
          <w:p w14:paraId="0CFDE4B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both visual and motion data provides a multi-faceted set of predictors that enhance detection reliability.</w:t>
            </w:r>
          </w:p>
        </w:tc>
        <w:tc>
          <w:tcPr>
            <w:tcW w:w="2552" w:type="dxa"/>
            <w:tcMar>
              <w:top w:w="80" w:type="dxa"/>
              <w:left w:w="80" w:type="dxa"/>
              <w:bottom w:w="80" w:type="dxa"/>
              <w:right w:w="80" w:type="dxa"/>
            </w:tcMar>
            <w:vAlign w:val="center"/>
            <w:hideMark/>
          </w:tcPr>
          <w:p w14:paraId="033C887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ground-truth video labels ensures that the outcome determination is highly accurate.</w:t>
            </w:r>
          </w:p>
        </w:tc>
        <w:tc>
          <w:tcPr>
            <w:tcW w:w="2551" w:type="dxa"/>
            <w:tcMar>
              <w:top w:w="80" w:type="dxa"/>
              <w:left w:w="80" w:type="dxa"/>
              <w:bottom w:w="80" w:type="dxa"/>
              <w:right w:w="80" w:type="dxa"/>
            </w:tcMar>
            <w:vAlign w:val="center"/>
            <w:hideMark/>
          </w:tcPr>
          <w:p w14:paraId="444C0F5A"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combination of clustering and SVM successfully identifies events with 100% sensitivity in experimental trials.</w:t>
            </w:r>
          </w:p>
        </w:tc>
        <w:tc>
          <w:tcPr>
            <w:tcW w:w="567" w:type="dxa"/>
            <w:tcMar>
              <w:top w:w="80" w:type="dxa"/>
              <w:left w:w="80" w:type="dxa"/>
              <w:bottom w:w="80" w:type="dxa"/>
              <w:right w:w="80" w:type="dxa"/>
            </w:tcMar>
            <w:vAlign w:val="center"/>
            <w:hideMark/>
          </w:tcPr>
          <w:p w14:paraId="34F5CC89"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4B4704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hybrid sensor approach is a promising solution for maintaining independent living in assistive environments.</w:t>
            </w:r>
          </w:p>
        </w:tc>
      </w:tr>
      <w:tr w:rsidR="00A91DD0" w:rsidRPr="006C17CC" w14:paraId="481E50EE" w14:textId="77777777" w:rsidTr="00465626">
        <w:trPr>
          <w:trHeight w:val="1132"/>
        </w:trPr>
        <w:tc>
          <w:tcPr>
            <w:tcW w:w="1555" w:type="dxa"/>
            <w:tcMar>
              <w:top w:w="80" w:type="dxa"/>
              <w:left w:w="80" w:type="dxa"/>
              <w:bottom w:w="80" w:type="dxa"/>
              <w:right w:w="80" w:type="dxa"/>
            </w:tcMar>
            <w:vAlign w:val="center"/>
            <w:hideMark/>
          </w:tcPr>
          <w:p w14:paraId="2EB5B7D2"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0C59CB8F"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6BE2DF6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Appropriate ethical considerations and informed consent were documented for all volunteer participants.</w:t>
            </w:r>
          </w:p>
        </w:tc>
        <w:tc>
          <w:tcPr>
            <w:tcW w:w="2409" w:type="dxa"/>
            <w:tcMar>
              <w:top w:w="80" w:type="dxa"/>
              <w:left w:w="80" w:type="dxa"/>
              <w:bottom w:w="80" w:type="dxa"/>
              <w:right w:w="80" w:type="dxa"/>
            </w:tcMar>
            <w:vAlign w:val="center"/>
            <w:hideMark/>
          </w:tcPr>
          <w:p w14:paraId="79A0491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extraction from data streams minimizes manual measurement bias.</w:t>
            </w:r>
          </w:p>
        </w:tc>
        <w:tc>
          <w:tcPr>
            <w:tcW w:w="2552" w:type="dxa"/>
            <w:tcMar>
              <w:top w:w="80" w:type="dxa"/>
              <w:left w:w="80" w:type="dxa"/>
              <w:bottom w:w="80" w:type="dxa"/>
              <w:right w:w="80" w:type="dxa"/>
            </w:tcMar>
            <w:vAlign w:val="center"/>
            <w:hideMark/>
          </w:tcPr>
          <w:p w14:paraId="152070F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Outcomes were pre-specified and verified through repeated experimental trials for each activity category.</w:t>
            </w:r>
          </w:p>
        </w:tc>
        <w:tc>
          <w:tcPr>
            <w:tcW w:w="2551" w:type="dxa"/>
            <w:tcMar>
              <w:top w:w="80" w:type="dxa"/>
              <w:left w:w="80" w:type="dxa"/>
              <w:bottom w:w="80" w:type="dxa"/>
              <w:right w:w="80" w:type="dxa"/>
            </w:tcMar>
            <w:vAlign w:val="center"/>
            <w:hideMark/>
          </w:tcPr>
          <w:p w14:paraId="189B62F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implementation of the CUSUM algorithm allows the model to handle streaming data effectively.</w:t>
            </w:r>
          </w:p>
        </w:tc>
        <w:tc>
          <w:tcPr>
            <w:tcW w:w="567" w:type="dxa"/>
            <w:tcMar>
              <w:top w:w="80" w:type="dxa"/>
              <w:left w:w="80" w:type="dxa"/>
              <w:bottom w:w="80" w:type="dxa"/>
              <w:right w:w="80" w:type="dxa"/>
            </w:tcMar>
            <w:vAlign w:val="center"/>
            <w:hideMark/>
          </w:tcPr>
          <w:p w14:paraId="1C307B65"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AFA871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Non-intrusive monitoring technologies are highly relevant to the goal of aging in place.</w:t>
            </w:r>
          </w:p>
        </w:tc>
      </w:tr>
      <w:tr w:rsidR="00A91DD0" w14:paraId="738AC4A1" w14:textId="77777777">
        <w:tc>
          <w:tcPr>
            <w:tcW w:w="1555" w:type="dxa"/>
            <w:tcMar>
              <w:top w:w="80" w:type="dxa"/>
              <w:left w:w="80" w:type="dxa"/>
              <w:bottom w:w="80" w:type="dxa"/>
              <w:right w:w="80" w:type="dxa"/>
            </w:tcMar>
            <w:vAlign w:val="center"/>
          </w:tcPr>
          <w:p w14:paraId="4E139BCB" w14:textId="77777777" w:rsidR="00A91DD0" w:rsidRDefault="00A91DD0" w:rsidP="00A91DD0">
            <w:pPr>
              <w:jc w:val="center"/>
              <w:rPr>
                <w:rFonts w:hint="eastAsia"/>
              </w:rPr>
            </w:pPr>
            <w:r>
              <w:rPr>
                <w:rFonts w:ascii="Times New Roman" w:hAnsi="Times New Roman" w:cs="Times New Roman"/>
                <w:sz w:val="18"/>
              </w:rPr>
              <w:t>(Toda and Chin, 2024)</w:t>
            </w:r>
          </w:p>
        </w:tc>
        <w:tc>
          <w:tcPr>
            <w:tcW w:w="567" w:type="dxa"/>
            <w:tcMar>
              <w:top w:w="80" w:type="dxa"/>
              <w:left w:w="80" w:type="dxa"/>
              <w:bottom w:w="80" w:type="dxa"/>
              <w:right w:w="80" w:type="dxa"/>
            </w:tcMar>
            <w:vAlign w:val="center"/>
          </w:tcPr>
          <w:p w14:paraId="614C92B6"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51A53365" w14:textId="77777777" w:rsidR="00A91DD0" w:rsidRDefault="00A91DD0" w:rsidP="00A91DD0">
            <w:pPr>
              <w:jc w:val="left"/>
              <w:rPr>
                <w:rFonts w:hint="eastAsia"/>
              </w:rPr>
            </w:pPr>
            <w:r>
              <w:rPr>
                <w:rFonts w:ascii="Times New Roman" w:hAnsi="Times New Roman" w:cs="Times New Roman"/>
                <w:sz w:val="18"/>
              </w:rPr>
              <w:t>High Risk. The participant sample was small or narrow for model development.</w:t>
            </w:r>
          </w:p>
        </w:tc>
        <w:tc>
          <w:tcPr>
            <w:tcW w:w="2409" w:type="dxa"/>
            <w:tcMar>
              <w:top w:w="80" w:type="dxa"/>
              <w:left w:w="80" w:type="dxa"/>
              <w:bottom w:w="80" w:type="dxa"/>
              <w:right w:w="80" w:type="dxa"/>
            </w:tcMar>
            <w:vAlign w:val="center"/>
          </w:tcPr>
          <w:p w14:paraId="49B19D61" w14:textId="77777777" w:rsidR="00A91DD0" w:rsidRDefault="00A91DD0" w:rsidP="00A91DD0">
            <w:pPr>
              <w:jc w:val="left"/>
              <w:rPr>
                <w:rFonts w:hint="eastAsia"/>
              </w:rPr>
            </w:pPr>
            <w:r>
              <w:rPr>
                <w:rFonts w:ascii="Times New Roman" w:hAnsi="Times New Roman" w:cs="Times New Roman"/>
                <w:sz w:val="18"/>
              </w:rPr>
              <w:t>Low Risk. Wearable predictors were technically defined.</w:t>
            </w:r>
          </w:p>
        </w:tc>
        <w:tc>
          <w:tcPr>
            <w:tcW w:w="2552" w:type="dxa"/>
            <w:tcMar>
              <w:top w:w="80" w:type="dxa"/>
              <w:left w:w="80" w:type="dxa"/>
              <w:bottom w:w="80" w:type="dxa"/>
              <w:right w:w="80" w:type="dxa"/>
            </w:tcMar>
            <w:vAlign w:val="center"/>
          </w:tcPr>
          <w:p w14:paraId="3DEF7D76" w14:textId="77777777" w:rsidR="00A91DD0" w:rsidRDefault="00A91DD0" w:rsidP="00A91DD0">
            <w:pPr>
              <w:jc w:val="left"/>
              <w:rPr>
                <w:rFonts w:hint="eastAsia"/>
              </w:rPr>
            </w:pPr>
            <w:r>
              <w:rPr>
                <w:rFonts w:ascii="Times New Roman" w:hAnsi="Times New Roman" w:cs="Times New Roman"/>
                <w:sz w:val="18"/>
              </w:rPr>
              <w:t>Low Risk. Frailty or sarcopenia outcomes were relevant.</w:t>
            </w:r>
          </w:p>
        </w:tc>
        <w:tc>
          <w:tcPr>
            <w:tcW w:w="2551" w:type="dxa"/>
            <w:tcMar>
              <w:top w:w="80" w:type="dxa"/>
              <w:left w:w="80" w:type="dxa"/>
              <w:bottom w:w="80" w:type="dxa"/>
              <w:right w:w="80" w:type="dxa"/>
            </w:tcMar>
            <w:vAlign w:val="center"/>
          </w:tcPr>
          <w:p w14:paraId="27ACEEF0" w14:textId="77777777" w:rsidR="00A91DD0" w:rsidRDefault="00A91DD0" w:rsidP="00A91DD0">
            <w:pPr>
              <w:jc w:val="left"/>
              <w:rPr>
                <w:rFonts w:hint="eastAsia"/>
              </w:rPr>
            </w:pPr>
            <w:r>
              <w:rPr>
                <w:rFonts w:ascii="Times New Roman" w:hAnsi="Times New Roman" w:cs="Times New Roman"/>
                <w:sz w:val="18"/>
              </w:rPr>
              <w:t>High Risk. Model validation was limited and optimism could not be excluded.</w:t>
            </w:r>
          </w:p>
        </w:tc>
        <w:tc>
          <w:tcPr>
            <w:tcW w:w="567" w:type="dxa"/>
            <w:tcMar>
              <w:top w:w="80" w:type="dxa"/>
              <w:left w:w="80" w:type="dxa"/>
              <w:bottom w:w="80" w:type="dxa"/>
              <w:right w:w="80" w:type="dxa"/>
            </w:tcMar>
            <w:vAlign w:val="center"/>
          </w:tcPr>
          <w:p w14:paraId="30572336"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19EEA709" w14:textId="77777777" w:rsidR="00A91DD0" w:rsidRDefault="00A91DD0" w:rsidP="00A91DD0">
            <w:pPr>
              <w:jc w:val="left"/>
              <w:rPr>
                <w:rFonts w:hint="eastAsia"/>
              </w:rPr>
            </w:pPr>
            <w:r>
              <w:rPr>
                <w:rFonts w:ascii="Times New Roman" w:hAnsi="Times New Roman" w:cs="Times New Roman"/>
                <w:sz w:val="18"/>
              </w:rPr>
              <w:t>Low Concern. The technology was relevant but evidence was preliminary.</w:t>
            </w:r>
          </w:p>
        </w:tc>
      </w:tr>
      <w:tr w:rsidR="00A91DD0" w14:paraId="5F35308E" w14:textId="77777777">
        <w:tc>
          <w:tcPr>
            <w:tcW w:w="1555" w:type="dxa"/>
            <w:tcMar>
              <w:top w:w="80" w:type="dxa"/>
              <w:left w:w="80" w:type="dxa"/>
              <w:bottom w:w="80" w:type="dxa"/>
              <w:right w:w="80" w:type="dxa"/>
            </w:tcMar>
            <w:vAlign w:val="center"/>
          </w:tcPr>
          <w:p w14:paraId="2DA655D1"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6136FA2E"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1528ACF3" w14:textId="77777777" w:rsidR="00A91DD0" w:rsidRDefault="00A91DD0" w:rsidP="00A91DD0">
            <w:pPr>
              <w:jc w:val="left"/>
              <w:rPr>
                <w:rFonts w:hint="eastAsia"/>
              </w:rPr>
            </w:pPr>
            <w:r>
              <w:rPr>
                <w:rFonts w:ascii="Times New Roman" w:hAnsi="Times New Roman" w:cs="Times New Roman"/>
                <w:sz w:val="18"/>
              </w:rPr>
              <w:t>High Risk. The participant sample was small or narrow for model development.</w:t>
            </w:r>
          </w:p>
        </w:tc>
        <w:tc>
          <w:tcPr>
            <w:tcW w:w="2409" w:type="dxa"/>
            <w:tcMar>
              <w:top w:w="80" w:type="dxa"/>
              <w:left w:w="80" w:type="dxa"/>
              <w:bottom w:w="80" w:type="dxa"/>
              <w:right w:w="80" w:type="dxa"/>
            </w:tcMar>
            <w:vAlign w:val="center"/>
          </w:tcPr>
          <w:p w14:paraId="547FB1E1" w14:textId="77777777" w:rsidR="00A91DD0" w:rsidRDefault="00A91DD0" w:rsidP="00A91DD0">
            <w:pPr>
              <w:jc w:val="left"/>
              <w:rPr>
                <w:rFonts w:hint="eastAsia"/>
              </w:rPr>
            </w:pPr>
            <w:r>
              <w:rPr>
                <w:rFonts w:ascii="Times New Roman" w:hAnsi="Times New Roman" w:cs="Times New Roman"/>
                <w:sz w:val="18"/>
              </w:rPr>
              <w:t>Low Risk. Wearable predictors were technically defined.</w:t>
            </w:r>
          </w:p>
        </w:tc>
        <w:tc>
          <w:tcPr>
            <w:tcW w:w="2552" w:type="dxa"/>
            <w:tcMar>
              <w:top w:w="80" w:type="dxa"/>
              <w:left w:w="80" w:type="dxa"/>
              <w:bottom w:w="80" w:type="dxa"/>
              <w:right w:w="80" w:type="dxa"/>
            </w:tcMar>
            <w:vAlign w:val="center"/>
          </w:tcPr>
          <w:p w14:paraId="41D7E924" w14:textId="77777777" w:rsidR="00A91DD0" w:rsidRDefault="00A91DD0" w:rsidP="00A91DD0">
            <w:pPr>
              <w:jc w:val="left"/>
              <w:rPr>
                <w:rFonts w:hint="eastAsia"/>
              </w:rPr>
            </w:pPr>
            <w:r>
              <w:rPr>
                <w:rFonts w:ascii="Times New Roman" w:hAnsi="Times New Roman" w:cs="Times New Roman"/>
                <w:sz w:val="18"/>
              </w:rPr>
              <w:t>Low Risk. Frailty or sarcopenia outcomes were relevant.</w:t>
            </w:r>
          </w:p>
        </w:tc>
        <w:tc>
          <w:tcPr>
            <w:tcW w:w="2551" w:type="dxa"/>
            <w:tcMar>
              <w:top w:w="80" w:type="dxa"/>
              <w:left w:w="80" w:type="dxa"/>
              <w:bottom w:w="80" w:type="dxa"/>
              <w:right w:w="80" w:type="dxa"/>
            </w:tcMar>
            <w:vAlign w:val="center"/>
          </w:tcPr>
          <w:p w14:paraId="1317F335" w14:textId="77777777" w:rsidR="00A91DD0" w:rsidRDefault="00A91DD0" w:rsidP="00A91DD0">
            <w:pPr>
              <w:jc w:val="left"/>
              <w:rPr>
                <w:rFonts w:hint="eastAsia"/>
              </w:rPr>
            </w:pPr>
            <w:r>
              <w:rPr>
                <w:rFonts w:ascii="Times New Roman" w:hAnsi="Times New Roman" w:cs="Times New Roman"/>
                <w:sz w:val="18"/>
              </w:rPr>
              <w:t>High Risk. Model validation was limited and optimism could not be excluded.</w:t>
            </w:r>
          </w:p>
        </w:tc>
        <w:tc>
          <w:tcPr>
            <w:tcW w:w="567" w:type="dxa"/>
            <w:tcMar>
              <w:top w:w="80" w:type="dxa"/>
              <w:left w:w="80" w:type="dxa"/>
              <w:bottom w:w="80" w:type="dxa"/>
              <w:right w:w="80" w:type="dxa"/>
            </w:tcMar>
            <w:vAlign w:val="center"/>
          </w:tcPr>
          <w:p w14:paraId="18D9E5AA"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7A4C6114" w14:textId="77777777" w:rsidR="00A91DD0" w:rsidRDefault="00A91DD0" w:rsidP="00A91DD0">
            <w:pPr>
              <w:jc w:val="left"/>
              <w:rPr>
                <w:rFonts w:hint="eastAsia"/>
              </w:rPr>
            </w:pPr>
            <w:r>
              <w:rPr>
                <w:rFonts w:ascii="Times New Roman" w:hAnsi="Times New Roman" w:cs="Times New Roman"/>
                <w:sz w:val="18"/>
              </w:rPr>
              <w:t>Low Concern. The technology was relevant but evidence was preliminary.</w:t>
            </w:r>
          </w:p>
        </w:tc>
      </w:tr>
      <w:tr w:rsidR="00A91DD0" w14:paraId="2CA81BAE" w14:textId="77777777">
        <w:tc>
          <w:tcPr>
            <w:tcW w:w="1555" w:type="dxa"/>
            <w:tcMar>
              <w:top w:w="80" w:type="dxa"/>
              <w:left w:w="80" w:type="dxa"/>
              <w:bottom w:w="80" w:type="dxa"/>
              <w:right w:w="80" w:type="dxa"/>
            </w:tcMar>
            <w:vAlign w:val="center"/>
          </w:tcPr>
          <w:p w14:paraId="16948DD5" w14:textId="77777777" w:rsidR="00A91DD0" w:rsidRDefault="00A91DD0" w:rsidP="00A91DD0">
            <w:pPr>
              <w:jc w:val="center"/>
              <w:rPr>
                <w:rFonts w:hint="eastAsia"/>
              </w:rPr>
            </w:pPr>
            <w:r>
              <w:rPr>
                <w:rFonts w:ascii="Times New Roman" w:hAnsi="Times New Roman" w:cs="Times New Roman"/>
                <w:sz w:val="18"/>
              </w:rPr>
              <w:t>(Topaz et al., 2025)</w:t>
            </w:r>
          </w:p>
        </w:tc>
        <w:tc>
          <w:tcPr>
            <w:tcW w:w="567" w:type="dxa"/>
            <w:tcMar>
              <w:top w:w="80" w:type="dxa"/>
              <w:left w:w="80" w:type="dxa"/>
              <w:bottom w:w="80" w:type="dxa"/>
              <w:right w:w="80" w:type="dxa"/>
            </w:tcMar>
            <w:vAlign w:val="center"/>
          </w:tcPr>
          <w:p w14:paraId="5C11DA7A"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33F759B5" w14:textId="77777777" w:rsidR="00A91DD0" w:rsidRDefault="00A91DD0" w:rsidP="00A91DD0">
            <w:pPr>
              <w:jc w:val="left"/>
              <w:rPr>
                <w:rFonts w:hint="eastAsia"/>
              </w:rPr>
            </w:pPr>
            <w:r>
              <w:rPr>
                <w:rFonts w:ascii="Times New Roman" w:hAnsi="Times New Roman" w:cs="Times New Roman"/>
                <w:sz w:val="18"/>
              </w:rPr>
              <w:t>Low Risk. The cohort source was relevant to home care or community dwelling older adults.</w:t>
            </w:r>
          </w:p>
        </w:tc>
        <w:tc>
          <w:tcPr>
            <w:tcW w:w="2409" w:type="dxa"/>
            <w:tcMar>
              <w:top w:w="80" w:type="dxa"/>
              <w:left w:w="80" w:type="dxa"/>
              <w:bottom w:w="80" w:type="dxa"/>
              <w:right w:w="80" w:type="dxa"/>
            </w:tcMar>
            <w:vAlign w:val="center"/>
          </w:tcPr>
          <w:p w14:paraId="333930FF" w14:textId="77777777" w:rsidR="00A91DD0" w:rsidRDefault="00A91DD0" w:rsidP="00A91DD0">
            <w:pPr>
              <w:jc w:val="left"/>
              <w:rPr>
                <w:rFonts w:hint="eastAsia"/>
              </w:rPr>
            </w:pPr>
            <w:r>
              <w:rPr>
                <w:rFonts w:ascii="Times New Roman" w:hAnsi="Times New Roman" w:cs="Times New Roman"/>
                <w:sz w:val="18"/>
              </w:rPr>
              <w:t>Low Risk. Predictors were extracted from routine care or sensor data in a defined manner.</w:t>
            </w:r>
          </w:p>
        </w:tc>
        <w:tc>
          <w:tcPr>
            <w:tcW w:w="2552" w:type="dxa"/>
            <w:tcMar>
              <w:top w:w="80" w:type="dxa"/>
              <w:left w:w="80" w:type="dxa"/>
              <w:bottom w:w="80" w:type="dxa"/>
              <w:right w:w="80" w:type="dxa"/>
            </w:tcMar>
            <w:vAlign w:val="center"/>
          </w:tcPr>
          <w:p w14:paraId="341981FA" w14:textId="77777777" w:rsidR="00A91DD0" w:rsidRDefault="00A91DD0" w:rsidP="00A91DD0">
            <w:pPr>
              <w:jc w:val="left"/>
              <w:rPr>
                <w:rFonts w:hint="eastAsia"/>
              </w:rPr>
            </w:pPr>
            <w:r>
              <w:rPr>
                <w:rFonts w:ascii="Times New Roman" w:hAnsi="Times New Roman" w:cs="Times New Roman"/>
                <w:sz w:val="18"/>
              </w:rPr>
              <w:t>Low Risk. Outcomes were clinically relevant to the study aim.</w:t>
            </w:r>
          </w:p>
        </w:tc>
        <w:tc>
          <w:tcPr>
            <w:tcW w:w="2551" w:type="dxa"/>
            <w:tcMar>
              <w:top w:w="80" w:type="dxa"/>
              <w:left w:w="80" w:type="dxa"/>
              <w:bottom w:w="80" w:type="dxa"/>
              <w:right w:w="80" w:type="dxa"/>
            </w:tcMar>
            <w:vAlign w:val="center"/>
          </w:tcPr>
          <w:p w14:paraId="519C1768" w14:textId="77777777" w:rsidR="00A91DD0" w:rsidRDefault="00A91DD0" w:rsidP="00A91DD0">
            <w:pPr>
              <w:jc w:val="left"/>
              <w:rPr>
                <w:rFonts w:hint="eastAsia"/>
              </w:rPr>
            </w:pPr>
            <w:r>
              <w:rPr>
                <w:rFonts w:ascii="Times New Roman" w:hAnsi="Times New Roman" w:cs="Times New Roman"/>
                <w:sz w:val="18"/>
              </w:rPr>
              <w:t>High Risk. External validation or calibration reporting was insufficient for review level synthesis.</w:t>
            </w:r>
          </w:p>
        </w:tc>
        <w:tc>
          <w:tcPr>
            <w:tcW w:w="567" w:type="dxa"/>
            <w:tcMar>
              <w:top w:w="80" w:type="dxa"/>
              <w:left w:w="80" w:type="dxa"/>
              <w:bottom w:w="80" w:type="dxa"/>
              <w:right w:w="80" w:type="dxa"/>
            </w:tcMar>
            <w:vAlign w:val="center"/>
          </w:tcPr>
          <w:p w14:paraId="6C3AC479"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2590520A" w14:textId="77777777" w:rsidR="00A91DD0" w:rsidRDefault="00A91DD0" w:rsidP="00A91DD0">
            <w:pPr>
              <w:jc w:val="left"/>
              <w:rPr>
                <w:rFonts w:hint="eastAsia"/>
              </w:rPr>
            </w:pPr>
            <w:r>
              <w:rPr>
                <w:rFonts w:ascii="Times New Roman" w:hAnsi="Times New Roman" w:cs="Times New Roman"/>
                <w:sz w:val="18"/>
              </w:rPr>
              <w:t>Low Concern. The setting was relevant but model transportability remained limited.</w:t>
            </w:r>
          </w:p>
        </w:tc>
      </w:tr>
      <w:tr w:rsidR="00A91DD0" w14:paraId="51EF6D50" w14:textId="77777777">
        <w:tc>
          <w:tcPr>
            <w:tcW w:w="1555" w:type="dxa"/>
            <w:tcMar>
              <w:top w:w="80" w:type="dxa"/>
              <w:left w:w="80" w:type="dxa"/>
              <w:bottom w:w="80" w:type="dxa"/>
              <w:right w:w="80" w:type="dxa"/>
            </w:tcMar>
            <w:vAlign w:val="center"/>
          </w:tcPr>
          <w:p w14:paraId="483AB814"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0FB4B741"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22E6DFE1" w14:textId="77777777" w:rsidR="00A91DD0" w:rsidRDefault="00A91DD0" w:rsidP="00A91DD0">
            <w:pPr>
              <w:jc w:val="left"/>
              <w:rPr>
                <w:rFonts w:hint="eastAsia"/>
              </w:rPr>
            </w:pPr>
            <w:r>
              <w:rPr>
                <w:rFonts w:ascii="Times New Roman" w:hAnsi="Times New Roman" w:cs="Times New Roman"/>
                <w:sz w:val="18"/>
              </w:rPr>
              <w:t xml:space="preserve">Low Risk. The cohort source </w:t>
            </w:r>
            <w:r>
              <w:rPr>
                <w:rFonts w:ascii="Times New Roman" w:hAnsi="Times New Roman" w:cs="Times New Roman"/>
                <w:sz w:val="18"/>
              </w:rPr>
              <w:lastRenderedPageBreak/>
              <w:t>was relevant to home care or community dwelling older adults.</w:t>
            </w:r>
          </w:p>
        </w:tc>
        <w:tc>
          <w:tcPr>
            <w:tcW w:w="2409" w:type="dxa"/>
            <w:tcMar>
              <w:top w:w="80" w:type="dxa"/>
              <w:left w:w="80" w:type="dxa"/>
              <w:bottom w:w="80" w:type="dxa"/>
              <w:right w:w="80" w:type="dxa"/>
            </w:tcMar>
            <w:vAlign w:val="center"/>
          </w:tcPr>
          <w:p w14:paraId="0E27751C" w14:textId="77777777" w:rsidR="00A91DD0" w:rsidRDefault="00A91DD0" w:rsidP="00A91DD0">
            <w:pPr>
              <w:jc w:val="left"/>
              <w:rPr>
                <w:rFonts w:hint="eastAsia"/>
              </w:rPr>
            </w:pPr>
            <w:r>
              <w:rPr>
                <w:rFonts w:ascii="Times New Roman" w:hAnsi="Times New Roman" w:cs="Times New Roman"/>
                <w:sz w:val="18"/>
              </w:rPr>
              <w:lastRenderedPageBreak/>
              <w:t xml:space="preserve">Low Risk. Predictors were </w:t>
            </w:r>
            <w:r>
              <w:rPr>
                <w:rFonts w:ascii="Times New Roman" w:hAnsi="Times New Roman" w:cs="Times New Roman"/>
                <w:sz w:val="18"/>
              </w:rPr>
              <w:lastRenderedPageBreak/>
              <w:t>extracted from routine care or sensor data in a defined manner.</w:t>
            </w:r>
          </w:p>
        </w:tc>
        <w:tc>
          <w:tcPr>
            <w:tcW w:w="2552" w:type="dxa"/>
            <w:tcMar>
              <w:top w:w="80" w:type="dxa"/>
              <w:left w:w="80" w:type="dxa"/>
              <w:bottom w:w="80" w:type="dxa"/>
              <w:right w:w="80" w:type="dxa"/>
            </w:tcMar>
            <w:vAlign w:val="center"/>
          </w:tcPr>
          <w:p w14:paraId="1AC479C2" w14:textId="77777777" w:rsidR="00A91DD0" w:rsidRDefault="00A91DD0" w:rsidP="00A91DD0">
            <w:pPr>
              <w:jc w:val="left"/>
              <w:rPr>
                <w:rFonts w:hint="eastAsia"/>
              </w:rPr>
            </w:pPr>
            <w:r>
              <w:rPr>
                <w:rFonts w:ascii="Times New Roman" w:hAnsi="Times New Roman" w:cs="Times New Roman"/>
                <w:sz w:val="18"/>
              </w:rPr>
              <w:lastRenderedPageBreak/>
              <w:t xml:space="preserve">Low Risk. Outcomes were </w:t>
            </w:r>
            <w:r>
              <w:rPr>
                <w:rFonts w:ascii="Times New Roman" w:hAnsi="Times New Roman" w:cs="Times New Roman"/>
                <w:sz w:val="18"/>
              </w:rPr>
              <w:lastRenderedPageBreak/>
              <w:t>clinically relevant to the study aim.</w:t>
            </w:r>
          </w:p>
        </w:tc>
        <w:tc>
          <w:tcPr>
            <w:tcW w:w="2551" w:type="dxa"/>
            <w:tcMar>
              <w:top w:w="80" w:type="dxa"/>
              <w:left w:w="80" w:type="dxa"/>
              <w:bottom w:w="80" w:type="dxa"/>
              <w:right w:w="80" w:type="dxa"/>
            </w:tcMar>
            <w:vAlign w:val="center"/>
          </w:tcPr>
          <w:p w14:paraId="7E7FBEFF" w14:textId="77777777" w:rsidR="00A91DD0" w:rsidRDefault="00A91DD0" w:rsidP="00A91DD0">
            <w:pPr>
              <w:jc w:val="left"/>
              <w:rPr>
                <w:rFonts w:hint="eastAsia"/>
              </w:rPr>
            </w:pPr>
            <w:r>
              <w:rPr>
                <w:rFonts w:ascii="Times New Roman" w:hAnsi="Times New Roman" w:cs="Times New Roman"/>
                <w:sz w:val="18"/>
              </w:rPr>
              <w:lastRenderedPageBreak/>
              <w:t xml:space="preserve">High Risk. External validation </w:t>
            </w:r>
            <w:r>
              <w:rPr>
                <w:rFonts w:ascii="Times New Roman" w:hAnsi="Times New Roman" w:cs="Times New Roman"/>
                <w:sz w:val="18"/>
              </w:rPr>
              <w:lastRenderedPageBreak/>
              <w:t>or calibration reporting was insufficient for review level synthesis.</w:t>
            </w:r>
          </w:p>
        </w:tc>
        <w:tc>
          <w:tcPr>
            <w:tcW w:w="567" w:type="dxa"/>
            <w:tcMar>
              <w:top w:w="80" w:type="dxa"/>
              <w:left w:w="80" w:type="dxa"/>
              <w:bottom w:w="80" w:type="dxa"/>
              <w:right w:w="80" w:type="dxa"/>
            </w:tcMar>
            <w:vAlign w:val="center"/>
          </w:tcPr>
          <w:p w14:paraId="05CF2D55"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lastRenderedPageBreak/>
              <w:t xml:space="preserve">High </w:t>
            </w:r>
            <w:r>
              <w:rPr>
                <w:rFonts w:ascii="Times New Roman" w:hAnsi="Times New Roman" w:cs="Times New Roman"/>
                <w:b/>
                <w:bCs/>
                <w:sz w:val="18"/>
              </w:rPr>
              <w:lastRenderedPageBreak/>
              <w:t>Risk</w:t>
            </w:r>
          </w:p>
        </w:tc>
        <w:tc>
          <w:tcPr>
            <w:tcW w:w="2919" w:type="dxa"/>
            <w:tcMar>
              <w:top w:w="80" w:type="dxa"/>
              <w:left w:w="80" w:type="dxa"/>
              <w:bottom w:w="80" w:type="dxa"/>
              <w:right w:w="80" w:type="dxa"/>
            </w:tcMar>
            <w:vAlign w:val="center"/>
          </w:tcPr>
          <w:p w14:paraId="780AD08B" w14:textId="77777777" w:rsidR="00A91DD0" w:rsidRDefault="00A91DD0" w:rsidP="00A91DD0">
            <w:pPr>
              <w:jc w:val="left"/>
              <w:rPr>
                <w:rFonts w:hint="eastAsia"/>
              </w:rPr>
            </w:pPr>
            <w:r>
              <w:rPr>
                <w:rFonts w:ascii="Times New Roman" w:hAnsi="Times New Roman" w:cs="Times New Roman"/>
                <w:sz w:val="18"/>
              </w:rPr>
              <w:lastRenderedPageBreak/>
              <w:t xml:space="preserve">Low Concern. The setting was </w:t>
            </w:r>
            <w:r>
              <w:rPr>
                <w:rFonts w:ascii="Times New Roman" w:hAnsi="Times New Roman" w:cs="Times New Roman"/>
                <w:sz w:val="18"/>
              </w:rPr>
              <w:lastRenderedPageBreak/>
              <w:t>relevant but model transportability remained limited.</w:t>
            </w:r>
          </w:p>
        </w:tc>
      </w:tr>
      <w:tr w:rsidR="00A91DD0" w14:paraId="31C42200" w14:textId="77777777">
        <w:tc>
          <w:tcPr>
            <w:tcW w:w="1555" w:type="dxa"/>
            <w:tcMar>
              <w:top w:w="80" w:type="dxa"/>
              <w:left w:w="80" w:type="dxa"/>
              <w:bottom w:w="80" w:type="dxa"/>
              <w:right w:w="80" w:type="dxa"/>
            </w:tcMar>
            <w:vAlign w:val="center"/>
          </w:tcPr>
          <w:p w14:paraId="694189F9" w14:textId="77777777" w:rsidR="00A91DD0" w:rsidRDefault="00A91DD0" w:rsidP="00A91DD0">
            <w:pPr>
              <w:jc w:val="center"/>
              <w:rPr>
                <w:rFonts w:hint="eastAsia"/>
              </w:rPr>
            </w:pPr>
            <w:r>
              <w:rPr>
                <w:rFonts w:ascii="Times New Roman" w:hAnsi="Times New Roman" w:cs="Times New Roman"/>
                <w:sz w:val="18"/>
              </w:rPr>
              <w:lastRenderedPageBreak/>
              <w:t>(Vaiyapuri et al., 2021)</w:t>
            </w:r>
          </w:p>
        </w:tc>
        <w:tc>
          <w:tcPr>
            <w:tcW w:w="567" w:type="dxa"/>
            <w:tcMar>
              <w:top w:w="80" w:type="dxa"/>
              <w:left w:w="80" w:type="dxa"/>
              <w:bottom w:w="80" w:type="dxa"/>
              <w:right w:w="80" w:type="dxa"/>
            </w:tcMar>
            <w:vAlign w:val="center"/>
          </w:tcPr>
          <w:p w14:paraId="12571596"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31E3E632" w14:textId="77777777" w:rsidR="00A91DD0" w:rsidRDefault="00A91DD0" w:rsidP="00A91DD0">
            <w:pPr>
              <w:jc w:val="left"/>
              <w:rPr>
                <w:rFonts w:hint="eastAsia"/>
              </w:rPr>
            </w:pPr>
            <w:r>
              <w:rPr>
                <w:rFonts w:ascii="Times New Roman" w:hAnsi="Times New Roman" w:cs="Times New Roman"/>
                <w:sz w:val="18"/>
              </w:rPr>
              <w:t>High Risk. The copied file duplicated another record and the participant source did not match the listed title.</w:t>
            </w:r>
          </w:p>
        </w:tc>
        <w:tc>
          <w:tcPr>
            <w:tcW w:w="2409" w:type="dxa"/>
            <w:tcMar>
              <w:top w:w="80" w:type="dxa"/>
              <w:left w:w="80" w:type="dxa"/>
              <w:bottom w:w="80" w:type="dxa"/>
              <w:right w:w="80" w:type="dxa"/>
            </w:tcMar>
            <w:vAlign w:val="center"/>
          </w:tcPr>
          <w:p w14:paraId="0F02E9AE" w14:textId="77777777" w:rsidR="00A91DD0" w:rsidRDefault="00A91DD0" w:rsidP="00A91DD0">
            <w:pPr>
              <w:jc w:val="left"/>
              <w:rPr>
                <w:rFonts w:hint="eastAsia"/>
              </w:rPr>
            </w:pPr>
            <w:r>
              <w:rPr>
                <w:rFonts w:ascii="Times New Roman" w:hAnsi="Times New Roman" w:cs="Times New Roman"/>
                <w:sz w:val="18"/>
              </w:rPr>
              <w:t>Low Risk. Predictors were technically defined from benchmark fall datasets.</w:t>
            </w:r>
          </w:p>
        </w:tc>
        <w:tc>
          <w:tcPr>
            <w:tcW w:w="2552" w:type="dxa"/>
            <w:tcMar>
              <w:top w:w="80" w:type="dxa"/>
              <w:left w:w="80" w:type="dxa"/>
              <w:bottom w:w="80" w:type="dxa"/>
              <w:right w:w="80" w:type="dxa"/>
            </w:tcMar>
            <w:vAlign w:val="center"/>
          </w:tcPr>
          <w:p w14:paraId="7DCB5FB2" w14:textId="77777777" w:rsidR="00A91DD0" w:rsidRDefault="00A91DD0" w:rsidP="00A91DD0">
            <w:pPr>
              <w:jc w:val="left"/>
              <w:rPr>
                <w:rFonts w:hint="eastAsia"/>
              </w:rPr>
            </w:pPr>
            <w:r>
              <w:rPr>
                <w:rFonts w:ascii="Times New Roman" w:hAnsi="Times New Roman" w:cs="Times New Roman"/>
                <w:sz w:val="18"/>
              </w:rPr>
              <w:t>High Risk. Fall labels were dataset labels rather than validated aging in place outcomes.</w:t>
            </w:r>
          </w:p>
        </w:tc>
        <w:tc>
          <w:tcPr>
            <w:tcW w:w="2551" w:type="dxa"/>
            <w:tcMar>
              <w:top w:w="80" w:type="dxa"/>
              <w:left w:w="80" w:type="dxa"/>
              <w:bottom w:w="80" w:type="dxa"/>
              <w:right w:w="80" w:type="dxa"/>
            </w:tcMar>
            <w:vAlign w:val="center"/>
          </w:tcPr>
          <w:p w14:paraId="7E23254C" w14:textId="77777777" w:rsidR="00A91DD0" w:rsidRDefault="00A91DD0" w:rsidP="00A91DD0">
            <w:pPr>
              <w:jc w:val="left"/>
              <w:rPr>
                <w:rFonts w:hint="eastAsia"/>
              </w:rPr>
            </w:pPr>
            <w:r>
              <w:rPr>
                <w:rFonts w:ascii="Times New Roman" w:hAnsi="Times New Roman" w:cs="Times New Roman"/>
                <w:sz w:val="18"/>
              </w:rPr>
              <w:t>High Risk. Validation was internal and duplicated across records.</w:t>
            </w:r>
          </w:p>
        </w:tc>
        <w:tc>
          <w:tcPr>
            <w:tcW w:w="567" w:type="dxa"/>
            <w:tcMar>
              <w:top w:w="80" w:type="dxa"/>
              <w:left w:w="80" w:type="dxa"/>
              <w:bottom w:w="80" w:type="dxa"/>
              <w:right w:w="80" w:type="dxa"/>
            </w:tcMar>
            <w:vAlign w:val="center"/>
          </w:tcPr>
          <w:p w14:paraId="255ADBB5"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29AB756A" w14:textId="77777777" w:rsidR="00A91DD0" w:rsidRDefault="00A91DD0" w:rsidP="00A91DD0">
            <w:pPr>
              <w:jc w:val="left"/>
              <w:rPr>
                <w:rFonts w:hint="eastAsia"/>
              </w:rPr>
            </w:pPr>
            <w:r>
              <w:rPr>
                <w:rFonts w:ascii="Times New Roman" w:hAnsi="Times New Roman" w:cs="Times New Roman"/>
                <w:sz w:val="18"/>
              </w:rPr>
              <w:t>High Concern. The record mismatch prevented reliable inclusion.</w:t>
            </w:r>
          </w:p>
        </w:tc>
      </w:tr>
      <w:tr w:rsidR="00A91DD0" w14:paraId="58D9E7CF" w14:textId="77777777">
        <w:tc>
          <w:tcPr>
            <w:tcW w:w="1555" w:type="dxa"/>
            <w:tcMar>
              <w:top w:w="80" w:type="dxa"/>
              <w:left w:w="80" w:type="dxa"/>
              <w:bottom w:w="80" w:type="dxa"/>
              <w:right w:w="80" w:type="dxa"/>
            </w:tcMar>
            <w:vAlign w:val="center"/>
          </w:tcPr>
          <w:p w14:paraId="4C592035"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123572AA"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277C9C55" w14:textId="77777777" w:rsidR="00A91DD0" w:rsidRDefault="00A91DD0" w:rsidP="00A91DD0">
            <w:pPr>
              <w:jc w:val="left"/>
              <w:rPr>
                <w:rFonts w:hint="eastAsia"/>
              </w:rPr>
            </w:pPr>
            <w:r>
              <w:rPr>
                <w:rFonts w:ascii="Times New Roman" w:hAnsi="Times New Roman" w:cs="Times New Roman"/>
                <w:sz w:val="18"/>
              </w:rPr>
              <w:t>High Risk. The copied file duplicated another record and the participant source did not match the listed title.</w:t>
            </w:r>
          </w:p>
        </w:tc>
        <w:tc>
          <w:tcPr>
            <w:tcW w:w="2409" w:type="dxa"/>
            <w:tcMar>
              <w:top w:w="80" w:type="dxa"/>
              <w:left w:w="80" w:type="dxa"/>
              <w:bottom w:w="80" w:type="dxa"/>
              <w:right w:w="80" w:type="dxa"/>
            </w:tcMar>
            <w:vAlign w:val="center"/>
          </w:tcPr>
          <w:p w14:paraId="728621AC" w14:textId="77777777" w:rsidR="00A91DD0" w:rsidRDefault="00A91DD0" w:rsidP="00A91DD0">
            <w:pPr>
              <w:jc w:val="left"/>
              <w:rPr>
                <w:rFonts w:hint="eastAsia"/>
              </w:rPr>
            </w:pPr>
            <w:r>
              <w:rPr>
                <w:rFonts w:ascii="Times New Roman" w:hAnsi="Times New Roman" w:cs="Times New Roman"/>
                <w:sz w:val="18"/>
              </w:rPr>
              <w:t>Low Risk. Predictors were technically defined from benchmark fall datasets.</w:t>
            </w:r>
          </w:p>
        </w:tc>
        <w:tc>
          <w:tcPr>
            <w:tcW w:w="2552" w:type="dxa"/>
            <w:tcMar>
              <w:top w:w="80" w:type="dxa"/>
              <w:left w:w="80" w:type="dxa"/>
              <w:bottom w:w="80" w:type="dxa"/>
              <w:right w:w="80" w:type="dxa"/>
            </w:tcMar>
            <w:vAlign w:val="center"/>
          </w:tcPr>
          <w:p w14:paraId="1EC6B78D" w14:textId="77777777" w:rsidR="00A91DD0" w:rsidRDefault="00A91DD0" w:rsidP="00A91DD0">
            <w:pPr>
              <w:jc w:val="left"/>
              <w:rPr>
                <w:rFonts w:hint="eastAsia"/>
              </w:rPr>
            </w:pPr>
            <w:r>
              <w:rPr>
                <w:rFonts w:ascii="Times New Roman" w:hAnsi="Times New Roman" w:cs="Times New Roman"/>
                <w:sz w:val="18"/>
              </w:rPr>
              <w:t>High Risk. Fall labels were dataset labels rather than validated aging in place outcomes.</w:t>
            </w:r>
          </w:p>
        </w:tc>
        <w:tc>
          <w:tcPr>
            <w:tcW w:w="2551" w:type="dxa"/>
            <w:tcMar>
              <w:top w:w="80" w:type="dxa"/>
              <w:left w:w="80" w:type="dxa"/>
              <w:bottom w:w="80" w:type="dxa"/>
              <w:right w:w="80" w:type="dxa"/>
            </w:tcMar>
            <w:vAlign w:val="center"/>
          </w:tcPr>
          <w:p w14:paraId="487C5DA3" w14:textId="77777777" w:rsidR="00A91DD0" w:rsidRDefault="00A91DD0" w:rsidP="00A91DD0">
            <w:pPr>
              <w:jc w:val="left"/>
              <w:rPr>
                <w:rFonts w:hint="eastAsia"/>
              </w:rPr>
            </w:pPr>
            <w:r>
              <w:rPr>
                <w:rFonts w:ascii="Times New Roman" w:hAnsi="Times New Roman" w:cs="Times New Roman"/>
                <w:sz w:val="18"/>
              </w:rPr>
              <w:t>High Risk. Validation remained internal and duplicated across records.</w:t>
            </w:r>
          </w:p>
        </w:tc>
        <w:tc>
          <w:tcPr>
            <w:tcW w:w="567" w:type="dxa"/>
            <w:tcMar>
              <w:top w:w="80" w:type="dxa"/>
              <w:left w:w="80" w:type="dxa"/>
              <w:bottom w:w="80" w:type="dxa"/>
              <w:right w:w="80" w:type="dxa"/>
            </w:tcMar>
            <w:vAlign w:val="center"/>
          </w:tcPr>
          <w:p w14:paraId="6620FFA4"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1AFC3715" w14:textId="77777777" w:rsidR="00A91DD0" w:rsidRDefault="00A91DD0" w:rsidP="00A91DD0">
            <w:pPr>
              <w:jc w:val="left"/>
              <w:rPr>
                <w:rFonts w:hint="eastAsia"/>
              </w:rPr>
            </w:pPr>
            <w:r>
              <w:rPr>
                <w:rFonts w:ascii="Times New Roman" w:hAnsi="Times New Roman" w:cs="Times New Roman"/>
                <w:sz w:val="18"/>
              </w:rPr>
              <w:t>High Concern. The record mismatch prevented reliable inclusion.</w:t>
            </w:r>
          </w:p>
        </w:tc>
      </w:tr>
      <w:tr w:rsidR="00A91DD0" w14:paraId="28528B90" w14:textId="77777777">
        <w:tc>
          <w:tcPr>
            <w:tcW w:w="1555" w:type="dxa"/>
            <w:tcMar>
              <w:top w:w="80" w:type="dxa"/>
              <w:left w:w="80" w:type="dxa"/>
              <w:bottom w:w="80" w:type="dxa"/>
              <w:right w:w="80" w:type="dxa"/>
            </w:tcMar>
            <w:vAlign w:val="center"/>
          </w:tcPr>
          <w:p w14:paraId="3A9EDF78" w14:textId="77777777" w:rsidR="00A91DD0" w:rsidRDefault="00A91DD0" w:rsidP="00A91DD0">
            <w:pPr>
              <w:jc w:val="center"/>
              <w:rPr>
                <w:rFonts w:hint="eastAsia"/>
              </w:rPr>
            </w:pPr>
            <w:r>
              <w:rPr>
                <w:rFonts w:ascii="Times New Roman" w:hAnsi="Times New Roman" w:cs="Times New Roman"/>
                <w:sz w:val="18"/>
              </w:rPr>
              <w:t>(Veyron et al., 2019)</w:t>
            </w:r>
          </w:p>
        </w:tc>
        <w:tc>
          <w:tcPr>
            <w:tcW w:w="567" w:type="dxa"/>
            <w:tcMar>
              <w:top w:w="80" w:type="dxa"/>
              <w:left w:w="80" w:type="dxa"/>
              <w:bottom w:w="80" w:type="dxa"/>
              <w:right w:w="80" w:type="dxa"/>
            </w:tcMar>
            <w:vAlign w:val="center"/>
          </w:tcPr>
          <w:p w14:paraId="7BEFCE50"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39CADD75" w14:textId="77777777" w:rsidR="00A91DD0" w:rsidRDefault="00A91DD0" w:rsidP="00A91DD0">
            <w:pPr>
              <w:jc w:val="left"/>
              <w:rPr>
                <w:rFonts w:hint="eastAsia"/>
              </w:rPr>
            </w:pPr>
            <w:r>
              <w:rPr>
                <w:rFonts w:ascii="Times New Roman" w:hAnsi="Times New Roman" w:cs="Times New Roman"/>
                <w:sz w:val="18"/>
              </w:rPr>
              <w:t>Low Risk. The cohort source was relevant to home care or community dwelling older adults.</w:t>
            </w:r>
          </w:p>
        </w:tc>
        <w:tc>
          <w:tcPr>
            <w:tcW w:w="2409" w:type="dxa"/>
            <w:tcMar>
              <w:top w:w="80" w:type="dxa"/>
              <w:left w:w="80" w:type="dxa"/>
              <w:bottom w:w="80" w:type="dxa"/>
              <w:right w:w="80" w:type="dxa"/>
            </w:tcMar>
            <w:vAlign w:val="center"/>
          </w:tcPr>
          <w:p w14:paraId="369E97DD" w14:textId="77777777" w:rsidR="00A91DD0" w:rsidRDefault="00A91DD0" w:rsidP="00A91DD0">
            <w:pPr>
              <w:jc w:val="left"/>
              <w:rPr>
                <w:rFonts w:hint="eastAsia"/>
              </w:rPr>
            </w:pPr>
            <w:r>
              <w:rPr>
                <w:rFonts w:ascii="Times New Roman" w:hAnsi="Times New Roman" w:cs="Times New Roman"/>
                <w:sz w:val="18"/>
              </w:rPr>
              <w:t>Low Risk. Predictors were extracted from routine care or sensor data in a defined manner.</w:t>
            </w:r>
          </w:p>
        </w:tc>
        <w:tc>
          <w:tcPr>
            <w:tcW w:w="2552" w:type="dxa"/>
            <w:tcMar>
              <w:top w:w="80" w:type="dxa"/>
              <w:left w:w="80" w:type="dxa"/>
              <w:bottom w:w="80" w:type="dxa"/>
              <w:right w:w="80" w:type="dxa"/>
            </w:tcMar>
            <w:vAlign w:val="center"/>
          </w:tcPr>
          <w:p w14:paraId="7D34C243" w14:textId="77777777" w:rsidR="00A91DD0" w:rsidRDefault="00A91DD0" w:rsidP="00A91DD0">
            <w:pPr>
              <w:jc w:val="left"/>
              <w:rPr>
                <w:rFonts w:hint="eastAsia"/>
              </w:rPr>
            </w:pPr>
            <w:r>
              <w:rPr>
                <w:rFonts w:ascii="Times New Roman" w:hAnsi="Times New Roman" w:cs="Times New Roman"/>
                <w:sz w:val="18"/>
              </w:rPr>
              <w:t>Low Risk. Outcomes were clinically relevant to the study aim.</w:t>
            </w:r>
          </w:p>
        </w:tc>
        <w:tc>
          <w:tcPr>
            <w:tcW w:w="2551" w:type="dxa"/>
            <w:tcMar>
              <w:top w:w="80" w:type="dxa"/>
              <w:left w:w="80" w:type="dxa"/>
              <w:bottom w:w="80" w:type="dxa"/>
              <w:right w:w="80" w:type="dxa"/>
            </w:tcMar>
            <w:vAlign w:val="center"/>
          </w:tcPr>
          <w:p w14:paraId="6C0D8165" w14:textId="77777777" w:rsidR="00A91DD0" w:rsidRDefault="00A91DD0" w:rsidP="00A91DD0">
            <w:pPr>
              <w:jc w:val="left"/>
              <w:rPr>
                <w:rFonts w:hint="eastAsia"/>
              </w:rPr>
            </w:pPr>
            <w:r>
              <w:rPr>
                <w:rFonts w:ascii="Times New Roman" w:hAnsi="Times New Roman" w:cs="Times New Roman"/>
                <w:sz w:val="18"/>
              </w:rPr>
              <w:t>High Risk. External validation or calibration reporting was insufficient for review level synthesis.</w:t>
            </w:r>
          </w:p>
        </w:tc>
        <w:tc>
          <w:tcPr>
            <w:tcW w:w="567" w:type="dxa"/>
            <w:tcMar>
              <w:top w:w="80" w:type="dxa"/>
              <w:left w:w="80" w:type="dxa"/>
              <w:bottom w:w="80" w:type="dxa"/>
              <w:right w:w="80" w:type="dxa"/>
            </w:tcMar>
            <w:vAlign w:val="center"/>
          </w:tcPr>
          <w:p w14:paraId="5D29DFAC"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2A76BD8D" w14:textId="77777777" w:rsidR="00A91DD0" w:rsidRDefault="00A91DD0" w:rsidP="00A91DD0">
            <w:pPr>
              <w:jc w:val="left"/>
              <w:rPr>
                <w:rFonts w:hint="eastAsia"/>
              </w:rPr>
            </w:pPr>
            <w:r>
              <w:rPr>
                <w:rFonts w:ascii="Times New Roman" w:hAnsi="Times New Roman" w:cs="Times New Roman"/>
                <w:sz w:val="18"/>
              </w:rPr>
              <w:t>Low Concern. The setting was relevant but model transportability remained limited.</w:t>
            </w:r>
          </w:p>
        </w:tc>
      </w:tr>
      <w:tr w:rsidR="00A91DD0" w14:paraId="009FA876" w14:textId="77777777">
        <w:tc>
          <w:tcPr>
            <w:tcW w:w="1555" w:type="dxa"/>
            <w:tcMar>
              <w:top w:w="80" w:type="dxa"/>
              <w:left w:w="80" w:type="dxa"/>
              <w:bottom w:w="80" w:type="dxa"/>
              <w:right w:w="80" w:type="dxa"/>
            </w:tcMar>
            <w:vAlign w:val="center"/>
          </w:tcPr>
          <w:p w14:paraId="01C0D5C7"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5DD5EB30"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72AC7D9C" w14:textId="77777777" w:rsidR="00A91DD0" w:rsidRDefault="00A91DD0" w:rsidP="00A91DD0">
            <w:pPr>
              <w:jc w:val="left"/>
              <w:rPr>
                <w:rFonts w:hint="eastAsia"/>
              </w:rPr>
            </w:pPr>
            <w:r>
              <w:rPr>
                <w:rFonts w:ascii="Times New Roman" w:hAnsi="Times New Roman" w:cs="Times New Roman"/>
                <w:sz w:val="18"/>
              </w:rPr>
              <w:t>Low Risk. The cohort source was relevant to home care or community dwelling older adults.</w:t>
            </w:r>
          </w:p>
        </w:tc>
        <w:tc>
          <w:tcPr>
            <w:tcW w:w="2409" w:type="dxa"/>
            <w:tcMar>
              <w:top w:w="80" w:type="dxa"/>
              <w:left w:w="80" w:type="dxa"/>
              <w:bottom w:w="80" w:type="dxa"/>
              <w:right w:w="80" w:type="dxa"/>
            </w:tcMar>
            <w:vAlign w:val="center"/>
          </w:tcPr>
          <w:p w14:paraId="5E5BAD1A" w14:textId="77777777" w:rsidR="00A91DD0" w:rsidRDefault="00A91DD0" w:rsidP="00A91DD0">
            <w:pPr>
              <w:jc w:val="left"/>
              <w:rPr>
                <w:rFonts w:hint="eastAsia"/>
              </w:rPr>
            </w:pPr>
            <w:r>
              <w:rPr>
                <w:rFonts w:ascii="Times New Roman" w:hAnsi="Times New Roman" w:cs="Times New Roman"/>
                <w:sz w:val="18"/>
              </w:rPr>
              <w:t>Low Risk. Predictors were extracted from routine care or sensor data in a defined manner.</w:t>
            </w:r>
          </w:p>
        </w:tc>
        <w:tc>
          <w:tcPr>
            <w:tcW w:w="2552" w:type="dxa"/>
            <w:tcMar>
              <w:top w:w="80" w:type="dxa"/>
              <w:left w:w="80" w:type="dxa"/>
              <w:bottom w:w="80" w:type="dxa"/>
              <w:right w:w="80" w:type="dxa"/>
            </w:tcMar>
            <w:vAlign w:val="center"/>
          </w:tcPr>
          <w:p w14:paraId="7E0C99C8" w14:textId="77777777" w:rsidR="00A91DD0" w:rsidRDefault="00A91DD0" w:rsidP="00A91DD0">
            <w:pPr>
              <w:jc w:val="left"/>
              <w:rPr>
                <w:rFonts w:hint="eastAsia"/>
              </w:rPr>
            </w:pPr>
            <w:r>
              <w:rPr>
                <w:rFonts w:ascii="Times New Roman" w:hAnsi="Times New Roman" w:cs="Times New Roman"/>
                <w:sz w:val="18"/>
              </w:rPr>
              <w:t>Low Risk. Outcomes were clinically relevant to the study aim.</w:t>
            </w:r>
          </w:p>
        </w:tc>
        <w:tc>
          <w:tcPr>
            <w:tcW w:w="2551" w:type="dxa"/>
            <w:tcMar>
              <w:top w:w="80" w:type="dxa"/>
              <w:left w:w="80" w:type="dxa"/>
              <w:bottom w:w="80" w:type="dxa"/>
              <w:right w:w="80" w:type="dxa"/>
            </w:tcMar>
            <w:vAlign w:val="center"/>
          </w:tcPr>
          <w:p w14:paraId="4474779B" w14:textId="77777777" w:rsidR="00A91DD0" w:rsidRDefault="00A91DD0" w:rsidP="00A91DD0">
            <w:pPr>
              <w:jc w:val="left"/>
              <w:rPr>
                <w:rFonts w:hint="eastAsia"/>
              </w:rPr>
            </w:pPr>
            <w:r>
              <w:rPr>
                <w:rFonts w:ascii="Times New Roman" w:hAnsi="Times New Roman" w:cs="Times New Roman"/>
                <w:sz w:val="18"/>
              </w:rPr>
              <w:t>High Risk. External validation or calibration reporting was insufficient for review level synthesis.</w:t>
            </w:r>
          </w:p>
        </w:tc>
        <w:tc>
          <w:tcPr>
            <w:tcW w:w="567" w:type="dxa"/>
            <w:tcMar>
              <w:top w:w="80" w:type="dxa"/>
              <w:left w:w="80" w:type="dxa"/>
              <w:bottom w:w="80" w:type="dxa"/>
              <w:right w:w="80" w:type="dxa"/>
            </w:tcMar>
            <w:vAlign w:val="center"/>
          </w:tcPr>
          <w:p w14:paraId="431D4927"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558C40D2" w14:textId="77777777" w:rsidR="00A91DD0" w:rsidRDefault="00A91DD0" w:rsidP="00A91DD0">
            <w:pPr>
              <w:jc w:val="left"/>
              <w:rPr>
                <w:rFonts w:hint="eastAsia"/>
              </w:rPr>
            </w:pPr>
            <w:r>
              <w:rPr>
                <w:rFonts w:ascii="Times New Roman" w:hAnsi="Times New Roman" w:cs="Times New Roman"/>
                <w:sz w:val="18"/>
              </w:rPr>
              <w:t>Low Concern. The setting was relevant but model transportability remained limited.</w:t>
            </w:r>
          </w:p>
        </w:tc>
      </w:tr>
      <w:tr w:rsidR="00A91DD0" w:rsidRPr="006C17CC" w14:paraId="08AD9044" w14:textId="77777777" w:rsidTr="00465626">
        <w:trPr>
          <w:trHeight w:val="1415"/>
        </w:trPr>
        <w:tc>
          <w:tcPr>
            <w:tcW w:w="1555" w:type="dxa"/>
            <w:tcMar>
              <w:top w:w="80" w:type="dxa"/>
              <w:left w:w="80" w:type="dxa"/>
              <w:bottom w:w="80" w:type="dxa"/>
              <w:right w:w="80" w:type="dxa"/>
            </w:tcMar>
            <w:vAlign w:val="center"/>
            <w:hideMark/>
          </w:tcPr>
          <w:p w14:paraId="080E6720"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(Voicu et al., 2019)</w:t>
            </w:r>
          </w:p>
        </w:tc>
        <w:tc>
          <w:tcPr>
            <w:tcW w:w="567" w:type="dxa"/>
            <w:tcMar>
              <w:top w:w="80" w:type="dxa"/>
              <w:left w:w="80" w:type="dxa"/>
              <w:bottom w:w="80" w:type="dxa"/>
              <w:right w:w="80" w:type="dxa"/>
            </w:tcMar>
            <w:vAlign w:val="center"/>
            <w:hideMark/>
          </w:tcPr>
          <w:p w14:paraId="2B96E934"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577D462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For an initial algorithm validation, the use of established benchmark datasets is a scientifically acceptable proxy for role simulation.</w:t>
            </w:r>
          </w:p>
        </w:tc>
        <w:tc>
          <w:tcPr>
            <w:tcW w:w="2409" w:type="dxa"/>
            <w:tcMar>
              <w:top w:w="80" w:type="dxa"/>
              <w:left w:w="80" w:type="dxa"/>
              <w:bottom w:w="80" w:type="dxa"/>
              <w:right w:w="80" w:type="dxa"/>
            </w:tcMar>
            <w:vAlign w:val="center"/>
            <w:hideMark/>
          </w:tcPr>
          <w:p w14:paraId="7BF9D2B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ubiquitous sensors ensures that the predictors are highly accessible for real-world deployment in aging-in-place scenarios.</w:t>
            </w:r>
          </w:p>
        </w:tc>
        <w:tc>
          <w:tcPr>
            <w:tcW w:w="2552" w:type="dxa"/>
            <w:tcMar>
              <w:top w:w="80" w:type="dxa"/>
              <w:left w:w="80" w:type="dxa"/>
              <w:bottom w:w="80" w:type="dxa"/>
              <w:right w:w="80" w:type="dxa"/>
            </w:tcMar>
            <w:vAlign w:val="center"/>
            <w:hideMark/>
          </w:tcPr>
          <w:p w14:paraId="3A16D9E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reported accuracy scores across different datasets confirm the model’s ability to identify fundamental movement patterns.</w:t>
            </w:r>
          </w:p>
        </w:tc>
        <w:tc>
          <w:tcPr>
            <w:tcW w:w="2551" w:type="dxa"/>
            <w:tcMar>
              <w:top w:w="80" w:type="dxa"/>
              <w:left w:w="80" w:type="dxa"/>
              <w:bottom w:w="80" w:type="dxa"/>
              <w:right w:w="80" w:type="dxa"/>
            </w:tcMar>
            <w:vAlign w:val="center"/>
            <w:hideMark/>
          </w:tcPr>
          <w:p w14:paraId="19B352B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various performance metrics, including precision and recall, demonstrates a thorough attempt to validate the model quality.</w:t>
            </w:r>
          </w:p>
        </w:tc>
        <w:tc>
          <w:tcPr>
            <w:tcW w:w="567" w:type="dxa"/>
            <w:tcMar>
              <w:top w:w="80" w:type="dxa"/>
              <w:left w:w="80" w:type="dxa"/>
              <w:bottom w:w="80" w:type="dxa"/>
              <w:right w:w="80" w:type="dxa"/>
            </w:tcMar>
            <w:vAlign w:val="center"/>
            <w:hideMark/>
          </w:tcPr>
          <w:p w14:paraId="0F78BC07"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5D21CF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ubiquity of smartphones makes this technology a highly sustainable solution for monitoring independent living.</w:t>
            </w:r>
          </w:p>
        </w:tc>
      </w:tr>
      <w:tr w:rsidR="00A91DD0" w:rsidRPr="006C17CC" w14:paraId="15CBDB7B" w14:textId="77777777" w:rsidTr="00465626">
        <w:trPr>
          <w:trHeight w:val="1415"/>
        </w:trPr>
        <w:tc>
          <w:tcPr>
            <w:tcW w:w="1555" w:type="dxa"/>
            <w:tcMar>
              <w:top w:w="80" w:type="dxa"/>
              <w:left w:w="80" w:type="dxa"/>
              <w:bottom w:w="80" w:type="dxa"/>
              <w:right w:w="80" w:type="dxa"/>
            </w:tcMar>
            <w:vAlign w:val="center"/>
            <w:hideMark/>
          </w:tcPr>
          <w:p w14:paraId="05842918"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3A292D86"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8C4432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activities selected (walking, stairs, standing) are directly relevant to the functional independence of older adults.</w:t>
            </w:r>
          </w:p>
        </w:tc>
        <w:tc>
          <w:tcPr>
            <w:tcW w:w="2409" w:type="dxa"/>
            <w:tcMar>
              <w:top w:w="80" w:type="dxa"/>
              <w:left w:w="80" w:type="dxa"/>
              <w:bottom w:w="80" w:type="dxa"/>
              <w:right w:w="80" w:type="dxa"/>
            </w:tcMar>
            <w:vAlign w:val="center"/>
            <w:hideMark/>
          </w:tcPr>
          <w:p w14:paraId="7C51D27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engineering from raw sensor signals avoids the subjectivity found in traditional manual assessments.</w:t>
            </w:r>
          </w:p>
        </w:tc>
        <w:tc>
          <w:tcPr>
            <w:tcW w:w="2552" w:type="dxa"/>
            <w:tcMar>
              <w:top w:w="80" w:type="dxa"/>
              <w:left w:w="80" w:type="dxa"/>
              <w:bottom w:w="80" w:type="dxa"/>
              <w:right w:w="80" w:type="dxa"/>
            </w:tcMar>
            <w:vAlign w:val="center"/>
            <w:hideMark/>
          </w:tcPr>
          <w:p w14:paraId="6A04E7A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Pre-specified activity categories ensure that the model is trained to recognize outcomes that support safety and well-being.</w:t>
            </w:r>
          </w:p>
        </w:tc>
        <w:tc>
          <w:tcPr>
            <w:tcW w:w="2551" w:type="dxa"/>
            <w:tcMar>
              <w:top w:w="80" w:type="dxa"/>
              <w:left w:w="80" w:type="dxa"/>
              <w:bottom w:w="80" w:type="dxa"/>
              <w:right w:w="80" w:type="dxa"/>
            </w:tcMar>
            <w:vAlign w:val="center"/>
            <w:hideMark/>
          </w:tcPr>
          <w:p w14:paraId="59375D8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consistent performance of the MLP model across different sensor combinations confirms its technical stability.</w:t>
            </w:r>
          </w:p>
        </w:tc>
        <w:tc>
          <w:tcPr>
            <w:tcW w:w="567" w:type="dxa"/>
            <w:tcMar>
              <w:top w:w="80" w:type="dxa"/>
              <w:left w:w="80" w:type="dxa"/>
              <w:bottom w:w="80" w:type="dxa"/>
              <w:right w:w="80" w:type="dxa"/>
            </w:tcMar>
            <w:vAlign w:val="center"/>
            <w:hideMark/>
          </w:tcPr>
          <w:p w14:paraId="3C0B49C0"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1819187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a significant advancement in creating accessible health monitoring tools for the elderly.</w:t>
            </w:r>
          </w:p>
        </w:tc>
      </w:tr>
      <w:tr w:rsidR="00A91DD0" w:rsidRPr="006C17CC" w14:paraId="78D84EC6" w14:textId="77777777" w:rsidTr="00465626">
        <w:trPr>
          <w:trHeight w:val="1132"/>
        </w:trPr>
        <w:tc>
          <w:tcPr>
            <w:tcW w:w="1555" w:type="dxa"/>
            <w:tcMar>
              <w:top w:w="80" w:type="dxa"/>
              <w:left w:w="80" w:type="dxa"/>
              <w:bottom w:w="80" w:type="dxa"/>
              <w:right w:w="80" w:type="dxa"/>
            </w:tcMar>
            <w:vAlign w:val="center"/>
            <w:hideMark/>
          </w:tcPr>
          <w:p w14:paraId="48AFC025"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(Wang et al., 2023)</w:t>
            </w:r>
          </w:p>
        </w:tc>
        <w:tc>
          <w:tcPr>
            <w:tcW w:w="567" w:type="dxa"/>
            <w:tcMar>
              <w:top w:w="80" w:type="dxa"/>
              <w:left w:w="80" w:type="dxa"/>
              <w:bottom w:w="80" w:type="dxa"/>
              <w:right w:w="80" w:type="dxa"/>
            </w:tcMar>
            <w:vAlign w:val="center"/>
            <w:hideMark/>
          </w:tcPr>
          <w:p w14:paraId="196B29B4"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3F2BA53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inclusion of five different and similar actions allows the model to learn subtle differences in motion.</w:t>
            </w:r>
          </w:p>
        </w:tc>
        <w:tc>
          <w:tcPr>
            <w:tcW w:w="2409" w:type="dxa"/>
            <w:tcMar>
              <w:top w:w="80" w:type="dxa"/>
              <w:left w:w="80" w:type="dxa"/>
              <w:bottom w:w="80" w:type="dxa"/>
              <w:right w:w="80" w:type="dxa"/>
            </w:tcMar>
            <w:vAlign w:val="center"/>
            <w:hideMark/>
          </w:tcPr>
          <w:p w14:paraId="086D61F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Micro Doppler features provide a unique way to identify movements through frequency changes over time.</w:t>
            </w:r>
          </w:p>
        </w:tc>
        <w:tc>
          <w:tcPr>
            <w:tcW w:w="2552" w:type="dxa"/>
            <w:tcMar>
              <w:top w:w="80" w:type="dxa"/>
              <w:left w:w="80" w:type="dxa"/>
              <w:bottom w:w="80" w:type="dxa"/>
              <w:right w:w="80" w:type="dxa"/>
            </w:tcMar>
            <w:vAlign w:val="center"/>
            <w:hideMark/>
          </w:tcPr>
          <w:p w14:paraId="6753B1F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Successful classification results show that the selected features are strong and reliable for prediction.</w:t>
            </w:r>
          </w:p>
        </w:tc>
        <w:tc>
          <w:tcPr>
            <w:tcW w:w="2551" w:type="dxa"/>
            <w:tcMar>
              <w:top w:w="80" w:type="dxa"/>
              <w:left w:w="80" w:type="dxa"/>
              <w:bottom w:w="80" w:type="dxa"/>
              <w:right w:w="80" w:type="dxa"/>
            </w:tcMar>
            <w:vAlign w:val="center"/>
            <w:hideMark/>
          </w:tcPr>
          <w:p w14:paraId="10DF594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Comparison between Random Forest and Decision Trees shows a careful search for the most stable analysis method.</w:t>
            </w:r>
          </w:p>
        </w:tc>
        <w:tc>
          <w:tcPr>
            <w:tcW w:w="567" w:type="dxa"/>
            <w:tcMar>
              <w:top w:w="80" w:type="dxa"/>
              <w:left w:w="80" w:type="dxa"/>
              <w:bottom w:w="80" w:type="dxa"/>
              <w:right w:w="80" w:type="dxa"/>
            </w:tcMar>
            <w:vAlign w:val="center"/>
            <w:hideMark/>
          </w:tcPr>
          <w:p w14:paraId="636FC424"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1C4756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Contactless sensors like radar are highly useful for environments where privacy is a major requirement.</w:t>
            </w:r>
          </w:p>
        </w:tc>
      </w:tr>
      <w:tr w:rsidR="00A91DD0" w:rsidRPr="006C17CC" w14:paraId="3B915CBD" w14:textId="77777777" w:rsidTr="00465626">
        <w:trPr>
          <w:trHeight w:val="1132"/>
        </w:trPr>
        <w:tc>
          <w:tcPr>
            <w:tcW w:w="1555" w:type="dxa"/>
            <w:tcMar>
              <w:top w:w="80" w:type="dxa"/>
              <w:left w:w="80" w:type="dxa"/>
              <w:bottom w:w="80" w:type="dxa"/>
              <w:right w:w="80" w:type="dxa"/>
            </w:tcMar>
            <w:vAlign w:val="center"/>
            <w:hideMark/>
          </w:tcPr>
          <w:p w14:paraId="1D52ECC8"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11526909"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2194307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experimental design covered the most common and critical daily motions relevant to home safety.</w:t>
            </w:r>
          </w:p>
        </w:tc>
        <w:tc>
          <w:tcPr>
            <w:tcW w:w="2409" w:type="dxa"/>
            <w:tcMar>
              <w:top w:w="80" w:type="dxa"/>
              <w:left w:w="80" w:type="dxa"/>
              <w:bottom w:w="80" w:type="dxa"/>
              <w:right w:w="80" w:type="dxa"/>
            </w:tcMar>
            <w:vAlign w:val="center"/>
            <w:hideMark/>
          </w:tcPr>
          <w:p w14:paraId="4D14604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extraction ensures that the predictors are objective and can be used in real time.</w:t>
            </w:r>
          </w:p>
        </w:tc>
        <w:tc>
          <w:tcPr>
            <w:tcW w:w="2552" w:type="dxa"/>
            <w:tcMar>
              <w:top w:w="80" w:type="dxa"/>
              <w:left w:w="80" w:type="dxa"/>
              <w:bottom w:w="80" w:type="dxa"/>
              <w:right w:w="80" w:type="dxa"/>
            </w:tcMar>
            <w:vAlign w:val="center"/>
            <w:hideMark/>
          </w:tcPr>
          <w:p w14:paraId="21BD96B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outcome labels are based on the intended action goals which ensures they are clinically relevant.</w:t>
            </w:r>
          </w:p>
        </w:tc>
        <w:tc>
          <w:tcPr>
            <w:tcW w:w="2551" w:type="dxa"/>
            <w:tcMar>
              <w:top w:w="80" w:type="dxa"/>
              <w:left w:w="80" w:type="dxa"/>
              <w:bottom w:w="80" w:type="dxa"/>
              <w:right w:w="80" w:type="dxa"/>
            </w:tcMar>
            <w:vAlign w:val="center"/>
            <w:hideMark/>
          </w:tcPr>
          <w:p w14:paraId="014B18E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Accuracy scores and ROC analysis confirm that the system possesses good power to distinguish between actions.</w:t>
            </w:r>
          </w:p>
        </w:tc>
        <w:tc>
          <w:tcPr>
            <w:tcW w:w="567" w:type="dxa"/>
            <w:tcMar>
              <w:top w:w="80" w:type="dxa"/>
              <w:left w:w="80" w:type="dxa"/>
              <w:bottom w:w="80" w:type="dxa"/>
              <w:right w:w="80" w:type="dxa"/>
            </w:tcMar>
            <w:vAlign w:val="center"/>
            <w:hideMark/>
          </w:tcPr>
          <w:p w14:paraId="3906775C"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81DD56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approach directly supports the goal of enabling older adults to age safely in their own homes.</w:t>
            </w:r>
          </w:p>
        </w:tc>
      </w:tr>
      <w:tr w:rsidR="00A91DD0" w:rsidRPr="006C17CC" w14:paraId="04573B56" w14:textId="77777777" w:rsidTr="00465626">
        <w:trPr>
          <w:trHeight w:val="1132"/>
        </w:trPr>
        <w:tc>
          <w:tcPr>
            <w:tcW w:w="1555" w:type="dxa"/>
            <w:noWrap/>
            <w:tcMar>
              <w:top w:w="80" w:type="dxa"/>
              <w:left w:w="80" w:type="dxa"/>
              <w:bottom w:w="80" w:type="dxa"/>
              <w:right w:w="80" w:type="dxa"/>
            </w:tcMar>
            <w:vAlign w:val="center"/>
            <w:hideMark/>
          </w:tcPr>
          <w:p w14:paraId="529F8398" w14:textId="77777777" w:rsidR="00A91DD0" w:rsidRPr="00A91DD0" w:rsidRDefault="00A91DD0" w:rsidP="00A91DD0">
            <w:pPr>
              <w:jc w:val="left"/>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(Wang et al., 2024)</w:t>
            </w:r>
          </w:p>
        </w:tc>
        <w:tc>
          <w:tcPr>
            <w:tcW w:w="567" w:type="dxa"/>
            <w:tcMar>
              <w:top w:w="80" w:type="dxa"/>
              <w:left w:w="80" w:type="dxa"/>
              <w:bottom w:w="80" w:type="dxa"/>
              <w:right w:w="80" w:type="dxa"/>
            </w:tcMar>
            <w:vAlign w:val="center"/>
            <w:hideMark/>
          </w:tcPr>
          <w:p w14:paraId="4C883C41" w14:textId="77777777" w:rsidR="00A91DD0" w:rsidRPr="00A91DD0"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R1</w:t>
            </w:r>
          </w:p>
        </w:tc>
        <w:tc>
          <w:tcPr>
            <w:tcW w:w="2268" w:type="dxa"/>
            <w:tcMar>
              <w:top w:w="80" w:type="dxa"/>
              <w:left w:w="80" w:type="dxa"/>
              <w:bottom w:w="80" w:type="dxa"/>
              <w:right w:w="80" w:type="dxa"/>
            </w:tcMar>
            <w:vAlign w:val="center"/>
            <w:hideMark/>
          </w:tcPr>
          <w:p w14:paraId="217C61E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 diverse group of 41 elderly individuals provides sufficient data for an initial pilot study.</w:t>
            </w:r>
          </w:p>
        </w:tc>
        <w:tc>
          <w:tcPr>
            <w:tcW w:w="2409" w:type="dxa"/>
            <w:tcMar>
              <w:top w:w="80" w:type="dxa"/>
              <w:left w:w="80" w:type="dxa"/>
              <w:bottom w:w="80" w:type="dxa"/>
              <w:right w:w="80" w:type="dxa"/>
            </w:tcMar>
            <w:vAlign w:val="center"/>
            <w:hideMark/>
          </w:tcPr>
          <w:p w14:paraId="3BC3CD8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multifaceted approach includes non linear features that capture the complex dynamics of signals.</w:t>
            </w:r>
          </w:p>
        </w:tc>
        <w:tc>
          <w:tcPr>
            <w:tcW w:w="2552" w:type="dxa"/>
            <w:tcMar>
              <w:top w:w="80" w:type="dxa"/>
              <w:left w:w="80" w:type="dxa"/>
              <w:bottom w:w="80" w:type="dxa"/>
              <w:right w:w="80" w:type="dxa"/>
            </w:tcMar>
            <w:vAlign w:val="center"/>
            <w:hideMark/>
          </w:tcPr>
          <w:p w14:paraId="61B0973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Risk levels were confirmed by experts using clinical scales that have high reliability in older adults.</w:t>
            </w:r>
          </w:p>
        </w:tc>
        <w:tc>
          <w:tcPr>
            <w:tcW w:w="2551" w:type="dxa"/>
            <w:tcMar>
              <w:top w:w="80" w:type="dxa"/>
              <w:left w:w="80" w:type="dxa"/>
              <w:bottom w:w="80" w:type="dxa"/>
              <w:right w:w="80" w:type="dxa"/>
            </w:tcMar>
            <w:vAlign w:val="center"/>
            <w:hideMark/>
          </w:tcPr>
          <w:p w14:paraId="4EA7389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E-E-N model achieved a high sensitivity of 0.904 which demonstrates its ability to identify high risk groups.</w:t>
            </w:r>
          </w:p>
        </w:tc>
        <w:tc>
          <w:tcPr>
            <w:tcW w:w="567" w:type="dxa"/>
            <w:tcMar>
              <w:top w:w="80" w:type="dxa"/>
              <w:left w:w="80" w:type="dxa"/>
              <w:bottom w:w="80" w:type="dxa"/>
              <w:right w:w="80" w:type="dxa"/>
            </w:tcMar>
            <w:vAlign w:val="center"/>
            <w:hideMark/>
          </w:tcPr>
          <w:p w14:paraId="003381A8"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301BA5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high interpretability of the model makes it promising for clinical and interventional use.</w:t>
            </w:r>
          </w:p>
        </w:tc>
      </w:tr>
      <w:tr w:rsidR="00A91DD0" w:rsidRPr="006C17CC" w14:paraId="59AC2A15" w14:textId="77777777" w:rsidTr="00465626">
        <w:trPr>
          <w:trHeight w:val="1132"/>
        </w:trPr>
        <w:tc>
          <w:tcPr>
            <w:tcW w:w="1555" w:type="dxa"/>
            <w:tcMar>
              <w:top w:w="80" w:type="dxa"/>
              <w:left w:w="80" w:type="dxa"/>
              <w:bottom w:w="80" w:type="dxa"/>
              <w:right w:w="80" w:type="dxa"/>
            </w:tcMar>
            <w:vAlign w:val="center"/>
            <w:hideMark/>
          </w:tcPr>
          <w:p w14:paraId="218C00ED"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130C3DCC"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7AB695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Specific age and health criteria were applied to ensure the study population was appropriate.</w:t>
            </w:r>
          </w:p>
        </w:tc>
        <w:tc>
          <w:tcPr>
            <w:tcW w:w="2409" w:type="dxa"/>
            <w:tcMar>
              <w:top w:w="80" w:type="dxa"/>
              <w:left w:w="80" w:type="dxa"/>
              <w:bottom w:w="80" w:type="dxa"/>
              <w:right w:w="80" w:type="dxa"/>
            </w:tcMar>
            <w:vAlign w:val="center"/>
            <w:hideMark/>
          </w:tcPr>
          <w:p w14:paraId="65F50B3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All predictors were available in real time during the performance of standardized mobility tests.</w:t>
            </w:r>
          </w:p>
        </w:tc>
        <w:tc>
          <w:tcPr>
            <w:tcW w:w="2552" w:type="dxa"/>
            <w:tcMar>
              <w:top w:w="80" w:type="dxa"/>
              <w:left w:w="80" w:type="dxa"/>
              <w:bottom w:w="80" w:type="dxa"/>
              <w:right w:w="80" w:type="dxa"/>
            </w:tcMar>
            <w:vAlign w:val="center"/>
            <w:hideMark/>
          </w:tcPr>
          <w:p w14:paraId="04BC2A4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thresholds for BBS were used to maintain consistency in outcome classification across all subjects.</w:t>
            </w:r>
          </w:p>
        </w:tc>
        <w:tc>
          <w:tcPr>
            <w:tcW w:w="2551" w:type="dxa"/>
            <w:tcMar>
              <w:top w:w="80" w:type="dxa"/>
              <w:left w:w="80" w:type="dxa"/>
              <w:bottom w:w="80" w:type="dxa"/>
              <w:right w:w="80" w:type="dxa"/>
            </w:tcMar>
            <w:vAlign w:val="center"/>
            <w:hideMark/>
          </w:tcPr>
          <w:p w14:paraId="41AFA65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bootstrap sampling and adjustable weighting mechanisms were employed to address the small sample size.</w:t>
            </w:r>
          </w:p>
        </w:tc>
        <w:tc>
          <w:tcPr>
            <w:tcW w:w="567" w:type="dxa"/>
            <w:tcMar>
              <w:top w:w="80" w:type="dxa"/>
              <w:left w:w="80" w:type="dxa"/>
              <w:bottom w:w="80" w:type="dxa"/>
              <w:right w:w="80" w:type="dxa"/>
            </w:tcMar>
            <w:vAlign w:val="center"/>
            <w:hideMark/>
          </w:tcPr>
          <w:p w14:paraId="0A8D0D55"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6045326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identifying signal complexity in multi task scenarios is highly relevant to elderly fall prevention.</w:t>
            </w:r>
          </w:p>
        </w:tc>
      </w:tr>
      <w:tr w:rsidR="00A91DD0" w:rsidRPr="006C17CC" w14:paraId="0FD61DCC" w14:textId="77777777" w:rsidTr="00465626">
        <w:trPr>
          <w:trHeight w:val="1415"/>
        </w:trPr>
        <w:tc>
          <w:tcPr>
            <w:tcW w:w="1555" w:type="dxa"/>
            <w:tcMar>
              <w:top w:w="80" w:type="dxa"/>
              <w:left w:w="80" w:type="dxa"/>
              <w:bottom w:w="80" w:type="dxa"/>
              <w:right w:w="80" w:type="dxa"/>
            </w:tcMar>
            <w:vAlign w:val="center"/>
            <w:hideMark/>
          </w:tcPr>
          <w:p w14:paraId="3CD74118"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p>
        </w:tc>
        <w:tc>
          <w:tcPr>
            <w:tcW w:w="567" w:type="dxa"/>
            <w:tcMar>
              <w:top w:w="80" w:type="dxa"/>
              <w:left w:w="80" w:type="dxa"/>
              <w:bottom w:w="80" w:type="dxa"/>
              <w:right w:w="80" w:type="dxa"/>
            </w:tcMar>
            <w:vAlign w:val="center"/>
            <w:hideMark/>
          </w:tcPr>
          <w:p w14:paraId="28E90AEA"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0F547AA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For an initial algorithm validation the inclusion of 5 seniors alongside 15 younger subjects provides sufficient diverse data.</w:t>
            </w:r>
          </w:p>
        </w:tc>
        <w:tc>
          <w:tcPr>
            <w:tcW w:w="2409" w:type="dxa"/>
            <w:tcMar>
              <w:top w:w="80" w:type="dxa"/>
              <w:left w:w="80" w:type="dxa"/>
              <w:bottom w:w="80" w:type="dxa"/>
              <w:right w:w="80" w:type="dxa"/>
            </w:tcMar>
            <w:vAlign w:val="center"/>
            <w:hideMark/>
          </w:tcPr>
          <w:p w14:paraId="36F1B1E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Contactless radar sensing provides objective predictors that avoid the user compliance issues associated with wearable devices.</w:t>
            </w:r>
          </w:p>
        </w:tc>
        <w:tc>
          <w:tcPr>
            <w:tcW w:w="2552" w:type="dxa"/>
            <w:tcMar>
              <w:top w:w="80" w:type="dxa"/>
              <w:left w:w="80" w:type="dxa"/>
              <w:bottom w:w="80" w:type="dxa"/>
              <w:right w:w="80" w:type="dxa"/>
            </w:tcMar>
            <w:vAlign w:val="center"/>
            <w:hideMark/>
          </w:tcPr>
          <w:p w14:paraId="7143D4D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a synchronized medical sensor as ground truth ensures that the identified heart rate outcomes are clinically accurate.</w:t>
            </w:r>
          </w:p>
        </w:tc>
        <w:tc>
          <w:tcPr>
            <w:tcW w:w="2551" w:type="dxa"/>
            <w:tcMar>
              <w:top w:w="80" w:type="dxa"/>
              <w:left w:w="80" w:type="dxa"/>
              <w:bottom w:w="80" w:type="dxa"/>
              <w:right w:w="80" w:type="dxa"/>
            </w:tcMar>
            <w:vAlign w:val="center"/>
            <w:hideMark/>
          </w:tcPr>
          <w:p w14:paraId="5248629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comparison across multiple model architectures and feature sets demonstrates a rigorous and stable analytical workflow.</w:t>
            </w:r>
          </w:p>
        </w:tc>
        <w:tc>
          <w:tcPr>
            <w:tcW w:w="567" w:type="dxa"/>
            <w:tcMar>
              <w:top w:w="80" w:type="dxa"/>
              <w:left w:w="80" w:type="dxa"/>
              <w:bottom w:w="80" w:type="dxa"/>
              <w:right w:w="80" w:type="dxa"/>
            </w:tcMar>
            <w:vAlign w:val="center"/>
            <w:hideMark/>
          </w:tcPr>
          <w:p w14:paraId="3DFA2C44"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181138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Non intrusive monitoring is highly applicable to the goal of supporting independent living for community dwelling seniors.</w:t>
            </w:r>
          </w:p>
        </w:tc>
      </w:tr>
      <w:tr w:rsidR="00A91DD0" w:rsidRPr="006C17CC" w14:paraId="7798B150" w14:textId="77777777" w:rsidTr="00465626">
        <w:trPr>
          <w:trHeight w:val="1415"/>
        </w:trPr>
        <w:tc>
          <w:tcPr>
            <w:tcW w:w="1555" w:type="dxa"/>
            <w:tcMar>
              <w:top w:w="80" w:type="dxa"/>
              <w:left w:w="80" w:type="dxa"/>
              <w:bottom w:w="80" w:type="dxa"/>
              <w:right w:w="80" w:type="dxa"/>
            </w:tcMar>
            <w:vAlign w:val="center"/>
            <w:hideMark/>
          </w:tcPr>
          <w:p w14:paraId="2441DE19"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0DF22766"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1DDE1E0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experimental design allowed for high quality data capture in controlled environments necessary for initial model training.</w:t>
            </w:r>
          </w:p>
        </w:tc>
        <w:tc>
          <w:tcPr>
            <w:tcW w:w="2409" w:type="dxa"/>
            <w:tcMar>
              <w:top w:w="80" w:type="dxa"/>
              <w:left w:w="80" w:type="dxa"/>
              <w:bottom w:w="80" w:type="dxa"/>
              <w:right w:w="80" w:type="dxa"/>
            </w:tcMar>
            <w:vAlign w:val="center"/>
            <w:hideMark/>
          </w:tcPr>
          <w:p w14:paraId="6D324E8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engineering from point cloud data reduces human error and ensures consistency in the predictor evaluation.</w:t>
            </w:r>
          </w:p>
        </w:tc>
        <w:tc>
          <w:tcPr>
            <w:tcW w:w="2552" w:type="dxa"/>
            <w:tcMar>
              <w:top w:w="80" w:type="dxa"/>
              <w:left w:w="80" w:type="dxa"/>
              <w:bottom w:w="80" w:type="dxa"/>
              <w:right w:w="80" w:type="dxa"/>
            </w:tcMar>
            <w:vAlign w:val="center"/>
            <w:hideMark/>
          </w:tcPr>
          <w:p w14:paraId="3DFA768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clinical measurements for heart rate ensure that the findings are comparable to other geriatric health research.</w:t>
            </w:r>
          </w:p>
        </w:tc>
        <w:tc>
          <w:tcPr>
            <w:tcW w:w="2551" w:type="dxa"/>
            <w:tcMar>
              <w:top w:w="80" w:type="dxa"/>
              <w:left w:w="80" w:type="dxa"/>
              <w:bottom w:w="80" w:type="dxa"/>
              <w:right w:w="80" w:type="dxa"/>
            </w:tcMar>
            <w:vAlign w:val="center"/>
            <w:hideMark/>
          </w:tcPr>
          <w:p w14:paraId="4CA277A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performance metrics such as low mean absolute error confirm the technical stability and readiness of the monitoring system.</w:t>
            </w:r>
          </w:p>
        </w:tc>
        <w:tc>
          <w:tcPr>
            <w:tcW w:w="567" w:type="dxa"/>
            <w:tcMar>
              <w:top w:w="80" w:type="dxa"/>
              <w:left w:w="80" w:type="dxa"/>
              <w:bottom w:w="80" w:type="dxa"/>
              <w:right w:w="80" w:type="dxa"/>
            </w:tcMar>
            <w:vAlign w:val="center"/>
            <w:hideMark/>
          </w:tcPr>
          <w:p w14:paraId="0FD5349C"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150109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a significant advancement in enabling proactive health management for older adults in their own homes.</w:t>
            </w:r>
          </w:p>
        </w:tc>
      </w:tr>
      <w:tr w:rsidR="00A91DD0" w:rsidRPr="006C17CC" w14:paraId="340E06E0" w14:textId="77777777" w:rsidTr="00465626">
        <w:trPr>
          <w:trHeight w:val="1415"/>
        </w:trPr>
        <w:tc>
          <w:tcPr>
            <w:tcW w:w="1555" w:type="dxa"/>
            <w:tcMar>
              <w:top w:w="80" w:type="dxa"/>
              <w:left w:w="80" w:type="dxa"/>
              <w:bottom w:w="80" w:type="dxa"/>
              <w:right w:w="80" w:type="dxa"/>
            </w:tcMar>
            <w:vAlign w:val="center"/>
            <w:hideMark/>
          </w:tcPr>
          <w:p w14:paraId="37D74911"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(Wang et al., 2025)</w:t>
            </w:r>
          </w:p>
        </w:tc>
        <w:tc>
          <w:tcPr>
            <w:tcW w:w="567" w:type="dxa"/>
            <w:tcMar>
              <w:top w:w="80" w:type="dxa"/>
              <w:left w:w="80" w:type="dxa"/>
              <w:bottom w:w="80" w:type="dxa"/>
              <w:right w:w="80" w:type="dxa"/>
            </w:tcMar>
            <w:vAlign w:val="center"/>
            <w:hideMark/>
          </w:tcPr>
          <w:p w14:paraId="591AF20F"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79C4FDF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Including 5 seniors alongside 15 younger subjects allows for a comparative analysis of movement patterns.</w:t>
            </w:r>
          </w:p>
        </w:tc>
        <w:tc>
          <w:tcPr>
            <w:tcW w:w="2409" w:type="dxa"/>
            <w:tcMar>
              <w:top w:w="80" w:type="dxa"/>
              <w:left w:w="80" w:type="dxa"/>
              <w:bottom w:w="80" w:type="dxa"/>
              <w:right w:w="80" w:type="dxa"/>
            </w:tcMar>
            <w:vAlign w:val="center"/>
            <w:hideMark/>
          </w:tcPr>
          <w:p w14:paraId="154FE8B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mmWave radar provides high-dimensional point-cloud data that serves as a highly reliable predictor of human posture.</w:t>
            </w:r>
          </w:p>
        </w:tc>
        <w:tc>
          <w:tcPr>
            <w:tcW w:w="2552" w:type="dxa"/>
            <w:tcMar>
              <w:top w:w="80" w:type="dxa"/>
              <w:left w:w="80" w:type="dxa"/>
              <w:bottom w:w="80" w:type="dxa"/>
              <w:right w:w="80" w:type="dxa"/>
            </w:tcMar>
            <w:vAlign w:val="center"/>
            <w:hideMark/>
          </w:tcPr>
          <w:p w14:paraId="35A065D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Detecting ADLs like dining and grooming provides actionable insights for assessing functional independence.</w:t>
            </w:r>
          </w:p>
        </w:tc>
        <w:tc>
          <w:tcPr>
            <w:tcW w:w="2551" w:type="dxa"/>
            <w:tcMar>
              <w:top w:w="80" w:type="dxa"/>
              <w:left w:w="80" w:type="dxa"/>
              <w:bottom w:w="80" w:type="dxa"/>
              <w:right w:w="80" w:type="dxa"/>
            </w:tcMar>
            <w:vAlign w:val="center"/>
            <w:hideMark/>
          </w:tcPr>
          <w:p w14:paraId="656EBD8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XGBoost achieved a high accuracy of 98.2%, demonstrating the strong discriminative power of radar features.</w:t>
            </w:r>
          </w:p>
        </w:tc>
        <w:tc>
          <w:tcPr>
            <w:tcW w:w="567" w:type="dxa"/>
            <w:tcMar>
              <w:top w:w="80" w:type="dxa"/>
              <w:left w:w="80" w:type="dxa"/>
              <w:bottom w:w="80" w:type="dxa"/>
              <w:right w:w="80" w:type="dxa"/>
            </w:tcMar>
            <w:vAlign w:val="center"/>
            <w:hideMark/>
          </w:tcPr>
          <w:p w14:paraId="646972CD"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3C661A5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privacy-preserving and contactless nature of radar is ideal for supporting aging in place.</w:t>
            </w:r>
          </w:p>
        </w:tc>
      </w:tr>
      <w:tr w:rsidR="00A91DD0" w:rsidRPr="006C17CC" w14:paraId="57E6231C" w14:textId="77777777" w:rsidTr="00465626">
        <w:trPr>
          <w:trHeight w:val="1415"/>
        </w:trPr>
        <w:tc>
          <w:tcPr>
            <w:tcW w:w="1555" w:type="dxa"/>
            <w:tcMar>
              <w:top w:w="80" w:type="dxa"/>
              <w:left w:w="80" w:type="dxa"/>
              <w:bottom w:w="80" w:type="dxa"/>
              <w:right w:w="80" w:type="dxa"/>
            </w:tcMar>
            <w:vAlign w:val="center"/>
            <w:hideMark/>
          </w:tcPr>
          <w:p w14:paraId="192A95D8"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11C34A7A"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0C0CD6F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study design covered a wide range of essential daily living activities relevant to elderly care.</w:t>
            </w:r>
          </w:p>
        </w:tc>
        <w:tc>
          <w:tcPr>
            <w:tcW w:w="2409" w:type="dxa"/>
            <w:tcMar>
              <w:top w:w="80" w:type="dxa"/>
              <w:left w:w="80" w:type="dxa"/>
              <w:bottom w:w="80" w:type="dxa"/>
              <w:right w:w="80" w:type="dxa"/>
            </w:tcMar>
            <w:vAlign w:val="center"/>
            <w:hideMark/>
          </w:tcPr>
          <w:p w14:paraId="63A0188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engineering from radar signals avoids the inconsistencies associated with manual assessment.</w:t>
            </w:r>
          </w:p>
        </w:tc>
        <w:tc>
          <w:tcPr>
            <w:tcW w:w="2552" w:type="dxa"/>
            <w:tcMar>
              <w:top w:w="80" w:type="dxa"/>
              <w:left w:w="80" w:type="dxa"/>
              <w:bottom w:w="80" w:type="dxa"/>
              <w:right w:w="80" w:type="dxa"/>
            </w:tcMar>
            <w:vAlign w:val="center"/>
            <w:hideMark/>
          </w:tcPr>
          <w:p w14:paraId="0FDAAA0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Pre-specified activity categories ensure that the model is trained to recognize clinically meaningful outcomes.</w:t>
            </w:r>
          </w:p>
        </w:tc>
        <w:tc>
          <w:tcPr>
            <w:tcW w:w="2551" w:type="dxa"/>
            <w:tcMar>
              <w:top w:w="80" w:type="dxa"/>
              <w:left w:w="80" w:type="dxa"/>
              <w:bottom w:w="80" w:type="dxa"/>
              <w:right w:w="80" w:type="dxa"/>
            </w:tcMar>
            <w:vAlign w:val="center"/>
            <w:hideMark/>
          </w:tcPr>
          <w:p w14:paraId="52B86E2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cross-validation and multiple performance metrics confirms the model’s technical stability and readiness for pilot testing.</w:t>
            </w:r>
          </w:p>
        </w:tc>
        <w:tc>
          <w:tcPr>
            <w:tcW w:w="567" w:type="dxa"/>
            <w:tcMar>
              <w:top w:w="80" w:type="dxa"/>
              <w:left w:w="80" w:type="dxa"/>
              <w:bottom w:w="80" w:type="dxa"/>
              <w:right w:w="80" w:type="dxa"/>
            </w:tcMar>
            <w:vAlign w:val="center"/>
            <w:hideMark/>
          </w:tcPr>
          <w:p w14:paraId="0865E7AB"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875526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technology significantly enhances the capability for long-term health monitoring in residential settings.</w:t>
            </w:r>
          </w:p>
        </w:tc>
      </w:tr>
      <w:tr w:rsidR="00A91DD0" w14:paraId="55F0FC36" w14:textId="77777777">
        <w:tc>
          <w:tcPr>
            <w:tcW w:w="1555" w:type="dxa"/>
            <w:tcMar>
              <w:top w:w="80" w:type="dxa"/>
              <w:left w:w="80" w:type="dxa"/>
              <w:bottom w:w="80" w:type="dxa"/>
              <w:right w:w="80" w:type="dxa"/>
            </w:tcMar>
            <w:vAlign w:val="center"/>
          </w:tcPr>
          <w:p w14:paraId="32DDDB24" w14:textId="77777777" w:rsidR="00A91DD0" w:rsidRDefault="00A91DD0" w:rsidP="00A91DD0">
            <w:pPr>
              <w:jc w:val="center"/>
              <w:rPr>
                <w:rFonts w:hint="eastAsia"/>
              </w:rPr>
            </w:pPr>
            <w:r>
              <w:rPr>
                <w:rFonts w:ascii="Times New Roman" w:hAnsi="Times New Roman" w:cs="Times New Roman"/>
                <w:sz w:val="18"/>
              </w:rPr>
              <w:t>(Wu et al., 2024)</w:t>
            </w:r>
          </w:p>
        </w:tc>
        <w:tc>
          <w:tcPr>
            <w:tcW w:w="567" w:type="dxa"/>
            <w:tcMar>
              <w:top w:w="80" w:type="dxa"/>
              <w:left w:w="80" w:type="dxa"/>
              <w:bottom w:w="80" w:type="dxa"/>
              <w:right w:w="80" w:type="dxa"/>
            </w:tcMar>
            <w:vAlign w:val="center"/>
          </w:tcPr>
          <w:p w14:paraId="042CB21F"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41BA1206" w14:textId="77777777" w:rsidR="00A91DD0" w:rsidRDefault="00A91DD0" w:rsidP="00A91DD0">
            <w:pPr>
              <w:jc w:val="left"/>
              <w:rPr>
                <w:rFonts w:hint="eastAsia"/>
              </w:rPr>
            </w:pPr>
            <w:r>
              <w:rPr>
                <w:rFonts w:ascii="Times New Roman" w:hAnsi="Times New Roman" w:cs="Times New Roman"/>
                <w:sz w:val="18"/>
              </w:rPr>
              <w:t>High Risk. Data sources were public, secondary, single case, or simulated and were insufficiently representative.</w:t>
            </w:r>
          </w:p>
        </w:tc>
        <w:tc>
          <w:tcPr>
            <w:tcW w:w="2409" w:type="dxa"/>
            <w:tcMar>
              <w:top w:w="80" w:type="dxa"/>
              <w:left w:w="80" w:type="dxa"/>
              <w:bottom w:w="80" w:type="dxa"/>
              <w:right w:w="80" w:type="dxa"/>
            </w:tcMar>
            <w:vAlign w:val="center"/>
          </w:tcPr>
          <w:p w14:paraId="1A5243F4" w14:textId="77777777" w:rsidR="00A91DD0" w:rsidRDefault="00A91DD0" w:rsidP="00A91DD0">
            <w:pPr>
              <w:jc w:val="left"/>
              <w:rPr>
                <w:rFonts w:hint="eastAsia"/>
              </w:rPr>
            </w:pPr>
            <w:r>
              <w:rPr>
                <w:rFonts w:ascii="Times New Roman" w:hAnsi="Times New Roman" w:cs="Times New Roman"/>
                <w:sz w:val="18"/>
              </w:rPr>
              <w:t>Low Risk. Predictors were technically described for the model.</w:t>
            </w:r>
          </w:p>
        </w:tc>
        <w:tc>
          <w:tcPr>
            <w:tcW w:w="2552" w:type="dxa"/>
            <w:tcMar>
              <w:top w:w="80" w:type="dxa"/>
              <w:left w:w="80" w:type="dxa"/>
              <w:bottom w:w="80" w:type="dxa"/>
              <w:right w:w="80" w:type="dxa"/>
            </w:tcMar>
            <w:vAlign w:val="center"/>
          </w:tcPr>
          <w:p w14:paraId="61059DF6" w14:textId="77777777" w:rsidR="00A91DD0" w:rsidRDefault="00A91DD0" w:rsidP="00A91DD0">
            <w:pPr>
              <w:jc w:val="left"/>
              <w:rPr>
                <w:rFonts w:hint="eastAsia"/>
              </w:rPr>
            </w:pPr>
            <w:r>
              <w:rPr>
                <w:rFonts w:ascii="Times New Roman" w:hAnsi="Times New Roman" w:cs="Times New Roman"/>
                <w:sz w:val="18"/>
              </w:rPr>
              <w:t>High Risk. Outcomes were proxies for monitoring or recognition rather than patient centered endpoints.</w:t>
            </w:r>
          </w:p>
        </w:tc>
        <w:tc>
          <w:tcPr>
            <w:tcW w:w="2551" w:type="dxa"/>
            <w:tcMar>
              <w:top w:w="80" w:type="dxa"/>
              <w:left w:w="80" w:type="dxa"/>
              <w:bottom w:w="80" w:type="dxa"/>
              <w:right w:w="80" w:type="dxa"/>
            </w:tcMar>
            <w:vAlign w:val="center"/>
          </w:tcPr>
          <w:p w14:paraId="2F89DAA8" w14:textId="77777777" w:rsidR="00A91DD0" w:rsidRDefault="00A91DD0" w:rsidP="00A91DD0">
            <w:pPr>
              <w:jc w:val="left"/>
              <w:rPr>
                <w:rFonts w:hint="eastAsia"/>
              </w:rPr>
            </w:pPr>
            <w:r>
              <w:rPr>
                <w:rFonts w:ascii="Times New Roman" w:hAnsi="Times New Roman" w:cs="Times New Roman"/>
                <w:sz w:val="18"/>
              </w:rPr>
              <w:t>High Risk. External validation and calibration were insufficient.</w:t>
            </w:r>
          </w:p>
        </w:tc>
        <w:tc>
          <w:tcPr>
            <w:tcW w:w="567" w:type="dxa"/>
            <w:tcMar>
              <w:top w:w="80" w:type="dxa"/>
              <w:left w:w="80" w:type="dxa"/>
              <w:bottom w:w="80" w:type="dxa"/>
              <w:right w:w="80" w:type="dxa"/>
            </w:tcMar>
            <w:vAlign w:val="center"/>
          </w:tcPr>
          <w:p w14:paraId="56963546"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5B869AE4" w14:textId="77777777" w:rsidR="00A91DD0" w:rsidRDefault="00A91DD0" w:rsidP="00A91DD0">
            <w:pPr>
              <w:jc w:val="left"/>
              <w:rPr>
                <w:rFonts w:hint="eastAsia"/>
              </w:rPr>
            </w:pPr>
            <w:r>
              <w:rPr>
                <w:rFonts w:ascii="Times New Roman" w:hAnsi="Times New Roman" w:cs="Times New Roman"/>
                <w:sz w:val="18"/>
              </w:rPr>
              <w:t>High Concern. Applicability to the target review question was limited.</w:t>
            </w:r>
          </w:p>
        </w:tc>
      </w:tr>
      <w:tr w:rsidR="00A91DD0" w14:paraId="522AEF2A" w14:textId="77777777">
        <w:tc>
          <w:tcPr>
            <w:tcW w:w="1555" w:type="dxa"/>
            <w:tcMar>
              <w:top w:w="80" w:type="dxa"/>
              <w:left w:w="80" w:type="dxa"/>
              <w:bottom w:w="80" w:type="dxa"/>
              <w:right w:w="80" w:type="dxa"/>
            </w:tcMar>
            <w:vAlign w:val="center"/>
          </w:tcPr>
          <w:p w14:paraId="1908863A"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7712140B"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0B97D3F3" w14:textId="77777777" w:rsidR="00A91DD0" w:rsidRDefault="00A91DD0" w:rsidP="00A91DD0">
            <w:pPr>
              <w:jc w:val="left"/>
              <w:rPr>
                <w:rFonts w:hint="eastAsia"/>
              </w:rPr>
            </w:pPr>
            <w:r>
              <w:rPr>
                <w:rFonts w:ascii="Times New Roman" w:hAnsi="Times New Roman" w:cs="Times New Roman"/>
                <w:sz w:val="18"/>
              </w:rPr>
              <w:t xml:space="preserve">High Risk. Data sources </w:t>
            </w:r>
            <w:r>
              <w:rPr>
                <w:rFonts w:ascii="Times New Roman" w:hAnsi="Times New Roman" w:cs="Times New Roman"/>
                <w:sz w:val="18"/>
              </w:rPr>
              <w:lastRenderedPageBreak/>
              <w:t>were public, secondary, single case, or simulated and were not sufficiently representative.</w:t>
            </w:r>
          </w:p>
        </w:tc>
        <w:tc>
          <w:tcPr>
            <w:tcW w:w="2409" w:type="dxa"/>
            <w:tcMar>
              <w:top w:w="80" w:type="dxa"/>
              <w:left w:w="80" w:type="dxa"/>
              <w:bottom w:w="80" w:type="dxa"/>
              <w:right w:w="80" w:type="dxa"/>
            </w:tcMar>
            <w:vAlign w:val="center"/>
          </w:tcPr>
          <w:p w14:paraId="5AAABEC2" w14:textId="77777777" w:rsidR="00A91DD0" w:rsidRDefault="00A91DD0" w:rsidP="00A91DD0">
            <w:pPr>
              <w:jc w:val="left"/>
              <w:rPr>
                <w:rFonts w:hint="eastAsia"/>
              </w:rPr>
            </w:pPr>
            <w:r>
              <w:rPr>
                <w:rFonts w:ascii="Times New Roman" w:hAnsi="Times New Roman" w:cs="Times New Roman"/>
                <w:sz w:val="18"/>
              </w:rPr>
              <w:lastRenderedPageBreak/>
              <w:t xml:space="preserve">Low Risk. Predictors were </w:t>
            </w:r>
            <w:r>
              <w:rPr>
                <w:rFonts w:ascii="Times New Roman" w:hAnsi="Times New Roman" w:cs="Times New Roman"/>
                <w:sz w:val="18"/>
              </w:rPr>
              <w:lastRenderedPageBreak/>
              <w:t>technically described for the model.</w:t>
            </w:r>
          </w:p>
        </w:tc>
        <w:tc>
          <w:tcPr>
            <w:tcW w:w="2552" w:type="dxa"/>
            <w:tcMar>
              <w:top w:w="80" w:type="dxa"/>
              <w:left w:w="80" w:type="dxa"/>
              <w:bottom w:w="80" w:type="dxa"/>
              <w:right w:w="80" w:type="dxa"/>
            </w:tcMar>
            <w:vAlign w:val="center"/>
          </w:tcPr>
          <w:p w14:paraId="6364FC21" w14:textId="77777777" w:rsidR="00A91DD0" w:rsidRDefault="00A91DD0" w:rsidP="00A91DD0">
            <w:pPr>
              <w:jc w:val="left"/>
              <w:rPr>
                <w:rFonts w:hint="eastAsia"/>
              </w:rPr>
            </w:pPr>
            <w:r>
              <w:rPr>
                <w:rFonts w:ascii="Times New Roman" w:hAnsi="Times New Roman" w:cs="Times New Roman"/>
                <w:sz w:val="18"/>
              </w:rPr>
              <w:lastRenderedPageBreak/>
              <w:t xml:space="preserve">High Risk. Outcomes were </w:t>
            </w:r>
            <w:r>
              <w:rPr>
                <w:rFonts w:ascii="Times New Roman" w:hAnsi="Times New Roman" w:cs="Times New Roman"/>
                <w:sz w:val="18"/>
              </w:rPr>
              <w:lastRenderedPageBreak/>
              <w:t>proxies for monitoring or recognition rather than patient centered endpoints.</w:t>
            </w:r>
          </w:p>
        </w:tc>
        <w:tc>
          <w:tcPr>
            <w:tcW w:w="2551" w:type="dxa"/>
            <w:tcMar>
              <w:top w:w="80" w:type="dxa"/>
              <w:left w:w="80" w:type="dxa"/>
              <w:bottom w:w="80" w:type="dxa"/>
              <w:right w:w="80" w:type="dxa"/>
            </w:tcMar>
            <w:vAlign w:val="center"/>
          </w:tcPr>
          <w:p w14:paraId="34296E28" w14:textId="77777777" w:rsidR="00A91DD0" w:rsidRDefault="00A91DD0" w:rsidP="00A91DD0">
            <w:pPr>
              <w:jc w:val="left"/>
              <w:rPr>
                <w:rFonts w:hint="eastAsia"/>
              </w:rPr>
            </w:pPr>
            <w:r>
              <w:rPr>
                <w:rFonts w:ascii="Times New Roman" w:hAnsi="Times New Roman" w:cs="Times New Roman"/>
                <w:sz w:val="18"/>
              </w:rPr>
              <w:lastRenderedPageBreak/>
              <w:t xml:space="preserve">High Risk. External validation </w:t>
            </w:r>
            <w:r>
              <w:rPr>
                <w:rFonts w:ascii="Times New Roman" w:hAnsi="Times New Roman" w:cs="Times New Roman"/>
                <w:sz w:val="18"/>
              </w:rPr>
              <w:lastRenderedPageBreak/>
              <w:t>and calibration were insufficient.</w:t>
            </w:r>
          </w:p>
        </w:tc>
        <w:tc>
          <w:tcPr>
            <w:tcW w:w="567" w:type="dxa"/>
            <w:tcMar>
              <w:top w:w="80" w:type="dxa"/>
              <w:left w:w="80" w:type="dxa"/>
              <w:bottom w:w="80" w:type="dxa"/>
              <w:right w:w="80" w:type="dxa"/>
            </w:tcMar>
            <w:vAlign w:val="center"/>
          </w:tcPr>
          <w:p w14:paraId="3473CB26"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lastRenderedPageBreak/>
              <w:t xml:space="preserve">High </w:t>
            </w:r>
            <w:r>
              <w:rPr>
                <w:rFonts w:ascii="Times New Roman" w:hAnsi="Times New Roman" w:cs="Times New Roman"/>
                <w:b/>
                <w:bCs/>
                <w:sz w:val="18"/>
              </w:rPr>
              <w:lastRenderedPageBreak/>
              <w:t>Risk</w:t>
            </w:r>
          </w:p>
        </w:tc>
        <w:tc>
          <w:tcPr>
            <w:tcW w:w="2919" w:type="dxa"/>
            <w:tcMar>
              <w:top w:w="80" w:type="dxa"/>
              <w:left w:w="80" w:type="dxa"/>
              <w:bottom w:w="80" w:type="dxa"/>
              <w:right w:w="80" w:type="dxa"/>
            </w:tcMar>
            <w:vAlign w:val="center"/>
          </w:tcPr>
          <w:p w14:paraId="594549BE" w14:textId="77777777" w:rsidR="00A91DD0" w:rsidRDefault="00A91DD0" w:rsidP="00A91DD0">
            <w:pPr>
              <w:jc w:val="left"/>
              <w:rPr>
                <w:rFonts w:hint="eastAsia"/>
              </w:rPr>
            </w:pPr>
            <w:r>
              <w:rPr>
                <w:rFonts w:ascii="Times New Roman" w:hAnsi="Times New Roman" w:cs="Times New Roman"/>
                <w:sz w:val="18"/>
              </w:rPr>
              <w:lastRenderedPageBreak/>
              <w:t xml:space="preserve">High Concern. Applicability to the </w:t>
            </w:r>
            <w:r>
              <w:rPr>
                <w:rFonts w:ascii="Times New Roman" w:hAnsi="Times New Roman" w:cs="Times New Roman"/>
                <w:sz w:val="18"/>
              </w:rPr>
              <w:lastRenderedPageBreak/>
              <w:t>target review question was limited.</w:t>
            </w:r>
          </w:p>
        </w:tc>
      </w:tr>
      <w:tr w:rsidR="00A91DD0" w:rsidRPr="006C17CC" w14:paraId="2E795B71" w14:textId="77777777" w:rsidTr="00465626">
        <w:trPr>
          <w:trHeight w:val="1132"/>
        </w:trPr>
        <w:tc>
          <w:tcPr>
            <w:tcW w:w="1555" w:type="dxa"/>
            <w:tcMar>
              <w:top w:w="80" w:type="dxa"/>
              <w:left w:w="80" w:type="dxa"/>
              <w:bottom w:w="80" w:type="dxa"/>
              <w:right w:w="80" w:type="dxa"/>
            </w:tcMar>
            <w:vAlign w:val="center"/>
            <w:hideMark/>
          </w:tcPr>
          <w:p w14:paraId="542602BC"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lastRenderedPageBreak/>
              <w:t>(Xia et al., 2025)</w:t>
            </w:r>
          </w:p>
        </w:tc>
        <w:tc>
          <w:tcPr>
            <w:tcW w:w="567" w:type="dxa"/>
            <w:tcMar>
              <w:top w:w="80" w:type="dxa"/>
              <w:left w:w="80" w:type="dxa"/>
              <w:bottom w:w="80" w:type="dxa"/>
              <w:right w:w="80" w:type="dxa"/>
            </w:tcMar>
            <w:vAlign w:val="center"/>
            <w:hideMark/>
          </w:tcPr>
          <w:p w14:paraId="5143D664"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328489FA"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a large scale survey ensures that the model is built on high quality and diverse participant data.</w:t>
            </w:r>
          </w:p>
        </w:tc>
        <w:tc>
          <w:tcPr>
            <w:tcW w:w="2409" w:type="dxa"/>
            <w:tcMar>
              <w:top w:w="80" w:type="dxa"/>
              <w:left w:w="80" w:type="dxa"/>
              <w:bottom w:w="80" w:type="dxa"/>
              <w:right w:w="80" w:type="dxa"/>
            </w:tcMar>
            <w:vAlign w:val="center"/>
            <w:hideMark/>
          </w:tcPr>
          <w:p w14:paraId="21AE18E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Objective indicators from the Long Term Care evaluation system provide reliable and clinically relevant predictors.</w:t>
            </w:r>
          </w:p>
        </w:tc>
        <w:tc>
          <w:tcPr>
            <w:tcW w:w="2552" w:type="dxa"/>
            <w:tcMar>
              <w:top w:w="80" w:type="dxa"/>
              <w:left w:w="80" w:type="dxa"/>
              <w:bottom w:w="80" w:type="dxa"/>
              <w:right w:w="80" w:type="dxa"/>
            </w:tcMar>
            <w:vAlign w:val="center"/>
            <w:hideMark/>
          </w:tcPr>
          <w:p w14:paraId="2EFD608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Validated scoring systems were used to ensure the accuracy and reliability of the quality classification outcomes.</w:t>
            </w:r>
          </w:p>
        </w:tc>
        <w:tc>
          <w:tcPr>
            <w:tcW w:w="2551" w:type="dxa"/>
            <w:tcMar>
              <w:top w:w="80" w:type="dxa"/>
              <w:left w:w="80" w:type="dxa"/>
              <w:bottom w:w="80" w:type="dxa"/>
              <w:right w:w="80" w:type="dxa"/>
            </w:tcMar>
            <w:vAlign w:val="center"/>
            <w:hideMark/>
          </w:tcPr>
          <w:p w14:paraId="496C1CD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10 fold cross validation provides a rigorous internal validation mechanism to prevent over fitting.</w:t>
            </w:r>
          </w:p>
        </w:tc>
        <w:tc>
          <w:tcPr>
            <w:tcW w:w="567" w:type="dxa"/>
            <w:tcMar>
              <w:top w:w="80" w:type="dxa"/>
              <w:left w:w="80" w:type="dxa"/>
              <w:bottom w:w="80" w:type="dxa"/>
              <w:right w:w="80" w:type="dxa"/>
            </w:tcMar>
            <w:vAlign w:val="center"/>
            <w:hideMark/>
          </w:tcPr>
          <w:p w14:paraId="539C289E"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8CF298A"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findings offer significant value for improving home care services through automated monitoring.</w:t>
            </w:r>
          </w:p>
        </w:tc>
      </w:tr>
      <w:tr w:rsidR="00A91DD0" w:rsidRPr="006C17CC" w14:paraId="50C477B2" w14:textId="77777777" w:rsidTr="00465626">
        <w:trPr>
          <w:trHeight w:val="1132"/>
        </w:trPr>
        <w:tc>
          <w:tcPr>
            <w:tcW w:w="1555" w:type="dxa"/>
            <w:tcMar>
              <w:top w:w="80" w:type="dxa"/>
              <w:left w:w="80" w:type="dxa"/>
              <w:bottom w:w="80" w:type="dxa"/>
              <w:right w:w="80" w:type="dxa"/>
            </w:tcMar>
            <w:vAlign w:val="center"/>
            <w:hideMark/>
          </w:tcPr>
          <w:p w14:paraId="00B5BC65"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570926F6"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1528950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Appropriate demographics and functional status records ensure the participants reflect real world community seniors.</w:t>
            </w:r>
          </w:p>
        </w:tc>
        <w:tc>
          <w:tcPr>
            <w:tcW w:w="2409" w:type="dxa"/>
            <w:tcMar>
              <w:top w:w="80" w:type="dxa"/>
              <w:left w:w="80" w:type="dxa"/>
              <w:bottom w:w="80" w:type="dxa"/>
              <w:right w:w="80" w:type="dxa"/>
            </w:tcMar>
            <w:vAlign w:val="center"/>
            <w:hideMark/>
          </w:tcPr>
          <w:p w14:paraId="50E9A41A"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All predictors were assessed without knowledge of the final quality scores to minimize assessment bias.</w:t>
            </w:r>
          </w:p>
        </w:tc>
        <w:tc>
          <w:tcPr>
            <w:tcW w:w="2552" w:type="dxa"/>
            <w:tcMar>
              <w:top w:w="80" w:type="dxa"/>
              <w:left w:w="80" w:type="dxa"/>
              <w:bottom w:w="80" w:type="dxa"/>
              <w:right w:w="80" w:type="dxa"/>
            </w:tcMar>
            <w:vAlign w:val="center"/>
            <w:hideMark/>
          </w:tcPr>
          <w:p w14:paraId="2E4957A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Outcome determination followed strict governmental or institutional guidelines for home care quality.</w:t>
            </w:r>
          </w:p>
        </w:tc>
        <w:tc>
          <w:tcPr>
            <w:tcW w:w="2551" w:type="dxa"/>
            <w:tcMar>
              <w:top w:w="80" w:type="dxa"/>
              <w:left w:w="80" w:type="dxa"/>
              <w:bottom w:w="80" w:type="dxa"/>
              <w:right w:w="80" w:type="dxa"/>
            </w:tcMar>
            <w:vAlign w:val="center"/>
            <w:hideMark/>
          </w:tcPr>
          <w:p w14:paraId="4EB3A1B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Metrics such as AUC and F1 score indicate that the models possess high predictive power and stability.</w:t>
            </w:r>
          </w:p>
        </w:tc>
        <w:tc>
          <w:tcPr>
            <w:tcW w:w="567" w:type="dxa"/>
            <w:tcMar>
              <w:top w:w="80" w:type="dxa"/>
              <w:left w:w="80" w:type="dxa"/>
              <w:bottom w:w="80" w:type="dxa"/>
              <w:right w:w="80" w:type="dxa"/>
            </w:tcMar>
            <w:vAlign w:val="center"/>
            <w:hideMark/>
          </w:tcPr>
          <w:p w14:paraId="5C4ED3D9"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7220FC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data driven approach is essential for scaling up independent living support for older adults.</w:t>
            </w:r>
          </w:p>
        </w:tc>
      </w:tr>
      <w:tr w:rsidR="00A91DD0" w14:paraId="633391F4" w14:textId="77777777">
        <w:tc>
          <w:tcPr>
            <w:tcW w:w="1555" w:type="dxa"/>
            <w:tcMar>
              <w:top w:w="80" w:type="dxa"/>
              <w:left w:w="80" w:type="dxa"/>
              <w:bottom w:w="80" w:type="dxa"/>
              <w:right w:w="80" w:type="dxa"/>
            </w:tcMar>
            <w:vAlign w:val="center"/>
          </w:tcPr>
          <w:p w14:paraId="1C30D42A" w14:textId="77777777" w:rsidR="00A91DD0" w:rsidRDefault="00A91DD0" w:rsidP="00A91DD0">
            <w:pPr>
              <w:jc w:val="center"/>
              <w:rPr>
                <w:rFonts w:hint="eastAsia"/>
              </w:rPr>
            </w:pPr>
            <w:r>
              <w:rPr>
                <w:rFonts w:ascii="Times New Roman" w:hAnsi="Times New Roman" w:cs="Times New Roman"/>
                <w:sz w:val="18"/>
              </w:rPr>
              <w:t>(Yang et al., 2019)</w:t>
            </w:r>
          </w:p>
        </w:tc>
        <w:tc>
          <w:tcPr>
            <w:tcW w:w="567" w:type="dxa"/>
            <w:tcMar>
              <w:top w:w="80" w:type="dxa"/>
              <w:left w:w="80" w:type="dxa"/>
              <w:bottom w:w="80" w:type="dxa"/>
              <w:right w:w="80" w:type="dxa"/>
            </w:tcMar>
            <w:vAlign w:val="center"/>
          </w:tcPr>
          <w:p w14:paraId="18480356"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1DB4B6F0" w14:textId="77777777" w:rsidR="00A91DD0" w:rsidRDefault="00A91DD0" w:rsidP="00A91DD0">
            <w:pPr>
              <w:jc w:val="left"/>
              <w:rPr>
                <w:rFonts w:hint="eastAsia"/>
              </w:rPr>
            </w:pPr>
            <w:r>
              <w:rPr>
                <w:rFonts w:ascii="Times New Roman" w:hAnsi="Times New Roman" w:cs="Times New Roman"/>
                <w:sz w:val="18"/>
              </w:rPr>
              <w:t>Low Risk. The cohort source was relevant to home care or community dwelling older adults.</w:t>
            </w:r>
          </w:p>
        </w:tc>
        <w:tc>
          <w:tcPr>
            <w:tcW w:w="2409" w:type="dxa"/>
            <w:tcMar>
              <w:top w:w="80" w:type="dxa"/>
              <w:left w:w="80" w:type="dxa"/>
              <w:bottom w:w="80" w:type="dxa"/>
              <w:right w:w="80" w:type="dxa"/>
            </w:tcMar>
            <w:vAlign w:val="center"/>
          </w:tcPr>
          <w:p w14:paraId="38DACD9C" w14:textId="77777777" w:rsidR="00A91DD0" w:rsidRDefault="00A91DD0" w:rsidP="00A91DD0">
            <w:pPr>
              <w:jc w:val="left"/>
              <w:rPr>
                <w:rFonts w:hint="eastAsia"/>
              </w:rPr>
            </w:pPr>
            <w:r>
              <w:rPr>
                <w:rFonts w:ascii="Times New Roman" w:hAnsi="Times New Roman" w:cs="Times New Roman"/>
                <w:sz w:val="18"/>
              </w:rPr>
              <w:t>Low Risk. Predictors were extracted from routine care or sensor data in a defined manner.</w:t>
            </w:r>
          </w:p>
        </w:tc>
        <w:tc>
          <w:tcPr>
            <w:tcW w:w="2552" w:type="dxa"/>
            <w:tcMar>
              <w:top w:w="80" w:type="dxa"/>
              <w:left w:w="80" w:type="dxa"/>
              <w:bottom w:w="80" w:type="dxa"/>
              <w:right w:w="80" w:type="dxa"/>
            </w:tcMar>
            <w:vAlign w:val="center"/>
          </w:tcPr>
          <w:p w14:paraId="3D0EAAE5" w14:textId="77777777" w:rsidR="00A91DD0" w:rsidRDefault="00A91DD0" w:rsidP="00A91DD0">
            <w:pPr>
              <w:jc w:val="left"/>
              <w:rPr>
                <w:rFonts w:hint="eastAsia"/>
              </w:rPr>
            </w:pPr>
            <w:r>
              <w:rPr>
                <w:rFonts w:ascii="Times New Roman" w:hAnsi="Times New Roman" w:cs="Times New Roman"/>
                <w:sz w:val="18"/>
              </w:rPr>
              <w:t>Low Risk. Outcomes were clinically relevant to the study aim.</w:t>
            </w:r>
          </w:p>
        </w:tc>
        <w:tc>
          <w:tcPr>
            <w:tcW w:w="2551" w:type="dxa"/>
            <w:tcMar>
              <w:top w:w="80" w:type="dxa"/>
              <w:left w:w="80" w:type="dxa"/>
              <w:bottom w:w="80" w:type="dxa"/>
              <w:right w:w="80" w:type="dxa"/>
            </w:tcMar>
            <w:vAlign w:val="center"/>
          </w:tcPr>
          <w:p w14:paraId="76BEE922" w14:textId="77777777" w:rsidR="00A91DD0" w:rsidRDefault="00A91DD0" w:rsidP="00A91DD0">
            <w:pPr>
              <w:jc w:val="left"/>
              <w:rPr>
                <w:rFonts w:hint="eastAsia"/>
              </w:rPr>
            </w:pPr>
            <w:r>
              <w:rPr>
                <w:rFonts w:ascii="Times New Roman" w:hAnsi="Times New Roman" w:cs="Times New Roman"/>
                <w:sz w:val="18"/>
              </w:rPr>
              <w:t>High Risk. External validation or calibration reporting was insufficient for review level synthesis.</w:t>
            </w:r>
          </w:p>
        </w:tc>
        <w:tc>
          <w:tcPr>
            <w:tcW w:w="567" w:type="dxa"/>
            <w:tcMar>
              <w:top w:w="80" w:type="dxa"/>
              <w:left w:w="80" w:type="dxa"/>
              <w:bottom w:w="80" w:type="dxa"/>
              <w:right w:w="80" w:type="dxa"/>
            </w:tcMar>
            <w:vAlign w:val="center"/>
          </w:tcPr>
          <w:p w14:paraId="1502A44E"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21660DFE" w14:textId="77777777" w:rsidR="00A91DD0" w:rsidRDefault="00A91DD0" w:rsidP="00A91DD0">
            <w:pPr>
              <w:jc w:val="left"/>
              <w:rPr>
                <w:rFonts w:hint="eastAsia"/>
              </w:rPr>
            </w:pPr>
            <w:r>
              <w:rPr>
                <w:rFonts w:ascii="Times New Roman" w:hAnsi="Times New Roman" w:cs="Times New Roman"/>
                <w:sz w:val="18"/>
              </w:rPr>
              <w:t>Low Concern. The setting was relevant but model transportability remained limited.</w:t>
            </w:r>
          </w:p>
        </w:tc>
      </w:tr>
      <w:tr w:rsidR="00A91DD0" w14:paraId="4F994330" w14:textId="77777777">
        <w:tc>
          <w:tcPr>
            <w:tcW w:w="1555" w:type="dxa"/>
            <w:tcMar>
              <w:top w:w="80" w:type="dxa"/>
              <w:left w:w="80" w:type="dxa"/>
              <w:bottom w:w="80" w:type="dxa"/>
              <w:right w:w="80" w:type="dxa"/>
            </w:tcMar>
            <w:vAlign w:val="center"/>
          </w:tcPr>
          <w:p w14:paraId="4C731ED2"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77724EAE"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774154BB" w14:textId="77777777" w:rsidR="00A91DD0" w:rsidRDefault="00A91DD0" w:rsidP="00A91DD0">
            <w:pPr>
              <w:jc w:val="left"/>
              <w:rPr>
                <w:rFonts w:hint="eastAsia"/>
              </w:rPr>
            </w:pPr>
            <w:r>
              <w:rPr>
                <w:rFonts w:ascii="Times New Roman" w:hAnsi="Times New Roman" w:cs="Times New Roman"/>
                <w:sz w:val="18"/>
              </w:rPr>
              <w:t>Low Risk. The cohort source was relevant to home care or community dwelling older adults.</w:t>
            </w:r>
          </w:p>
        </w:tc>
        <w:tc>
          <w:tcPr>
            <w:tcW w:w="2409" w:type="dxa"/>
            <w:tcMar>
              <w:top w:w="80" w:type="dxa"/>
              <w:left w:w="80" w:type="dxa"/>
              <w:bottom w:w="80" w:type="dxa"/>
              <w:right w:w="80" w:type="dxa"/>
            </w:tcMar>
            <w:vAlign w:val="center"/>
          </w:tcPr>
          <w:p w14:paraId="205C7CF3" w14:textId="77777777" w:rsidR="00A91DD0" w:rsidRDefault="00A91DD0" w:rsidP="00A91DD0">
            <w:pPr>
              <w:jc w:val="left"/>
              <w:rPr>
                <w:rFonts w:hint="eastAsia"/>
              </w:rPr>
            </w:pPr>
            <w:r>
              <w:rPr>
                <w:rFonts w:ascii="Times New Roman" w:hAnsi="Times New Roman" w:cs="Times New Roman"/>
                <w:sz w:val="18"/>
              </w:rPr>
              <w:t>Low Risk. Predictors were extracted from routine care or sensor data in a defined manner.</w:t>
            </w:r>
          </w:p>
        </w:tc>
        <w:tc>
          <w:tcPr>
            <w:tcW w:w="2552" w:type="dxa"/>
            <w:tcMar>
              <w:top w:w="80" w:type="dxa"/>
              <w:left w:w="80" w:type="dxa"/>
              <w:bottom w:w="80" w:type="dxa"/>
              <w:right w:w="80" w:type="dxa"/>
            </w:tcMar>
            <w:vAlign w:val="center"/>
          </w:tcPr>
          <w:p w14:paraId="1732493A" w14:textId="77777777" w:rsidR="00A91DD0" w:rsidRDefault="00A91DD0" w:rsidP="00A91DD0">
            <w:pPr>
              <w:jc w:val="left"/>
              <w:rPr>
                <w:rFonts w:hint="eastAsia"/>
              </w:rPr>
            </w:pPr>
            <w:r>
              <w:rPr>
                <w:rFonts w:ascii="Times New Roman" w:hAnsi="Times New Roman" w:cs="Times New Roman"/>
                <w:sz w:val="18"/>
              </w:rPr>
              <w:t>Low Risk. Outcomes were clinically relevant to the study aim.</w:t>
            </w:r>
          </w:p>
        </w:tc>
        <w:tc>
          <w:tcPr>
            <w:tcW w:w="2551" w:type="dxa"/>
            <w:tcMar>
              <w:top w:w="80" w:type="dxa"/>
              <w:left w:w="80" w:type="dxa"/>
              <w:bottom w:w="80" w:type="dxa"/>
              <w:right w:w="80" w:type="dxa"/>
            </w:tcMar>
            <w:vAlign w:val="center"/>
          </w:tcPr>
          <w:p w14:paraId="7F2FEC77" w14:textId="77777777" w:rsidR="00A91DD0" w:rsidRDefault="00A91DD0" w:rsidP="00A91DD0">
            <w:pPr>
              <w:jc w:val="left"/>
              <w:rPr>
                <w:rFonts w:hint="eastAsia"/>
              </w:rPr>
            </w:pPr>
            <w:r>
              <w:rPr>
                <w:rFonts w:ascii="Times New Roman" w:hAnsi="Times New Roman" w:cs="Times New Roman"/>
                <w:sz w:val="18"/>
              </w:rPr>
              <w:t>High Risk. External validation or calibration reporting was insufficient for review level synthesis.</w:t>
            </w:r>
          </w:p>
        </w:tc>
        <w:tc>
          <w:tcPr>
            <w:tcW w:w="567" w:type="dxa"/>
            <w:tcMar>
              <w:top w:w="80" w:type="dxa"/>
              <w:left w:w="80" w:type="dxa"/>
              <w:bottom w:w="80" w:type="dxa"/>
              <w:right w:w="80" w:type="dxa"/>
            </w:tcMar>
            <w:vAlign w:val="center"/>
          </w:tcPr>
          <w:p w14:paraId="6C8F8C7C"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5A0D699B" w14:textId="77777777" w:rsidR="00A91DD0" w:rsidRDefault="00A91DD0" w:rsidP="00A91DD0">
            <w:pPr>
              <w:jc w:val="left"/>
              <w:rPr>
                <w:rFonts w:hint="eastAsia"/>
              </w:rPr>
            </w:pPr>
            <w:r>
              <w:rPr>
                <w:rFonts w:ascii="Times New Roman" w:hAnsi="Times New Roman" w:cs="Times New Roman"/>
                <w:sz w:val="18"/>
              </w:rPr>
              <w:t>Low Concern. The setting was relevant but model transportability remained limited.</w:t>
            </w:r>
          </w:p>
        </w:tc>
      </w:tr>
      <w:tr w:rsidR="00A91DD0" w:rsidRPr="006C17CC" w14:paraId="507DD05E" w14:textId="77777777" w:rsidTr="00465626">
        <w:trPr>
          <w:trHeight w:val="1415"/>
        </w:trPr>
        <w:tc>
          <w:tcPr>
            <w:tcW w:w="1555" w:type="dxa"/>
            <w:tcMar>
              <w:top w:w="80" w:type="dxa"/>
              <w:left w:w="80" w:type="dxa"/>
              <w:bottom w:w="80" w:type="dxa"/>
              <w:right w:w="80" w:type="dxa"/>
            </w:tcMar>
            <w:vAlign w:val="center"/>
            <w:hideMark/>
          </w:tcPr>
          <w:p w14:paraId="45B36726"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(Yang et al., 2024)</w:t>
            </w:r>
          </w:p>
        </w:tc>
        <w:tc>
          <w:tcPr>
            <w:tcW w:w="567" w:type="dxa"/>
            <w:tcMar>
              <w:top w:w="80" w:type="dxa"/>
              <w:left w:w="80" w:type="dxa"/>
              <w:bottom w:w="80" w:type="dxa"/>
              <w:right w:w="80" w:type="dxa"/>
            </w:tcMar>
            <w:vAlign w:val="center"/>
            <w:hideMark/>
          </w:tcPr>
          <w:p w14:paraId="0E88E710"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3515048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setting in a dedicated wellness town provides a relevant and controlled environment for evaluating the system’s feasibility.</w:t>
            </w:r>
          </w:p>
        </w:tc>
        <w:tc>
          <w:tcPr>
            <w:tcW w:w="2409" w:type="dxa"/>
            <w:tcMar>
              <w:top w:w="80" w:type="dxa"/>
              <w:left w:w="80" w:type="dxa"/>
              <w:bottom w:w="80" w:type="dxa"/>
              <w:right w:w="80" w:type="dxa"/>
            </w:tcMar>
            <w:vAlign w:val="center"/>
            <w:hideMark/>
          </w:tcPr>
          <w:p w14:paraId="025AFC2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integration of diverse sensor data provides a multi-faceted set of predictors that accurately reflect individual health status.</w:t>
            </w:r>
          </w:p>
        </w:tc>
        <w:tc>
          <w:tcPr>
            <w:tcW w:w="2552" w:type="dxa"/>
            <w:tcMar>
              <w:top w:w="80" w:type="dxa"/>
              <w:left w:w="80" w:type="dxa"/>
              <w:bottom w:w="80" w:type="dxa"/>
              <w:right w:w="80" w:type="dxa"/>
            </w:tcMar>
            <w:vAlign w:val="center"/>
            <w:hideMark/>
          </w:tcPr>
          <w:p w14:paraId="7788CAA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Successful alert generation for abnormal health parameters confirms that the system identifies clinically significant outcome events.</w:t>
            </w:r>
          </w:p>
        </w:tc>
        <w:tc>
          <w:tcPr>
            <w:tcW w:w="2551" w:type="dxa"/>
            <w:tcMar>
              <w:top w:w="80" w:type="dxa"/>
              <w:left w:w="80" w:type="dxa"/>
              <w:bottom w:w="80" w:type="dxa"/>
              <w:right w:w="80" w:type="dxa"/>
            </w:tcMar>
            <w:vAlign w:val="center"/>
            <w:hideMark/>
          </w:tcPr>
          <w:p w14:paraId="55D311A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technical architecture demonstrates high reliability in data transmission and processing, ensuring a stable predictive output.</w:t>
            </w:r>
          </w:p>
        </w:tc>
        <w:tc>
          <w:tcPr>
            <w:tcW w:w="567" w:type="dxa"/>
            <w:tcMar>
              <w:top w:w="80" w:type="dxa"/>
              <w:left w:w="80" w:type="dxa"/>
              <w:bottom w:w="80" w:type="dxa"/>
              <w:right w:w="80" w:type="dxa"/>
            </w:tcMar>
            <w:vAlign w:val="center"/>
            <w:hideMark/>
          </w:tcPr>
          <w:p w14:paraId="1D593239"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1E8868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Smart home assistance via WSN directly supports the goal of improving the quality of life for community-dwelling seniors.</w:t>
            </w:r>
          </w:p>
        </w:tc>
      </w:tr>
      <w:tr w:rsidR="00A91DD0" w:rsidRPr="006C17CC" w14:paraId="3CCAD1FF" w14:textId="77777777" w:rsidTr="00465626">
        <w:trPr>
          <w:trHeight w:val="1415"/>
        </w:trPr>
        <w:tc>
          <w:tcPr>
            <w:tcW w:w="1555" w:type="dxa"/>
            <w:tcMar>
              <w:top w:w="80" w:type="dxa"/>
              <w:left w:w="80" w:type="dxa"/>
              <w:bottom w:w="80" w:type="dxa"/>
              <w:right w:w="80" w:type="dxa"/>
            </w:tcMar>
            <w:vAlign w:val="center"/>
            <w:hideMark/>
          </w:tcPr>
          <w:p w14:paraId="05AF9280"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3B93F5A4"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364376C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study focus on older adults in wellness settings ensures the data is applicable to the target population of independent seniors.</w:t>
            </w:r>
          </w:p>
        </w:tc>
        <w:tc>
          <w:tcPr>
            <w:tcW w:w="2409" w:type="dxa"/>
            <w:tcMar>
              <w:top w:w="80" w:type="dxa"/>
              <w:left w:w="80" w:type="dxa"/>
              <w:bottom w:w="80" w:type="dxa"/>
              <w:right w:w="80" w:type="dxa"/>
            </w:tcMar>
            <w:vAlign w:val="center"/>
            <w:hideMark/>
          </w:tcPr>
          <w:p w14:paraId="5531C20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data collection and cloud-based analysis eliminate the inconsistencies found in manual or self-reported health tracking.</w:t>
            </w:r>
          </w:p>
        </w:tc>
        <w:tc>
          <w:tcPr>
            <w:tcW w:w="2552" w:type="dxa"/>
            <w:tcMar>
              <w:top w:w="80" w:type="dxa"/>
              <w:left w:w="80" w:type="dxa"/>
              <w:bottom w:w="80" w:type="dxa"/>
              <w:right w:w="80" w:type="dxa"/>
            </w:tcMar>
            <w:vAlign w:val="center"/>
            <w:hideMark/>
          </w:tcPr>
          <w:p w14:paraId="70EE91A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identified outcomes provide actionable information for caregivers, enhancing the safety of seniors residing in the community.</w:t>
            </w:r>
          </w:p>
        </w:tc>
        <w:tc>
          <w:tcPr>
            <w:tcW w:w="2551" w:type="dxa"/>
            <w:tcMar>
              <w:top w:w="80" w:type="dxa"/>
              <w:left w:w="80" w:type="dxa"/>
              <w:bottom w:w="80" w:type="dxa"/>
              <w:right w:w="80" w:type="dxa"/>
            </w:tcMar>
            <w:vAlign w:val="center"/>
            <w:hideMark/>
          </w:tcPr>
          <w:p w14:paraId="0B56126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performance in system response times and prediction accuracy confirms the technical robustness of the proposed framework.</w:t>
            </w:r>
          </w:p>
        </w:tc>
        <w:tc>
          <w:tcPr>
            <w:tcW w:w="567" w:type="dxa"/>
            <w:tcMar>
              <w:top w:w="80" w:type="dxa"/>
              <w:left w:w="80" w:type="dxa"/>
              <w:bottom w:w="80" w:type="dxa"/>
              <w:right w:w="80" w:type="dxa"/>
            </w:tcMar>
            <w:vAlign w:val="center"/>
            <w:hideMark/>
          </w:tcPr>
          <w:p w14:paraId="000CBA63"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357079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a significant advancement in creating supportive living environments for older adults.</w:t>
            </w:r>
          </w:p>
        </w:tc>
      </w:tr>
      <w:tr w:rsidR="00A91DD0" w:rsidRPr="006C17CC" w14:paraId="5992152F" w14:textId="77777777" w:rsidTr="00465626">
        <w:trPr>
          <w:trHeight w:val="1132"/>
        </w:trPr>
        <w:tc>
          <w:tcPr>
            <w:tcW w:w="1555" w:type="dxa"/>
            <w:noWrap/>
            <w:tcMar>
              <w:top w:w="80" w:type="dxa"/>
              <w:left w:w="80" w:type="dxa"/>
              <w:bottom w:w="80" w:type="dxa"/>
              <w:right w:w="80" w:type="dxa"/>
            </w:tcMar>
            <w:vAlign w:val="center"/>
            <w:hideMark/>
          </w:tcPr>
          <w:p w14:paraId="4BE6F63A"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(Yao &amp; Lu, 2024)</w:t>
            </w:r>
          </w:p>
        </w:tc>
        <w:tc>
          <w:tcPr>
            <w:tcW w:w="567" w:type="dxa"/>
            <w:tcMar>
              <w:top w:w="80" w:type="dxa"/>
              <w:left w:w="80" w:type="dxa"/>
              <w:bottom w:w="80" w:type="dxa"/>
              <w:right w:w="80" w:type="dxa"/>
            </w:tcMar>
            <w:vAlign w:val="center"/>
            <w:hideMark/>
          </w:tcPr>
          <w:p w14:paraId="7680E77C"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4A3D66C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inclusion of multiple lighting and distance conditions provides sufficient data variety for a technical study.</w:t>
            </w:r>
          </w:p>
        </w:tc>
        <w:tc>
          <w:tcPr>
            <w:tcW w:w="2409" w:type="dxa"/>
            <w:tcMar>
              <w:top w:w="80" w:type="dxa"/>
              <w:left w:w="80" w:type="dxa"/>
              <w:bottom w:w="80" w:type="dxa"/>
              <w:right w:w="80" w:type="dxa"/>
            </w:tcMar>
            <w:vAlign w:val="center"/>
            <w:hideMark/>
          </w:tcPr>
          <w:p w14:paraId="309C94F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joint labeling avoids the inconsistencies associated with manual assessment of body movements.</w:t>
            </w:r>
          </w:p>
        </w:tc>
        <w:tc>
          <w:tcPr>
            <w:tcW w:w="2552" w:type="dxa"/>
            <w:tcMar>
              <w:top w:w="80" w:type="dxa"/>
              <w:left w:w="80" w:type="dxa"/>
              <w:bottom w:w="80" w:type="dxa"/>
              <w:right w:w="80" w:type="dxa"/>
            </w:tcMar>
            <w:vAlign w:val="center"/>
            <w:hideMark/>
          </w:tcPr>
          <w:p w14:paraId="020BBC2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Real time recording and severity estimation provide objective measurements for the identified fall outcomes.</w:t>
            </w:r>
          </w:p>
        </w:tc>
        <w:tc>
          <w:tcPr>
            <w:tcW w:w="2551" w:type="dxa"/>
            <w:tcMar>
              <w:top w:w="80" w:type="dxa"/>
              <w:left w:w="80" w:type="dxa"/>
              <w:bottom w:w="80" w:type="dxa"/>
              <w:right w:w="80" w:type="dxa"/>
            </w:tcMar>
            <w:vAlign w:val="center"/>
            <w:hideMark/>
          </w:tcPr>
          <w:p w14:paraId="173EA1C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comparison with Google Teachable Machine serves as a form of internal validation for the model accuracy.</w:t>
            </w:r>
          </w:p>
        </w:tc>
        <w:tc>
          <w:tcPr>
            <w:tcW w:w="567" w:type="dxa"/>
            <w:tcMar>
              <w:top w:w="80" w:type="dxa"/>
              <w:left w:w="80" w:type="dxa"/>
              <w:bottom w:w="80" w:type="dxa"/>
              <w:right w:w="80" w:type="dxa"/>
            </w:tcMar>
            <w:vAlign w:val="center"/>
            <w:hideMark/>
          </w:tcPr>
          <w:p w14:paraId="58D209B1"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CCAC27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use of drone technology directly addresses the goal of enhancing safety for aging in place.</w:t>
            </w:r>
          </w:p>
        </w:tc>
      </w:tr>
      <w:tr w:rsidR="00A91DD0" w:rsidRPr="006C17CC" w14:paraId="1F4F2415" w14:textId="77777777" w:rsidTr="00465626">
        <w:trPr>
          <w:trHeight w:val="1132"/>
        </w:trPr>
        <w:tc>
          <w:tcPr>
            <w:tcW w:w="1555" w:type="dxa"/>
            <w:tcMar>
              <w:top w:w="80" w:type="dxa"/>
              <w:left w:w="80" w:type="dxa"/>
              <w:bottom w:w="80" w:type="dxa"/>
              <w:right w:w="80" w:type="dxa"/>
            </w:tcMar>
            <w:vAlign w:val="center"/>
            <w:hideMark/>
          </w:tcPr>
          <w:p w14:paraId="54438563"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3D611496"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05F8E5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participants were recruited to simulate relevant roles which is an acceptable practice for initial validation.</w:t>
            </w:r>
          </w:p>
        </w:tc>
        <w:tc>
          <w:tcPr>
            <w:tcW w:w="2409" w:type="dxa"/>
            <w:tcMar>
              <w:top w:w="80" w:type="dxa"/>
              <w:left w:w="80" w:type="dxa"/>
              <w:bottom w:w="80" w:type="dxa"/>
              <w:right w:w="80" w:type="dxa"/>
            </w:tcMar>
            <w:vAlign w:val="center"/>
            <w:hideMark/>
          </w:tcPr>
          <w:p w14:paraId="7CE577B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All predictors used in the final CNN model correspond to the reported multivariable analysis results.</w:t>
            </w:r>
          </w:p>
        </w:tc>
        <w:tc>
          <w:tcPr>
            <w:tcW w:w="2552" w:type="dxa"/>
            <w:tcMar>
              <w:top w:w="80" w:type="dxa"/>
              <w:left w:w="80" w:type="dxa"/>
              <w:bottom w:w="80" w:type="dxa"/>
              <w:right w:w="80" w:type="dxa"/>
            </w:tcMar>
            <w:vAlign w:val="center"/>
            <w:hideMark/>
          </w:tcPr>
          <w:p w14:paraId="0A2FE52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definitions for fall directions were used to maintain consistency across different experiments.</w:t>
            </w:r>
          </w:p>
        </w:tc>
        <w:tc>
          <w:tcPr>
            <w:tcW w:w="2551" w:type="dxa"/>
            <w:tcMar>
              <w:top w:w="80" w:type="dxa"/>
              <w:left w:w="80" w:type="dxa"/>
              <w:bottom w:w="80" w:type="dxa"/>
              <w:right w:w="80" w:type="dxa"/>
            </w:tcMar>
            <w:vAlign w:val="center"/>
            <w:hideMark/>
          </w:tcPr>
          <w:p w14:paraId="6A76F24A"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Adjustments to the judgment criteria for forward falls demonstrate a scientific approach to optimizing the analysis.</w:t>
            </w:r>
          </w:p>
        </w:tc>
        <w:tc>
          <w:tcPr>
            <w:tcW w:w="567" w:type="dxa"/>
            <w:tcMar>
              <w:top w:w="80" w:type="dxa"/>
              <w:left w:w="80" w:type="dxa"/>
              <w:bottom w:w="80" w:type="dxa"/>
              <w:right w:w="80" w:type="dxa"/>
            </w:tcMar>
            <w:vAlign w:val="center"/>
            <w:hideMark/>
          </w:tcPr>
          <w:p w14:paraId="7039FB03"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B5FA52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mobility of the platform is highly applicable to supporting independent living in various home settings.</w:t>
            </w:r>
          </w:p>
        </w:tc>
      </w:tr>
      <w:tr w:rsidR="00A91DD0" w:rsidRPr="006C17CC" w14:paraId="4896454F" w14:textId="77777777" w:rsidTr="00465626">
        <w:trPr>
          <w:trHeight w:val="1415"/>
        </w:trPr>
        <w:tc>
          <w:tcPr>
            <w:tcW w:w="1555" w:type="dxa"/>
            <w:tcMar>
              <w:top w:w="80" w:type="dxa"/>
              <w:left w:w="80" w:type="dxa"/>
              <w:bottom w:w="80" w:type="dxa"/>
              <w:right w:w="80" w:type="dxa"/>
            </w:tcMar>
            <w:vAlign w:val="center"/>
            <w:hideMark/>
          </w:tcPr>
          <w:p w14:paraId="3A27F08D"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(Yao et al., 2018)</w:t>
            </w:r>
          </w:p>
        </w:tc>
        <w:tc>
          <w:tcPr>
            <w:tcW w:w="567" w:type="dxa"/>
            <w:tcMar>
              <w:top w:w="80" w:type="dxa"/>
              <w:left w:w="80" w:type="dxa"/>
              <w:bottom w:w="80" w:type="dxa"/>
              <w:right w:w="80" w:type="dxa"/>
            </w:tcMar>
            <w:vAlign w:val="center"/>
            <w:hideMark/>
          </w:tcPr>
          <w:p w14:paraId="29443088"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3806AD0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For an initial algorithm validation, the use of a controlled group performing key activities is a reasonable starting point.</w:t>
            </w:r>
          </w:p>
        </w:tc>
        <w:tc>
          <w:tcPr>
            <w:tcW w:w="2409" w:type="dxa"/>
            <w:tcMar>
              <w:top w:w="80" w:type="dxa"/>
              <w:left w:w="80" w:type="dxa"/>
              <w:bottom w:w="80" w:type="dxa"/>
              <w:right w:w="80" w:type="dxa"/>
            </w:tcMar>
            <w:vAlign w:val="center"/>
            <w:hideMark/>
          </w:tcPr>
          <w:p w14:paraId="73295E7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Compressive sensing allows for high-quality feature extraction from raw signal fluctuations, improving predictor reliability.</w:t>
            </w:r>
          </w:p>
        </w:tc>
        <w:tc>
          <w:tcPr>
            <w:tcW w:w="2552" w:type="dxa"/>
            <w:tcMar>
              <w:top w:w="80" w:type="dxa"/>
              <w:left w:w="80" w:type="dxa"/>
              <w:bottom w:w="80" w:type="dxa"/>
              <w:right w:w="80" w:type="dxa"/>
            </w:tcMar>
            <w:vAlign w:val="center"/>
            <w:hideMark/>
          </w:tcPr>
          <w:p w14:paraId="151971B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high discriminative power for activities like falling suggests that the model captures clinically vital outcomes.</w:t>
            </w:r>
          </w:p>
        </w:tc>
        <w:tc>
          <w:tcPr>
            <w:tcW w:w="2551" w:type="dxa"/>
            <w:tcMar>
              <w:top w:w="80" w:type="dxa"/>
              <w:left w:w="80" w:type="dxa"/>
              <w:bottom w:w="80" w:type="dxa"/>
              <w:right w:w="80" w:type="dxa"/>
            </w:tcMar>
            <w:vAlign w:val="center"/>
            <w:hideMark/>
          </w:tcPr>
          <w:p w14:paraId="0C2C50C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Reported accuracy scores demonstrate that the dictionary-based approach generalizes well within the tested scenarios.</w:t>
            </w:r>
          </w:p>
        </w:tc>
        <w:tc>
          <w:tcPr>
            <w:tcW w:w="567" w:type="dxa"/>
            <w:tcMar>
              <w:top w:w="80" w:type="dxa"/>
              <w:left w:w="80" w:type="dxa"/>
              <w:bottom w:w="80" w:type="dxa"/>
              <w:right w:w="80" w:type="dxa"/>
            </w:tcMar>
            <w:vAlign w:val="center"/>
            <w:hideMark/>
          </w:tcPr>
          <w:p w14:paraId="1B2386DC"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3CF971F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Non-contact activity recognition is an ideal solution for monitoring vulnerable seniors without requiring wearables.</w:t>
            </w:r>
          </w:p>
        </w:tc>
      </w:tr>
      <w:tr w:rsidR="00A91DD0" w:rsidRPr="006C17CC" w14:paraId="471EE8B1" w14:textId="77777777" w:rsidTr="00465626">
        <w:trPr>
          <w:trHeight w:val="1415"/>
        </w:trPr>
        <w:tc>
          <w:tcPr>
            <w:tcW w:w="1555" w:type="dxa"/>
            <w:tcMar>
              <w:top w:w="80" w:type="dxa"/>
              <w:left w:w="80" w:type="dxa"/>
              <w:bottom w:w="80" w:type="dxa"/>
              <w:right w:w="80" w:type="dxa"/>
            </w:tcMar>
            <w:vAlign w:val="center"/>
            <w:hideMark/>
          </w:tcPr>
          <w:p w14:paraId="47EDB819"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05BC6D1B"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28B2460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diversity of actions included in the experimental set provides a sufficient range of movement data for training.</w:t>
            </w:r>
          </w:p>
        </w:tc>
        <w:tc>
          <w:tcPr>
            <w:tcW w:w="2409" w:type="dxa"/>
            <w:tcMar>
              <w:top w:w="80" w:type="dxa"/>
              <w:left w:w="80" w:type="dxa"/>
              <w:bottom w:w="80" w:type="dxa"/>
              <w:right w:w="80" w:type="dxa"/>
            </w:tcMar>
            <w:vAlign w:val="center"/>
            <w:hideMark/>
          </w:tcPr>
          <w:p w14:paraId="5A3459B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predictor assessment avoids the bias associated with human interpretation of complex signal data.</w:t>
            </w:r>
          </w:p>
        </w:tc>
        <w:tc>
          <w:tcPr>
            <w:tcW w:w="2552" w:type="dxa"/>
            <w:tcMar>
              <w:top w:w="80" w:type="dxa"/>
              <w:left w:w="80" w:type="dxa"/>
              <w:bottom w:w="80" w:type="dxa"/>
              <w:right w:w="80" w:type="dxa"/>
            </w:tcMar>
            <w:vAlign w:val="center"/>
            <w:hideMark/>
          </w:tcPr>
          <w:p w14:paraId="2563D5D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pre-specified activity categories ensure that the model is trained to recognize outcomes relevant to independent living.</w:t>
            </w:r>
          </w:p>
        </w:tc>
        <w:tc>
          <w:tcPr>
            <w:tcW w:w="2551" w:type="dxa"/>
            <w:tcMar>
              <w:top w:w="80" w:type="dxa"/>
              <w:left w:w="80" w:type="dxa"/>
              <w:bottom w:w="80" w:type="dxa"/>
              <w:right w:w="80" w:type="dxa"/>
            </w:tcMar>
            <w:vAlign w:val="center"/>
            <w:hideMark/>
          </w:tcPr>
          <w:p w14:paraId="02108B8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unsupervised subspace decomposition confirms a rigorous and logically sound approach to signal analysis.</w:t>
            </w:r>
          </w:p>
        </w:tc>
        <w:tc>
          <w:tcPr>
            <w:tcW w:w="567" w:type="dxa"/>
            <w:tcMar>
              <w:top w:w="80" w:type="dxa"/>
              <w:left w:w="80" w:type="dxa"/>
              <w:bottom w:w="80" w:type="dxa"/>
              <w:right w:w="80" w:type="dxa"/>
            </w:tcMar>
            <w:vAlign w:val="center"/>
            <w:hideMark/>
          </w:tcPr>
          <w:p w14:paraId="4FC67B43"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0C73876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highly applicable to creating safe and private monitoring environments for older adults.</w:t>
            </w:r>
          </w:p>
        </w:tc>
      </w:tr>
      <w:tr w:rsidR="00A91DD0" w14:paraId="6827F2B0" w14:textId="77777777">
        <w:tc>
          <w:tcPr>
            <w:tcW w:w="1555" w:type="dxa"/>
            <w:tcMar>
              <w:top w:w="80" w:type="dxa"/>
              <w:left w:w="80" w:type="dxa"/>
              <w:bottom w:w="80" w:type="dxa"/>
              <w:right w:w="80" w:type="dxa"/>
            </w:tcMar>
            <w:vAlign w:val="center"/>
          </w:tcPr>
          <w:p w14:paraId="07D19975" w14:textId="77777777" w:rsidR="00A91DD0" w:rsidRDefault="00A91DD0" w:rsidP="00A91DD0">
            <w:pPr>
              <w:jc w:val="center"/>
              <w:rPr>
                <w:rFonts w:hint="eastAsia"/>
              </w:rPr>
            </w:pPr>
            <w:r>
              <w:rPr>
                <w:rFonts w:ascii="Times New Roman" w:hAnsi="Times New Roman" w:cs="Times New Roman"/>
                <w:sz w:val="18"/>
              </w:rPr>
              <w:t>(Yu et al., 2021)</w:t>
            </w:r>
          </w:p>
        </w:tc>
        <w:tc>
          <w:tcPr>
            <w:tcW w:w="567" w:type="dxa"/>
            <w:tcMar>
              <w:top w:w="80" w:type="dxa"/>
              <w:left w:w="80" w:type="dxa"/>
              <w:bottom w:w="80" w:type="dxa"/>
              <w:right w:w="80" w:type="dxa"/>
            </w:tcMar>
            <w:vAlign w:val="center"/>
          </w:tcPr>
          <w:p w14:paraId="0EF8D81A"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7B871291" w14:textId="77777777" w:rsidR="00A91DD0" w:rsidRDefault="00A91DD0" w:rsidP="00A91DD0">
            <w:pPr>
              <w:jc w:val="left"/>
              <w:rPr>
                <w:rFonts w:hint="eastAsia"/>
              </w:rPr>
            </w:pPr>
            <w:r>
              <w:rPr>
                <w:rFonts w:ascii="Times New Roman" w:hAnsi="Times New Roman" w:cs="Times New Roman"/>
                <w:sz w:val="18"/>
              </w:rPr>
              <w:t xml:space="preserve">High Risk. Public benchmark datasets were not </w:t>
            </w:r>
            <w:r>
              <w:rPr>
                <w:rFonts w:ascii="Times New Roman" w:hAnsi="Times New Roman" w:cs="Times New Roman"/>
                <w:sz w:val="18"/>
              </w:rPr>
              <w:lastRenderedPageBreak/>
              <w:t>designed for clinical aging in place appraisal.</w:t>
            </w:r>
          </w:p>
        </w:tc>
        <w:tc>
          <w:tcPr>
            <w:tcW w:w="2409" w:type="dxa"/>
            <w:tcMar>
              <w:top w:w="80" w:type="dxa"/>
              <w:left w:w="80" w:type="dxa"/>
              <w:bottom w:w="80" w:type="dxa"/>
              <w:right w:w="80" w:type="dxa"/>
            </w:tcMar>
            <w:vAlign w:val="center"/>
          </w:tcPr>
          <w:p w14:paraId="07E03C91" w14:textId="77777777" w:rsidR="00A91DD0" w:rsidRDefault="00A91DD0" w:rsidP="00A91DD0">
            <w:pPr>
              <w:jc w:val="left"/>
              <w:rPr>
                <w:rFonts w:hint="eastAsia"/>
              </w:rPr>
            </w:pPr>
            <w:r>
              <w:rPr>
                <w:rFonts w:ascii="Times New Roman" w:hAnsi="Times New Roman" w:cs="Times New Roman"/>
                <w:sz w:val="18"/>
              </w:rPr>
              <w:lastRenderedPageBreak/>
              <w:t xml:space="preserve">Low Risk. Predictors were well specified for the curated </w:t>
            </w:r>
            <w:r>
              <w:rPr>
                <w:rFonts w:ascii="Times New Roman" w:hAnsi="Times New Roman" w:cs="Times New Roman"/>
                <w:sz w:val="18"/>
              </w:rPr>
              <w:lastRenderedPageBreak/>
              <w:t>sensor or skeleton inputs.</w:t>
            </w:r>
          </w:p>
        </w:tc>
        <w:tc>
          <w:tcPr>
            <w:tcW w:w="2552" w:type="dxa"/>
            <w:tcMar>
              <w:top w:w="80" w:type="dxa"/>
              <w:left w:w="80" w:type="dxa"/>
              <w:bottom w:w="80" w:type="dxa"/>
              <w:right w:w="80" w:type="dxa"/>
            </w:tcMar>
            <w:vAlign w:val="center"/>
          </w:tcPr>
          <w:p w14:paraId="40802BC4" w14:textId="77777777" w:rsidR="00A91DD0" w:rsidRDefault="00A91DD0" w:rsidP="00A91DD0">
            <w:pPr>
              <w:jc w:val="left"/>
              <w:rPr>
                <w:rFonts w:hint="eastAsia"/>
              </w:rPr>
            </w:pPr>
            <w:r>
              <w:rPr>
                <w:rFonts w:ascii="Times New Roman" w:hAnsi="Times New Roman" w:cs="Times New Roman"/>
                <w:sz w:val="18"/>
              </w:rPr>
              <w:lastRenderedPageBreak/>
              <w:t xml:space="preserve">High Risk. Activity labels were proxy outcomes rather than </w:t>
            </w:r>
            <w:r>
              <w:rPr>
                <w:rFonts w:ascii="Times New Roman" w:hAnsi="Times New Roman" w:cs="Times New Roman"/>
                <w:sz w:val="18"/>
              </w:rPr>
              <w:lastRenderedPageBreak/>
              <w:t>health outcomes.</w:t>
            </w:r>
          </w:p>
        </w:tc>
        <w:tc>
          <w:tcPr>
            <w:tcW w:w="2551" w:type="dxa"/>
            <w:tcMar>
              <w:top w:w="80" w:type="dxa"/>
              <w:left w:w="80" w:type="dxa"/>
              <w:bottom w:w="80" w:type="dxa"/>
              <w:right w:w="80" w:type="dxa"/>
            </w:tcMar>
            <w:vAlign w:val="center"/>
          </w:tcPr>
          <w:p w14:paraId="101BD4AC" w14:textId="77777777" w:rsidR="00A91DD0" w:rsidRDefault="00A91DD0" w:rsidP="00A91DD0">
            <w:pPr>
              <w:jc w:val="left"/>
              <w:rPr>
                <w:rFonts w:hint="eastAsia"/>
              </w:rPr>
            </w:pPr>
            <w:r>
              <w:rPr>
                <w:rFonts w:ascii="Times New Roman" w:hAnsi="Times New Roman" w:cs="Times New Roman"/>
                <w:sz w:val="18"/>
              </w:rPr>
              <w:lastRenderedPageBreak/>
              <w:t xml:space="preserve">High Risk. Validation relied mainly on internal or benchmark </w:t>
            </w:r>
            <w:r>
              <w:rPr>
                <w:rFonts w:ascii="Times New Roman" w:hAnsi="Times New Roman" w:cs="Times New Roman"/>
                <w:sz w:val="18"/>
              </w:rPr>
              <w:lastRenderedPageBreak/>
              <w:t>testing.</w:t>
            </w:r>
          </w:p>
        </w:tc>
        <w:tc>
          <w:tcPr>
            <w:tcW w:w="567" w:type="dxa"/>
            <w:tcMar>
              <w:top w:w="80" w:type="dxa"/>
              <w:left w:w="80" w:type="dxa"/>
              <w:bottom w:w="80" w:type="dxa"/>
              <w:right w:w="80" w:type="dxa"/>
            </w:tcMar>
            <w:vAlign w:val="center"/>
          </w:tcPr>
          <w:p w14:paraId="16BA957E"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lastRenderedPageBreak/>
              <w:t>High Risk</w:t>
            </w:r>
          </w:p>
        </w:tc>
        <w:tc>
          <w:tcPr>
            <w:tcW w:w="2919" w:type="dxa"/>
            <w:tcMar>
              <w:top w:w="80" w:type="dxa"/>
              <w:left w:w="80" w:type="dxa"/>
              <w:bottom w:w="80" w:type="dxa"/>
              <w:right w:w="80" w:type="dxa"/>
            </w:tcMar>
            <w:vAlign w:val="center"/>
          </w:tcPr>
          <w:p w14:paraId="0F05AF6F" w14:textId="77777777" w:rsidR="00A91DD0" w:rsidRDefault="00A91DD0" w:rsidP="00A91DD0">
            <w:pPr>
              <w:jc w:val="left"/>
              <w:rPr>
                <w:rFonts w:hint="eastAsia"/>
              </w:rPr>
            </w:pPr>
            <w:r>
              <w:rPr>
                <w:rFonts w:ascii="Times New Roman" w:hAnsi="Times New Roman" w:cs="Times New Roman"/>
                <w:sz w:val="18"/>
              </w:rPr>
              <w:t xml:space="preserve">High Concern. Applicability to community dwelling older adults was </w:t>
            </w:r>
            <w:r>
              <w:rPr>
                <w:rFonts w:ascii="Times New Roman" w:hAnsi="Times New Roman" w:cs="Times New Roman"/>
                <w:sz w:val="18"/>
              </w:rPr>
              <w:lastRenderedPageBreak/>
              <w:t>limited.</w:t>
            </w:r>
          </w:p>
        </w:tc>
      </w:tr>
      <w:tr w:rsidR="00A91DD0" w14:paraId="78B92786" w14:textId="77777777">
        <w:tc>
          <w:tcPr>
            <w:tcW w:w="1555" w:type="dxa"/>
            <w:tcMar>
              <w:top w:w="80" w:type="dxa"/>
              <w:left w:w="80" w:type="dxa"/>
              <w:bottom w:w="80" w:type="dxa"/>
              <w:right w:w="80" w:type="dxa"/>
            </w:tcMar>
            <w:vAlign w:val="center"/>
          </w:tcPr>
          <w:p w14:paraId="5F964112"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224B4867"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3D254A5F" w14:textId="77777777" w:rsidR="00A91DD0" w:rsidRDefault="00A91DD0" w:rsidP="00A91DD0">
            <w:pPr>
              <w:jc w:val="left"/>
              <w:rPr>
                <w:rFonts w:hint="eastAsia"/>
              </w:rPr>
            </w:pPr>
            <w:r>
              <w:rPr>
                <w:rFonts w:ascii="Times New Roman" w:hAnsi="Times New Roman" w:cs="Times New Roman"/>
                <w:sz w:val="18"/>
              </w:rPr>
              <w:t>High Risk. Public benchmark datasets were not designed for clinical aging in place appraisal.</w:t>
            </w:r>
          </w:p>
        </w:tc>
        <w:tc>
          <w:tcPr>
            <w:tcW w:w="2409" w:type="dxa"/>
            <w:tcMar>
              <w:top w:w="80" w:type="dxa"/>
              <w:left w:w="80" w:type="dxa"/>
              <w:bottom w:w="80" w:type="dxa"/>
              <w:right w:w="80" w:type="dxa"/>
            </w:tcMar>
            <w:vAlign w:val="center"/>
          </w:tcPr>
          <w:p w14:paraId="5AA2E5C4" w14:textId="77777777" w:rsidR="00A91DD0" w:rsidRDefault="00A91DD0" w:rsidP="00A91DD0">
            <w:pPr>
              <w:jc w:val="left"/>
              <w:rPr>
                <w:rFonts w:hint="eastAsia"/>
              </w:rPr>
            </w:pPr>
            <w:r>
              <w:rPr>
                <w:rFonts w:ascii="Times New Roman" w:hAnsi="Times New Roman" w:cs="Times New Roman"/>
                <w:sz w:val="18"/>
              </w:rPr>
              <w:t>Low Risk. Predictors were well specified for the curated sensor or skeleton inputs.</w:t>
            </w:r>
          </w:p>
        </w:tc>
        <w:tc>
          <w:tcPr>
            <w:tcW w:w="2552" w:type="dxa"/>
            <w:tcMar>
              <w:top w:w="80" w:type="dxa"/>
              <w:left w:w="80" w:type="dxa"/>
              <w:bottom w:w="80" w:type="dxa"/>
              <w:right w:w="80" w:type="dxa"/>
            </w:tcMar>
            <w:vAlign w:val="center"/>
          </w:tcPr>
          <w:p w14:paraId="36558671" w14:textId="77777777" w:rsidR="00A91DD0" w:rsidRDefault="00A91DD0" w:rsidP="00A91DD0">
            <w:pPr>
              <w:jc w:val="left"/>
              <w:rPr>
                <w:rFonts w:hint="eastAsia"/>
              </w:rPr>
            </w:pPr>
            <w:r>
              <w:rPr>
                <w:rFonts w:ascii="Times New Roman" w:hAnsi="Times New Roman" w:cs="Times New Roman"/>
                <w:sz w:val="18"/>
              </w:rPr>
              <w:t>High Risk. Activity labels were proxy outcomes rather than health outcomes.</w:t>
            </w:r>
          </w:p>
        </w:tc>
        <w:tc>
          <w:tcPr>
            <w:tcW w:w="2551" w:type="dxa"/>
            <w:tcMar>
              <w:top w:w="80" w:type="dxa"/>
              <w:left w:w="80" w:type="dxa"/>
              <w:bottom w:w="80" w:type="dxa"/>
              <w:right w:w="80" w:type="dxa"/>
            </w:tcMar>
            <w:vAlign w:val="center"/>
          </w:tcPr>
          <w:p w14:paraId="0A1368A8" w14:textId="77777777" w:rsidR="00A91DD0" w:rsidRDefault="00A91DD0" w:rsidP="00A91DD0">
            <w:pPr>
              <w:jc w:val="left"/>
              <w:rPr>
                <w:rFonts w:hint="eastAsia"/>
              </w:rPr>
            </w:pPr>
            <w:r>
              <w:rPr>
                <w:rFonts w:ascii="Times New Roman" w:hAnsi="Times New Roman" w:cs="Times New Roman"/>
                <w:sz w:val="18"/>
              </w:rPr>
              <w:t>High Risk. Validation relied mainly on internal or benchmark testing.</w:t>
            </w:r>
          </w:p>
        </w:tc>
        <w:tc>
          <w:tcPr>
            <w:tcW w:w="567" w:type="dxa"/>
            <w:tcMar>
              <w:top w:w="80" w:type="dxa"/>
              <w:left w:w="80" w:type="dxa"/>
              <w:bottom w:w="80" w:type="dxa"/>
              <w:right w:w="80" w:type="dxa"/>
            </w:tcMar>
            <w:vAlign w:val="center"/>
          </w:tcPr>
          <w:p w14:paraId="25A2B313"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6DBCA2A9" w14:textId="77777777" w:rsidR="00A91DD0" w:rsidRDefault="00A91DD0" w:rsidP="00A91DD0">
            <w:pPr>
              <w:jc w:val="left"/>
              <w:rPr>
                <w:rFonts w:hint="eastAsia"/>
              </w:rPr>
            </w:pPr>
            <w:r>
              <w:rPr>
                <w:rFonts w:ascii="Times New Roman" w:hAnsi="Times New Roman" w:cs="Times New Roman"/>
                <w:sz w:val="18"/>
              </w:rPr>
              <w:t>High Concern. Applicability to community dwelling older adults was limited.</w:t>
            </w:r>
          </w:p>
        </w:tc>
      </w:tr>
      <w:tr w:rsidR="00A91DD0" w:rsidRPr="006C17CC" w14:paraId="3A4910D3" w14:textId="77777777" w:rsidTr="00465626">
        <w:trPr>
          <w:trHeight w:val="1132"/>
        </w:trPr>
        <w:tc>
          <w:tcPr>
            <w:tcW w:w="1555" w:type="dxa"/>
            <w:tcMar>
              <w:top w:w="80" w:type="dxa"/>
              <w:left w:w="80" w:type="dxa"/>
              <w:bottom w:w="80" w:type="dxa"/>
              <w:right w:w="80" w:type="dxa"/>
            </w:tcMar>
            <w:vAlign w:val="center"/>
            <w:hideMark/>
          </w:tcPr>
          <w:p w14:paraId="722E42E0"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(Zhang et al., 2022)</w:t>
            </w:r>
          </w:p>
        </w:tc>
        <w:tc>
          <w:tcPr>
            <w:tcW w:w="567" w:type="dxa"/>
            <w:tcMar>
              <w:top w:w="80" w:type="dxa"/>
              <w:left w:w="80" w:type="dxa"/>
              <w:bottom w:w="80" w:type="dxa"/>
              <w:right w:w="80" w:type="dxa"/>
            </w:tcMar>
            <w:vAlign w:val="center"/>
            <w:hideMark/>
          </w:tcPr>
          <w:p w14:paraId="73C88DAC"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6FEFFAE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three-level architecture ensures that data acquisition is representative of various home-care environments.</w:t>
            </w:r>
          </w:p>
        </w:tc>
        <w:tc>
          <w:tcPr>
            <w:tcW w:w="2409" w:type="dxa"/>
            <w:tcMar>
              <w:top w:w="80" w:type="dxa"/>
              <w:left w:w="80" w:type="dxa"/>
              <w:bottom w:w="80" w:type="dxa"/>
              <w:right w:w="80" w:type="dxa"/>
            </w:tcMar>
            <w:vAlign w:val="center"/>
            <w:hideMark/>
          </w:tcPr>
          <w:p w14:paraId="6478DCF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extraction from IoT signals provides a rich set of objective predictors for risk modeling.</w:t>
            </w:r>
          </w:p>
        </w:tc>
        <w:tc>
          <w:tcPr>
            <w:tcW w:w="2552" w:type="dxa"/>
            <w:tcMar>
              <w:top w:w="80" w:type="dxa"/>
              <w:left w:w="80" w:type="dxa"/>
              <w:bottom w:w="80" w:type="dxa"/>
              <w:right w:w="80" w:type="dxa"/>
            </w:tcMar>
            <w:vAlign w:val="center"/>
            <w:hideMark/>
          </w:tcPr>
          <w:p w14:paraId="0BC1A50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success in identifying at-risk individuals confirms that the system captures clinically vital outcomes.</w:t>
            </w:r>
          </w:p>
        </w:tc>
        <w:tc>
          <w:tcPr>
            <w:tcW w:w="2551" w:type="dxa"/>
            <w:tcMar>
              <w:top w:w="80" w:type="dxa"/>
              <w:left w:w="80" w:type="dxa"/>
              <w:bottom w:w="80" w:type="dxa"/>
              <w:right w:w="80" w:type="dxa"/>
            </w:tcMar>
            <w:vAlign w:val="center"/>
            <w:hideMark/>
          </w:tcPr>
          <w:p w14:paraId="1EE3F6D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systematic comparison of five diverse algorithms demonstrates a rigorous attempt to identify the most stable predictive model.</w:t>
            </w:r>
          </w:p>
        </w:tc>
        <w:tc>
          <w:tcPr>
            <w:tcW w:w="567" w:type="dxa"/>
            <w:tcMar>
              <w:top w:w="80" w:type="dxa"/>
              <w:left w:w="80" w:type="dxa"/>
              <w:bottom w:w="80" w:type="dxa"/>
              <w:right w:w="80" w:type="dxa"/>
            </w:tcMar>
            <w:vAlign w:val="center"/>
            <w:hideMark/>
          </w:tcPr>
          <w:p w14:paraId="2A80BFDD"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84D588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Low-cost and affordable monitoring solutions are essential for large-scale “Aging in Place” implementations.</w:t>
            </w:r>
          </w:p>
        </w:tc>
      </w:tr>
      <w:tr w:rsidR="00A91DD0" w:rsidRPr="006C17CC" w14:paraId="5F212982" w14:textId="77777777" w:rsidTr="00465626">
        <w:trPr>
          <w:trHeight w:val="1132"/>
        </w:trPr>
        <w:tc>
          <w:tcPr>
            <w:tcW w:w="1555" w:type="dxa"/>
            <w:tcMar>
              <w:top w:w="80" w:type="dxa"/>
              <w:left w:w="80" w:type="dxa"/>
              <w:bottom w:w="80" w:type="dxa"/>
              <w:right w:w="80" w:type="dxa"/>
            </w:tcMar>
            <w:vAlign w:val="center"/>
            <w:hideMark/>
          </w:tcPr>
          <w:p w14:paraId="20173ED4"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36D20C21"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332821E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design of the IoT-Intelligent Terminal ensures that the movement and health patterns are ecologically valid for seniors.</w:t>
            </w:r>
          </w:p>
        </w:tc>
        <w:tc>
          <w:tcPr>
            <w:tcW w:w="2409" w:type="dxa"/>
            <w:tcMar>
              <w:top w:w="80" w:type="dxa"/>
              <w:left w:w="80" w:type="dxa"/>
              <w:bottom w:w="80" w:type="dxa"/>
              <w:right w:w="80" w:type="dxa"/>
            </w:tcMar>
            <w:vAlign w:val="center"/>
            <w:hideMark/>
          </w:tcPr>
          <w:p w14:paraId="25A9ABE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predictor assessment avoids the bias associated with manual clinical entry or self-reporting.</w:t>
            </w:r>
          </w:p>
        </w:tc>
        <w:tc>
          <w:tcPr>
            <w:tcW w:w="2552" w:type="dxa"/>
            <w:tcMar>
              <w:top w:w="80" w:type="dxa"/>
              <w:left w:w="80" w:type="dxa"/>
              <w:bottom w:w="80" w:type="dxa"/>
              <w:right w:w="80" w:type="dxa"/>
            </w:tcMar>
            <w:vAlign w:val="center"/>
            <w:hideMark/>
          </w:tcPr>
          <w:p w14:paraId="7934A8F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outcome categories align with standard clinical diagnostic targets for chronic disease recovery.</w:t>
            </w:r>
          </w:p>
        </w:tc>
        <w:tc>
          <w:tcPr>
            <w:tcW w:w="2551" w:type="dxa"/>
            <w:tcMar>
              <w:top w:w="80" w:type="dxa"/>
              <w:left w:w="80" w:type="dxa"/>
              <w:bottom w:w="80" w:type="dxa"/>
              <w:right w:w="80" w:type="dxa"/>
            </w:tcMar>
            <w:vAlign w:val="center"/>
            <w:hideMark/>
          </w:tcPr>
          <w:p w14:paraId="7442E2B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Consistent performance metrics across all five ML models confirm the technical robustness of the diagnostic engine.</w:t>
            </w:r>
          </w:p>
        </w:tc>
        <w:tc>
          <w:tcPr>
            <w:tcW w:w="567" w:type="dxa"/>
            <w:tcMar>
              <w:top w:w="80" w:type="dxa"/>
              <w:left w:w="80" w:type="dxa"/>
              <w:bottom w:w="80" w:type="dxa"/>
              <w:right w:w="80" w:type="dxa"/>
            </w:tcMar>
            <w:vAlign w:val="center"/>
            <w:hideMark/>
          </w:tcPr>
          <w:p w14:paraId="4500A8B3"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554BE9B"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a major advancement in creating supportive and data-driven living environments for older adults.</w:t>
            </w:r>
          </w:p>
        </w:tc>
      </w:tr>
      <w:tr w:rsidR="00A91DD0" w14:paraId="31F366B1" w14:textId="77777777">
        <w:tc>
          <w:tcPr>
            <w:tcW w:w="1555" w:type="dxa"/>
            <w:tcMar>
              <w:top w:w="80" w:type="dxa"/>
              <w:left w:w="80" w:type="dxa"/>
              <w:bottom w:w="80" w:type="dxa"/>
              <w:right w:w="80" w:type="dxa"/>
            </w:tcMar>
            <w:vAlign w:val="center"/>
          </w:tcPr>
          <w:p w14:paraId="16423AF8" w14:textId="77777777" w:rsidR="00A91DD0" w:rsidRDefault="00A91DD0" w:rsidP="00A91DD0">
            <w:pPr>
              <w:jc w:val="center"/>
              <w:rPr>
                <w:rFonts w:hint="eastAsia"/>
              </w:rPr>
            </w:pPr>
            <w:r>
              <w:rPr>
                <w:rFonts w:ascii="Times New Roman" w:hAnsi="Times New Roman" w:cs="Times New Roman"/>
                <w:sz w:val="18"/>
              </w:rPr>
              <w:t>(Zhang et al., 2025)</w:t>
            </w:r>
          </w:p>
        </w:tc>
        <w:tc>
          <w:tcPr>
            <w:tcW w:w="567" w:type="dxa"/>
            <w:tcMar>
              <w:top w:w="80" w:type="dxa"/>
              <w:left w:w="80" w:type="dxa"/>
              <w:bottom w:w="80" w:type="dxa"/>
              <w:right w:w="80" w:type="dxa"/>
            </w:tcMar>
            <w:vAlign w:val="center"/>
          </w:tcPr>
          <w:p w14:paraId="05DCEE4D"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07AEA7EA" w14:textId="77777777" w:rsidR="00A91DD0" w:rsidRDefault="00A91DD0" w:rsidP="00A91DD0">
            <w:pPr>
              <w:jc w:val="left"/>
              <w:rPr>
                <w:rFonts w:hint="eastAsia"/>
              </w:rPr>
            </w:pPr>
            <w:r>
              <w:rPr>
                <w:rFonts w:ascii="Times New Roman" w:hAnsi="Times New Roman" w:cs="Times New Roman"/>
                <w:sz w:val="18"/>
              </w:rPr>
              <w:t>High Risk. The participant sample was small or narrow for model development.</w:t>
            </w:r>
          </w:p>
        </w:tc>
        <w:tc>
          <w:tcPr>
            <w:tcW w:w="2409" w:type="dxa"/>
            <w:tcMar>
              <w:top w:w="80" w:type="dxa"/>
              <w:left w:w="80" w:type="dxa"/>
              <w:bottom w:w="80" w:type="dxa"/>
              <w:right w:w="80" w:type="dxa"/>
            </w:tcMar>
            <w:vAlign w:val="center"/>
          </w:tcPr>
          <w:p w14:paraId="526C685D" w14:textId="77777777" w:rsidR="00A91DD0" w:rsidRDefault="00A91DD0" w:rsidP="00A91DD0">
            <w:pPr>
              <w:jc w:val="left"/>
              <w:rPr>
                <w:rFonts w:hint="eastAsia"/>
              </w:rPr>
            </w:pPr>
            <w:r>
              <w:rPr>
                <w:rFonts w:ascii="Times New Roman" w:hAnsi="Times New Roman" w:cs="Times New Roman"/>
                <w:sz w:val="18"/>
              </w:rPr>
              <w:t>Low Risk. Wearable predictors were technically defined.</w:t>
            </w:r>
          </w:p>
        </w:tc>
        <w:tc>
          <w:tcPr>
            <w:tcW w:w="2552" w:type="dxa"/>
            <w:tcMar>
              <w:top w:w="80" w:type="dxa"/>
              <w:left w:w="80" w:type="dxa"/>
              <w:bottom w:w="80" w:type="dxa"/>
              <w:right w:w="80" w:type="dxa"/>
            </w:tcMar>
            <w:vAlign w:val="center"/>
          </w:tcPr>
          <w:p w14:paraId="23ECA602" w14:textId="77777777" w:rsidR="00A91DD0" w:rsidRDefault="00A91DD0" w:rsidP="00A91DD0">
            <w:pPr>
              <w:jc w:val="left"/>
              <w:rPr>
                <w:rFonts w:hint="eastAsia"/>
              </w:rPr>
            </w:pPr>
            <w:r>
              <w:rPr>
                <w:rFonts w:ascii="Times New Roman" w:hAnsi="Times New Roman" w:cs="Times New Roman"/>
                <w:sz w:val="18"/>
              </w:rPr>
              <w:t>Low Risk. Frailty or sarcopenia outcomes were relevant.</w:t>
            </w:r>
          </w:p>
        </w:tc>
        <w:tc>
          <w:tcPr>
            <w:tcW w:w="2551" w:type="dxa"/>
            <w:tcMar>
              <w:top w:w="80" w:type="dxa"/>
              <w:left w:w="80" w:type="dxa"/>
              <w:bottom w:w="80" w:type="dxa"/>
              <w:right w:w="80" w:type="dxa"/>
            </w:tcMar>
            <w:vAlign w:val="center"/>
          </w:tcPr>
          <w:p w14:paraId="48A9559F" w14:textId="77777777" w:rsidR="00A91DD0" w:rsidRDefault="00A91DD0" w:rsidP="00A91DD0">
            <w:pPr>
              <w:jc w:val="left"/>
              <w:rPr>
                <w:rFonts w:hint="eastAsia"/>
              </w:rPr>
            </w:pPr>
            <w:r>
              <w:rPr>
                <w:rFonts w:ascii="Times New Roman" w:hAnsi="Times New Roman" w:cs="Times New Roman"/>
                <w:sz w:val="18"/>
              </w:rPr>
              <w:t>High Risk. Model validation was limited and optimism could not be excluded.</w:t>
            </w:r>
          </w:p>
        </w:tc>
        <w:tc>
          <w:tcPr>
            <w:tcW w:w="567" w:type="dxa"/>
            <w:tcMar>
              <w:top w:w="80" w:type="dxa"/>
              <w:left w:w="80" w:type="dxa"/>
              <w:bottom w:w="80" w:type="dxa"/>
              <w:right w:w="80" w:type="dxa"/>
            </w:tcMar>
            <w:vAlign w:val="center"/>
          </w:tcPr>
          <w:p w14:paraId="234685C3"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63864AE0" w14:textId="77777777" w:rsidR="00A91DD0" w:rsidRDefault="00A91DD0" w:rsidP="00A91DD0">
            <w:pPr>
              <w:jc w:val="left"/>
              <w:rPr>
                <w:rFonts w:hint="eastAsia"/>
              </w:rPr>
            </w:pPr>
            <w:r>
              <w:rPr>
                <w:rFonts w:ascii="Times New Roman" w:hAnsi="Times New Roman" w:cs="Times New Roman"/>
                <w:sz w:val="18"/>
              </w:rPr>
              <w:t>Low Concern. The technology was relevant but evidence was preliminary.</w:t>
            </w:r>
          </w:p>
        </w:tc>
      </w:tr>
      <w:tr w:rsidR="00A91DD0" w14:paraId="27ED198B" w14:textId="77777777">
        <w:tc>
          <w:tcPr>
            <w:tcW w:w="1555" w:type="dxa"/>
            <w:tcMar>
              <w:top w:w="80" w:type="dxa"/>
              <w:left w:w="80" w:type="dxa"/>
              <w:bottom w:w="80" w:type="dxa"/>
              <w:right w:w="80" w:type="dxa"/>
            </w:tcMar>
            <w:vAlign w:val="center"/>
          </w:tcPr>
          <w:p w14:paraId="61B75CAE"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526B6AE2"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7DF03A9D" w14:textId="77777777" w:rsidR="00A91DD0" w:rsidRDefault="00A91DD0" w:rsidP="00A91DD0">
            <w:pPr>
              <w:jc w:val="left"/>
              <w:rPr>
                <w:rFonts w:hint="eastAsia"/>
              </w:rPr>
            </w:pPr>
            <w:r>
              <w:rPr>
                <w:rFonts w:ascii="Times New Roman" w:hAnsi="Times New Roman" w:cs="Times New Roman"/>
                <w:sz w:val="18"/>
              </w:rPr>
              <w:t>High Risk. The participant sample was small or narrow for model development.</w:t>
            </w:r>
          </w:p>
        </w:tc>
        <w:tc>
          <w:tcPr>
            <w:tcW w:w="2409" w:type="dxa"/>
            <w:tcMar>
              <w:top w:w="80" w:type="dxa"/>
              <w:left w:w="80" w:type="dxa"/>
              <w:bottom w:w="80" w:type="dxa"/>
              <w:right w:w="80" w:type="dxa"/>
            </w:tcMar>
            <w:vAlign w:val="center"/>
          </w:tcPr>
          <w:p w14:paraId="04058310" w14:textId="77777777" w:rsidR="00A91DD0" w:rsidRDefault="00A91DD0" w:rsidP="00A91DD0">
            <w:pPr>
              <w:jc w:val="left"/>
              <w:rPr>
                <w:rFonts w:hint="eastAsia"/>
              </w:rPr>
            </w:pPr>
            <w:r>
              <w:rPr>
                <w:rFonts w:ascii="Times New Roman" w:hAnsi="Times New Roman" w:cs="Times New Roman"/>
                <w:sz w:val="18"/>
              </w:rPr>
              <w:t>Low Risk. Wearable predictors were technically defined.</w:t>
            </w:r>
          </w:p>
        </w:tc>
        <w:tc>
          <w:tcPr>
            <w:tcW w:w="2552" w:type="dxa"/>
            <w:tcMar>
              <w:top w:w="80" w:type="dxa"/>
              <w:left w:w="80" w:type="dxa"/>
              <w:bottom w:w="80" w:type="dxa"/>
              <w:right w:w="80" w:type="dxa"/>
            </w:tcMar>
            <w:vAlign w:val="center"/>
          </w:tcPr>
          <w:p w14:paraId="6281B130" w14:textId="77777777" w:rsidR="00A91DD0" w:rsidRDefault="00A91DD0" w:rsidP="00A91DD0">
            <w:pPr>
              <w:jc w:val="left"/>
              <w:rPr>
                <w:rFonts w:hint="eastAsia"/>
              </w:rPr>
            </w:pPr>
            <w:r>
              <w:rPr>
                <w:rFonts w:ascii="Times New Roman" w:hAnsi="Times New Roman" w:cs="Times New Roman"/>
                <w:sz w:val="18"/>
              </w:rPr>
              <w:t>Low Risk. Frailty or sarcopenia outcomes were relevant.</w:t>
            </w:r>
          </w:p>
        </w:tc>
        <w:tc>
          <w:tcPr>
            <w:tcW w:w="2551" w:type="dxa"/>
            <w:tcMar>
              <w:top w:w="80" w:type="dxa"/>
              <w:left w:w="80" w:type="dxa"/>
              <w:bottom w:w="80" w:type="dxa"/>
              <w:right w:w="80" w:type="dxa"/>
            </w:tcMar>
            <w:vAlign w:val="center"/>
          </w:tcPr>
          <w:p w14:paraId="24775701" w14:textId="77777777" w:rsidR="00A91DD0" w:rsidRDefault="00A91DD0" w:rsidP="00A91DD0">
            <w:pPr>
              <w:jc w:val="left"/>
              <w:rPr>
                <w:rFonts w:hint="eastAsia"/>
              </w:rPr>
            </w:pPr>
            <w:r>
              <w:rPr>
                <w:rFonts w:ascii="Times New Roman" w:hAnsi="Times New Roman" w:cs="Times New Roman"/>
                <w:sz w:val="18"/>
              </w:rPr>
              <w:t>High Risk. Model validation was limited and optimism could not be excluded.</w:t>
            </w:r>
          </w:p>
        </w:tc>
        <w:tc>
          <w:tcPr>
            <w:tcW w:w="567" w:type="dxa"/>
            <w:tcMar>
              <w:top w:w="80" w:type="dxa"/>
              <w:left w:w="80" w:type="dxa"/>
              <w:bottom w:w="80" w:type="dxa"/>
              <w:right w:w="80" w:type="dxa"/>
            </w:tcMar>
            <w:vAlign w:val="center"/>
          </w:tcPr>
          <w:p w14:paraId="11518FAB"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01013F7C" w14:textId="77777777" w:rsidR="00A91DD0" w:rsidRDefault="00A91DD0" w:rsidP="00A91DD0">
            <w:pPr>
              <w:jc w:val="left"/>
              <w:rPr>
                <w:rFonts w:hint="eastAsia"/>
              </w:rPr>
            </w:pPr>
            <w:r>
              <w:rPr>
                <w:rFonts w:ascii="Times New Roman" w:hAnsi="Times New Roman" w:cs="Times New Roman"/>
                <w:sz w:val="18"/>
              </w:rPr>
              <w:t>Low Concern. The technology was relevant but evidence was preliminary.</w:t>
            </w:r>
          </w:p>
        </w:tc>
      </w:tr>
      <w:tr w:rsidR="00A91DD0" w:rsidRPr="006C17CC" w14:paraId="4007E5A6" w14:textId="77777777" w:rsidTr="00465626">
        <w:trPr>
          <w:trHeight w:val="1132"/>
        </w:trPr>
        <w:tc>
          <w:tcPr>
            <w:tcW w:w="1555" w:type="dxa"/>
            <w:noWrap/>
            <w:tcMar>
              <w:top w:w="80" w:type="dxa"/>
              <w:left w:w="80" w:type="dxa"/>
              <w:bottom w:w="80" w:type="dxa"/>
              <w:right w:w="80" w:type="dxa"/>
            </w:tcMar>
            <w:vAlign w:val="center"/>
            <w:hideMark/>
          </w:tcPr>
          <w:p w14:paraId="4DF9A464"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(Zhao et al., 2024)</w:t>
            </w:r>
          </w:p>
        </w:tc>
        <w:tc>
          <w:tcPr>
            <w:tcW w:w="567" w:type="dxa"/>
            <w:tcMar>
              <w:top w:w="80" w:type="dxa"/>
              <w:left w:w="80" w:type="dxa"/>
              <w:bottom w:w="80" w:type="dxa"/>
              <w:right w:w="80" w:type="dxa"/>
            </w:tcMar>
            <w:vAlign w:val="center"/>
            <w:hideMark/>
          </w:tcPr>
          <w:p w14:paraId="7D246CD3"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796FD0B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recruitment of subjects from multiple community sites ensures a good baseline for technical and clinical validation.</w:t>
            </w:r>
          </w:p>
        </w:tc>
        <w:tc>
          <w:tcPr>
            <w:tcW w:w="2409" w:type="dxa"/>
            <w:tcMar>
              <w:top w:w="80" w:type="dxa"/>
              <w:left w:w="80" w:type="dxa"/>
              <w:bottom w:w="80" w:type="dxa"/>
              <w:right w:w="80" w:type="dxa"/>
            </w:tcMar>
            <w:vAlign w:val="center"/>
            <w:hideMark/>
          </w:tcPr>
          <w:p w14:paraId="51A7C6B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Combining acoustic and linguistic data provides a holistic set of predictors that capture subtle cognitive changes.</w:t>
            </w:r>
          </w:p>
        </w:tc>
        <w:tc>
          <w:tcPr>
            <w:tcW w:w="2552" w:type="dxa"/>
            <w:tcMar>
              <w:top w:w="80" w:type="dxa"/>
              <w:left w:w="80" w:type="dxa"/>
              <w:bottom w:w="80" w:type="dxa"/>
              <w:right w:w="80" w:type="dxa"/>
            </w:tcMar>
            <w:vAlign w:val="center"/>
            <w:hideMark/>
          </w:tcPr>
          <w:p w14:paraId="2C7E3AA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clinical consensus as the reference standard ensures the reliability of the predictive targets.</w:t>
            </w:r>
          </w:p>
        </w:tc>
        <w:tc>
          <w:tcPr>
            <w:tcW w:w="2551" w:type="dxa"/>
            <w:tcMar>
              <w:top w:w="80" w:type="dxa"/>
              <w:left w:w="80" w:type="dxa"/>
              <w:bottom w:w="80" w:type="dxa"/>
              <w:right w:w="80" w:type="dxa"/>
            </w:tcMar>
            <w:vAlign w:val="center"/>
            <w:hideMark/>
          </w:tcPr>
          <w:p w14:paraId="019D2E6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model achieved high sensitivity and specificity in internal tests, demonstrating its potential for real world use.</w:t>
            </w:r>
          </w:p>
        </w:tc>
        <w:tc>
          <w:tcPr>
            <w:tcW w:w="567" w:type="dxa"/>
            <w:tcMar>
              <w:top w:w="80" w:type="dxa"/>
              <w:left w:w="80" w:type="dxa"/>
              <w:bottom w:w="80" w:type="dxa"/>
              <w:right w:w="80" w:type="dxa"/>
            </w:tcMar>
            <w:vAlign w:val="center"/>
            <w:hideMark/>
          </w:tcPr>
          <w:p w14:paraId="0608EF92"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1FDB6D9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automated system allows for large scale and low cost screening, supporting early intervention in the community.</w:t>
            </w:r>
          </w:p>
        </w:tc>
      </w:tr>
      <w:tr w:rsidR="00A91DD0" w:rsidRPr="006C17CC" w14:paraId="567931FE" w14:textId="77777777" w:rsidTr="00465626">
        <w:trPr>
          <w:trHeight w:val="1415"/>
        </w:trPr>
        <w:tc>
          <w:tcPr>
            <w:tcW w:w="1555" w:type="dxa"/>
            <w:tcMar>
              <w:top w:w="80" w:type="dxa"/>
              <w:left w:w="80" w:type="dxa"/>
              <w:bottom w:w="80" w:type="dxa"/>
              <w:right w:w="80" w:type="dxa"/>
            </w:tcMar>
            <w:vAlign w:val="center"/>
            <w:hideMark/>
          </w:tcPr>
          <w:p w14:paraId="0A01D6CE"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039A4F31"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1DCC0A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Strict protocol adherence and informed consent ensure the integrity of the data collected from the elderly.</w:t>
            </w:r>
          </w:p>
        </w:tc>
        <w:tc>
          <w:tcPr>
            <w:tcW w:w="2409" w:type="dxa"/>
            <w:tcMar>
              <w:top w:w="80" w:type="dxa"/>
              <w:left w:w="80" w:type="dxa"/>
              <w:bottom w:w="80" w:type="dxa"/>
              <w:right w:w="80" w:type="dxa"/>
            </w:tcMar>
            <w:vAlign w:val="center"/>
            <w:hideMark/>
          </w:tcPr>
          <w:p w14:paraId="1CD8775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Predictors were available in real time and processed without human intervention to eliminate subjective bias.</w:t>
            </w:r>
          </w:p>
        </w:tc>
        <w:tc>
          <w:tcPr>
            <w:tcW w:w="2552" w:type="dxa"/>
            <w:tcMar>
              <w:top w:w="80" w:type="dxa"/>
              <w:left w:w="80" w:type="dxa"/>
              <w:bottom w:w="80" w:type="dxa"/>
              <w:right w:w="80" w:type="dxa"/>
            </w:tcMar>
            <w:vAlign w:val="center"/>
            <w:hideMark/>
          </w:tcPr>
          <w:p w14:paraId="37669A1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thresholds for cognitive impairment were used to maintain consistency across the entire sample.</w:t>
            </w:r>
          </w:p>
        </w:tc>
        <w:tc>
          <w:tcPr>
            <w:tcW w:w="2551" w:type="dxa"/>
            <w:tcMar>
              <w:top w:w="80" w:type="dxa"/>
              <w:left w:w="80" w:type="dxa"/>
              <w:bottom w:w="80" w:type="dxa"/>
              <w:right w:w="80" w:type="dxa"/>
            </w:tcMar>
            <w:vAlign w:val="center"/>
            <w:hideMark/>
          </w:tcPr>
          <w:p w14:paraId="7633717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k fold cross validation and various performance metrics ensures a stable assessment of model quality.</w:t>
            </w:r>
          </w:p>
        </w:tc>
        <w:tc>
          <w:tcPr>
            <w:tcW w:w="567" w:type="dxa"/>
            <w:tcMar>
              <w:top w:w="80" w:type="dxa"/>
              <w:left w:w="80" w:type="dxa"/>
              <w:bottom w:w="80" w:type="dxa"/>
              <w:right w:w="80" w:type="dxa"/>
            </w:tcMar>
            <w:vAlign w:val="center"/>
            <w:hideMark/>
          </w:tcPr>
          <w:p w14:paraId="2E952379"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A7E9DD1"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feasibility of remote voice based screening is perfectly aligned with supporting aging in place.</w:t>
            </w:r>
          </w:p>
        </w:tc>
      </w:tr>
      <w:tr w:rsidR="00A91DD0" w14:paraId="048BFE70" w14:textId="77777777">
        <w:tc>
          <w:tcPr>
            <w:tcW w:w="1555" w:type="dxa"/>
            <w:tcMar>
              <w:top w:w="80" w:type="dxa"/>
              <w:left w:w="80" w:type="dxa"/>
              <w:bottom w:w="80" w:type="dxa"/>
              <w:right w:w="80" w:type="dxa"/>
            </w:tcMar>
            <w:vAlign w:val="center"/>
          </w:tcPr>
          <w:p w14:paraId="027FB9AA" w14:textId="77777777" w:rsidR="00A91DD0" w:rsidRDefault="00A91DD0" w:rsidP="00A91DD0">
            <w:pPr>
              <w:jc w:val="center"/>
              <w:rPr>
                <w:rFonts w:hint="eastAsia"/>
              </w:rPr>
            </w:pPr>
            <w:r>
              <w:rPr>
                <w:rFonts w:ascii="Times New Roman" w:hAnsi="Times New Roman" w:cs="Times New Roman"/>
                <w:sz w:val="18"/>
              </w:rPr>
              <w:t>(Zhou, 2023)</w:t>
            </w:r>
          </w:p>
        </w:tc>
        <w:tc>
          <w:tcPr>
            <w:tcW w:w="567" w:type="dxa"/>
            <w:tcMar>
              <w:top w:w="80" w:type="dxa"/>
              <w:left w:w="80" w:type="dxa"/>
              <w:bottom w:w="80" w:type="dxa"/>
              <w:right w:w="80" w:type="dxa"/>
            </w:tcMar>
            <w:vAlign w:val="center"/>
          </w:tcPr>
          <w:p w14:paraId="790260CF" w14:textId="77777777" w:rsidR="00A91DD0" w:rsidRDefault="00A91DD0" w:rsidP="00A91DD0">
            <w:pPr>
              <w:jc w:val="center"/>
              <w:rPr>
                <w:rFonts w:hint="eastAsia"/>
              </w:rPr>
            </w:pPr>
            <w:r>
              <w:rPr>
                <w:rFonts w:ascii="Times New Roman" w:hAnsi="Times New Roman" w:cs="Times New Roman"/>
                <w:sz w:val="18"/>
              </w:rPr>
              <w:t>R1</w:t>
            </w:r>
          </w:p>
        </w:tc>
        <w:tc>
          <w:tcPr>
            <w:tcW w:w="2268" w:type="dxa"/>
            <w:tcMar>
              <w:top w:w="80" w:type="dxa"/>
              <w:left w:w="80" w:type="dxa"/>
              <w:bottom w:w="80" w:type="dxa"/>
              <w:right w:w="80" w:type="dxa"/>
            </w:tcMar>
            <w:vAlign w:val="center"/>
          </w:tcPr>
          <w:p w14:paraId="6B48CBED" w14:textId="77777777" w:rsidR="00A91DD0" w:rsidRDefault="00A91DD0" w:rsidP="00A91DD0">
            <w:pPr>
              <w:jc w:val="left"/>
              <w:rPr>
                <w:rFonts w:hint="eastAsia"/>
              </w:rPr>
            </w:pPr>
            <w:r>
              <w:rPr>
                <w:rFonts w:ascii="Times New Roman" w:hAnsi="Times New Roman" w:cs="Times New Roman"/>
                <w:sz w:val="18"/>
              </w:rPr>
              <w:t>High Risk. Image or video datasets did not adequately represent older adults at home.</w:t>
            </w:r>
          </w:p>
        </w:tc>
        <w:tc>
          <w:tcPr>
            <w:tcW w:w="2409" w:type="dxa"/>
            <w:tcMar>
              <w:top w:w="80" w:type="dxa"/>
              <w:left w:w="80" w:type="dxa"/>
              <w:bottom w:w="80" w:type="dxa"/>
              <w:right w:w="80" w:type="dxa"/>
            </w:tcMar>
            <w:vAlign w:val="center"/>
          </w:tcPr>
          <w:p w14:paraId="62C43510" w14:textId="77777777" w:rsidR="00A91DD0" w:rsidRDefault="00A91DD0" w:rsidP="00A91DD0">
            <w:pPr>
              <w:jc w:val="left"/>
              <w:rPr>
                <w:rFonts w:hint="eastAsia"/>
              </w:rPr>
            </w:pPr>
            <w:r>
              <w:rPr>
                <w:rFonts w:ascii="Times New Roman" w:hAnsi="Times New Roman" w:cs="Times New Roman"/>
                <w:sz w:val="18"/>
              </w:rPr>
              <w:t>Low Risk. Visual predictors were defined for the model task.</w:t>
            </w:r>
          </w:p>
        </w:tc>
        <w:tc>
          <w:tcPr>
            <w:tcW w:w="2552" w:type="dxa"/>
            <w:tcMar>
              <w:top w:w="80" w:type="dxa"/>
              <w:left w:w="80" w:type="dxa"/>
              <w:bottom w:w="80" w:type="dxa"/>
              <w:right w:w="80" w:type="dxa"/>
            </w:tcMar>
            <w:vAlign w:val="center"/>
          </w:tcPr>
          <w:p w14:paraId="1C348B4B" w14:textId="77777777" w:rsidR="00A91DD0" w:rsidRDefault="00A91DD0" w:rsidP="00A91DD0">
            <w:pPr>
              <w:jc w:val="left"/>
              <w:rPr>
                <w:rFonts w:hint="eastAsia"/>
              </w:rPr>
            </w:pPr>
            <w:r>
              <w:rPr>
                <w:rFonts w:ascii="Times New Roman" w:hAnsi="Times New Roman" w:cs="Times New Roman"/>
                <w:sz w:val="18"/>
              </w:rPr>
              <w:t>High Risk. Outcome labels were proxy detection tasks rather than validated clinical outcomes.</w:t>
            </w:r>
          </w:p>
        </w:tc>
        <w:tc>
          <w:tcPr>
            <w:tcW w:w="2551" w:type="dxa"/>
            <w:tcMar>
              <w:top w:w="80" w:type="dxa"/>
              <w:left w:w="80" w:type="dxa"/>
              <w:bottom w:w="80" w:type="dxa"/>
              <w:right w:w="80" w:type="dxa"/>
            </w:tcMar>
            <w:vAlign w:val="center"/>
          </w:tcPr>
          <w:p w14:paraId="26D085FA" w14:textId="77777777" w:rsidR="00A91DD0" w:rsidRDefault="00A91DD0" w:rsidP="00A91DD0">
            <w:pPr>
              <w:jc w:val="left"/>
              <w:rPr>
                <w:rFonts w:hint="eastAsia"/>
              </w:rPr>
            </w:pPr>
            <w:r>
              <w:rPr>
                <w:rFonts w:ascii="Times New Roman" w:hAnsi="Times New Roman" w:cs="Times New Roman"/>
                <w:sz w:val="18"/>
              </w:rPr>
              <w:t>High Risk. Evaluation relied on internal or simulated performance metrics.</w:t>
            </w:r>
          </w:p>
        </w:tc>
        <w:tc>
          <w:tcPr>
            <w:tcW w:w="567" w:type="dxa"/>
            <w:tcMar>
              <w:top w:w="80" w:type="dxa"/>
              <w:left w:w="80" w:type="dxa"/>
              <w:bottom w:w="80" w:type="dxa"/>
              <w:right w:w="80" w:type="dxa"/>
            </w:tcMar>
            <w:vAlign w:val="center"/>
          </w:tcPr>
          <w:p w14:paraId="28B09779"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19AFB3A8" w14:textId="77777777" w:rsidR="00A91DD0" w:rsidRDefault="00A91DD0" w:rsidP="00A91DD0">
            <w:pPr>
              <w:jc w:val="left"/>
              <w:rPr>
                <w:rFonts w:hint="eastAsia"/>
              </w:rPr>
            </w:pPr>
            <w:r>
              <w:rPr>
                <w:rFonts w:ascii="Times New Roman" w:hAnsi="Times New Roman" w:cs="Times New Roman"/>
                <w:sz w:val="18"/>
              </w:rPr>
              <w:t>High Concern. Real world aging in place applicability was not established.</w:t>
            </w:r>
          </w:p>
        </w:tc>
      </w:tr>
      <w:tr w:rsidR="00A91DD0" w14:paraId="5AB3F8A0" w14:textId="77777777">
        <w:tc>
          <w:tcPr>
            <w:tcW w:w="1555" w:type="dxa"/>
            <w:tcMar>
              <w:top w:w="80" w:type="dxa"/>
              <w:left w:w="80" w:type="dxa"/>
              <w:bottom w:w="80" w:type="dxa"/>
              <w:right w:w="80" w:type="dxa"/>
            </w:tcMar>
            <w:vAlign w:val="center"/>
          </w:tcPr>
          <w:p w14:paraId="09ACD054" w14:textId="77777777" w:rsidR="00A91DD0" w:rsidRDefault="00A91DD0" w:rsidP="00A91DD0">
            <w:pPr>
              <w:jc w:val="center"/>
              <w:rPr>
                <w:rFonts w:hint="eastAsia"/>
              </w:rPr>
            </w:pPr>
          </w:p>
        </w:tc>
        <w:tc>
          <w:tcPr>
            <w:tcW w:w="567" w:type="dxa"/>
            <w:tcMar>
              <w:top w:w="80" w:type="dxa"/>
              <w:left w:w="80" w:type="dxa"/>
              <w:bottom w:w="80" w:type="dxa"/>
              <w:right w:w="80" w:type="dxa"/>
            </w:tcMar>
            <w:vAlign w:val="center"/>
          </w:tcPr>
          <w:p w14:paraId="45C0DE7D" w14:textId="77777777" w:rsidR="00A91DD0" w:rsidRDefault="00A91DD0" w:rsidP="00A91DD0">
            <w:pPr>
              <w:jc w:val="center"/>
              <w:rPr>
                <w:rFonts w:hint="eastAsia"/>
              </w:rPr>
            </w:pPr>
            <w:r>
              <w:rPr>
                <w:rFonts w:ascii="Times New Roman" w:hAnsi="Times New Roman" w:cs="Times New Roman"/>
                <w:sz w:val="18"/>
              </w:rPr>
              <w:t>R2</w:t>
            </w:r>
          </w:p>
        </w:tc>
        <w:tc>
          <w:tcPr>
            <w:tcW w:w="2268" w:type="dxa"/>
            <w:tcMar>
              <w:top w:w="80" w:type="dxa"/>
              <w:left w:w="80" w:type="dxa"/>
              <w:bottom w:w="80" w:type="dxa"/>
              <w:right w:w="80" w:type="dxa"/>
            </w:tcMar>
            <w:vAlign w:val="center"/>
          </w:tcPr>
          <w:p w14:paraId="13242F30" w14:textId="77777777" w:rsidR="00A91DD0" w:rsidRDefault="00A91DD0" w:rsidP="00A91DD0">
            <w:pPr>
              <w:jc w:val="left"/>
              <w:rPr>
                <w:rFonts w:hint="eastAsia"/>
              </w:rPr>
            </w:pPr>
            <w:r>
              <w:rPr>
                <w:rFonts w:ascii="Times New Roman" w:hAnsi="Times New Roman" w:cs="Times New Roman"/>
                <w:sz w:val="18"/>
              </w:rPr>
              <w:t>High Risk. Image or video datasets did not adequately represent older adults at home.</w:t>
            </w:r>
          </w:p>
        </w:tc>
        <w:tc>
          <w:tcPr>
            <w:tcW w:w="2409" w:type="dxa"/>
            <w:tcMar>
              <w:top w:w="80" w:type="dxa"/>
              <w:left w:w="80" w:type="dxa"/>
              <w:bottom w:w="80" w:type="dxa"/>
              <w:right w:w="80" w:type="dxa"/>
            </w:tcMar>
            <w:vAlign w:val="center"/>
          </w:tcPr>
          <w:p w14:paraId="6E330CBE" w14:textId="77777777" w:rsidR="00A91DD0" w:rsidRDefault="00A91DD0" w:rsidP="00A91DD0">
            <w:pPr>
              <w:jc w:val="left"/>
              <w:rPr>
                <w:rFonts w:hint="eastAsia"/>
              </w:rPr>
            </w:pPr>
            <w:r>
              <w:rPr>
                <w:rFonts w:ascii="Times New Roman" w:hAnsi="Times New Roman" w:cs="Times New Roman"/>
                <w:sz w:val="18"/>
              </w:rPr>
              <w:t>Low Risk. Visual predictors were defined for the model task.</w:t>
            </w:r>
          </w:p>
        </w:tc>
        <w:tc>
          <w:tcPr>
            <w:tcW w:w="2552" w:type="dxa"/>
            <w:tcMar>
              <w:top w:w="80" w:type="dxa"/>
              <w:left w:w="80" w:type="dxa"/>
              <w:bottom w:w="80" w:type="dxa"/>
              <w:right w:w="80" w:type="dxa"/>
            </w:tcMar>
            <w:vAlign w:val="center"/>
          </w:tcPr>
          <w:p w14:paraId="377CB9BA" w14:textId="77777777" w:rsidR="00A91DD0" w:rsidRDefault="00A91DD0" w:rsidP="00A91DD0">
            <w:pPr>
              <w:jc w:val="left"/>
              <w:rPr>
                <w:rFonts w:hint="eastAsia"/>
              </w:rPr>
            </w:pPr>
            <w:r>
              <w:rPr>
                <w:rFonts w:ascii="Times New Roman" w:hAnsi="Times New Roman" w:cs="Times New Roman"/>
                <w:sz w:val="18"/>
              </w:rPr>
              <w:t>High Risk. Outcome labels were proxy detection tasks rather than validated clinical outcomes.</w:t>
            </w:r>
          </w:p>
        </w:tc>
        <w:tc>
          <w:tcPr>
            <w:tcW w:w="2551" w:type="dxa"/>
            <w:tcMar>
              <w:top w:w="80" w:type="dxa"/>
              <w:left w:w="80" w:type="dxa"/>
              <w:bottom w:w="80" w:type="dxa"/>
              <w:right w:w="80" w:type="dxa"/>
            </w:tcMar>
            <w:vAlign w:val="center"/>
          </w:tcPr>
          <w:p w14:paraId="46EDF334" w14:textId="77777777" w:rsidR="00A91DD0" w:rsidRDefault="00A91DD0" w:rsidP="00A91DD0">
            <w:pPr>
              <w:jc w:val="left"/>
              <w:rPr>
                <w:rFonts w:hint="eastAsia"/>
              </w:rPr>
            </w:pPr>
            <w:r>
              <w:rPr>
                <w:rFonts w:ascii="Times New Roman" w:hAnsi="Times New Roman" w:cs="Times New Roman"/>
                <w:sz w:val="18"/>
              </w:rPr>
              <w:t>High Risk. Evaluation relied on internal or simulated performance metrics.</w:t>
            </w:r>
          </w:p>
        </w:tc>
        <w:tc>
          <w:tcPr>
            <w:tcW w:w="567" w:type="dxa"/>
            <w:tcMar>
              <w:top w:w="80" w:type="dxa"/>
              <w:left w:w="80" w:type="dxa"/>
              <w:bottom w:w="80" w:type="dxa"/>
              <w:right w:w="80" w:type="dxa"/>
            </w:tcMar>
            <w:vAlign w:val="center"/>
          </w:tcPr>
          <w:p w14:paraId="3197FB8A" w14:textId="77777777" w:rsidR="00A91DD0" w:rsidRPr="007129A9" w:rsidRDefault="00A91DD0" w:rsidP="00A91DD0">
            <w:pPr>
              <w:jc w:val="center"/>
              <w:rPr>
                <w:rFonts w:ascii="Times New Roman" w:hAnsi="Times New Roman" w:cs="Times New Roman"/>
                <w:b/>
                <w:bCs/>
              </w:rPr>
            </w:pPr>
            <w:r>
              <w:rPr>
                <w:rFonts w:ascii="Times New Roman" w:hAnsi="Times New Roman" w:cs="Times New Roman"/>
                <w:b/>
                <w:bCs/>
                <w:sz w:val="18"/>
              </w:rPr>
              <w:t>High Risk</w:t>
            </w:r>
          </w:p>
        </w:tc>
        <w:tc>
          <w:tcPr>
            <w:tcW w:w="2919" w:type="dxa"/>
            <w:tcMar>
              <w:top w:w="80" w:type="dxa"/>
              <w:left w:w="80" w:type="dxa"/>
              <w:bottom w:w="80" w:type="dxa"/>
              <w:right w:w="80" w:type="dxa"/>
            </w:tcMar>
            <w:vAlign w:val="center"/>
          </w:tcPr>
          <w:p w14:paraId="2E99BB52" w14:textId="77777777" w:rsidR="00A91DD0" w:rsidRDefault="00A91DD0" w:rsidP="00A91DD0">
            <w:pPr>
              <w:jc w:val="left"/>
              <w:rPr>
                <w:rFonts w:hint="eastAsia"/>
              </w:rPr>
            </w:pPr>
            <w:r>
              <w:rPr>
                <w:rFonts w:ascii="Times New Roman" w:hAnsi="Times New Roman" w:cs="Times New Roman"/>
                <w:sz w:val="18"/>
              </w:rPr>
              <w:t>High Concern. Real world aging in place applicability was not established.</w:t>
            </w:r>
          </w:p>
        </w:tc>
      </w:tr>
      <w:tr w:rsidR="00A91DD0" w:rsidRPr="006C17CC" w14:paraId="43678FF9" w14:textId="77777777" w:rsidTr="00465626">
        <w:trPr>
          <w:trHeight w:val="1132"/>
        </w:trPr>
        <w:tc>
          <w:tcPr>
            <w:tcW w:w="1555" w:type="dxa"/>
            <w:tcMar>
              <w:top w:w="80" w:type="dxa"/>
              <w:left w:w="80" w:type="dxa"/>
              <w:bottom w:w="80" w:type="dxa"/>
              <w:right w:w="80" w:type="dxa"/>
            </w:tcMar>
            <w:vAlign w:val="center"/>
            <w:hideMark/>
          </w:tcPr>
          <w:p w14:paraId="45560909"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(Zolfaghari et al., 2024)</w:t>
            </w:r>
          </w:p>
        </w:tc>
        <w:tc>
          <w:tcPr>
            <w:tcW w:w="567" w:type="dxa"/>
            <w:tcMar>
              <w:top w:w="80" w:type="dxa"/>
              <w:left w:w="80" w:type="dxa"/>
              <w:bottom w:w="80" w:type="dxa"/>
              <w:right w:w="80" w:type="dxa"/>
            </w:tcMar>
            <w:vAlign w:val="center"/>
            <w:hideMark/>
          </w:tcPr>
          <w:p w14:paraId="10A5823A"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3881AA6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sample size (n=99) is substantial for a specialized smart-home study, ensuring high-quality behavioral data.</w:t>
            </w:r>
          </w:p>
        </w:tc>
        <w:tc>
          <w:tcPr>
            <w:tcW w:w="2409" w:type="dxa"/>
            <w:tcMar>
              <w:top w:w="80" w:type="dxa"/>
              <w:left w:w="80" w:type="dxa"/>
              <w:bottom w:w="80" w:type="dxa"/>
              <w:right w:w="80" w:type="dxa"/>
            </w:tcMar>
            <w:vAlign w:val="center"/>
            <w:hideMark/>
          </w:tcPr>
          <w:p w14:paraId="61725E1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Image-based features (SURF) are robust to environmental noise and provide a rich set of objective predictors.</w:t>
            </w:r>
          </w:p>
        </w:tc>
        <w:tc>
          <w:tcPr>
            <w:tcW w:w="2552" w:type="dxa"/>
            <w:tcMar>
              <w:top w:w="80" w:type="dxa"/>
              <w:left w:w="80" w:type="dxa"/>
              <w:bottom w:w="80" w:type="dxa"/>
              <w:right w:w="80" w:type="dxa"/>
            </w:tcMar>
            <w:vAlign w:val="center"/>
            <w:hideMark/>
          </w:tcPr>
          <w:p w14:paraId="7B90BF8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High alignment between sensor-derived images and clinical truth confirms the model’s reliability.</w:t>
            </w:r>
          </w:p>
        </w:tc>
        <w:tc>
          <w:tcPr>
            <w:tcW w:w="2551" w:type="dxa"/>
            <w:tcMar>
              <w:top w:w="80" w:type="dxa"/>
              <w:left w:w="80" w:type="dxa"/>
              <w:bottom w:w="80" w:type="dxa"/>
              <w:right w:w="80" w:type="dxa"/>
            </w:tcMar>
            <w:vAlign w:val="center"/>
            <w:hideMark/>
          </w:tcPr>
          <w:p w14:paraId="7B10345E"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LOPO (Leave-one-person-out) cross-validation provides a rigorous internal test mechanism to prevent data leakage.</w:t>
            </w:r>
          </w:p>
        </w:tc>
        <w:tc>
          <w:tcPr>
            <w:tcW w:w="567" w:type="dxa"/>
            <w:tcMar>
              <w:top w:w="80" w:type="dxa"/>
              <w:left w:w="80" w:type="dxa"/>
              <w:bottom w:w="80" w:type="dxa"/>
              <w:right w:w="80" w:type="dxa"/>
            </w:tcMar>
            <w:vAlign w:val="center"/>
            <w:hideMark/>
          </w:tcPr>
          <w:p w14:paraId="37B5FF72"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5C1597A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This automated diagnostic aid is a vital step toward personalizing care for older adults living alone.</w:t>
            </w:r>
          </w:p>
        </w:tc>
      </w:tr>
      <w:tr w:rsidR="00A91DD0" w:rsidRPr="006C17CC" w14:paraId="623B4938" w14:textId="77777777" w:rsidTr="00465626">
        <w:trPr>
          <w:trHeight w:val="1132"/>
        </w:trPr>
        <w:tc>
          <w:tcPr>
            <w:tcW w:w="1555" w:type="dxa"/>
            <w:tcMar>
              <w:top w:w="80" w:type="dxa"/>
              <w:left w:w="80" w:type="dxa"/>
              <w:bottom w:w="80" w:type="dxa"/>
              <w:right w:w="80" w:type="dxa"/>
            </w:tcMar>
            <w:vAlign w:val="center"/>
            <w:hideMark/>
          </w:tcPr>
          <w:p w14:paraId="770B2709"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01E56D79"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59A56F55"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Real-world data from independent living seniors ensures that the patterns are ecologically valid and applicable.</w:t>
            </w:r>
          </w:p>
        </w:tc>
        <w:tc>
          <w:tcPr>
            <w:tcW w:w="2409" w:type="dxa"/>
            <w:tcMar>
              <w:top w:w="80" w:type="dxa"/>
              <w:left w:w="80" w:type="dxa"/>
              <w:bottom w:w="80" w:type="dxa"/>
              <w:right w:w="80" w:type="dxa"/>
            </w:tcMar>
            <w:vAlign w:val="center"/>
            <w:hideMark/>
          </w:tcPr>
          <w:p w14:paraId="3AACE872"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Automated feature engineering from sensor logs avoids the subjectivity and errors of manual behavioral reports.</w:t>
            </w:r>
          </w:p>
        </w:tc>
        <w:tc>
          <w:tcPr>
            <w:tcW w:w="2552" w:type="dxa"/>
            <w:tcMar>
              <w:top w:w="80" w:type="dxa"/>
              <w:left w:w="80" w:type="dxa"/>
              <w:bottom w:w="80" w:type="dxa"/>
              <w:right w:w="80" w:type="dxa"/>
            </w:tcMar>
            <w:vAlign w:val="center"/>
            <w:hideMark/>
          </w:tcPr>
          <w:p w14:paraId="165E42B8"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diagnostic categories ensure that the findings are comparable to other geriatric health research.</w:t>
            </w:r>
          </w:p>
        </w:tc>
        <w:tc>
          <w:tcPr>
            <w:tcW w:w="2551" w:type="dxa"/>
            <w:tcMar>
              <w:top w:w="80" w:type="dxa"/>
              <w:left w:w="80" w:type="dxa"/>
              <w:bottom w:w="80" w:type="dxa"/>
              <w:right w:w="80" w:type="dxa"/>
            </w:tcMar>
            <w:vAlign w:val="center"/>
            <w:hideMark/>
          </w:tcPr>
          <w:p w14:paraId="3932568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Significant performance improvement achieved via SMOTE indicates effective handling of population-level imbalance.</w:t>
            </w:r>
          </w:p>
        </w:tc>
        <w:tc>
          <w:tcPr>
            <w:tcW w:w="567" w:type="dxa"/>
            <w:tcMar>
              <w:top w:w="80" w:type="dxa"/>
              <w:left w:w="80" w:type="dxa"/>
              <w:bottom w:w="80" w:type="dxa"/>
              <w:right w:w="80" w:type="dxa"/>
            </w:tcMar>
            <w:vAlign w:val="center"/>
            <w:hideMark/>
          </w:tcPr>
          <w:p w14:paraId="5B2D352E"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705E06E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methodology is a significant advancement in enabling seniors to live safely and independently at home.</w:t>
            </w:r>
          </w:p>
        </w:tc>
      </w:tr>
      <w:tr w:rsidR="00A91DD0" w:rsidRPr="006C17CC" w14:paraId="7D8A482C" w14:textId="77777777" w:rsidTr="00465626">
        <w:trPr>
          <w:trHeight w:val="1415"/>
        </w:trPr>
        <w:tc>
          <w:tcPr>
            <w:tcW w:w="1555" w:type="dxa"/>
            <w:tcMar>
              <w:top w:w="80" w:type="dxa"/>
              <w:left w:w="80" w:type="dxa"/>
              <w:bottom w:w="80" w:type="dxa"/>
              <w:right w:w="80" w:type="dxa"/>
            </w:tcMar>
            <w:vAlign w:val="center"/>
            <w:hideMark/>
          </w:tcPr>
          <w:p w14:paraId="1774D4DE" w14:textId="77777777" w:rsidR="00A91DD0" w:rsidRPr="00093922" w:rsidRDefault="00A91DD0" w:rsidP="00A91DD0">
            <w:pPr>
              <w:widowControl/>
              <w:jc w:val="center"/>
              <w:rPr>
                <w:rFonts w:ascii="Times New Roman" w:eastAsia="等线" w:hAnsi="Times New Roman" w:cs="Times New Roman"/>
                <w:color w:val="000000"/>
                <w:kern w:val="0"/>
                <w:sz w:val="18"/>
                <w:szCs w:val="18"/>
                <w14:ligatures w14:val="none"/>
              </w:rPr>
            </w:pPr>
            <w:r>
              <w:rPr>
                <w:rFonts w:ascii="Times New Roman" w:eastAsia="等线" w:hAnsi="Times New Roman" w:cs="Times New Roman"/>
                <w:color w:val="000000"/>
                <w:kern w:val="0"/>
                <w:sz w:val="18"/>
                <w:szCs w:val="18"/>
                <w14:ligatures w14:val="none"/>
              </w:rPr>
              <w:t>(Zorriassatine et al., 2024)</w:t>
            </w:r>
          </w:p>
        </w:tc>
        <w:tc>
          <w:tcPr>
            <w:tcW w:w="567" w:type="dxa"/>
            <w:tcMar>
              <w:top w:w="80" w:type="dxa"/>
              <w:left w:w="80" w:type="dxa"/>
              <w:bottom w:w="80" w:type="dxa"/>
              <w:right w:w="80" w:type="dxa"/>
            </w:tcMar>
            <w:vAlign w:val="center"/>
            <w:hideMark/>
          </w:tcPr>
          <w:p w14:paraId="78171539"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R1</w:t>
            </w:r>
          </w:p>
        </w:tc>
        <w:tc>
          <w:tcPr>
            <w:tcW w:w="2268" w:type="dxa"/>
            <w:tcMar>
              <w:top w:w="80" w:type="dxa"/>
              <w:left w:w="80" w:type="dxa"/>
              <w:bottom w:w="80" w:type="dxa"/>
              <w:right w:w="80" w:type="dxa"/>
            </w:tcMar>
            <w:vAlign w:val="center"/>
            <w:hideMark/>
          </w:tcPr>
          <w:p w14:paraId="28961DF9"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Using 15 subjects to capture diverse simulated gait errors provides sufficient data for an initial feasibility validation.</w:t>
            </w:r>
          </w:p>
        </w:tc>
        <w:tc>
          <w:tcPr>
            <w:tcW w:w="2409" w:type="dxa"/>
            <w:tcMar>
              <w:top w:w="80" w:type="dxa"/>
              <w:left w:w="80" w:type="dxa"/>
              <w:bottom w:w="80" w:type="dxa"/>
              <w:right w:w="80" w:type="dxa"/>
            </w:tcMar>
            <w:vAlign w:val="center"/>
            <w:hideMark/>
          </w:tcPr>
          <w:p w14:paraId="2208B373"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very low-resolution thermal images effectively preserves privacy while providing high-quality predictors for modeling.</w:t>
            </w:r>
          </w:p>
        </w:tc>
        <w:tc>
          <w:tcPr>
            <w:tcW w:w="2552" w:type="dxa"/>
            <w:tcMar>
              <w:top w:w="80" w:type="dxa"/>
              <w:left w:w="80" w:type="dxa"/>
              <w:bottom w:w="80" w:type="dxa"/>
              <w:right w:w="80" w:type="dxa"/>
            </w:tcMar>
            <w:vAlign w:val="center"/>
            <w:hideMark/>
          </w:tcPr>
          <w:p w14:paraId="42D8FC06"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binary classification target is clinically relevant for identifying individuals at risk of falls in a home setting.</w:t>
            </w:r>
          </w:p>
        </w:tc>
        <w:tc>
          <w:tcPr>
            <w:tcW w:w="2551" w:type="dxa"/>
            <w:tcMar>
              <w:top w:w="80" w:type="dxa"/>
              <w:left w:w="80" w:type="dxa"/>
              <w:bottom w:w="80" w:type="dxa"/>
              <w:right w:w="80" w:type="dxa"/>
            </w:tcMar>
            <w:vAlign w:val="center"/>
            <w:hideMark/>
          </w:tcPr>
          <w:p w14:paraId="19494354"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autoencoder architecture successfully learned individual gait representations, achieving high reconstruction accuracy.</w:t>
            </w:r>
          </w:p>
        </w:tc>
        <w:tc>
          <w:tcPr>
            <w:tcW w:w="567" w:type="dxa"/>
            <w:tcMar>
              <w:top w:w="80" w:type="dxa"/>
              <w:left w:w="80" w:type="dxa"/>
              <w:bottom w:w="80" w:type="dxa"/>
              <w:right w:w="80" w:type="dxa"/>
            </w:tcMar>
            <w:vAlign w:val="center"/>
            <w:hideMark/>
          </w:tcPr>
          <w:p w14:paraId="2AA8BC7E"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2653F27C"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Low-cost and non-intrusive sensors are highly applicable to large-scale deployment in elderly home care.</w:t>
            </w:r>
          </w:p>
        </w:tc>
      </w:tr>
      <w:tr w:rsidR="00A91DD0" w:rsidRPr="006C17CC" w14:paraId="350C126C" w14:textId="77777777" w:rsidTr="00465626">
        <w:trPr>
          <w:trHeight w:val="1415"/>
        </w:trPr>
        <w:tc>
          <w:tcPr>
            <w:tcW w:w="1555" w:type="dxa"/>
            <w:tcMar>
              <w:top w:w="80" w:type="dxa"/>
              <w:left w:w="80" w:type="dxa"/>
              <w:bottom w:w="80" w:type="dxa"/>
              <w:right w:w="80" w:type="dxa"/>
            </w:tcMar>
            <w:vAlign w:val="center"/>
            <w:hideMark/>
          </w:tcPr>
          <w:p w14:paraId="3CFFCAFA" w14:textId="77777777" w:rsidR="00A91DD0" w:rsidRPr="00093922" w:rsidRDefault="00A91DD0" w:rsidP="00A91DD0">
            <w:pPr>
              <w:widowControl/>
              <w:jc w:val="center"/>
              <w:rPr>
                <w:rFonts w:ascii="Times New Roman" w:eastAsia="等线" w:hAnsi="Times New Roman" w:cs="Times New Roman"/>
                <w:b/>
                <w:bCs/>
                <w:color w:val="000000"/>
                <w:kern w:val="0"/>
                <w:sz w:val="18"/>
                <w:szCs w:val="18"/>
                <w14:ligatures w14:val="none"/>
              </w:rPr>
            </w:pPr>
          </w:p>
        </w:tc>
        <w:tc>
          <w:tcPr>
            <w:tcW w:w="567" w:type="dxa"/>
            <w:tcMar>
              <w:top w:w="80" w:type="dxa"/>
              <w:left w:w="80" w:type="dxa"/>
              <w:bottom w:w="80" w:type="dxa"/>
              <w:right w:w="80" w:type="dxa"/>
            </w:tcMar>
            <w:vAlign w:val="center"/>
            <w:hideMark/>
          </w:tcPr>
          <w:p w14:paraId="3C1AB090" w14:textId="77777777" w:rsidR="00A91DD0" w:rsidRPr="00093922" w:rsidRDefault="00A91DD0" w:rsidP="00A91DD0">
            <w:pPr>
              <w:widowControl/>
              <w:jc w:val="center"/>
              <w:rPr>
                <w:rFonts w:ascii="Times New Roman" w:eastAsia="等线" w:hAnsi="Times New Roman" w:cs="Times New Roman"/>
                <w:color w:val="1F1F1F"/>
                <w:kern w:val="0"/>
                <w:sz w:val="18"/>
                <w:szCs w:val="18"/>
                <w14:ligatures w14:val="none"/>
              </w:rPr>
            </w:pPr>
            <w:r>
              <w:rPr>
                <w:rFonts w:ascii="Times New Roman" w:eastAsia="等线" w:hAnsi="Times New Roman" w:cs="Times New Roman"/>
                <w:color w:val="1F1F1F"/>
                <w:kern w:val="0"/>
                <w:sz w:val="18"/>
                <w:szCs w:val="18"/>
                <w14:ligatures w14:val="none"/>
              </w:rPr>
              <w:t>R2</w:t>
            </w:r>
          </w:p>
        </w:tc>
        <w:tc>
          <w:tcPr>
            <w:tcW w:w="2268" w:type="dxa"/>
            <w:tcMar>
              <w:top w:w="80" w:type="dxa"/>
              <w:left w:w="80" w:type="dxa"/>
              <w:bottom w:w="80" w:type="dxa"/>
              <w:right w:w="80" w:type="dxa"/>
            </w:tcMar>
            <w:vAlign w:val="center"/>
            <w:hideMark/>
          </w:tcPr>
          <w:p w14:paraId="66F452AF"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experimental design ensured that a wide range of abnormal gait types (e.g., limping, dragging) were modeled.</w:t>
            </w:r>
          </w:p>
        </w:tc>
        <w:tc>
          <w:tcPr>
            <w:tcW w:w="2409" w:type="dxa"/>
            <w:tcMar>
              <w:top w:w="80" w:type="dxa"/>
              <w:left w:w="80" w:type="dxa"/>
              <w:bottom w:w="80" w:type="dxa"/>
              <w:right w:w="80" w:type="dxa"/>
            </w:tcMar>
            <w:vAlign w:val="center"/>
            <w:hideMark/>
          </w:tcPr>
          <w:p w14:paraId="461503A0"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Predictors were processed using standardized image reconstruction methods to eliminate subjective assessment errors.</w:t>
            </w:r>
          </w:p>
        </w:tc>
        <w:tc>
          <w:tcPr>
            <w:tcW w:w="2552" w:type="dxa"/>
            <w:tcMar>
              <w:top w:w="80" w:type="dxa"/>
              <w:left w:w="80" w:type="dxa"/>
              <w:bottom w:w="80" w:type="dxa"/>
              <w:right w:w="80" w:type="dxa"/>
            </w:tcMar>
            <w:vAlign w:val="center"/>
            <w:hideMark/>
          </w:tcPr>
          <w:p w14:paraId="2F38FB3A"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Standardized thresholds for reconstruction error were used to maintain consistency in outcome classification across all trials.</w:t>
            </w:r>
          </w:p>
        </w:tc>
        <w:tc>
          <w:tcPr>
            <w:tcW w:w="2551" w:type="dxa"/>
            <w:tcMar>
              <w:top w:w="80" w:type="dxa"/>
              <w:left w:w="80" w:type="dxa"/>
              <w:bottom w:w="80" w:type="dxa"/>
              <w:right w:w="80" w:type="dxa"/>
            </w:tcMar>
            <w:vAlign w:val="center"/>
            <w:hideMark/>
          </w:tcPr>
          <w:p w14:paraId="380A9B57"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Risk.</w:t>
            </w:r>
            <w:r>
              <w:rPr>
                <w:rFonts w:ascii="Times New Roman" w:eastAsia="等线" w:hAnsi="Times New Roman" w:cs="Times New Roman"/>
                <w:color w:val="1F1F1F"/>
                <w:kern w:val="0"/>
                <w:sz w:val="18"/>
                <w:szCs w:val="18"/>
                <w14:ligatures w14:val="none"/>
              </w:rPr>
              <w:t xml:space="preserve"> The use of ROC curves and accuracy metrics indicates that the model has good discriminative power for health monitoring.</w:t>
            </w:r>
          </w:p>
        </w:tc>
        <w:tc>
          <w:tcPr>
            <w:tcW w:w="567" w:type="dxa"/>
            <w:tcMar>
              <w:top w:w="80" w:type="dxa"/>
              <w:left w:w="80" w:type="dxa"/>
              <w:bottom w:w="80" w:type="dxa"/>
              <w:right w:w="80" w:type="dxa"/>
            </w:tcMar>
            <w:vAlign w:val="center"/>
            <w:hideMark/>
          </w:tcPr>
          <w:p w14:paraId="09F62616" w14:textId="77777777" w:rsidR="00A91DD0" w:rsidRPr="007129A9" w:rsidRDefault="00A91DD0" w:rsidP="00A91DD0">
            <w:pPr>
              <w:widowControl/>
              <w:jc w:val="center"/>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
                <w:bCs/>
                <w:color w:val="1F1F1F"/>
                <w:kern w:val="0"/>
                <w:sz w:val="18"/>
                <w:szCs w:val="18"/>
                <w14:ligatures w14:val="none"/>
              </w:rPr>
              <w:t>Low Risk</w:t>
            </w:r>
          </w:p>
        </w:tc>
        <w:tc>
          <w:tcPr>
            <w:tcW w:w="2919" w:type="dxa"/>
            <w:tcMar>
              <w:top w:w="80" w:type="dxa"/>
              <w:left w:w="80" w:type="dxa"/>
              <w:bottom w:w="80" w:type="dxa"/>
              <w:right w:w="80" w:type="dxa"/>
            </w:tcMar>
            <w:vAlign w:val="center"/>
            <w:hideMark/>
          </w:tcPr>
          <w:p w14:paraId="431FC66D" w14:textId="77777777" w:rsidR="00A91DD0" w:rsidRPr="00093922" w:rsidRDefault="00A91DD0" w:rsidP="00A91DD0">
            <w:pPr>
              <w:widowControl/>
              <w:jc w:val="left"/>
              <w:rPr>
                <w:rFonts w:ascii="Times New Roman" w:eastAsia="等线" w:hAnsi="Times New Roman" w:cs="Times New Roman"/>
                <w:b/>
                <w:bCs/>
                <w:color w:val="1F1F1F"/>
                <w:kern w:val="0"/>
                <w:sz w:val="18"/>
                <w:szCs w:val="18"/>
                <w14:ligatures w14:val="none"/>
              </w:rPr>
            </w:pPr>
            <w:r>
              <w:rPr>
                <w:rFonts w:ascii="Times New Roman" w:eastAsia="等线" w:hAnsi="Times New Roman" w:cs="Times New Roman"/>
                <w:bCs/>
                <w:color w:val="1F1F1F"/>
                <w:kern w:val="0"/>
                <w:sz w:val="18"/>
                <w:szCs w:val="18"/>
                <w14:ligatures w14:val="none"/>
              </w:rPr>
              <w:t>Low Concern.</w:t>
            </w:r>
            <w:r>
              <w:rPr>
                <w:rFonts w:ascii="Times New Roman" w:eastAsia="等线" w:hAnsi="Times New Roman" w:cs="Times New Roman"/>
                <w:color w:val="1F1F1F"/>
                <w:kern w:val="0"/>
                <w:sz w:val="18"/>
                <w:szCs w:val="18"/>
                <w14:ligatures w14:val="none"/>
              </w:rPr>
              <w:t xml:space="preserve"> The automated system directly supports the goal of independent living by enabling early detection of mobility decline.</w:t>
            </w:r>
          </w:p>
        </w:tc>
      </w:tr>
    </w:tbl>
    <w:p w14:paraId="2B2B965F" w14:textId="77777777" w:rsidR="00E70E40" w:rsidRDefault="00E70E40" w:rsidP="00E70E40">
      <w:pPr>
        <w:rPr>
          <w:rFonts w:hint="eastAsia"/>
          <w:sz w:val="13"/>
          <w:szCs w:val="13"/>
        </w:rPr>
      </w:pPr>
    </w:p>
    <w:p w14:paraId="42348BE2" w14:textId="7D04251B" w:rsidR="00B5213D" w:rsidRPr="00B5213D" w:rsidRDefault="007943A2" w:rsidP="00E70E40">
      <w:pPr>
        <w:rPr>
          <w:rFonts w:hint="eastAsia"/>
        </w:rPr>
      </w:pPr>
      <w:r>
        <w:rPr>
          <w:rFonts w:ascii="Times New Roman" w:hAnsi="Times New Roman" w:cs="Times New Roman"/>
          <w:b/>
          <w:bCs/>
          <w:sz w:val="24"/>
          <w:szCs w:val="24"/>
        </w:rPr>
        <w:t>Reference</w:t>
      </w:r>
      <w:r>
        <w:rPr>
          <w:rFonts w:ascii="Times New Roman" w:hAnsi="Times New Roman" w:cs="Times New Roman" w:hint="eastAsia"/>
          <w:b/>
          <w:bCs/>
          <w:sz w:val="24"/>
          <w:szCs w:val="24"/>
        </w:rPr>
        <w:t xml:space="preserve"> List 1 (</w:t>
      </w:r>
      <w:r>
        <w:rPr>
          <w:rFonts w:ascii="Times New Roman" w:hAnsi="Times New Roman" w:cs="Times New Roman"/>
          <w:b/>
          <w:bCs/>
          <w:sz w:val="24"/>
          <w:szCs w:val="24"/>
        </w:rPr>
        <w:t>Assessment tools</w:t>
      </w:r>
      <w:r>
        <w:rPr>
          <w:rFonts w:ascii="Times New Roman" w:hAnsi="Times New Roman" w:cs="Times New Roman" w:hint="eastAsia"/>
          <w:b/>
          <w:bCs/>
          <w:sz w:val="24"/>
          <w:szCs w:val="24"/>
        </w:rPr>
        <w:t>)</w:t>
      </w:r>
    </w:p>
    <w:p w14:paraId="74E740FA" w14:textId="77777777" w:rsidR="00B5213D" w:rsidRPr="00B5213D" w:rsidRDefault="00B5213D" w:rsidP="00E70E40">
      <w:pPr>
        <w:rPr>
          <w:rFonts w:ascii="Times New Roman" w:hAnsi="Times New Roman" w:cs="Times New Roman"/>
        </w:rPr>
      </w:pPr>
      <w:r>
        <w:rPr>
          <w:rFonts w:ascii="Times New Roman" w:hAnsi="Times New Roman" w:cs="Times New Roman"/>
        </w:rPr>
        <w:t xml:space="preserve">Barker, T. H., Stone, J. C., Sears, K., Klugar, M., Tufanaru, C., Leonardi-Bee, J., Aromataris, E., &amp; Munn, Z. (2023a). The revised JBI critical appraisal tool for the assessment of risk of bias for randomized controlled trials. JBI Evidence Synthesis. </w:t>
      </w:r>
      <w:hyperlink r:id="rId9" w:tgtFrame="_blank" w:history="1">
        <w:r>
          <w:rPr>
            <w:rStyle w:val="af4"/>
            <w:rFonts w:ascii="Times New Roman" w:hAnsi="Times New Roman" w:cs="Times New Roman"/>
          </w:rPr>
          <w:t>https://doi.org/10.11124/JBIES-22-00430</w:t>
        </w:r>
      </w:hyperlink>
    </w:p>
    <w:p w14:paraId="66B4BBE4" w14:textId="77777777" w:rsidR="00B5213D" w:rsidRPr="00B5213D" w:rsidRDefault="00B5213D" w:rsidP="00E70E40">
      <w:pPr>
        <w:rPr>
          <w:rFonts w:ascii="Times New Roman" w:hAnsi="Times New Roman" w:cs="Times New Roman"/>
        </w:rPr>
      </w:pPr>
      <w:r>
        <w:rPr>
          <w:rFonts w:ascii="Times New Roman" w:hAnsi="Times New Roman" w:cs="Times New Roman"/>
        </w:rPr>
        <w:t xml:space="preserve">Barker, T. H., Stone, J. C., Sears, K., Klugar, M., Leonardi-Bee, J., Tufanaru, C., Aromataris, E., &amp; Munn, Z. (2023b). Revising the JBI quantitative critical appraisal tools to improve their applicability: an overview of methods and the development process. JBI Evidence Synthesis, 21(3), 478–493. </w:t>
      </w:r>
      <w:hyperlink r:id="rId10" w:tgtFrame="_blank" w:history="1">
        <w:r>
          <w:rPr>
            <w:rStyle w:val="af4"/>
            <w:rFonts w:ascii="Times New Roman" w:hAnsi="Times New Roman" w:cs="Times New Roman"/>
          </w:rPr>
          <w:t>https://doi.org/10.11124/JBIES-22-00125</w:t>
        </w:r>
      </w:hyperlink>
    </w:p>
    <w:p w14:paraId="3E990A72" w14:textId="77777777" w:rsidR="00B5213D" w:rsidRPr="00B5213D" w:rsidRDefault="00B5213D" w:rsidP="00E70E40">
      <w:pPr>
        <w:rPr>
          <w:rFonts w:ascii="Times New Roman" w:hAnsi="Times New Roman" w:cs="Times New Roman"/>
        </w:rPr>
      </w:pPr>
      <w:r>
        <w:rPr>
          <w:rFonts w:ascii="Times New Roman" w:hAnsi="Times New Roman" w:cs="Times New Roman"/>
        </w:rPr>
        <w:t xml:space="preserve">Barker, T. H., Habibi, N., Aromataris, E., Stone, J. C., Leonardi-Bee, J., Sears, K., Hasanoff, S., Klugar, M., Tufanaru, C., Moola, S., &amp; Munn, Z. (2024). The revised JBI critical appraisal tool for the assessment of risk of bias for quasi-experimental studies. JBI Evidence Synthesis, 22(3), 378–388. </w:t>
      </w:r>
      <w:hyperlink r:id="rId11" w:tgtFrame="_blank" w:history="1">
        <w:r>
          <w:rPr>
            <w:rStyle w:val="af4"/>
            <w:rFonts w:ascii="Times New Roman" w:hAnsi="Times New Roman" w:cs="Times New Roman"/>
          </w:rPr>
          <w:t>https://doi.org/10.11124/JBIES-23-00268</w:t>
        </w:r>
      </w:hyperlink>
    </w:p>
    <w:p w14:paraId="1032917B" w14:textId="77777777" w:rsidR="00B5213D" w:rsidRPr="00B5213D" w:rsidRDefault="00B5213D" w:rsidP="00E70E40">
      <w:pPr>
        <w:rPr>
          <w:rFonts w:ascii="Times New Roman" w:hAnsi="Times New Roman" w:cs="Times New Roman"/>
        </w:rPr>
      </w:pPr>
      <w:r>
        <w:rPr>
          <w:rFonts w:ascii="Times New Roman" w:hAnsi="Times New Roman" w:cs="Times New Roman"/>
        </w:rPr>
        <w:t xml:space="preserve">Barker, T. H., Hasanoff, S., Aromataris, E., Stone, J. C., Leonardi-Bee, J., Sears, K., Habibi, N., Klugar, M., Tufanaru, C., Moola, S., Liu, X. L., &amp; Munn, Z. (2025). The revised JBI critical appraisal tool for the assessment of risk of bias for cohort studies. JBI Evidence Synthesis, 23(3), 441–453. </w:t>
      </w:r>
      <w:hyperlink r:id="rId12" w:tgtFrame="_blank" w:history="1">
        <w:r>
          <w:rPr>
            <w:rStyle w:val="af4"/>
            <w:rFonts w:ascii="Times New Roman" w:hAnsi="Times New Roman" w:cs="Times New Roman"/>
          </w:rPr>
          <w:t>https://doi.org/10.11124/JBIES-24-00103</w:t>
        </w:r>
      </w:hyperlink>
    </w:p>
    <w:p w14:paraId="7F03DBE5" w14:textId="77777777" w:rsidR="00B5213D" w:rsidRPr="00B5213D" w:rsidRDefault="00B5213D" w:rsidP="00E70E40">
      <w:pPr>
        <w:rPr>
          <w:rFonts w:ascii="Times New Roman" w:hAnsi="Times New Roman" w:cs="Times New Roman"/>
        </w:rPr>
      </w:pPr>
      <w:r>
        <w:rPr>
          <w:rFonts w:ascii="Times New Roman" w:hAnsi="Times New Roman" w:cs="Times New Roman"/>
        </w:rPr>
        <w:t xml:space="preserve">Hong, Q. N., Fàbregues, S., Bartlett, G., Boardman, F., Cargo, M., Dagenais, P., Gagnon, M. P., Griffiths, F., Nicolau, B., O’Cathain, A., Rousseau, M. C., Vedel, I., &amp; Pluye, P. (2018). The Mixed Methods Appraisal Tool (MMAT) version 2018 for information professionals and researchers. Education for Information, 34(4), 285–291. </w:t>
      </w:r>
      <w:hyperlink r:id="rId13" w:tgtFrame="_blank" w:history="1">
        <w:r>
          <w:rPr>
            <w:rStyle w:val="af4"/>
            <w:rFonts w:ascii="Times New Roman" w:hAnsi="Times New Roman" w:cs="Times New Roman"/>
          </w:rPr>
          <w:t>https://doi.org/10.3233/EFI-180221</w:t>
        </w:r>
      </w:hyperlink>
    </w:p>
    <w:p w14:paraId="5217D395" w14:textId="77777777" w:rsidR="00B5213D" w:rsidRPr="00B5213D" w:rsidRDefault="00B5213D" w:rsidP="00E70E40">
      <w:pPr>
        <w:rPr>
          <w:rFonts w:ascii="Times New Roman" w:hAnsi="Times New Roman" w:cs="Times New Roman"/>
        </w:rPr>
      </w:pPr>
      <w:r>
        <w:rPr>
          <w:rFonts w:ascii="Times New Roman" w:hAnsi="Times New Roman" w:cs="Times New Roman"/>
        </w:rPr>
        <w:t xml:space="preserve">Lockwood, C., Munn, Z., &amp; Porritt, K. (2015). Qualitative research synthesis: methodological guidance for systematic reviewers utilizing meta-aggregation. International Journal of Evidence-Based Healthcare, 13(3), 179–187. </w:t>
      </w:r>
      <w:hyperlink r:id="rId14" w:tgtFrame="_blank" w:history="1">
        <w:r>
          <w:rPr>
            <w:rStyle w:val="af4"/>
            <w:rFonts w:ascii="Times New Roman" w:hAnsi="Times New Roman" w:cs="Times New Roman"/>
          </w:rPr>
          <w:t>https://doi.org/10.1097/XEB.0000000000000062</w:t>
        </w:r>
      </w:hyperlink>
    </w:p>
    <w:p w14:paraId="771CCA7A" w14:textId="77777777" w:rsidR="00B5213D" w:rsidRPr="00B5213D" w:rsidRDefault="00B5213D" w:rsidP="00E70E40">
      <w:pPr>
        <w:rPr>
          <w:rFonts w:ascii="Times New Roman" w:hAnsi="Times New Roman" w:cs="Times New Roman"/>
        </w:rPr>
      </w:pPr>
      <w:r>
        <w:rPr>
          <w:rFonts w:ascii="Times New Roman" w:hAnsi="Times New Roman" w:cs="Times New Roman"/>
        </w:rPr>
        <w:t xml:space="preserve">McArthur, A., Cooper, A., Edwards, D., Klugarova, J., Yan, H., Barber, B. V., Gregg, E. E., Weeks, L. E., &amp; Jordan, Z. (2025). Textual evidence systematic reviews series paper 3: critical appraisal of evidence from narrative, opinion, and policy. JBI Evidence Synthesis, 23(5), 833–839. </w:t>
      </w:r>
      <w:hyperlink r:id="rId15" w:tgtFrame="_blank" w:history="1">
        <w:r>
          <w:rPr>
            <w:rStyle w:val="af4"/>
            <w:rFonts w:ascii="Times New Roman" w:hAnsi="Times New Roman" w:cs="Times New Roman"/>
          </w:rPr>
          <w:t>https://doi.org/10.11124/JBIES-24-00293</w:t>
        </w:r>
      </w:hyperlink>
    </w:p>
    <w:p w14:paraId="269091E0" w14:textId="77777777" w:rsidR="00B5213D" w:rsidRPr="00B5213D" w:rsidRDefault="00B5213D" w:rsidP="00E70E40">
      <w:pPr>
        <w:rPr>
          <w:rFonts w:ascii="Times New Roman" w:hAnsi="Times New Roman" w:cs="Times New Roman"/>
        </w:rPr>
      </w:pPr>
      <w:r>
        <w:rPr>
          <w:rFonts w:ascii="Times New Roman" w:hAnsi="Times New Roman" w:cs="Times New Roman"/>
        </w:rPr>
        <w:t xml:space="preserve">Moons, K. G. M., Damen, J. A. A., Kaul, T., Hooft, L., Andaur Navarro, C., Dhiman, P., Beam, A. L., Van Calster, B., Celi, L. A., Denaxas, S., Denniston, A. K., Ghassemi, M., Heinze, G., Kengne, A. P., Maier-Hein, L., Liu, X., Logullo, P., McCradden, M. D., Liu, N., … van Smeden, M. (2025). PROBAST+AI: an updated quality, risk of bias, and applicability assessment tool for prediction models using regression or artificial intelligence methods. BMJ (Online), 388, e082505. </w:t>
      </w:r>
      <w:hyperlink r:id="rId16" w:tgtFrame="_blank" w:history="1">
        <w:r>
          <w:rPr>
            <w:rStyle w:val="af4"/>
            <w:rFonts w:ascii="Times New Roman" w:hAnsi="Times New Roman" w:cs="Times New Roman"/>
          </w:rPr>
          <w:t>https://doi.org/10.1136/bmj-2024-082505</w:t>
        </w:r>
      </w:hyperlink>
    </w:p>
    <w:p w14:paraId="1338F30D" w14:textId="7A46917D" w:rsidR="00FB6B47" w:rsidRPr="00E70E40" w:rsidRDefault="00DB210E">
      <w:pPr>
        <w:rPr>
          <w:rFonts w:ascii="Times New Roman" w:hAnsi="Times New Roman" w:cs="Times New Roman"/>
          <w:b/>
          <w:bCs/>
          <w:sz w:val="24"/>
          <w:szCs w:val="24"/>
        </w:rPr>
      </w:pPr>
      <w:r>
        <w:rPr>
          <w:rFonts w:ascii="Times New Roman" w:hAnsi="Times New Roman" w:cs="Times New Roman"/>
          <w:b/>
          <w:bCs/>
          <w:sz w:val="24"/>
          <w:szCs w:val="24"/>
        </w:rPr>
        <w:br/>
        <w:t>Reference List 2</w:t>
      </w:r>
      <w:r>
        <w:rPr>
          <w:rFonts w:ascii="Times New Roman" w:hAnsi="Times New Roman" w:cs="Times New Roman" w:hint="eastAsia"/>
          <w:b/>
          <w:bCs/>
          <w:sz w:val="24"/>
          <w:szCs w:val="24"/>
        </w:rPr>
        <w:t xml:space="preserve"> (</w:t>
      </w:r>
      <w:r>
        <w:rPr>
          <w:rFonts w:ascii="Times New Roman" w:hAnsi="Times New Roman" w:cs="Times New Roman"/>
          <w:b/>
          <w:bCs/>
          <w:sz w:val="24"/>
          <w:szCs w:val="24"/>
        </w:rPr>
        <w:t>List of excluded papers</w:t>
      </w:r>
      <w:r>
        <w:rPr>
          <w:rFonts w:ascii="Times New Roman" w:hAnsi="Times New Roman" w:cs="Times New Roman" w:hint="eastAsia"/>
          <w:b/>
          <w:bCs/>
          <w:sz w:val="24"/>
          <w:szCs w:val="24"/>
        </w:rPr>
        <w:t>)</w:t>
      </w:r>
    </w:p>
    <w:p w14:paraId="0AD107CD" w14:textId="77777777" w:rsidR="00FB6B47" w:rsidRPr="00E70E40" w:rsidRDefault="00000000" w:rsidP="00E70E40">
      <w:pPr>
        <w:rPr>
          <w:rFonts w:ascii="Times New Roman" w:hAnsi="Times New Roman" w:cs="Times New Roman"/>
        </w:rPr>
      </w:pPr>
      <w:r>
        <w:rPr>
          <w:rFonts w:ascii="Times New Roman" w:hAnsi="Times New Roman" w:cs="Times New Roman"/>
        </w:rPr>
        <w:t>Alaraj, R., &amp; Alshammari, R. (2020). Utilizing machine learning to recognize human activities for elderly and homecare. Acta Informatica Medica, 28(3), 196 to 201. https://doi.org/10.5455/aim.2020.28.196-201</w:t>
      </w:r>
    </w:p>
    <w:p w14:paraId="1025014B" w14:textId="77777777" w:rsidR="00FB6B47" w:rsidRPr="00E70E40" w:rsidRDefault="00000000" w:rsidP="00E70E40">
      <w:pPr>
        <w:rPr>
          <w:rFonts w:ascii="Times New Roman" w:hAnsi="Times New Roman" w:cs="Times New Roman"/>
        </w:rPr>
      </w:pPr>
      <w:r>
        <w:rPr>
          <w:rFonts w:ascii="Times New Roman" w:hAnsi="Times New Roman" w:cs="Times New Roman"/>
        </w:rPr>
        <w:t>Augustyniak, P. (2014). Intelligent Sensing and Learning for Assisted Living Applications. Advances in Intelligent Systems and Computing Human-Computer Systems Interaction: Backgrounds and Applications 3, 155 to 166. https://doi.org/10.1007/978-3-319-08491-6_13</w:t>
      </w:r>
    </w:p>
    <w:p w14:paraId="76AF4819" w14:textId="77777777" w:rsidR="00FB6B47" w:rsidRPr="00E70E40" w:rsidRDefault="00000000" w:rsidP="00E70E40">
      <w:pPr>
        <w:rPr>
          <w:rFonts w:ascii="Times New Roman" w:hAnsi="Times New Roman" w:cs="Times New Roman"/>
        </w:rPr>
      </w:pPr>
      <w:r>
        <w:rPr>
          <w:rFonts w:ascii="Times New Roman" w:hAnsi="Times New Roman" w:cs="Times New Roman"/>
        </w:rPr>
        <w:lastRenderedPageBreak/>
        <w:t>Awais, M., Chiari, L., Ihlen, E. A. F., Helbostad, J. L., &amp; Palmerini, L. (2021). Classical Machine Learning Versus Deep Learning for the Older Adults Free-Living Activity Classification. Sensors, 21(14), 4669. https://doi.org/10.3390/s21144669</w:t>
      </w:r>
    </w:p>
    <w:p w14:paraId="3D6DED94" w14:textId="77777777" w:rsidR="00FB6B47" w:rsidRPr="00E70E40" w:rsidRDefault="00000000" w:rsidP="00E70E40">
      <w:pPr>
        <w:rPr>
          <w:rFonts w:ascii="Times New Roman" w:hAnsi="Times New Roman" w:cs="Times New Roman"/>
        </w:rPr>
      </w:pPr>
      <w:r>
        <w:rPr>
          <w:rFonts w:ascii="Times New Roman" w:hAnsi="Times New Roman" w:cs="Times New Roman"/>
        </w:rPr>
        <w:t>Basahel, S. B., Bajaba, S., Yamin, M., Mohanty, S. N., &amp; Lydia, E. L. (2023). Teamwork optimization with deep learning based fall detection for IoT enabled smart healthcare system. Computers Materials and Continua, 75(1), 1353 to 1369. https://doi.org/10.32604/cmc.2023.036453</w:t>
      </w:r>
    </w:p>
    <w:p w14:paraId="3D402267" w14:textId="77777777" w:rsidR="00FB6B47" w:rsidRPr="00E70E40" w:rsidRDefault="00000000" w:rsidP="00E70E40">
      <w:pPr>
        <w:rPr>
          <w:rFonts w:ascii="Times New Roman" w:hAnsi="Times New Roman" w:cs="Times New Roman"/>
        </w:rPr>
      </w:pPr>
      <w:r>
        <w:rPr>
          <w:rFonts w:ascii="Times New Roman" w:hAnsi="Times New Roman" w:cs="Times New Roman"/>
        </w:rPr>
        <w:t>Beristain Iraola, A., Álvarez Sánchez, R., Hors-Fraile, S., Petsani, D., Timoleon, M., Díaz-Orueta, U., Carroll, J., Hopper, L., Epelde, G., Kerexeta, J., Bamidis, P., &amp; Konstantinidis, E. (2021). User Centered Virtual Coaching for Older Adults at Home Using SMART Goal Plans and I-Change Model. International Journal of Environmental Research and Public Health, 18(13), 6868. https://doi.org/10.3390/ijerph18136868</w:t>
      </w:r>
    </w:p>
    <w:p w14:paraId="6074A8E0" w14:textId="77777777" w:rsidR="00FB6B47" w:rsidRPr="00E70E40" w:rsidRDefault="00000000" w:rsidP="00E70E40">
      <w:pPr>
        <w:rPr>
          <w:rFonts w:ascii="Times New Roman" w:hAnsi="Times New Roman" w:cs="Times New Roman"/>
        </w:rPr>
      </w:pPr>
      <w:r>
        <w:rPr>
          <w:rFonts w:ascii="Times New Roman" w:hAnsi="Times New Roman" w:cs="Times New Roman"/>
        </w:rPr>
        <w:t>Cantone, A. A., Esposito, M., Perillo, F. P., Romano, M., Sebillo, M., &amp; Vitiello, G. (2023). Enhancing Elderly Health Monitoring: Achieving Autonomous and Secure Living through the Integration of Artificial Intelligence, Autonomous Robots, and Sensors. Electronics, 12(18), 3918. https://doi.org/10.3390/electronics12183918</w:t>
      </w:r>
    </w:p>
    <w:p w14:paraId="767F82F2" w14:textId="77777777" w:rsidR="00FB6B47" w:rsidRPr="00E70E40" w:rsidRDefault="00000000" w:rsidP="00E70E40">
      <w:pPr>
        <w:rPr>
          <w:rFonts w:ascii="Times New Roman" w:hAnsi="Times New Roman" w:cs="Times New Roman"/>
        </w:rPr>
      </w:pPr>
      <w:r>
        <w:rPr>
          <w:rFonts w:ascii="Times New Roman" w:hAnsi="Times New Roman" w:cs="Times New Roman"/>
        </w:rPr>
        <w:t>Chapron, K., Lapointe, P., Bouchard, K., &amp; Gaboury, S. (2020). Highly Accurate Bathroom Activity Recognition Using Infrared Proximity Sensors. IEEE Journal of Biomedical and Health Informatics, 24(8), 2368 to 2377. https://doi.org/10.1109/JBHI.2019.2963388</w:t>
      </w:r>
    </w:p>
    <w:p w14:paraId="14CF7B7F" w14:textId="77777777" w:rsidR="00FB6B47" w:rsidRPr="00E70E40" w:rsidRDefault="00000000" w:rsidP="00E70E40">
      <w:pPr>
        <w:rPr>
          <w:rFonts w:ascii="Times New Roman" w:hAnsi="Times New Roman" w:cs="Times New Roman"/>
        </w:rPr>
      </w:pPr>
      <w:r>
        <w:rPr>
          <w:rFonts w:ascii="Times New Roman" w:hAnsi="Times New Roman" w:cs="Times New Roman"/>
        </w:rPr>
        <w:t>Che, Y., Du, L., Tang, G., &amp; Ling, S. (2024). A Biometric Identification for Multi-Modal Biomedical Signals in Geriatric Care. Sensors, 24(20), 6558. https://doi.org/10.3390/s24206558</w:t>
      </w:r>
    </w:p>
    <w:p w14:paraId="76C17B18" w14:textId="77777777" w:rsidR="00FB6B47" w:rsidRPr="00E70E40" w:rsidRDefault="00000000" w:rsidP="00E70E40">
      <w:pPr>
        <w:rPr>
          <w:rFonts w:ascii="Times New Roman" w:hAnsi="Times New Roman" w:cs="Times New Roman"/>
        </w:rPr>
      </w:pPr>
      <w:r>
        <w:rPr>
          <w:rFonts w:ascii="Times New Roman" w:hAnsi="Times New Roman" w:cs="Times New Roman"/>
        </w:rPr>
        <w:t>Chen, C., Koh, S. J., Chang, F., Huang, Y., &amp; Fu, L. (2024). Object-Goal Navigation of Home Care Robot Based on Human Activity Inference and Cognitive Memory. IEEE Transactions on Human-Machine Systems, 54(6), 808 to 817. https://doi.org/10.1109/THMS.2024.3467150</w:t>
      </w:r>
    </w:p>
    <w:p w14:paraId="779C3E41" w14:textId="77777777" w:rsidR="00FB6B47" w:rsidRPr="00E70E40" w:rsidRDefault="00000000" w:rsidP="00E70E40">
      <w:pPr>
        <w:rPr>
          <w:rFonts w:ascii="Times New Roman" w:hAnsi="Times New Roman" w:cs="Times New Roman"/>
        </w:rPr>
      </w:pPr>
      <w:r>
        <w:rPr>
          <w:rFonts w:ascii="Times New Roman" w:hAnsi="Times New Roman" w:cs="Times New Roman"/>
        </w:rPr>
        <w:t>Chew, J., Zeng, Z., Tan, T. H. B., Chew, P., Ali, N., Wang, H., Ong, M., Raymond, R., Pek, K., Wang, D., Zhang, L., Shen, Z., Leung, C., Chin, J. J., Lim, W. S., &amp; Miao, C. (2024). ADL+: A Digital Toolkit for Multidomain Cognitive, Physical, and Nutritional Interventions to Prevent Cognitive Decline in Community-Dwelling Older Adults. International Journal of Environmental Research and Public Health, 22(1), 42. https://doi.org/10.3390/ijerph22010042</w:t>
      </w:r>
    </w:p>
    <w:p w14:paraId="400D2B3D" w14:textId="77777777" w:rsidR="00FB6B47" w:rsidRPr="00E70E40" w:rsidRDefault="00000000" w:rsidP="00E70E40">
      <w:pPr>
        <w:rPr>
          <w:rFonts w:ascii="Times New Roman" w:hAnsi="Times New Roman" w:cs="Times New Roman"/>
        </w:rPr>
      </w:pPr>
      <w:r>
        <w:rPr>
          <w:rFonts w:ascii="Times New Roman" w:hAnsi="Times New Roman" w:cs="Times New Roman"/>
        </w:rPr>
        <w:t>Demiris, G., Harrison, S., Sefcik, J., Skubic, M., Richmond, T. S., &amp; Hodgson, N. A. (2025). Feasibility and acceptability of a technology mediated fall risk prevention intervention for older adults with mild cognitive impairment. The Journals of Gerontology Series A Biological Sciences and Medical Sciences, 80(6), glaf043. https://doi.org/10.1093/gerona/glaf043</w:t>
      </w:r>
    </w:p>
    <w:p w14:paraId="5440A517" w14:textId="77777777" w:rsidR="00FB6B47" w:rsidRPr="00E70E40" w:rsidRDefault="00000000" w:rsidP="00E70E40">
      <w:pPr>
        <w:rPr>
          <w:rFonts w:ascii="Times New Roman" w:hAnsi="Times New Roman" w:cs="Times New Roman"/>
        </w:rPr>
      </w:pPr>
      <w:r>
        <w:rPr>
          <w:rFonts w:ascii="Times New Roman" w:hAnsi="Times New Roman" w:cs="Times New Roman"/>
        </w:rPr>
        <w:t>Farmer, M., &amp; Powell, K. R. (2024). Feasibility of Fall-Risk Detection in Older Adults: Real-World Use of Sensor Data With Machine Learning. Journal of Gerontological Nursing, 50(10), 7 to 10. https://doi.org/10.3928/00989134-20240912-03</w:t>
      </w:r>
    </w:p>
    <w:p w14:paraId="4F0A4CB4" w14:textId="77777777" w:rsidR="00FB6B47" w:rsidRPr="00E70E40" w:rsidRDefault="00000000" w:rsidP="00E70E40">
      <w:pPr>
        <w:rPr>
          <w:rFonts w:ascii="Times New Roman" w:hAnsi="Times New Roman" w:cs="Times New Roman"/>
        </w:rPr>
      </w:pPr>
      <w:r>
        <w:rPr>
          <w:rFonts w:ascii="Times New Roman" w:hAnsi="Times New Roman" w:cs="Times New Roman"/>
        </w:rPr>
        <w:t>Fritz, R. L., &amp; Dermody, G. (2019). A nurse-driven method for developing artificial intelligence in “smart” homes for aging-in-place. Nursing Outlook, 67(2), 140 to 153. https://doi.org/10.1016/j.outlook.2018.11.004</w:t>
      </w:r>
    </w:p>
    <w:p w14:paraId="592D7E10" w14:textId="77777777" w:rsidR="00FB6B47" w:rsidRPr="00E70E40" w:rsidRDefault="00000000" w:rsidP="00E70E40">
      <w:pPr>
        <w:rPr>
          <w:rFonts w:ascii="Times New Roman" w:hAnsi="Times New Roman" w:cs="Times New Roman"/>
        </w:rPr>
      </w:pPr>
      <w:r>
        <w:rPr>
          <w:rFonts w:ascii="Times New Roman" w:hAnsi="Times New Roman" w:cs="Times New Roman"/>
        </w:rPr>
        <w:t>Gao, P. (2023). Development of YOLO based model for fall detection in IoT smart home applications. International Journal of Advanced Computer Science and Applications, 14(10), 1118 to 1124.</w:t>
      </w:r>
    </w:p>
    <w:p w14:paraId="414A2280" w14:textId="4A5B5D4B" w:rsidR="00FB6B47" w:rsidRPr="00E70E40" w:rsidRDefault="00000000" w:rsidP="00E70E40">
      <w:pPr>
        <w:rPr>
          <w:rFonts w:ascii="Times New Roman" w:hAnsi="Times New Roman" w:cs="Times New Roman"/>
        </w:rPr>
      </w:pPr>
      <w:r>
        <w:rPr>
          <w:rFonts w:ascii="Times New Roman" w:hAnsi="Times New Roman" w:cs="Times New Roman"/>
        </w:rPr>
        <w:t>Garcia Vazquez, J. P., Rodriguez, M. D., Tentori, M. E., Saldana, D., Andrade, A. G., &amp; Espinoza, A. N. (n.d.). An agent based architecture for developing activity aware systems for assisting elderly</w:t>
      </w:r>
      <w:r>
        <w:rPr>
          <w:rFonts w:ascii="Times New Roman" w:hAnsi="Times New Roman" w:cs="Times New Roman" w:hint="eastAsia"/>
        </w:rPr>
        <w:t>.</w:t>
      </w:r>
    </w:p>
    <w:p w14:paraId="541A578C" w14:textId="77777777" w:rsidR="00FB6B47" w:rsidRPr="00E70E40" w:rsidRDefault="00000000" w:rsidP="00E70E40">
      <w:pPr>
        <w:rPr>
          <w:rFonts w:ascii="Times New Roman" w:hAnsi="Times New Roman" w:cs="Times New Roman"/>
        </w:rPr>
      </w:pPr>
      <w:r>
        <w:rPr>
          <w:rFonts w:ascii="Times New Roman" w:hAnsi="Times New Roman" w:cs="Times New Roman"/>
        </w:rPr>
        <w:t>Gayathri, K. S., Easwarakumar, K. S., &amp; Elias, S. (2020). Fuzzy ontology based activity recognition for assistive health care using smart home. International Journal of Intelligent Information Technologies, 16(1), 17 to 35. https://doi.org/10.4018/IJIIT.2020010102</w:t>
      </w:r>
    </w:p>
    <w:p w14:paraId="119D87E7" w14:textId="77777777" w:rsidR="00FB6B47" w:rsidRPr="00E70E40" w:rsidRDefault="00000000" w:rsidP="00E70E40">
      <w:pPr>
        <w:rPr>
          <w:rFonts w:ascii="Times New Roman" w:hAnsi="Times New Roman" w:cs="Times New Roman"/>
        </w:rPr>
      </w:pPr>
      <w:r>
        <w:rPr>
          <w:rFonts w:ascii="Times New Roman" w:hAnsi="Times New Roman" w:cs="Times New Roman"/>
        </w:rPr>
        <w:t>Ghayvat, H., &amp; Gope, P. (2023). Smart aging monitoring and early dementia recognition (SAMEDR): uncovering the hidden wellness parameter for preventive well-being monitoring to categorize cognitive impairment and dementia in community-dwelling elderly subjects through AI. Neural Computing and Applications, 35(33), 23739 to 23751. https://doi.org/10.1007/s00521-021-06139-8</w:t>
      </w:r>
    </w:p>
    <w:p w14:paraId="63736DED" w14:textId="77777777" w:rsidR="00FB6B47" w:rsidRPr="00E70E40" w:rsidRDefault="00000000" w:rsidP="00E70E40">
      <w:pPr>
        <w:rPr>
          <w:rFonts w:ascii="Times New Roman" w:hAnsi="Times New Roman" w:cs="Times New Roman"/>
        </w:rPr>
      </w:pPr>
      <w:r>
        <w:rPr>
          <w:rFonts w:ascii="Times New Roman" w:hAnsi="Times New Roman" w:cs="Times New Roman"/>
        </w:rPr>
        <w:t xml:space="preserve">Giggins, O. M., Vavasour, G., &amp; Doyle, J. (2025). Unsupervised assessment of frailty status using wearable sensors. Advances in Rehabilitation Science and Practice, 14, 1 to 8. </w:t>
      </w:r>
      <w:r>
        <w:rPr>
          <w:rFonts w:ascii="Times New Roman" w:hAnsi="Times New Roman" w:cs="Times New Roman"/>
        </w:rPr>
        <w:lastRenderedPageBreak/>
        <w:t>https://doi.org/10.1177/27536351241311845</w:t>
      </w:r>
    </w:p>
    <w:p w14:paraId="5E4D0219" w14:textId="77777777" w:rsidR="00FB6B47" w:rsidRPr="00E70E40" w:rsidRDefault="00000000" w:rsidP="00E70E40">
      <w:pPr>
        <w:rPr>
          <w:rFonts w:ascii="Times New Roman" w:hAnsi="Times New Roman" w:cs="Times New Roman"/>
        </w:rPr>
      </w:pPr>
      <w:r>
        <w:rPr>
          <w:rFonts w:ascii="Times New Roman" w:hAnsi="Times New Roman" w:cs="Times New Roman"/>
        </w:rPr>
        <w:t>Hamdi, M., Bouhamed, H., AlGarni, A., Elmannai, H., &amp; Meshoul, S. (2021). Deep learning and uniform LBP histograms for position recognition of elderly people with privacy preservation. International Journal of Computers Communications and Control, 16(5), Article 4256. https://doi.org/10.15837/ijccc.2021.5.4256</w:t>
      </w:r>
    </w:p>
    <w:p w14:paraId="4B567397" w14:textId="77777777" w:rsidR="00FB6B47" w:rsidRPr="00E70E40" w:rsidRDefault="00000000" w:rsidP="00E70E40">
      <w:pPr>
        <w:rPr>
          <w:rFonts w:ascii="Times New Roman" w:hAnsi="Times New Roman" w:cs="Times New Roman"/>
        </w:rPr>
      </w:pPr>
      <w:r>
        <w:rPr>
          <w:rFonts w:ascii="Times New Roman" w:hAnsi="Times New Roman" w:cs="Times New Roman"/>
        </w:rPr>
        <w:t>Ianculescu, M., Paraschiv, E., &amp; Alexandru, A. (2022). Addressing Mild Cognitive Impairment and Boosting Wellness for the Elderly through Personalized Remote Monitoring. Healthcare, 10(7), 1214. https://doi.org/10.3390/healthcare10071214</w:t>
      </w:r>
    </w:p>
    <w:p w14:paraId="4E9D4105" w14:textId="77777777" w:rsidR="00FB6B47" w:rsidRPr="00E70E40" w:rsidRDefault="00000000" w:rsidP="00E70E40">
      <w:pPr>
        <w:rPr>
          <w:rFonts w:ascii="Times New Roman" w:hAnsi="Times New Roman" w:cs="Times New Roman"/>
        </w:rPr>
      </w:pPr>
      <w:r>
        <w:rPr>
          <w:rFonts w:ascii="Times New Roman" w:hAnsi="Times New Roman" w:cs="Times New Roman"/>
        </w:rPr>
        <w:t>Islam, M. Z., Sagar, A. S. M. S., &amp; Kim, H. S. (2024). Enabling Pandemic-Resilient Healthcare: Edge-Computing-Assisted Real-Time Elderly Caring Monitoring System. Applied Sciences, 14(18), 8486. https://doi.org/10.3390/app14188486</w:t>
      </w:r>
    </w:p>
    <w:p w14:paraId="01D43C81" w14:textId="77777777" w:rsidR="00FB6B47" w:rsidRPr="00E70E40" w:rsidRDefault="00000000" w:rsidP="00E70E40">
      <w:pPr>
        <w:rPr>
          <w:rFonts w:ascii="Times New Roman" w:hAnsi="Times New Roman" w:cs="Times New Roman"/>
        </w:rPr>
      </w:pPr>
      <w:r>
        <w:rPr>
          <w:rFonts w:ascii="Times New Roman" w:hAnsi="Times New Roman" w:cs="Times New Roman"/>
        </w:rPr>
        <w:t>Jansson, J., &amp; Hakala, I. (2020). Managing sensor data streams in a smart home application. International Journal of Sensor Networks, 32(4), 247 to 258. https://doi.org/10.1504/IJSNET.2020.106603</w:t>
      </w:r>
    </w:p>
    <w:p w14:paraId="4621D29E" w14:textId="77777777" w:rsidR="00FB6B47" w:rsidRPr="00E70E40" w:rsidRDefault="00000000" w:rsidP="00E70E40">
      <w:pPr>
        <w:rPr>
          <w:rFonts w:ascii="Times New Roman" w:hAnsi="Times New Roman" w:cs="Times New Roman"/>
        </w:rPr>
      </w:pPr>
      <w:r>
        <w:rPr>
          <w:rFonts w:ascii="Times New Roman" w:hAnsi="Times New Roman" w:cs="Times New Roman"/>
        </w:rPr>
        <w:t>Kurnianingsih, Nugroho, L. E., Widyawan, &amp; Lazuardi, L. (2015). Reflective sensing and conditioning system in ubiquitous home care for elderly people. ARPN Journal of Engineering and Applied Sciences, 10(3), 998 to 1005.</w:t>
      </w:r>
    </w:p>
    <w:p w14:paraId="1A99C242" w14:textId="77777777" w:rsidR="00FB6B47" w:rsidRPr="00E70E40" w:rsidRDefault="00000000" w:rsidP="00E70E40">
      <w:pPr>
        <w:rPr>
          <w:rFonts w:ascii="Times New Roman" w:hAnsi="Times New Roman" w:cs="Times New Roman"/>
        </w:rPr>
      </w:pPr>
      <w:r>
        <w:rPr>
          <w:rFonts w:ascii="Times New Roman" w:hAnsi="Times New Roman" w:cs="Times New Roman"/>
        </w:rPr>
        <w:t>Li, T. F., Xu, Y., Li, J. W., He, Y. K., Liang, Y. T., Jiang, G. Q., Huang, F., Sun, Y. H., Qin, Q. R., &amp; Li, J. (2024). Machine learning enabled risk prediction of self neglect among community dwelling older adults in China. Psychogeriatrics. https://doi.org/10.1111/psyg.13241</w:t>
      </w:r>
    </w:p>
    <w:p w14:paraId="17BE13B4" w14:textId="77777777" w:rsidR="00FB6B47" w:rsidRPr="00E70E40" w:rsidRDefault="00000000" w:rsidP="00E70E40">
      <w:pPr>
        <w:rPr>
          <w:rFonts w:ascii="Times New Roman" w:hAnsi="Times New Roman" w:cs="Times New Roman"/>
        </w:rPr>
      </w:pPr>
      <w:r>
        <w:rPr>
          <w:rFonts w:ascii="Times New Roman" w:hAnsi="Times New Roman" w:cs="Times New Roman"/>
        </w:rPr>
        <w:t>Li, J., Li, J., Zhu, H., Liu, M., Li, T., He, Y., Xu, Y., Huang, F., &amp; Qin, Q. (2024). Prediction of Cognitive Impairment Risk among Older Adults: A Machine Learning-Based Comparative Study and Model Development. Dementia and Geriatric Cognitive Disorders, 53(4), 169 to 179. https://doi.org/10.1159/000539334</w:t>
      </w:r>
    </w:p>
    <w:p w14:paraId="72069CEE" w14:textId="77777777" w:rsidR="00FB6B47" w:rsidRPr="00E70E40" w:rsidRDefault="00000000" w:rsidP="00E70E40">
      <w:pPr>
        <w:rPr>
          <w:rFonts w:ascii="Times New Roman" w:hAnsi="Times New Roman" w:cs="Times New Roman"/>
        </w:rPr>
      </w:pPr>
      <w:r>
        <w:rPr>
          <w:rFonts w:ascii="Times New Roman" w:hAnsi="Times New Roman" w:cs="Times New Roman"/>
        </w:rPr>
        <w:t>Liang, J., Chung, P., Ye, Y., &amp; Mishra, S. (2021). Applying Machine Learning Technologies Based on Historical Activity Features for Multi-Resident Activity Recognition. Sensors, 21(7), 2520. https://doi.org/10.3390/s21072520</w:t>
      </w:r>
    </w:p>
    <w:p w14:paraId="02BF4DAD" w14:textId="77777777" w:rsidR="00FB6B47" w:rsidRPr="00E70E40" w:rsidRDefault="00000000" w:rsidP="00E70E40">
      <w:pPr>
        <w:rPr>
          <w:rFonts w:ascii="Times New Roman" w:hAnsi="Times New Roman" w:cs="Times New Roman"/>
        </w:rPr>
      </w:pPr>
      <w:r>
        <w:rPr>
          <w:rFonts w:ascii="Times New Roman" w:hAnsi="Times New Roman" w:cs="Times New Roman"/>
        </w:rPr>
        <w:t>Pan, C., Luo, H., Cheung, G., Zhou, H., Cheng, R., Cullum, S., &amp; Wu, C. (2024</w:t>
      </w:r>
      <w:r>
        <w:rPr>
          <w:rFonts w:ascii="Times New Roman" w:hAnsi="Times New Roman" w:cs="Times New Roman" w:hint="eastAsia"/>
        </w:rPr>
        <w:t>b</w:t>
      </w:r>
      <w:r>
        <w:rPr>
          <w:rFonts w:ascii="Times New Roman" w:hAnsi="Times New Roman" w:cs="Times New Roman"/>
        </w:rPr>
        <w:t>). Identifying frailty in older adults receiving home care assessment using machine learning. JMIR AI, 3, e44185. https://doi.org/10.2196/44185</w:t>
      </w:r>
    </w:p>
    <w:p w14:paraId="00139907" w14:textId="77777777" w:rsidR="00FB6B47" w:rsidRPr="00E70E40" w:rsidRDefault="00000000" w:rsidP="00E70E40">
      <w:pPr>
        <w:rPr>
          <w:rFonts w:ascii="Times New Roman" w:hAnsi="Times New Roman" w:cs="Times New Roman"/>
        </w:rPr>
      </w:pPr>
      <w:r>
        <w:rPr>
          <w:rFonts w:ascii="Times New Roman" w:hAnsi="Times New Roman" w:cs="Times New Roman"/>
        </w:rPr>
        <w:t>Payandeh, S., &amp; Chiu, E. (2019). Application of Modified PageRank Algorithm for Anomaly Detection in Movements of Older Adults. International Journal of Telemedicine and Applications, 2019, 1 to 9. https://doi.org/10.1155/2019/8612021</w:t>
      </w:r>
    </w:p>
    <w:p w14:paraId="0AE25759" w14:textId="77777777" w:rsidR="00FB6B47" w:rsidRPr="00E70E40" w:rsidRDefault="00000000" w:rsidP="00E70E40">
      <w:pPr>
        <w:rPr>
          <w:rFonts w:ascii="Times New Roman" w:hAnsi="Times New Roman" w:cs="Times New Roman"/>
        </w:rPr>
      </w:pPr>
      <w:r>
        <w:rPr>
          <w:rFonts w:ascii="Times New Roman" w:hAnsi="Times New Roman" w:cs="Times New Roman"/>
        </w:rPr>
        <w:t>Plass, B., &amp; Klauer, T. (2024). Capabilities of LiDAR smartphones and machine learning for evaluating the age appropriate utilizability of living spaces. avn, 131(1), 28. https://doi.org/10.14627/avn.2024.1.4</w:t>
      </w:r>
    </w:p>
    <w:p w14:paraId="283DA57A" w14:textId="77777777" w:rsidR="00FB6B47" w:rsidRPr="00E70E40" w:rsidRDefault="00000000" w:rsidP="00E70E40">
      <w:pPr>
        <w:rPr>
          <w:rFonts w:ascii="Times New Roman" w:hAnsi="Times New Roman" w:cs="Times New Roman"/>
        </w:rPr>
      </w:pPr>
      <w:r>
        <w:rPr>
          <w:rFonts w:ascii="Times New Roman" w:hAnsi="Times New Roman" w:cs="Times New Roman"/>
        </w:rPr>
        <w:t>Ramanujam, E., &amp; Perumal, T. (2023). MLMO HSM multi label multi output hybrid sequential model for multi resident smart home activity recognition. Journal of Ambient Intelligence and Humanized Computing, 14, 2313 to 2325. https://doi.org/10.1007/s12652-022-04487-4</w:t>
      </w:r>
    </w:p>
    <w:p w14:paraId="6002125F" w14:textId="77777777" w:rsidR="00FB6B47" w:rsidRPr="00E70E40" w:rsidRDefault="00000000" w:rsidP="00E70E40">
      <w:pPr>
        <w:rPr>
          <w:rFonts w:ascii="Times New Roman" w:hAnsi="Times New Roman" w:cs="Times New Roman"/>
        </w:rPr>
      </w:pPr>
      <w:r>
        <w:rPr>
          <w:rFonts w:ascii="Times New Roman" w:hAnsi="Times New Roman" w:cs="Times New Roman"/>
        </w:rPr>
        <w:t>Resch, S., Roll, A., Malech, A., Schwind, V., Sanchez Morillo, D., &amp; Volz, D. (2024). Walking aid with haptic feedback for combined use with a smart foot orthosis. Conference proceeding. https://doi.org/10.1007/978-981-99-7649-2_8</w:t>
      </w:r>
    </w:p>
    <w:p w14:paraId="4A87AEED" w14:textId="77777777" w:rsidR="00FB6B47" w:rsidRPr="00E70E40" w:rsidRDefault="00000000" w:rsidP="00E70E40">
      <w:pPr>
        <w:rPr>
          <w:rFonts w:ascii="Times New Roman" w:hAnsi="Times New Roman" w:cs="Times New Roman"/>
        </w:rPr>
      </w:pPr>
      <w:r>
        <w:rPr>
          <w:rFonts w:ascii="Times New Roman" w:hAnsi="Times New Roman" w:cs="Times New Roman"/>
        </w:rPr>
        <w:t>Ryu, S. I., Lee, Y., Jun, S., Paek, Y., Kim, H., Cho, B., &amp; Park, Y. (2022). A Pilot Study of Machine Learning–Based Algorithms to Assist Integrated Care for Older Community-Dwelling Adults. CIN: Computers, Informatics, Nursing, 40(10), 718 to 724. https://doi.org/10.1097/CIN.0000000000000926</w:t>
      </w:r>
    </w:p>
    <w:p w14:paraId="524E852D" w14:textId="77777777" w:rsidR="00FB6B47" w:rsidRPr="00E70E40" w:rsidRDefault="00000000" w:rsidP="00E70E40">
      <w:pPr>
        <w:rPr>
          <w:rFonts w:ascii="Times New Roman" w:hAnsi="Times New Roman" w:cs="Times New Roman"/>
        </w:rPr>
      </w:pPr>
      <w:r>
        <w:rPr>
          <w:rFonts w:ascii="Times New Roman" w:hAnsi="Times New Roman" w:cs="Times New Roman"/>
        </w:rPr>
        <w:t>Ryvicker, M., Barron, Y., Song, J., Zolnoori, M., Shah, S., Burgdorf, J. G., Noble, J. M., &amp; Topaz, M. (2024). Using natural language processing to identify home health care patients at risk for diagnosis of Alzheimer disease and related dementias. Journal of Applied Gerontology, 43(10), 1461 to 1472. https://doi.org/10.1177/07334648241242321</w:t>
      </w:r>
    </w:p>
    <w:p w14:paraId="2957E957" w14:textId="77777777" w:rsidR="00FB6B47" w:rsidRPr="00E70E40" w:rsidRDefault="00000000" w:rsidP="00E70E40">
      <w:pPr>
        <w:rPr>
          <w:rFonts w:ascii="Times New Roman" w:hAnsi="Times New Roman" w:cs="Times New Roman"/>
        </w:rPr>
      </w:pPr>
      <w:r>
        <w:rPr>
          <w:rFonts w:ascii="Times New Roman" w:hAnsi="Times New Roman" w:cs="Times New Roman"/>
        </w:rPr>
        <w:t>Sansen, H., Chollet, G., Glackin, C., Jokinen, K., Badii, A., Torres, M., Petrovska Delacretaz, D., Boudy, J., &amp; Schlogl, S. (2016). The Roberta IRONSIDE project a cognitive and physical robot coach for dependent persons. AMSE Journals Modelling C, 77(2), 169 to 181.</w:t>
      </w:r>
    </w:p>
    <w:p w14:paraId="2C9F67DA" w14:textId="77777777" w:rsidR="00FB6B47" w:rsidRPr="00E70E40" w:rsidRDefault="00000000" w:rsidP="00E70E40">
      <w:pPr>
        <w:rPr>
          <w:rFonts w:ascii="Times New Roman" w:hAnsi="Times New Roman" w:cs="Times New Roman"/>
        </w:rPr>
      </w:pPr>
      <w:r>
        <w:rPr>
          <w:rFonts w:ascii="Times New Roman" w:hAnsi="Times New Roman" w:cs="Times New Roman"/>
        </w:rPr>
        <w:lastRenderedPageBreak/>
        <w:t>Sarwar, M. U., Gillani, L. F., Almadhor, A., Shakya, M., &amp; Tariq, U. (2022). Improving Recognition of Overlapping Activities with Less Interclass Variations in Smart Homes through Clustering-Based Classification. Computational Intelligence and Neuroscience, 2022, 1 to 16. https://doi.org/10.1155/2022/8303856</w:t>
      </w:r>
    </w:p>
    <w:p w14:paraId="7A5FE757" w14:textId="77777777" w:rsidR="00FB6B47" w:rsidRPr="00E70E40" w:rsidRDefault="00000000" w:rsidP="00E70E40">
      <w:pPr>
        <w:rPr>
          <w:rFonts w:ascii="Times New Roman" w:hAnsi="Times New Roman" w:cs="Times New Roman"/>
        </w:rPr>
      </w:pPr>
      <w:r>
        <w:rPr>
          <w:rFonts w:ascii="Times New Roman" w:hAnsi="Times New Roman" w:cs="Times New Roman"/>
        </w:rPr>
        <w:t>Spoladore, D., Mahroo, A., Trombetta, A., &amp; Sacco, M. (2022). DOMUS: a domestic ontology managed ubiquitous system. Journal of Ambient Intelligence and Humanized Computing, 13(6), 3037 to 3052. https://doi.org/10.1007/s12652-021-03138-4</w:t>
      </w:r>
    </w:p>
    <w:p w14:paraId="4C3AE9F1" w14:textId="77777777" w:rsidR="00FB6B47" w:rsidRPr="00E70E40" w:rsidRDefault="00000000" w:rsidP="00E70E40">
      <w:pPr>
        <w:rPr>
          <w:rFonts w:ascii="Times New Roman" w:hAnsi="Times New Roman" w:cs="Times New Roman"/>
        </w:rPr>
      </w:pPr>
      <w:r>
        <w:rPr>
          <w:rFonts w:ascii="Times New Roman" w:hAnsi="Times New Roman" w:cs="Times New Roman"/>
        </w:rPr>
        <w:t>Tan, T., Hus, J., Liu, S., Huang, Y., &amp; Gochoo, M. (2021). Using Direct Acyclic Graphs to Enhance Skeleton-Based Action Recognition with a Linear-Map Convolution Neural Network. Sensors, 21(9), 3112. https://doi.org/10.3390/s21093112</w:t>
      </w:r>
    </w:p>
    <w:p w14:paraId="0B2DADC7" w14:textId="77777777" w:rsidR="00FB6B47" w:rsidRPr="00E70E40" w:rsidRDefault="00000000" w:rsidP="00E70E40">
      <w:pPr>
        <w:rPr>
          <w:rFonts w:ascii="Times New Roman" w:hAnsi="Times New Roman" w:cs="Times New Roman"/>
        </w:rPr>
      </w:pPr>
      <w:r>
        <w:rPr>
          <w:rFonts w:ascii="Times New Roman" w:hAnsi="Times New Roman" w:cs="Times New Roman"/>
        </w:rPr>
        <w:t>Toda, H., &amp; Chin, T. (2024). Physical frailty prediction using cane usage characteristics during walking. Sensors, 24, 6910. https://doi.org/10.3390/s24216910</w:t>
      </w:r>
    </w:p>
    <w:p w14:paraId="72705BFE" w14:textId="77777777" w:rsidR="00FB6B47" w:rsidRPr="00E70E40" w:rsidRDefault="00000000" w:rsidP="00E70E40">
      <w:pPr>
        <w:rPr>
          <w:rFonts w:ascii="Times New Roman" w:hAnsi="Times New Roman" w:cs="Times New Roman"/>
        </w:rPr>
      </w:pPr>
      <w:r>
        <w:rPr>
          <w:rFonts w:ascii="Times New Roman" w:hAnsi="Times New Roman" w:cs="Times New Roman"/>
        </w:rPr>
        <w:t>Topaz, M., Davoudi, A., Evans, L., Sridharan, S., Song, J., Chae, S., Barrón, Y., Hobensack, M., Scharp, D., Cato, K., Rossetti, S. C., Kapela, P., Xu, Z., Gupta, P., Zhang, Z., Mcdonald, M. V., &amp; Bowles, K. H. (2025). Building a Time-Series Model to Predict Hospitalization Risks in Home Health Care: Insights Into Development, Accuracy, and Fairness. Journal of the American Medical Directors Association, 26(2), 105417. https://doi.org/10.1016/j.jamda.2024.105417</w:t>
      </w:r>
    </w:p>
    <w:p w14:paraId="5B862206" w14:textId="77777777" w:rsidR="00FB6B47" w:rsidRPr="00E70E40" w:rsidRDefault="00000000" w:rsidP="00E70E40">
      <w:pPr>
        <w:rPr>
          <w:rFonts w:ascii="Times New Roman" w:hAnsi="Times New Roman" w:cs="Times New Roman"/>
        </w:rPr>
      </w:pPr>
      <w:r>
        <w:rPr>
          <w:rFonts w:ascii="Times New Roman" w:hAnsi="Times New Roman" w:cs="Times New Roman"/>
        </w:rPr>
        <w:t>Topaz, M., Adams, V., Wilson, P., Woo, K., &amp; Ryvicker, M. (2020). Free-Text Documentation of Dementia Symptoms in Home Healthcare: A Natural Language Processing Study. Gerontology and Geriatric Medicine, 6. https://doi.org/10.1177/2333721420959861</w:t>
      </w:r>
    </w:p>
    <w:p w14:paraId="43D418AC" w14:textId="77777777" w:rsidR="00FB6B47" w:rsidRPr="00E70E40" w:rsidRDefault="00000000" w:rsidP="00E70E40">
      <w:pPr>
        <w:rPr>
          <w:rFonts w:ascii="Times New Roman" w:hAnsi="Times New Roman" w:cs="Times New Roman"/>
        </w:rPr>
      </w:pPr>
      <w:r>
        <w:rPr>
          <w:rFonts w:ascii="Times New Roman" w:hAnsi="Times New Roman" w:cs="Times New Roman"/>
        </w:rPr>
        <w:t>Tsui, K. M., Baggett, R., &amp; Chiang, C. (2025). Exploring Embodiment Form Factors of a Home-Helper Robot: Perspectives from Care Receivers and Caregivers. Applied Sciences, 15(2), 891. https://doi.org/10.3390/app15020891</w:t>
      </w:r>
    </w:p>
    <w:p w14:paraId="3AC345D1" w14:textId="77777777" w:rsidR="00FB6B47" w:rsidRPr="00E70E40" w:rsidRDefault="00000000" w:rsidP="00E70E40">
      <w:pPr>
        <w:rPr>
          <w:rFonts w:ascii="Times New Roman" w:hAnsi="Times New Roman" w:cs="Times New Roman"/>
        </w:rPr>
      </w:pPr>
      <w:r>
        <w:rPr>
          <w:rFonts w:ascii="Times New Roman" w:hAnsi="Times New Roman" w:cs="Times New Roman"/>
        </w:rPr>
        <w:t>Ujager, F. S., Mahmood, A., Khatoon, S., Imran, M., &amp; Abdullah, U. (2016). Evaluation of wellness detection techniques using complex activities association for smart home ambient. International Journal of Advanced Computer Science and Applications, 7(8), 243 to 248.</w:t>
      </w:r>
    </w:p>
    <w:p w14:paraId="705A39C4" w14:textId="77777777" w:rsidR="00FB6B47" w:rsidRPr="00E70E40" w:rsidRDefault="00000000" w:rsidP="00E70E40">
      <w:pPr>
        <w:rPr>
          <w:rFonts w:ascii="Times New Roman" w:hAnsi="Times New Roman" w:cs="Times New Roman"/>
        </w:rPr>
      </w:pPr>
      <w:r>
        <w:rPr>
          <w:rFonts w:ascii="Times New Roman" w:hAnsi="Times New Roman" w:cs="Times New Roman"/>
        </w:rPr>
        <w:t>Vaiyapuri, T., Lydia, E. L., Sikkandar, M. Y., Garcia Diaz, V., Pustokhina, I. V., &amp; Pustokhin, D. A. (2021). Internet of Things and deep learning enabled elderly fall detection model for smart homecare. IEEE Access, 9, 113879 to 113888. https://doi.org/10.1109/ACCESS.2021.3094243</w:t>
      </w:r>
    </w:p>
    <w:p w14:paraId="1AC66B4A" w14:textId="77777777" w:rsidR="00FB6B47" w:rsidRPr="00E70E40" w:rsidRDefault="00000000" w:rsidP="00E70E40">
      <w:pPr>
        <w:rPr>
          <w:rFonts w:ascii="Times New Roman" w:hAnsi="Times New Roman" w:cs="Times New Roman"/>
        </w:rPr>
      </w:pPr>
      <w:r>
        <w:rPr>
          <w:rFonts w:ascii="Times New Roman" w:hAnsi="Times New Roman" w:cs="Times New Roman"/>
        </w:rPr>
        <w:t>Valero, M., Bravo, J., Chamizo, J., &amp; López-de-Ipiña, D. (2014). Integration of Multisensor Hybrid Reasoners to Support Personal Autonomy in the Smart Home. Sensors, 14(9), 17313 to 17330. https://doi.org/10.3390/s140917313</w:t>
      </w:r>
    </w:p>
    <w:p w14:paraId="490EC30F" w14:textId="77777777" w:rsidR="00FB6B47" w:rsidRPr="00E70E40" w:rsidRDefault="00000000" w:rsidP="00E70E40">
      <w:pPr>
        <w:rPr>
          <w:rFonts w:ascii="Times New Roman" w:hAnsi="Times New Roman" w:cs="Times New Roman"/>
        </w:rPr>
      </w:pPr>
      <w:r>
        <w:rPr>
          <w:rFonts w:ascii="Times New Roman" w:hAnsi="Times New Roman" w:cs="Times New Roman"/>
        </w:rPr>
        <w:t>Veyron, J. H., Friocourt, P., Jeanjean, O., Luquel, L., Bonifas, N., Denis, F., &amp; Belmin, J. (2019). Home care aides observations and machine learning algorithms for the prediction of visits to emergency departments by older community dwelling individuals receiving home care assistance. PLOS ONE, 14(8), e0220002. https://doi.org/10.1371/journal.pone.0220002</w:t>
      </w:r>
    </w:p>
    <w:p w14:paraId="565DF3BC" w14:textId="77777777" w:rsidR="00FB6B47" w:rsidRPr="00E70E40" w:rsidRDefault="00000000" w:rsidP="00E70E40">
      <w:pPr>
        <w:rPr>
          <w:rFonts w:ascii="Times New Roman" w:hAnsi="Times New Roman" w:cs="Times New Roman"/>
        </w:rPr>
      </w:pPr>
      <w:r>
        <w:rPr>
          <w:rFonts w:ascii="Times New Roman" w:hAnsi="Times New Roman" w:cs="Times New Roman"/>
        </w:rPr>
        <w:t>Wang, H., Zhao, Y., Yu, L., Liu, J., Zwetsloot, I. M., Cabrera, J., &amp; Tsui, K. (2020). A Personalized Health Monitoring System for Community-Dwelling Elderly People in Hong Kong: Design, Implementation, and Evaluation Study. Journal of Medical Internet Research, 22(9), e19223. https://doi.org/10.2196/19223</w:t>
      </w:r>
    </w:p>
    <w:p w14:paraId="6D5C529A" w14:textId="77777777" w:rsidR="00FB6B47" w:rsidRPr="00E70E40" w:rsidRDefault="00000000" w:rsidP="00E70E40">
      <w:pPr>
        <w:rPr>
          <w:rFonts w:ascii="Times New Roman" w:hAnsi="Times New Roman" w:cs="Times New Roman"/>
        </w:rPr>
      </w:pPr>
      <w:r>
        <w:rPr>
          <w:rFonts w:ascii="Times New Roman" w:hAnsi="Times New Roman" w:cs="Times New Roman"/>
        </w:rPr>
        <w:t>Wu, Y., Wu, Y., Yang, R., Feng, M., &amp; Pu, G. (2024). Cyber physical wireless networks for smart health monitoring for elderly persons. Wireless Personal Communications. https://doi.org/10.1007/s11277-024-11191-3</w:t>
      </w:r>
    </w:p>
    <w:p w14:paraId="09D9DFF3" w14:textId="77777777" w:rsidR="00FB6B47" w:rsidRPr="00E70E40" w:rsidRDefault="00000000" w:rsidP="00E70E40">
      <w:pPr>
        <w:rPr>
          <w:rFonts w:ascii="Times New Roman" w:hAnsi="Times New Roman" w:cs="Times New Roman"/>
        </w:rPr>
      </w:pPr>
      <w:r>
        <w:rPr>
          <w:rFonts w:ascii="Times New Roman" w:hAnsi="Times New Roman" w:cs="Times New Roman"/>
        </w:rPr>
        <w:t>Yang, Y., Hirdes, J. P., Dubin, J. A., &amp; Lee, J. (2019). Fall Risk Classification in Community-Dwelling Older Adults Using a Smart Wrist-Worn Device and the Resident Assessment Instrument-Home Care: Prospective Observational Study. JMIR Aging, 2(1), e12153. https://doi.org/10.2196/12153</w:t>
      </w:r>
    </w:p>
    <w:p w14:paraId="06712674" w14:textId="77777777" w:rsidR="00FB6B47" w:rsidRPr="00E70E40" w:rsidRDefault="00000000" w:rsidP="00E70E40">
      <w:pPr>
        <w:rPr>
          <w:rFonts w:ascii="Times New Roman" w:hAnsi="Times New Roman" w:cs="Times New Roman"/>
        </w:rPr>
      </w:pPr>
      <w:r>
        <w:rPr>
          <w:rFonts w:ascii="Times New Roman" w:hAnsi="Times New Roman" w:cs="Times New Roman"/>
        </w:rPr>
        <w:t>Yu, S., Chai, Y., Chen, H., Brown, R. A., Sherman, S. J., &amp; Nunamaker, J. F. (2021). Fall Detection with Wearable Sensors: A Hierarchical Attention-based Convolutional Neural Network Approach. Journal of Management Information Systems, 38(4), 1095 to 1121. https://doi.org/10.1080/07421222.2021.1990617</w:t>
      </w:r>
    </w:p>
    <w:p w14:paraId="3DDCD3F5" w14:textId="77777777" w:rsidR="00FB6B47" w:rsidRPr="00E70E40" w:rsidRDefault="00000000" w:rsidP="00E70E40">
      <w:pPr>
        <w:rPr>
          <w:rFonts w:ascii="Times New Roman" w:hAnsi="Times New Roman" w:cs="Times New Roman"/>
        </w:rPr>
      </w:pPr>
      <w:r>
        <w:rPr>
          <w:rFonts w:ascii="Times New Roman" w:hAnsi="Times New Roman" w:cs="Times New Roman"/>
        </w:rPr>
        <w:t>Zhang, H., Wang, K., Yuen Man Cheng, C., Chen, M., Wai Chiu Lai, K., Kalun Or, C., Hu, Y., Lenus Roy Vellaisamy, A., Lo Kuen Lam, C., Xi, N., Lou, V. W. Q., &amp; Jung Li, W. (2025). Assessing Sarcopenia-Prone Risk Through Daily Activity of Gait With AI-Powered Wearable IoT Sensors. IEEE Internet of Things Journal, 12(12), 20301 to 20313. https://doi.org/10.1109/JIOT.2025.3543082</w:t>
      </w:r>
    </w:p>
    <w:p w14:paraId="5BBC3119" w14:textId="77777777" w:rsidR="00DE523F" w:rsidRPr="00D50E7A" w:rsidRDefault="00000000" w:rsidP="00D50E7A">
      <w:pPr>
        <w:rPr>
          <w:rFonts w:ascii="Times New Roman" w:hAnsi="Times New Roman" w:cs="Times New Roman"/>
        </w:rPr>
      </w:pPr>
      <w:r>
        <w:rPr>
          <w:rFonts w:ascii="Times New Roman" w:hAnsi="Times New Roman" w:cs="Times New Roman"/>
        </w:rPr>
        <w:lastRenderedPageBreak/>
        <w:t>Zhou, Y. (2023). A Novel Image Recognition-Based Assessment System for Elderly Independent Living Ability and Its Applications. Traitement du Signal, 40(3), 1127 to 1135. https://doi.org/10.18280/ts.400328</w:t>
      </w:r>
    </w:p>
    <w:sectPr w:rsidR="00DE523F" w:rsidRPr="00D50E7A" w:rsidSect="00B810B7">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086FC" w14:textId="77777777" w:rsidR="00CF1156" w:rsidRDefault="00CF1156" w:rsidP="00B810B7">
      <w:pPr>
        <w:rPr>
          <w:rFonts w:hint="eastAsia"/>
        </w:rPr>
      </w:pPr>
      <w:r>
        <w:separator/>
      </w:r>
    </w:p>
  </w:endnote>
  <w:endnote w:type="continuationSeparator" w:id="0">
    <w:p w14:paraId="31B0BA26" w14:textId="77777777" w:rsidR="00CF1156" w:rsidRDefault="00CF1156" w:rsidP="00B810B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BC90B" w14:textId="77777777" w:rsidR="00CF1156" w:rsidRDefault="00CF1156" w:rsidP="00B810B7">
      <w:pPr>
        <w:rPr>
          <w:rFonts w:hint="eastAsia"/>
        </w:rPr>
      </w:pPr>
      <w:r>
        <w:separator/>
      </w:r>
    </w:p>
  </w:footnote>
  <w:footnote w:type="continuationSeparator" w:id="0">
    <w:p w14:paraId="1F28A9C8" w14:textId="77777777" w:rsidR="00CF1156" w:rsidRDefault="00CF1156" w:rsidP="00B810B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62FCE"/>
    <w:multiLevelType w:val="hybridMultilevel"/>
    <w:tmpl w:val="7BF28E7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num w:numId="1" w16cid:durableId="1514072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A7C"/>
    <w:rsid w:val="00006517"/>
    <w:rsid w:val="00022B83"/>
    <w:rsid w:val="00025D68"/>
    <w:rsid w:val="00040B07"/>
    <w:rsid w:val="00047E78"/>
    <w:rsid w:val="00050E07"/>
    <w:rsid w:val="00051AE8"/>
    <w:rsid w:val="00060FA0"/>
    <w:rsid w:val="00066D5F"/>
    <w:rsid w:val="00070424"/>
    <w:rsid w:val="00080496"/>
    <w:rsid w:val="00085735"/>
    <w:rsid w:val="00087511"/>
    <w:rsid w:val="00093922"/>
    <w:rsid w:val="00096FBC"/>
    <w:rsid w:val="000A1EE4"/>
    <w:rsid w:val="000A4879"/>
    <w:rsid w:val="000A4EC8"/>
    <w:rsid w:val="000A63E2"/>
    <w:rsid w:val="000C0CAC"/>
    <w:rsid w:val="000E2042"/>
    <w:rsid w:val="000F1953"/>
    <w:rsid w:val="00117EEE"/>
    <w:rsid w:val="00120633"/>
    <w:rsid w:val="00141E68"/>
    <w:rsid w:val="00154D6A"/>
    <w:rsid w:val="00170A2F"/>
    <w:rsid w:val="00171426"/>
    <w:rsid w:val="00172E3E"/>
    <w:rsid w:val="00187869"/>
    <w:rsid w:val="0019188D"/>
    <w:rsid w:val="00193B69"/>
    <w:rsid w:val="00194065"/>
    <w:rsid w:val="001B5290"/>
    <w:rsid w:val="001C49F1"/>
    <w:rsid w:val="001E7BC6"/>
    <w:rsid w:val="001F28DE"/>
    <w:rsid w:val="002002C3"/>
    <w:rsid w:val="002168BE"/>
    <w:rsid w:val="00231A09"/>
    <w:rsid w:val="0023680C"/>
    <w:rsid w:val="0024642F"/>
    <w:rsid w:val="002661AA"/>
    <w:rsid w:val="002770A7"/>
    <w:rsid w:val="00281291"/>
    <w:rsid w:val="0028138A"/>
    <w:rsid w:val="0028443D"/>
    <w:rsid w:val="00286734"/>
    <w:rsid w:val="002B29B3"/>
    <w:rsid w:val="002C212E"/>
    <w:rsid w:val="002D65A2"/>
    <w:rsid w:val="002E37FE"/>
    <w:rsid w:val="002E5934"/>
    <w:rsid w:val="00302B21"/>
    <w:rsid w:val="003062E7"/>
    <w:rsid w:val="00313DE6"/>
    <w:rsid w:val="00342344"/>
    <w:rsid w:val="00360EA1"/>
    <w:rsid w:val="00362C43"/>
    <w:rsid w:val="00385830"/>
    <w:rsid w:val="003960FB"/>
    <w:rsid w:val="003D348D"/>
    <w:rsid w:val="003D44E1"/>
    <w:rsid w:val="003F6C46"/>
    <w:rsid w:val="00407134"/>
    <w:rsid w:val="00427F4A"/>
    <w:rsid w:val="00437C7E"/>
    <w:rsid w:val="00454A54"/>
    <w:rsid w:val="00464E6D"/>
    <w:rsid w:val="00465626"/>
    <w:rsid w:val="0047012C"/>
    <w:rsid w:val="00477252"/>
    <w:rsid w:val="00492D86"/>
    <w:rsid w:val="004A632B"/>
    <w:rsid w:val="004B4B3B"/>
    <w:rsid w:val="004C3824"/>
    <w:rsid w:val="004D4C92"/>
    <w:rsid w:val="004D4E9C"/>
    <w:rsid w:val="004E786B"/>
    <w:rsid w:val="004E7F08"/>
    <w:rsid w:val="00550059"/>
    <w:rsid w:val="005520CB"/>
    <w:rsid w:val="00562CE7"/>
    <w:rsid w:val="00593B2F"/>
    <w:rsid w:val="005B4CDC"/>
    <w:rsid w:val="005C4239"/>
    <w:rsid w:val="005E1078"/>
    <w:rsid w:val="005E4F68"/>
    <w:rsid w:val="005E73D2"/>
    <w:rsid w:val="00610D45"/>
    <w:rsid w:val="0066481B"/>
    <w:rsid w:val="006A0D7B"/>
    <w:rsid w:val="006A6108"/>
    <w:rsid w:val="006C17CC"/>
    <w:rsid w:val="006C4884"/>
    <w:rsid w:val="006C7CE8"/>
    <w:rsid w:val="006D1640"/>
    <w:rsid w:val="00705B8F"/>
    <w:rsid w:val="007129A9"/>
    <w:rsid w:val="007262C9"/>
    <w:rsid w:val="00731E57"/>
    <w:rsid w:val="00731E71"/>
    <w:rsid w:val="00732159"/>
    <w:rsid w:val="007634F2"/>
    <w:rsid w:val="007657B6"/>
    <w:rsid w:val="00786157"/>
    <w:rsid w:val="007943A2"/>
    <w:rsid w:val="00797463"/>
    <w:rsid w:val="007A2B73"/>
    <w:rsid w:val="007C1AD2"/>
    <w:rsid w:val="007D2DDD"/>
    <w:rsid w:val="007E7D18"/>
    <w:rsid w:val="007F2161"/>
    <w:rsid w:val="007F435E"/>
    <w:rsid w:val="007F7E7C"/>
    <w:rsid w:val="00820880"/>
    <w:rsid w:val="008554EC"/>
    <w:rsid w:val="008607E4"/>
    <w:rsid w:val="00861787"/>
    <w:rsid w:val="0086197C"/>
    <w:rsid w:val="00877029"/>
    <w:rsid w:val="008877B5"/>
    <w:rsid w:val="0089478B"/>
    <w:rsid w:val="00895B81"/>
    <w:rsid w:val="00897846"/>
    <w:rsid w:val="008A13FB"/>
    <w:rsid w:val="008A5FFB"/>
    <w:rsid w:val="008B0C60"/>
    <w:rsid w:val="008B68BF"/>
    <w:rsid w:val="008B6E9E"/>
    <w:rsid w:val="008F22DD"/>
    <w:rsid w:val="009045CB"/>
    <w:rsid w:val="00925462"/>
    <w:rsid w:val="0093282B"/>
    <w:rsid w:val="00935848"/>
    <w:rsid w:val="00935CA2"/>
    <w:rsid w:val="009447C5"/>
    <w:rsid w:val="00957F62"/>
    <w:rsid w:val="0096031D"/>
    <w:rsid w:val="009710AD"/>
    <w:rsid w:val="00976E08"/>
    <w:rsid w:val="009850BF"/>
    <w:rsid w:val="0099294E"/>
    <w:rsid w:val="009A1852"/>
    <w:rsid w:val="009D4E91"/>
    <w:rsid w:val="009D5B37"/>
    <w:rsid w:val="009F232D"/>
    <w:rsid w:val="009F3947"/>
    <w:rsid w:val="00A00AC9"/>
    <w:rsid w:val="00A02851"/>
    <w:rsid w:val="00A23E62"/>
    <w:rsid w:val="00A30BDD"/>
    <w:rsid w:val="00A31900"/>
    <w:rsid w:val="00A37C7E"/>
    <w:rsid w:val="00A45911"/>
    <w:rsid w:val="00A6131E"/>
    <w:rsid w:val="00A81450"/>
    <w:rsid w:val="00A84296"/>
    <w:rsid w:val="00A91DD0"/>
    <w:rsid w:val="00A95602"/>
    <w:rsid w:val="00AA726B"/>
    <w:rsid w:val="00AE0461"/>
    <w:rsid w:val="00AE2EB2"/>
    <w:rsid w:val="00AF564C"/>
    <w:rsid w:val="00AF5D8D"/>
    <w:rsid w:val="00AF76FE"/>
    <w:rsid w:val="00B2747F"/>
    <w:rsid w:val="00B34516"/>
    <w:rsid w:val="00B34DBE"/>
    <w:rsid w:val="00B36745"/>
    <w:rsid w:val="00B37B68"/>
    <w:rsid w:val="00B42E0F"/>
    <w:rsid w:val="00B47FD2"/>
    <w:rsid w:val="00B5213D"/>
    <w:rsid w:val="00B75975"/>
    <w:rsid w:val="00B810B7"/>
    <w:rsid w:val="00B87EB9"/>
    <w:rsid w:val="00BC545F"/>
    <w:rsid w:val="00BE4B60"/>
    <w:rsid w:val="00C1461A"/>
    <w:rsid w:val="00C32776"/>
    <w:rsid w:val="00C43188"/>
    <w:rsid w:val="00C432CC"/>
    <w:rsid w:val="00C468B8"/>
    <w:rsid w:val="00C554B6"/>
    <w:rsid w:val="00C71B8B"/>
    <w:rsid w:val="00C721B5"/>
    <w:rsid w:val="00CA4F76"/>
    <w:rsid w:val="00CD0B91"/>
    <w:rsid w:val="00CE5463"/>
    <w:rsid w:val="00CE6683"/>
    <w:rsid w:val="00CF1156"/>
    <w:rsid w:val="00D02093"/>
    <w:rsid w:val="00D1033A"/>
    <w:rsid w:val="00D16680"/>
    <w:rsid w:val="00D20173"/>
    <w:rsid w:val="00D32759"/>
    <w:rsid w:val="00D43ED2"/>
    <w:rsid w:val="00D50E7A"/>
    <w:rsid w:val="00D542D4"/>
    <w:rsid w:val="00D61CF4"/>
    <w:rsid w:val="00D647DA"/>
    <w:rsid w:val="00D7031A"/>
    <w:rsid w:val="00D71C38"/>
    <w:rsid w:val="00D761DF"/>
    <w:rsid w:val="00D92F0F"/>
    <w:rsid w:val="00D96CFE"/>
    <w:rsid w:val="00DB210E"/>
    <w:rsid w:val="00DE523F"/>
    <w:rsid w:val="00DF0001"/>
    <w:rsid w:val="00E01250"/>
    <w:rsid w:val="00E05CE2"/>
    <w:rsid w:val="00E16727"/>
    <w:rsid w:val="00E3003F"/>
    <w:rsid w:val="00E35A7C"/>
    <w:rsid w:val="00E4076A"/>
    <w:rsid w:val="00E41B70"/>
    <w:rsid w:val="00E608C8"/>
    <w:rsid w:val="00E70E40"/>
    <w:rsid w:val="00E7205F"/>
    <w:rsid w:val="00E7255E"/>
    <w:rsid w:val="00E75A3B"/>
    <w:rsid w:val="00E8387A"/>
    <w:rsid w:val="00E8552A"/>
    <w:rsid w:val="00E918F0"/>
    <w:rsid w:val="00E958F8"/>
    <w:rsid w:val="00EB7EA2"/>
    <w:rsid w:val="00ED3585"/>
    <w:rsid w:val="00EE3EBE"/>
    <w:rsid w:val="00EF09FA"/>
    <w:rsid w:val="00EF5405"/>
    <w:rsid w:val="00F17BBA"/>
    <w:rsid w:val="00F442B0"/>
    <w:rsid w:val="00F751E6"/>
    <w:rsid w:val="00F75A65"/>
    <w:rsid w:val="00F860FF"/>
    <w:rsid w:val="00FB5CFD"/>
    <w:rsid w:val="00FB6570"/>
    <w:rsid w:val="00FB6B47"/>
    <w:rsid w:val="00FD445E"/>
    <w:rsid w:val="00FE094B"/>
    <w:rsid w:val="00FE1985"/>
    <w:rsid w:val="00FE2CE8"/>
    <w:rsid w:val="00FF3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AAA39"/>
  <w15:chartTrackingRefBased/>
  <w15:docId w15:val="{ABAD97E3-2191-4C6A-8E7C-B477AEFD8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10B7"/>
    <w:pPr>
      <w:widowControl w:val="0"/>
      <w:spacing w:after="0" w:line="240" w:lineRule="auto"/>
      <w:jc w:val="both"/>
    </w:pPr>
    <w:rPr>
      <w:sz w:val="21"/>
      <w:szCs w:val="22"/>
    </w:rPr>
  </w:style>
  <w:style w:type="paragraph" w:styleId="1">
    <w:name w:val="heading 1"/>
    <w:basedOn w:val="a"/>
    <w:next w:val="a"/>
    <w:link w:val="10"/>
    <w:uiPriority w:val="9"/>
    <w:qFormat/>
    <w:rsid w:val="00E35A7C"/>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35A7C"/>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35A7C"/>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35A7C"/>
    <w:pPr>
      <w:keepNext/>
      <w:keepLines/>
      <w:spacing w:before="80" w:after="40" w:line="278" w:lineRule="auto"/>
      <w:jc w:val="left"/>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35A7C"/>
    <w:pPr>
      <w:keepNext/>
      <w:keepLines/>
      <w:spacing w:before="80" w:after="40" w:line="278" w:lineRule="auto"/>
      <w:jc w:val="left"/>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E35A7C"/>
    <w:pPr>
      <w:keepNext/>
      <w:keepLines/>
      <w:spacing w:before="40" w:line="278" w:lineRule="auto"/>
      <w:jc w:val="left"/>
      <w:outlineLvl w:val="5"/>
    </w:pPr>
    <w:rPr>
      <w:rFonts w:cstheme="majorBidi"/>
      <w:b/>
      <w:bCs/>
      <w:color w:val="0F4761" w:themeColor="accent1" w:themeShade="BF"/>
      <w:sz w:val="22"/>
      <w:szCs w:val="24"/>
    </w:rPr>
  </w:style>
  <w:style w:type="paragraph" w:styleId="7">
    <w:name w:val="heading 7"/>
    <w:basedOn w:val="a"/>
    <w:next w:val="a"/>
    <w:link w:val="70"/>
    <w:uiPriority w:val="9"/>
    <w:semiHidden/>
    <w:unhideWhenUsed/>
    <w:qFormat/>
    <w:rsid w:val="00E35A7C"/>
    <w:pPr>
      <w:keepNext/>
      <w:keepLines/>
      <w:spacing w:before="40" w:line="278" w:lineRule="auto"/>
      <w:jc w:val="left"/>
      <w:outlineLvl w:val="6"/>
    </w:pPr>
    <w:rPr>
      <w:rFonts w:cstheme="majorBidi"/>
      <w:b/>
      <w:bCs/>
      <w:color w:val="595959" w:themeColor="text1" w:themeTint="A6"/>
      <w:sz w:val="22"/>
      <w:szCs w:val="24"/>
    </w:rPr>
  </w:style>
  <w:style w:type="paragraph" w:styleId="8">
    <w:name w:val="heading 8"/>
    <w:basedOn w:val="a"/>
    <w:next w:val="a"/>
    <w:link w:val="80"/>
    <w:uiPriority w:val="9"/>
    <w:semiHidden/>
    <w:unhideWhenUsed/>
    <w:qFormat/>
    <w:rsid w:val="00E35A7C"/>
    <w:pPr>
      <w:keepNext/>
      <w:keepLines/>
      <w:spacing w:line="278" w:lineRule="auto"/>
      <w:jc w:val="left"/>
      <w:outlineLvl w:val="7"/>
    </w:pPr>
    <w:rPr>
      <w:rFonts w:cstheme="majorBidi"/>
      <w:color w:val="595959" w:themeColor="text1" w:themeTint="A6"/>
      <w:sz w:val="22"/>
      <w:szCs w:val="24"/>
    </w:rPr>
  </w:style>
  <w:style w:type="paragraph" w:styleId="9">
    <w:name w:val="heading 9"/>
    <w:basedOn w:val="a"/>
    <w:next w:val="a"/>
    <w:link w:val="90"/>
    <w:uiPriority w:val="9"/>
    <w:semiHidden/>
    <w:unhideWhenUsed/>
    <w:qFormat/>
    <w:rsid w:val="00E35A7C"/>
    <w:pPr>
      <w:keepNext/>
      <w:keepLines/>
      <w:spacing w:line="278" w:lineRule="auto"/>
      <w:jc w:val="left"/>
      <w:outlineLvl w:val="8"/>
    </w:pPr>
    <w:rPr>
      <w:rFonts w:eastAsiaTheme="majorEastAsia" w:cstheme="majorBidi"/>
      <w:color w:val="595959" w:themeColor="text1" w:themeTint="A6"/>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35A7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35A7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35A7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35A7C"/>
    <w:rPr>
      <w:rFonts w:cstheme="majorBidi"/>
      <w:color w:val="0F4761" w:themeColor="accent1" w:themeShade="BF"/>
      <w:sz w:val="28"/>
      <w:szCs w:val="28"/>
    </w:rPr>
  </w:style>
  <w:style w:type="character" w:customStyle="1" w:styleId="50">
    <w:name w:val="标题 5 字符"/>
    <w:basedOn w:val="a0"/>
    <w:link w:val="5"/>
    <w:uiPriority w:val="9"/>
    <w:semiHidden/>
    <w:rsid w:val="00E35A7C"/>
    <w:rPr>
      <w:rFonts w:cstheme="majorBidi"/>
      <w:color w:val="0F4761" w:themeColor="accent1" w:themeShade="BF"/>
      <w:sz w:val="24"/>
    </w:rPr>
  </w:style>
  <w:style w:type="character" w:customStyle="1" w:styleId="60">
    <w:name w:val="标题 6 字符"/>
    <w:basedOn w:val="a0"/>
    <w:link w:val="6"/>
    <w:uiPriority w:val="9"/>
    <w:semiHidden/>
    <w:rsid w:val="00E35A7C"/>
    <w:rPr>
      <w:rFonts w:cstheme="majorBidi"/>
      <w:b/>
      <w:bCs/>
      <w:color w:val="0F4761" w:themeColor="accent1" w:themeShade="BF"/>
    </w:rPr>
  </w:style>
  <w:style w:type="character" w:customStyle="1" w:styleId="70">
    <w:name w:val="标题 7 字符"/>
    <w:basedOn w:val="a0"/>
    <w:link w:val="7"/>
    <w:uiPriority w:val="9"/>
    <w:semiHidden/>
    <w:rsid w:val="00E35A7C"/>
    <w:rPr>
      <w:rFonts w:cstheme="majorBidi"/>
      <w:b/>
      <w:bCs/>
      <w:color w:val="595959" w:themeColor="text1" w:themeTint="A6"/>
    </w:rPr>
  </w:style>
  <w:style w:type="character" w:customStyle="1" w:styleId="80">
    <w:name w:val="标题 8 字符"/>
    <w:basedOn w:val="a0"/>
    <w:link w:val="8"/>
    <w:uiPriority w:val="9"/>
    <w:semiHidden/>
    <w:rsid w:val="00E35A7C"/>
    <w:rPr>
      <w:rFonts w:cstheme="majorBidi"/>
      <w:color w:val="595959" w:themeColor="text1" w:themeTint="A6"/>
    </w:rPr>
  </w:style>
  <w:style w:type="character" w:customStyle="1" w:styleId="90">
    <w:name w:val="标题 9 字符"/>
    <w:basedOn w:val="a0"/>
    <w:link w:val="9"/>
    <w:uiPriority w:val="9"/>
    <w:semiHidden/>
    <w:rsid w:val="00E35A7C"/>
    <w:rPr>
      <w:rFonts w:eastAsiaTheme="majorEastAsia" w:cstheme="majorBidi"/>
      <w:color w:val="595959" w:themeColor="text1" w:themeTint="A6"/>
    </w:rPr>
  </w:style>
  <w:style w:type="paragraph" w:styleId="a3">
    <w:name w:val="Title"/>
    <w:basedOn w:val="a"/>
    <w:next w:val="a"/>
    <w:link w:val="a4"/>
    <w:uiPriority w:val="10"/>
    <w:qFormat/>
    <w:rsid w:val="00E35A7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35A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5A7C"/>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35A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35A7C"/>
    <w:pPr>
      <w:spacing w:before="160" w:after="160" w:line="278" w:lineRule="auto"/>
      <w:jc w:val="center"/>
    </w:pPr>
    <w:rPr>
      <w:i/>
      <w:iCs/>
      <w:color w:val="404040" w:themeColor="text1" w:themeTint="BF"/>
      <w:sz w:val="22"/>
      <w:szCs w:val="24"/>
    </w:rPr>
  </w:style>
  <w:style w:type="character" w:customStyle="1" w:styleId="a8">
    <w:name w:val="引用 字符"/>
    <w:basedOn w:val="a0"/>
    <w:link w:val="a7"/>
    <w:uiPriority w:val="29"/>
    <w:rsid w:val="00E35A7C"/>
    <w:rPr>
      <w:i/>
      <w:iCs/>
      <w:color w:val="404040" w:themeColor="text1" w:themeTint="BF"/>
    </w:rPr>
  </w:style>
  <w:style w:type="paragraph" w:styleId="a9">
    <w:name w:val="List Paragraph"/>
    <w:basedOn w:val="a"/>
    <w:uiPriority w:val="34"/>
    <w:qFormat/>
    <w:rsid w:val="00E35A7C"/>
    <w:pPr>
      <w:spacing w:after="160" w:line="278" w:lineRule="auto"/>
      <w:ind w:left="720"/>
      <w:contextualSpacing/>
      <w:jc w:val="left"/>
    </w:pPr>
    <w:rPr>
      <w:sz w:val="22"/>
      <w:szCs w:val="24"/>
    </w:rPr>
  </w:style>
  <w:style w:type="character" w:styleId="aa">
    <w:name w:val="Intense Emphasis"/>
    <w:basedOn w:val="a0"/>
    <w:uiPriority w:val="21"/>
    <w:qFormat/>
    <w:rsid w:val="00E35A7C"/>
    <w:rPr>
      <w:i/>
      <w:iCs/>
      <w:color w:val="0F4761" w:themeColor="accent1" w:themeShade="BF"/>
    </w:rPr>
  </w:style>
  <w:style w:type="paragraph" w:styleId="ab">
    <w:name w:val="Intense Quote"/>
    <w:basedOn w:val="a"/>
    <w:next w:val="a"/>
    <w:link w:val="ac"/>
    <w:uiPriority w:val="30"/>
    <w:qFormat/>
    <w:rsid w:val="00E35A7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szCs w:val="24"/>
    </w:rPr>
  </w:style>
  <w:style w:type="character" w:customStyle="1" w:styleId="ac">
    <w:name w:val="明显引用 字符"/>
    <w:basedOn w:val="a0"/>
    <w:link w:val="ab"/>
    <w:uiPriority w:val="30"/>
    <w:rsid w:val="00E35A7C"/>
    <w:rPr>
      <w:i/>
      <w:iCs/>
      <w:color w:val="0F4761" w:themeColor="accent1" w:themeShade="BF"/>
    </w:rPr>
  </w:style>
  <w:style w:type="character" w:styleId="ad">
    <w:name w:val="Intense Reference"/>
    <w:basedOn w:val="a0"/>
    <w:uiPriority w:val="32"/>
    <w:qFormat/>
    <w:rsid w:val="00E35A7C"/>
    <w:rPr>
      <w:b/>
      <w:bCs/>
      <w:smallCaps/>
      <w:color w:val="0F4761" w:themeColor="accent1" w:themeShade="BF"/>
      <w:spacing w:val="5"/>
    </w:rPr>
  </w:style>
  <w:style w:type="paragraph" w:styleId="ae">
    <w:name w:val="header"/>
    <w:basedOn w:val="a"/>
    <w:link w:val="af"/>
    <w:uiPriority w:val="99"/>
    <w:unhideWhenUsed/>
    <w:rsid w:val="00B810B7"/>
    <w:pPr>
      <w:tabs>
        <w:tab w:val="center" w:pos="4153"/>
        <w:tab w:val="right" w:pos="8306"/>
      </w:tabs>
      <w:snapToGrid w:val="0"/>
      <w:spacing w:after="160"/>
      <w:jc w:val="center"/>
    </w:pPr>
    <w:rPr>
      <w:sz w:val="18"/>
      <w:szCs w:val="18"/>
    </w:rPr>
  </w:style>
  <w:style w:type="character" w:customStyle="1" w:styleId="af">
    <w:name w:val="页眉 字符"/>
    <w:basedOn w:val="a0"/>
    <w:link w:val="ae"/>
    <w:uiPriority w:val="99"/>
    <w:rsid w:val="00B810B7"/>
    <w:rPr>
      <w:sz w:val="18"/>
      <w:szCs w:val="18"/>
    </w:rPr>
  </w:style>
  <w:style w:type="paragraph" w:styleId="af0">
    <w:name w:val="footer"/>
    <w:basedOn w:val="a"/>
    <w:link w:val="af1"/>
    <w:uiPriority w:val="99"/>
    <w:unhideWhenUsed/>
    <w:rsid w:val="00B810B7"/>
    <w:pPr>
      <w:tabs>
        <w:tab w:val="center" w:pos="4153"/>
        <w:tab w:val="right" w:pos="8306"/>
      </w:tabs>
      <w:snapToGrid w:val="0"/>
      <w:spacing w:after="160"/>
      <w:jc w:val="left"/>
    </w:pPr>
    <w:rPr>
      <w:sz w:val="18"/>
      <w:szCs w:val="18"/>
    </w:rPr>
  </w:style>
  <w:style w:type="character" w:customStyle="1" w:styleId="af1">
    <w:name w:val="页脚 字符"/>
    <w:basedOn w:val="a0"/>
    <w:link w:val="af0"/>
    <w:uiPriority w:val="99"/>
    <w:rsid w:val="00B810B7"/>
    <w:rPr>
      <w:sz w:val="18"/>
      <w:szCs w:val="18"/>
    </w:rPr>
  </w:style>
  <w:style w:type="table" w:styleId="af2">
    <w:name w:val="Table Grid"/>
    <w:basedOn w:val="a1"/>
    <w:uiPriority w:val="39"/>
    <w:rsid w:val="00454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4">
    <w:name w:val="Grid Table 4 Accent 4"/>
    <w:basedOn w:val="a1"/>
    <w:uiPriority w:val="49"/>
    <w:rsid w:val="00454A54"/>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4-6">
    <w:name w:val="Grid Table 4 Accent 6"/>
    <w:basedOn w:val="a1"/>
    <w:uiPriority w:val="49"/>
    <w:rsid w:val="002002C3"/>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af3">
    <w:name w:val="Grid Table Light"/>
    <w:basedOn w:val="a1"/>
    <w:uiPriority w:val="40"/>
    <w:rsid w:val="002002C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4">
    <w:name w:val="Hyperlink"/>
    <w:basedOn w:val="a0"/>
    <w:uiPriority w:val="99"/>
    <w:unhideWhenUsed/>
    <w:rsid w:val="00120633"/>
    <w:rPr>
      <w:color w:val="0563C1"/>
      <w:u w:val="single"/>
    </w:rPr>
  </w:style>
  <w:style w:type="character" w:styleId="af5">
    <w:name w:val="FollowedHyperlink"/>
    <w:basedOn w:val="a0"/>
    <w:uiPriority w:val="99"/>
    <w:semiHidden/>
    <w:unhideWhenUsed/>
    <w:rsid w:val="00120633"/>
    <w:rPr>
      <w:color w:val="954F72"/>
      <w:u w:val="single"/>
    </w:rPr>
  </w:style>
  <w:style w:type="paragraph" w:customStyle="1" w:styleId="msonormal0">
    <w:name w:val="msonormal"/>
    <w:basedOn w:val="a"/>
    <w:rsid w:val="00120633"/>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font5">
    <w:name w:val="font5"/>
    <w:basedOn w:val="a"/>
    <w:rsid w:val="00120633"/>
    <w:pPr>
      <w:widowControl/>
      <w:spacing w:before="100" w:beforeAutospacing="1" w:after="100" w:afterAutospacing="1"/>
      <w:jc w:val="left"/>
    </w:pPr>
    <w:rPr>
      <w:rFonts w:ascii="等线" w:eastAsia="等线" w:hAnsi="等线" w:cs="宋体"/>
      <w:kern w:val="0"/>
      <w:sz w:val="18"/>
      <w:szCs w:val="18"/>
      <w14:ligatures w14:val="none"/>
    </w:rPr>
  </w:style>
  <w:style w:type="paragraph" w:customStyle="1" w:styleId="xl65">
    <w:name w:val="xl65"/>
    <w:basedOn w:val="a"/>
    <w:rsid w:val="00120633"/>
    <w:pPr>
      <w:widowControl/>
      <w:spacing w:before="100" w:beforeAutospacing="1" w:after="100" w:afterAutospacing="1"/>
      <w:jc w:val="left"/>
      <w:textAlignment w:val="top"/>
    </w:pPr>
    <w:rPr>
      <w:rFonts w:ascii="Times New Roman" w:eastAsia="宋体" w:hAnsi="Times New Roman" w:cs="Times New Roman"/>
      <w:kern w:val="0"/>
      <w:sz w:val="24"/>
      <w:szCs w:val="24"/>
      <w14:ligatures w14:val="none"/>
    </w:rPr>
  </w:style>
  <w:style w:type="paragraph" w:customStyle="1" w:styleId="xl66">
    <w:name w:val="xl66"/>
    <w:basedOn w:val="a"/>
    <w:rsid w:val="00120633"/>
    <w:pPr>
      <w:widowControl/>
      <w:spacing w:before="100" w:beforeAutospacing="1" w:after="100" w:afterAutospacing="1"/>
      <w:jc w:val="left"/>
      <w:textAlignment w:val="center"/>
    </w:pPr>
    <w:rPr>
      <w:rFonts w:ascii="Times New Roman" w:eastAsia="宋体" w:hAnsi="Times New Roman" w:cs="Times New Roman"/>
      <w:b/>
      <w:bCs/>
      <w:color w:val="1F1F1F"/>
      <w:kern w:val="0"/>
      <w:sz w:val="24"/>
      <w:szCs w:val="24"/>
      <w14:ligatures w14:val="none"/>
    </w:rPr>
  </w:style>
  <w:style w:type="paragraph" w:customStyle="1" w:styleId="xl67">
    <w:name w:val="xl67"/>
    <w:basedOn w:val="a"/>
    <w:rsid w:val="00120633"/>
    <w:pPr>
      <w:widowControl/>
      <w:spacing w:before="100" w:beforeAutospacing="1" w:after="100" w:afterAutospacing="1"/>
      <w:jc w:val="left"/>
    </w:pPr>
    <w:rPr>
      <w:rFonts w:ascii="Times New Roman" w:eastAsia="宋体" w:hAnsi="Times New Roman" w:cs="Times New Roman"/>
      <w:kern w:val="0"/>
      <w:sz w:val="24"/>
      <w:szCs w:val="24"/>
      <w14:ligatures w14:val="none"/>
    </w:rPr>
  </w:style>
  <w:style w:type="paragraph" w:customStyle="1" w:styleId="xl68">
    <w:name w:val="xl68"/>
    <w:basedOn w:val="a"/>
    <w:rsid w:val="00120633"/>
    <w:pPr>
      <w:widowControl/>
      <w:spacing w:before="100" w:beforeAutospacing="1" w:after="100" w:afterAutospacing="1"/>
      <w:jc w:val="left"/>
      <w:textAlignment w:val="center"/>
    </w:pPr>
    <w:rPr>
      <w:rFonts w:ascii="Times New Roman" w:eastAsia="宋体" w:hAnsi="Times New Roman" w:cs="Times New Roman"/>
      <w:color w:val="1F1F1F"/>
      <w:kern w:val="0"/>
      <w:sz w:val="24"/>
      <w:szCs w:val="24"/>
      <w14:ligatures w14:val="none"/>
    </w:rPr>
  </w:style>
  <w:style w:type="paragraph" w:customStyle="1" w:styleId="xl69">
    <w:name w:val="xl69"/>
    <w:basedOn w:val="a"/>
    <w:rsid w:val="00120633"/>
    <w:pPr>
      <w:widowControl/>
      <w:spacing w:before="100" w:beforeAutospacing="1" w:after="100" w:afterAutospacing="1"/>
      <w:jc w:val="right"/>
    </w:pPr>
    <w:rPr>
      <w:rFonts w:ascii="Times New Roman" w:eastAsia="宋体" w:hAnsi="Times New Roman" w:cs="Times New Roman"/>
      <w:b/>
      <w:bCs/>
      <w:kern w:val="0"/>
      <w:sz w:val="24"/>
      <w:szCs w:val="24"/>
      <w14:ligatures w14:val="none"/>
    </w:rPr>
  </w:style>
  <w:style w:type="paragraph" w:customStyle="1" w:styleId="xl70">
    <w:name w:val="xl70"/>
    <w:basedOn w:val="a"/>
    <w:rsid w:val="00120633"/>
    <w:pPr>
      <w:widowControl/>
      <w:spacing w:before="100" w:beforeAutospacing="1" w:after="100" w:afterAutospacing="1"/>
      <w:jc w:val="left"/>
      <w:textAlignment w:val="top"/>
    </w:pPr>
    <w:rPr>
      <w:rFonts w:ascii="Times New Roman" w:eastAsia="宋体" w:hAnsi="Times New Roman" w:cs="Times New Roman"/>
      <w:kern w:val="0"/>
      <w:sz w:val="20"/>
      <w:szCs w:val="20"/>
      <w14:ligatures w14:val="none"/>
    </w:rPr>
  </w:style>
  <w:style w:type="paragraph" w:customStyle="1" w:styleId="xl71">
    <w:name w:val="xl71"/>
    <w:basedOn w:val="a"/>
    <w:rsid w:val="00120633"/>
    <w:pPr>
      <w:widowControl/>
      <w:spacing w:before="100" w:beforeAutospacing="1" w:after="100" w:afterAutospacing="1"/>
      <w:jc w:val="left"/>
      <w:textAlignment w:val="top"/>
    </w:pPr>
    <w:rPr>
      <w:rFonts w:ascii="Times New Roman" w:eastAsia="宋体" w:hAnsi="Times New Roman" w:cs="Times New Roman"/>
      <w:kern w:val="0"/>
      <w:sz w:val="20"/>
      <w:szCs w:val="20"/>
      <w14:ligatures w14:val="none"/>
    </w:rPr>
  </w:style>
  <w:style w:type="paragraph" w:customStyle="1" w:styleId="font6">
    <w:name w:val="font6"/>
    <w:basedOn w:val="a"/>
    <w:rsid w:val="00093922"/>
    <w:pPr>
      <w:widowControl/>
      <w:spacing w:before="100" w:beforeAutospacing="1" w:after="100" w:afterAutospacing="1"/>
      <w:jc w:val="left"/>
    </w:pPr>
    <w:rPr>
      <w:rFonts w:ascii="Times New Roman" w:eastAsia="宋体" w:hAnsi="Times New Roman" w:cs="Times New Roman"/>
      <w:color w:val="1F1F1F"/>
      <w:kern w:val="0"/>
      <w:sz w:val="22"/>
      <w14:ligatures w14:val="none"/>
    </w:rPr>
  </w:style>
  <w:style w:type="table" w:styleId="21">
    <w:name w:val="Plain Table 2"/>
    <w:basedOn w:val="a1"/>
    <w:uiPriority w:val="42"/>
    <w:rsid w:val="005E73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f6">
    <w:name w:val="Unresolved Mention"/>
    <w:basedOn w:val="a0"/>
    <w:uiPriority w:val="99"/>
    <w:semiHidden/>
    <w:unhideWhenUsed/>
    <w:rsid w:val="0047012C"/>
    <w:rPr>
      <w:color w:val="605E5C"/>
      <w:shd w:val="clear" w:color="auto" w:fill="E1DFDD"/>
    </w:rPr>
  </w:style>
  <w:style w:type="paragraph" w:styleId="af7">
    <w:name w:val="Normal (Web)"/>
    <w:basedOn w:val="a"/>
    <w:uiPriority w:val="99"/>
    <w:semiHidden/>
    <w:unhideWhenUsed/>
    <w:rsid w:val="00B5213D"/>
    <w:rPr>
      <w:rFonts w:ascii="Times New Roman" w:hAnsi="Times New Roman" w:cs="Times New Roman"/>
      <w:sz w:val="24"/>
      <w:szCs w:val="24"/>
    </w:rPr>
  </w:style>
  <w:style w:type="paragraph" w:styleId="af8">
    <w:name w:val="annotation text"/>
    <w:basedOn w:val="a"/>
    <w:link w:val="af9"/>
    <w:uiPriority w:val="99"/>
    <w:semiHidden/>
    <w:unhideWhenUsed/>
    <w:pPr>
      <w:jc w:val="left"/>
    </w:pPr>
  </w:style>
  <w:style w:type="character" w:customStyle="1" w:styleId="af9">
    <w:name w:val="批注文字 字符"/>
    <w:basedOn w:val="a0"/>
    <w:link w:val="af8"/>
    <w:uiPriority w:val="99"/>
    <w:semiHidden/>
    <w:rPr>
      <w:sz w:val="21"/>
      <w:szCs w:val="22"/>
    </w:rPr>
  </w:style>
  <w:style w:type="character" w:styleId="afa">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3233/EFI-18022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124/JBIES-24-0010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136/bmj-2024-0825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24/JBIES-23-00268" TargetMode="External"/><Relationship Id="rId5" Type="http://schemas.openxmlformats.org/officeDocument/2006/relationships/webSettings" Target="webSettings.xml"/><Relationship Id="rId15" Type="http://schemas.openxmlformats.org/officeDocument/2006/relationships/hyperlink" Target="https://doi.org/10.11124/JBIES-24-00293" TargetMode="External"/><Relationship Id="rId10" Type="http://schemas.openxmlformats.org/officeDocument/2006/relationships/hyperlink" Target="https://doi.org/10.11124/JBIES-22-00125" TargetMode="External"/><Relationship Id="rId4" Type="http://schemas.openxmlformats.org/officeDocument/2006/relationships/settings" Target="settings.xml"/><Relationship Id="rId9" Type="http://schemas.openxmlformats.org/officeDocument/2006/relationships/hyperlink" Target="https://doi.org/10.11124/JBIES-22-00430" TargetMode="External"/><Relationship Id="rId14" Type="http://schemas.openxmlformats.org/officeDocument/2006/relationships/hyperlink" Target="https://doi.org/10.1097/XEB.000000000000006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C4DA6-C8DB-4270-A97B-E17CD77C2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888</TotalTime>
  <Pages>73</Pages>
  <Words>30036</Words>
  <Characters>171206</Characters>
  <Application>Microsoft Office Word</Application>
  <DocSecurity>0</DocSecurity>
  <Lines>1426</Lines>
  <Paragraphs>401</Paragraphs>
  <ScaleCrop>false</ScaleCrop>
  <Company/>
  <LinksUpToDate>false</LinksUpToDate>
  <CharactersWithSpaces>200841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Keyi LI</dc:creator>
  <cp:keywords/>
  <dc:description/>
  <cp:lastModifiedBy>Keyi LI</cp:lastModifiedBy>
  <cp:revision>178</cp:revision>
  <dcterms:created xsi:type="dcterms:W3CDTF">2026-03-23T16:48:00Z</dcterms:created>
  <dcterms:modified xsi:type="dcterms:W3CDTF">2026-06-26T14:18:00Z</dcterms:modified>
</cp:coreProperties>
</file>