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3E" w:rsidRDefault="0067323E" w:rsidP="0067323E">
      <w:pPr>
        <w:widowControl w:val="0"/>
        <w:suppressAutoHyphens/>
        <w:spacing w:after="0" w:line="48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en-US" w:eastAsia="hi-IN" w:bidi="hi-IN"/>
        </w:rPr>
      </w:pPr>
      <w:r w:rsidRPr="00306787">
        <w:rPr>
          <w:rFonts w:ascii="Times New Roman" w:eastAsia="Lucida Sans Unicode" w:hAnsi="Times New Roman" w:cs="Tahoma"/>
          <w:noProof/>
          <w:kern w:val="1"/>
          <w:sz w:val="24"/>
          <w:szCs w:val="24"/>
          <w:lang w:val="pl-PL" w:eastAsia="pl-PL"/>
        </w:rPr>
        <w:drawing>
          <wp:inline distT="0" distB="0" distL="0" distR="0" wp14:anchorId="39952159" wp14:editId="292D235B">
            <wp:extent cx="4343400" cy="2990850"/>
            <wp:effectExtent l="0" t="0" r="0" b="0"/>
            <wp:docPr id="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7323E" w:rsidRDefault="0067323E" w:rsidP="006732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</w:p>
    <w:p w:rsidR="0067323E" w:rsidRPr="005E3270" w:rsidRDefault="0067323E" w:rsidP="00673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Fig. S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1</w:t>
      </w:r>
      <w:r w:rsidRPr="005E327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Rarefaction analysis of sequences from alkaline soda lime</w:t>
      </w:r>
    </w:p>
    <w:p w:rsidR="0067323E" w:rsidRPr="005E3270" w:rsidRDefault="0067323E" w:rsidP="0067323E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bookmarkStart w:id="1" w:name="article1.body1.sec3.sec3.fig1.caption1.p"/>
      <w:bookmarkEnd w:id="1"/>
      <w:r w:rsidRPr="005E3270">
        <w:rPr>
          <w:rFonts w:ascii="Times New Roman" w:hAnsi="Times New Roman" w:cs="Times New Roman"/>
          <w:sz w:val="24"/>
          <w:szCs w:val="24"/>
        </w:rPr>
        <w:t>Rarefaction curves of bacterial pyrosequencing data applying 97% similarity threshold of the 16S rRNA gene</w:t>
      </w:r>
    </w:p>
    <w:p w:rsidR="00057A1E" w:rsidRDefault="00057A1E"/>
    <w:sectPr w:rsidR="00057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3E"/>
    <w:rsid w:val="00057A1E"/>
    <w:rsid w:val="00530208"/>
    <w:rsid w:val="0067323E"/>
    <w:rsid w:val="008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23E"/>
    <w:rPr>
      <w:rFonts w:eastAsiaTheme="minorEastAsia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3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23E"/>
    <w:rPr>
      <w:rFonts w:ascii="Tahoma" w:eastAsiaTheme="minorEastAsia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23E"/>
    <w:rPr>
      <w:rFonts w:eastAsiaTheme="minorEastAsia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3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23E"/>
    <w:rPr>
      <w:rFonts w:ascii="Tahoma" w:eastAsiaTheme="minorEastAsi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ppp\Ustawienia%20lokalne\Temp\lengyel.without_plast.rarefaction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163604549431325"/>
          <c:y val="7.5362532162964749E-2"/>
          <c:w val="0.7951999023377897"/>
          <c:h val="0.6934973532348864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Interior</c:v>
                </c:pt>
              </c:strCache>
            </c:strRef>
          </c:tx>
          <c:spPr>
            <a:ln w="38100">
              <a:solidFill>
                <a:schemeClr val="tx1"/>
              </a:solidFill>
              <a:prstDash val="solid"/>
            </a:ln>
          </c:spPr>
          <c:marker>
            <c:symbol val="none"/>
          </c:marker>
          <c:cat>
            <c:numRef>
              <c:f>Sheet1!$A$2:$A$24</c:f>
              <c:numCache>
                <c:formatCode>General</c:formatCode>
                <c:ptCount val="23"/>
                <c:pt idx="0">
                  <c:v>1</c:v>
                </c:pt>
                <c:pt idx="1">
                  <c:v>100</c:v>
                </c:pt>
                <c:pt idx="2">
                  <c:v>200</c:v>
                </c:pt>
                <c:pt idx="3">
                  <c:v>300</c:v>
                </c:pt>
                <c:pt idx="4">
                  <c:v>400</c:v>
                </c:pt>
                <c:pt idx="5">
                  <c:v>500</c:v>
                </c:pt>
                <c:pt idx="6">
                  <c:v>600</c:v>
                </c:pt>
                <c:pt idx="7">
                  <c:v>700</c:v>
                </c:pt>
                <c:pt idx="8">
                  <c:v>800</c:v>
                </c:pt>
                <c:pt idx="9">
                  <c:v>900</c:v>
                </c:pt>
                <c:pt idx="10">
                  <c:v>1000</c:v>
                </c:pt>
                <c:pt idx="11">
                  <c:v>1100</c:v>
                </c:pt>
                <c:pt idx="12">
                  <c:v>1200</c:v>
                </c:pt>
                <c:pt idx="13">
                  <c:v>1300</c:v>
                </c:pt>
                <c:pt idx="14">
                  <c:v>1400</c:v>
                </c:pt>
                <c:pt idx="15">
                  <c:v>1500</c:v>
                </c:pt>
                <c:pt idx="16">
                  <c:v>1600</c:v>
                </c:pt>
                <c:pt idx="17">
                  <c:v>1700</c:v>
                </c:pt>
                <c:pt idx="18">
                  <c:v>1800</c:v>
                </c:pt>
                <c:pt idx="19">
                  <c:v>1900</c:v>
                </c:pt>
                <c:pt idx="20">
                  <c:v>2000</c:v>
                </c:pt>
                <c:pt idx="21">
                  <c:v>2100</c:v>
                </c:pt>
                <c:pt idx="22">
                  <c:v>2150</c:v>
                </c:pt>
              </c:numCache>
            </c:numRef>
          </c:cat>
          <c:val>
            <c:numRef>
              <c:f>Sheet1!$B$2:$B$24</c:f>
              <c:numCache>
                <c:formatCode>General</c:formatCode>
                <c:ptCount val="23"/>
                <c:pt idx="0">
                  <c:v>1</c:v>
                </c:pt>
                <c:pt idx="1">
                  <c:v>56.265000000000015</c:v>
                </c:pt>
                <c:pt idx="2">
                  <c:v>92.141000000000005</c:v>
                </c:pt>
                <c:pt idx="3">
                  <c:v>119.482</c:v>
                </c:pt>
                <c:pt idx="4">
                  <c:v>142.29599999999999</c:v>
                </c:pt>
                <c:pt idx="5">
                  <c:v>161.83100000000005</c:v>
                </c:pt>
                <c:pt idx="6">
                  <c:v>178.87300000000002</c:v>
                </c:pt>
                <c:pt idx="7">
                  <c:v>194.05200000000005</c:v>
                </c:pt>
                <c:pt idx="8">
                  <c:v>207.732</c:v>
                </c:pt>
                <c:pt idx="9">
                  <c:v>220.20599999999999</c:v>
                </c:pt>
                <c:pt idx="10">
                  <c:v>231.88300000000001</c:v>
                </c:pt>
                <c:pt idx="11">
                  <c:v>242.33600000000001</c:v>
                </c:pt>
                <c:pt idx="12">
                  <c:v>252.11799999999999</c:v>
                </c:pt>
                <c:pt idx="13">
                  <c:v>261.02</c:v>
                </c:pt>
                <c:pt idx="14">
                  <c:v>269.18400000000008</c:v>
                </c:pt>
                <c:pt idx="15">
                  <c:v>276.904</c:v>
                </c:pt>
                <c:pt idx="16">
                  <c:v>284.02299999999991</c:v>
                </c:pt>
                <c:pt idx="17">
                  <c:v>290.55700000000002</c:v>
                </c:pt>
                <c:pt idx="18">
                  <c:v>296.58799999999991</c:v>
                </c:pt>
                <c:pt idx="19">
                  <c:v>302.21899999999988</c:v>
                </c:pt>
                <c:pt idx="20">
                  <c:v>307.27</c:v>
                </c:pt>
                <c:pt idx="21">
                  <c:v>311.87900000000002</c:v>
                </c:pt>
                <c:pt idx="22">
                  <c:v>314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Sheet1!$E$1</c:f>
              <c:strCache>
                <c:ptCount val="1"/>
                <c:pt idx="0">
                  <c:v>Surface</c:v>
                </c:pt>
              </c:strCache>
            </c:strRef>
          </c:tx>
          <c:spPr>
            <a:ln w="3810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numRef>
              <c:f>Sheet1!$A$2:$A$24</c:f>
              <c:numCache>
                <c:formatCode>General</c:formatCode>
                <c:ptCount val="23"/>
                <c:pt idx="0">
                  <c:v>1</c:v>
                </c:pt>
                <c:pt idx="1">
                  <c:v>100</c:v>
                </c:pt>
                <c:pt idx="2">
                  <c:v>200</c:v>
                </c:pt>
                <c:pt idx="3">
                  <c:v>300</c:v>
                </c:pt>
                <c:pt idx="4">
                  <c:v>400</c:v>
                </c:pt>
                <c:pt idx="5">
                  <c:v>500</c:v>
                </c:pt>
                <c:pt idx="6">
                  <c:v>600</c:v>
                </c:pt>
                <c:pt idx="7">
                  <c:v>700</c:v>
                </c:pt>
                <c:pt idx="8">
                  <c:v>800</c:v>
                </c:pt>
                <c:pt idx="9">
                  <c:v>900</c:v>
                </c:pt>
                <c:pt idx="10">
                  <c:v>1000</c:v>
                </c:pt>
                <c:pt idx="11">
                  <c:v>1100</c:v>
                </c:pt>
                <c:pt idx="12">
                  <c:v>1200</c:v>
                </c:pt>
                <c:pt idx="13">
                  <c:v>1300</c:v>
                </c:pt>
                <c:pt idx="14">
                  <c:v>1400</c:v>
                </c:pt>
                <c:pt idx="15">
                  <c:v>1500</c:v>
                </c:pt>
                <c:pt idx="16">
                  <c:v>1600</c:v>
                </c:pt>
                <c:pt idx="17">
                  <c:v>1700</c:v>
                </c:pt>
                <c:pt idx="18">
                  <c:v>1800</c:v>
                </c:pt>
                <c:pt idx="19">
                  <c:v>1900</c:v>
                </c:pt>
                <c:pt idx="20">
                  <c:v>2000</c:v>
                </c:pt>
                <c:pt idx="21">
                  <c:v>2100</c:v>
                </c:pt>
                <c:pt idx="22">
                  <c:v>2150</c:v>
                </c:pt>
              </c:numCache>
            </c:numRef>
          </c:cat>
          <c:val>
            <c:numRef>
              <c:f>Sheet1!$E$2:$E$24</c:f>
              <c:numCache>
                <c:formatCode>General</c:formatCode>
                <c:ptCount val="23"/>
                <c:pt idx="0">
                  <c:v>1</c:v>
                </c:pt>
                <c:pt idx="1">
                  <c:v>46.247</c:v>
                </c:pt>
                <c:pt idx="2">
                  <c:v>72.878999999999976</c:v>
                </c:pt>
                <c:pt idx="3">
                  <c:v>92.863</c:v>
                </c:pt>
                <c:pt idx="4">
                  <c:v>108.74600000000002</c:v>
                </c:pt>
                <c:pt idx="5">
                  <c:v>121.94500000000002</c:v>
                </c:pt>
                <c:pt idx="6">
                  <c:v>132.90200000000004</c:v>
                </c:pt>
                <c:pt idx="7">
                  <c:v>142.33200000000005</c:v>
                </c:pt>
                <c:pt idx="8">
                  <c:v>150.285</c:v>
                </c:pt>
                <c:pt idx="9">
                  <c:v>157.32600000000005</c:v>
                </c:pt>
                <c:pt idx="10">
                  <c:v>163.38800000000006</c:v>
                </c:pt>
                <c:pt idx="11">
                  <c:v>168.697</c:v>
                </c:pt>
                <c:pt idx="12">
                  <c:v>173.029</c:v>
                </c:pt>
                <c:pt idx="13">
                  <c:v>176.85100000000006</c:v>
                </c:pt>
                <c:pt idx="14">
                  <c:v>180.023</c:v>
                </c:pt>
                <c:pt idx="15">
                  <c:v>182.76499999999999</c:v>
                </c:pt>
                <c:pt idx="16">
                  <c:v>184.96200000000005</c:v>
                </c:pt>
                <c:pt idx="17">
                  <c:v>186.68700000000001</c:v>
                </c:pt>
                <c:pt idx="18">
                  <c:v>188.10499999999999</c:v>
                </c:pt>
                <c:pt idx="19">
                  <c:v>189.06399999999999</c:v>
                </c:pt>
                <c:pt idx="20">
                  <c:v>189.696</c:v>
                </c:pt>
                <c:pt idx="21">
                  <c:v>189.96300000000002</c:v>
                </c:pt>
                <c:pt idx="22">
                  <c:v>190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3854848"/>
        <c:axId val="233861120"/>
      </c:lineChart>
      <c:catAx>
        <c:axId val="2338548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100"/>
                  <a:t>number of seq</a:t>
                </a:r>
                <a:r>
                  <a:rPr lang="hu-HU" sz="1100"/>
                  <a:t>ue</a:t>
                </a:r>
                <a:r>
                  <a:rPr lang="en-US" sz="1100"/>
                  <a:t>nces</a:t>
                </a:r>
              </a:p>
            </c:rich>
          </c:tx>
          <c:layout>
            <c:manualLayout>
              <c:xMode val="edge"/>
              <c:yMode val="edge"/>
              <c:x val="0.41949289672124362"/>
              <c:y val="0.9233329636612316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B3B3B3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33861120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233861120"/>
        <c:scaling>
          <c:orientation val="minMax"/>
        </c:scaling>
        <c:delete val="0"/>
        <c:axPos val="l"/>
        <c:majorGridlines>
          <c:spPr>
            <a:ln w="3175">
              <a:solidFill>
                <a:srgbClr val="B3B3B3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100"/>
                  <a:t>number of OTUs</a:t>
                </a:r>
              </a:p>
            </c:rich>
          </c:tx>
          <c:layout>
            <c:manualLayout>
              <c:xMode val="edge"/>
              <c:yMode val="edge"/>
              <c:x val="1.9383710757085608E-2"/>
              <c:y val="0.3402582252975954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B3B3B3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233854848"/>
        <c:crosses val="autoZero"/>
        <c:crossBetween val="midCat"/>
      </c:valAx>
      <c:spPr>
        <a:noFill/>
        <a:ln w="3175">
          <a:solidFill>
            <a:srgbClr val="B3B3B3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0160058940000924"/>
          <c:y val="0.49695237590250746"/>
          <c:w val="0.21840332458442704"/>
          <c:h val="0.23108321318990074"/>
        </c:manualLayout>
      </c:layout>
      <c:overlay val="0"/>
      <c:spPr>
        <a:solidFill>
          <a:schemeClr val="bg1"/>
        </a:solidFill>
        <a:ln w="25400">
          <a:noFill/>
        </a:ln>
      </c:spPr>
      <c:txPr>
        <a:bodyPr/>
        <a:lstStyle/>
        <a:p>
          <a:pPr>
            <a:defRPr sz="10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</dc:creator>
  <cp:lastModifiedBy>UMK</cp:lastModifiedBy>
  <cp:revision>1</cp:revision>
  <dcterms:created xsi:type="dcterms:W3CDTF">2017-02-13T10:40:00Z</dcterms:created>
  <dcterms:modified xsi:type="dcterms:W3CDTF">2017-02-13T10:42:00Z</dcterms:modified>
</cp:coreProperties>
</file>