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8EA" w:rsidRPr="004F232F" w:rsidRDefault="004F232F" w:rsidP="001218EA">
      <w:pPr>
        <w:pageBreakBefore/>
        <w:spacing w:line="480" w:lineRule="auto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 xml:space="preserve">Supplemental </w:t>
      </w:r>
      <w:r w:rsidR="001218EA" w:rsidRPr="004F232F">
        <w:rPr>
          <w:rFonts w:ascii="Cambria" w:hAnsi="Cambria" w:cs="Arial"/>
          <w:b/>
          <w:sz w:val="22"/>
          <w:szCs w:val="22"/>
        </w:rPr>
        <w:t xml:space="preserve">Table 1. </w:t>
      </w:r>
      <w:r w:rsidR="001218EA" w:rsidRPr="004F232F">
        <w:rPr>
          <w:rFonts w:ascii="Cambria" w:hAnsi="Cambria" w:cs="Arial"/>
          <w:sz w:val="22"/>
          <w:szCs w:val="22"/>
        </w:rPr>
        <w:t>Primers used in this study</w:t>
      </w: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711"/>
      </w:tblGrid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BC5589">
            <w:pPr>
              <w:spacing w:line="480" w:lineRule="auto"/>
              <w:rPr>
                <w:rFonts w:ascii="Cambria" w:hAnsi="Cambria" w:cs="Arial"/>
                <w:b/>
                <w:sz w:val="18"/>
                <w:szCs w:val="22"/>
              </w:rPr>
            </w:pPr>
            <w:r w:rsidRPr="004F232F">
              <w:rPr>
                <w:rFonts w:ascii="Cambria" w:hAnsi="Cambria" w:cs="Arial"/>
                <w:b/>
                <w:sz w:val="18"/>
                <w:szCs w:val="22"/>
              </w:rPr>
              <w:t xml:space="preserve">Primer 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b/>
                <w:sz w:val="18"/>
                <w:szCs w:val="22"/>
              </w:rPr>
            </w:pP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1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AGTATTCCACTCAGCTCTGGACTAACCTCTTTAATGGGATACTACCAGCCAGTAGTACC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2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TGATGTGTGTGACGTGATGTGTATATCCTACACTTAGTAAGACGCACGTTCCCC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3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TGATGATGGATATATGGAAGCTGGAGGATGCCCGTTTCCTATTAAGCAGTGCAGTG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4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TAGCAGGTGAGAACTCACTTGTACTCGACTCCTGCAGATACAGTATTGGACGGTGGCTGG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5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AAGCCGCTGCTGGAATTGGGCTCTGAGGTGCAGTGGAT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6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CGATGGATAATTGTGCCGTGTTGGGTGTTACGGAGCATTCA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7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GGCGTCGGTTTCCACTATC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8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AAAGTTCGACAGCGTCTCC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9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TCTCTAGATTTCGGCACGGCTAC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10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TGACACAGTACACGAGGACTTC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11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TGATTACGAATTCCCTCGGGGAGTCATATGAAAGG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12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GACGCGTGGATCCCCGCGGGTAATATTGAGCCAAC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13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TTCTGGCATGCGGAGAGAC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14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GTGGTACCATGGGTTGAGTGG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15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TACGACGATAAGCCATCCGC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16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ACAACTGTCGAAGGGGCATT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17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GACTGAGAGTGTACGCCTGG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18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GCCTGTATAGACGCCATGCT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19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TAGCGATTGTTGGCATGGGT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20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GTCCACGTTGAACCGACTCT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21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ATGATGGCTGCCTCTGACTTC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22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TTCTTGCTCTGGATGTTGCG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23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GCTCGGCACCTTACGAGAAATC</w:t>
            </w:r>
          </w:p>
        </w:tc>
      </w:tr>
      <w:tr w:rsidR="001218EA" w:rsidRPr="004F232F" w:rsidTr="00390BFB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</w:rPr>
            </w:pPr>
            <w:r w:rsidRPr="004F232F">
              <w:rPr>
                <w:rFonts w:ascii="Cambria" w:hAnsi="Cambria" w:cs="Arial"/>
                <w:sz w:val="18"/>
                <w:szCs w:val="22"/>
              </w:rPr>
              <w:t>24</w:t>
            </w:r>
          </w:p>
        </w:tc>
        <w:tc>
          <w:tcPr>
            <w:tcW w:w="7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218EA" w:rsidRPr="004F232F" w:rsidRDefault="001218EA" w:rsidP="00390BFB">
            <w:pPr>
              <w:spacing w:line="480" w:lineRule="auto"/>
              <w:rPr>
                <w:rFonts w:ascii="Cambria" w:hAnsi="Cambria" w:cs="Arial"/>
                <w:sz w:val="18"/>
                <w:szCs w:val="22"/>
                <w:lang w:val="nl-NL"/>
              </w:rPr>
            </w:pPr>
            <w:r w:rsidRPr="004F232F">
              <w:rPr>
                <w:rFonts w:ascii="Cambria" w:hAnsi="Cambria" w:cs="Arial"/>
                <w:sz w:val="18"/>
                <w:szCs w:val="22"/>
                <w:lang w:val="nl-NL"/>
              </w:rPr>
              <w:t>TTCAGCCTTGCGACCATACTCC </w:t>
            </w:r>
          </w:p>
        </w:tc>
      </w:tr>
    </w:tbl>
    <w:p w:rsidR="004F232F" w:rsidRDefault="004F232F" w:rsidP="001218EA">
      <w:pPr>
        <w:spacing w:line="480" w:lineRule="auto"/>
        <w:rPr>
          <w:rFonts w:ascii="Cambria" w:hAnsi="Cambria" w:cs="Arial"/>
          <w:b/>
          <w:sz w:val="22"/>
          <w:szCs w:val="22"/>
        </w:rPr>
      </w:pPr>
    </w:p>
    <w:p w:rsidR="004F232F" w:rsidRDefault="004F232F">
      <w:pPr>
        <w:suppressAutoHyphens w:val="0"/>
        <w:spacing w:after="160" w:line="259" w:lineRule="auto"/>
        <w:rPr>
          <w:rFonts w:ascii="Cambria" w:hAnsi="Cambria" w:cs="Arial"/>
          <w:b/>
          <w:sz w:val="22"/>
          <w:szCs w:val="22"/>
        </w:rPr>
        <w:sectPr w:rsidR="004F232F" w:rsidSect="004F232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97157F" w:rsidRPr="00390BFB" w:rsidRDefault="0097157F" w:rsidP="0097157F">
      <w:pPr>
        <w:rPr>
          <w:rFonts w:ascii="Cambria" w:hAnsi="Cambria" w:cs="Arial"/>
          <w:sz w:val="22"/>
          <w:szCs w:val="20"/>
        </w:rPr>
      </w:pPr>
      <w:r w:rsidRPr="00390BFB">
        <w:rPr>
          <w:rFonts w:ascii="Cambria" w:hAnsi="Cambria" w:cs="Arial"/>
          <w:b/>
          <w:sz w:val="22"/>
          <w:szCs w:val="20"/>
        </w:rPr>
        <w:lastRenderedPageBreak/>
        <w:t xml:space="preserve">Supplemental Table 2. </w:t>
      </w:r>
      <w:r w:rsidRPr="00390BFB">
        <w:rPr>
          <w:rFonts w:ascii="Cambria" w:hAnsi="Cambria" w:cs="Arial"/>
          <w:sz w:val="22"/>
          <w:szCs w:val="20"/>
        </w:rPr>
        <w:t>Differentially expressed genes in Δ</w:t>
      </w:r>
      <w:r w:rsidR="00FD60C3">
        <w:rPr>
          <w:rFonts w:ascii="Cambria" w:hAnsi="Cambria" w:cs="Arial"/>
          <w:i/>
          <w:sz w:val="22"/>
          <w:szCs w:val="20"/>
        </w:rPr>
        <w:t>fum21</w:t>
      </w:r>
      <w:r w:rsidRPr="00390BFB">
        <w:rPr>
          <w:rFonts w:ascii="Cambria" w:hAnsi="Cambria" w:cs="Arial"/>
          <w:i/>
          <w:sz w:val="22"/>
          <w:szCs w:val="20"/>
        </w:rPr>
        <w:t xml:space="preserve"> </w:t>
      </w:r>
      <w:r w:rsidRPr="00390BFB">
        <w:rPr>
          <w:rFonts w:ascii="Cambria" w:hAnsi="Cambria" w:cs="Arial"/>
          <w:sz w:val="22"/>
          <w:szCs w:val="20"/>
        </w:rPr>
        <w:t xml:space="preserve">compared to </w:t>
      </w:r>
      <w:r w:rsidR="00BF45EB">
        <w:rPr>
          <w:rFonts w:ascii="Cambria" w:hAnsi="Cambria" w:cs="Arial"/>
          <w:sz w:val="22"/>
          <w:szCs w:val="20"/>
        </w:rPr>
        <w:t xml:space="preserve">the </w:t>
      </w:r>
      <w:r w:rsidRPr="00390BFB">
        <w:rPr>
          <w:rFonts w:ascii="Cambria" w:hAnsi="Cambria" w:cs="Arial"/>
          <w:sz w:val="22"/>
          <w:szCs w:val="20"/>
        </w:rPr>
        <w:t xml:space="preserve">wild-type </w:t>
      </w:r>
      <w:r w:rsidR="00BF45EB">
        <w:rPr>
          <w:rFonts w:ascii="Cambria" w:hAnsi="Cambria" w:cs="Arial"/>
          <w:sz w:val="22"/>
          <w:szCs w:val="20"/>
        </w:rPr>
        <w:t xml:space="preserve">strain </w:t>
      </w:r>
      <w:r w:rsidRPr="00390BFB">
        <w:rPr>
          <w:rFonts w:ascii="Cambria" w:hAnsi="Cambria" w:cs="Arial"/>
          <w:sz w:val="22"/>
          <w:szCs w:val="20"/>
        </w:rPr>
        <w:t>in MM-X (Δ</w:t>
      </w:r>
      <w:r w:rsidR="00FD60C3">
        <w:rPr>
          <w:rFonts w:ascii="Cambria" w:hAnsi="Cambria" w:cs="Arial"/>
          <w:sz w:val="22"/>
          <w:szCs w:val="20"/>
        </w:rPr>
        <w:t>21</w:t>
      </w:r>
      <w:r w:rsidRPr="00390BFB">
        <w:rPr>
          <w:rFonts w:ascii="Cambria" w:hAnsi="Cambria" w:cs="Arial"/>
          <w:sz w:val="22"/>
          <w:szCs w:val="20"/>
        </w:rPr>
        <w:t>XX and wtXX) or MM-G (Δ</w:t>
      </w:r>
      <w:r w:rsidR="00FD60C3">
        <w:rPr>
          <w:rFonts w:ascii="Cambria" w:hAnsi="Cambria" w:cs="Arial"/>
          <w:sz w:val="22"/>
          <w:szCs w:val="20"/>
        </w:rPr>
        <w:t>21</w:t>
      </w:r>
      <w:r w:rsidRPr="00390BFB">
        <w:rPr>
          <w:rFonts w:ascii="Cambria" w:hAnsi="Cambria" w:cs="Arial"/>
          <w:sz w:val="22"/>
          <w:szCs w:val="20"/>
        </w:rPr>
        <w:t>GX and wtGX)</w:t>
      </w:r>
      <w:bookmarkStart w:id="0" w:name="_GoBack"/>
      <w:bookmarkEnd w:id="0"/>
      <w:r w:rsidRPr="00390BFB">
        <w:rPr>
          <w:rFonts w:ascii="Cambria" w:hAnsi="Cambria" w:cs="Arial"/>
          <w:sz w:val="22"/>
          <w:szCs w:val="20"/>
        </w:rPr>
        <w:t>. Expression levels in FPKM are the average of duplicates. Rows of genes implied in secondary metabolism are grey-shaded.</w:t>
      </w:r>
    </w:p>
    <w:tbl>
      <w:tblPr>
        <w:tblStyle w:val="TableGrid"/>
        <w:tblW w:w="14134" w:type="dxa"/>
        <w:tblLayout w:type="fixed"/>
        <w:tblLook w:val="04A0" w:firstRow="1" w:lastRow="0" w:firstColumn="1" w:lastColumn="0" w:noHBand="0" w:noVBand="1"/>
      </w:tblPr>
      <w:tblGrid>
        <w:gridCol w:w="803"/>
        <w:gridCol w:w="723"/>
        <w:gridCol w:w="650"/>
        <w:gridCol w:w="626"/>
        <w:gridCol w:w="708"/>
        <w:gridCol w:w="1418"/>
        <w:gridCol w:w="1984"/>
        <w:gridCol w:w="2268"/>
        <w:gridCol w:w="2552"/>
        <w:gridCol w:w="850"/>
        <w:gridCol w:w="1552"/>
      </w:tblGrid>
      <w:tr w:rsidR="0097157F" w:rsidRPr="00DE0E0E" w:rsidTr="00390BFB">
        <w:trPr>
          <w:trHeight w:val="511"/>
        </w:trPr>
        <w:tc>
          <w:tcPr>
            <w:tcW w:w="803" w:type="dxa"/>
            <w:hideMark/>
          </w:tcPr>
          <w:p w:rsidR="0097157F" w:rsidRPr="00197B6A" w:rsidRDefault="0097157F" w:rsidP="00390BF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97B6A">
              <w:rPr>
                <w:rFonts w:ascii="Arial" w:hAnsi="Arial" w:cs="Arial"/>
                <w:b/>
                <w:bCs/>
                <w:sz w:val="12"/>
                <w:szCs w:val="12"/>
              </w:rPr>
              <w:t>ProteinId</w:t>
            </w:r>
          </w:p>
        </w:tc>
        <w:tc>
          <w:tcPr>
            <w:tcW w:w="723" w:type="dxa"/>
            <w:hideMark/>
          </w:tcPr>
          <w:p w:rsidR="0097157F" w:rsidRPr="00197B6A" w:rsidRDefault="0097157F" w:rsidP="00FD60C3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97B6A">
              <w:rPr>
                <w:rFonts w:ascii="Arial" w:hAnsi="Arial" w:cs="Arial"/>
                <w:b/>
                <w:bCs/>
                <w:sz w:val="12"/>
                <w:szCs w:val="12"/>
              </w:rPr>
              <w:t>Δ</w:t>
            </w:r>
            <w:r w:rsidR="00FD60C3">
              <w:rPr>
                <w:rFonts w:ascii="Arial" w:hAnsi="Arial" w:cs="Arial"/>
                <w:b/>
                <w:bCs/>
                <w:sz w:val="12"/>
                <w:szCs w:val="12"/>
              </w:rPr>
              <w:t>21</w:t>
            </w:r>
            <w:r w:rsidRPr="00197B6A">
              <w:rPr>
                <w:rFonts w:ascii="Arial" w:hAnsi="Arial" w:cs="Arial"/>
                <w:b/>
                <w:bCs/>
                <w:sz w:val="12"/>
                <w:szCs w:val="12"/>
              </w:rPr>
              <w:t>XX</w:t>
            </w:r>
          </w:p>
        </w:tc>
        <w:tc>
          <w:tcPr>
            <w:tcW w:w="650" w:type="dxa"/>
            <w:hideMark/>
          </w:tcPr>
          <w:p w:rsidR="0097157F" w:rsidRPr="00197B6A" w:rsidRDefault="00FD60C3" w:rsidP="00390BF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Δ21</w:t>
            </w:r>
            <w:r w:rsidR="0097157F" w:rsidRPr="00197B6A">
              <w:rPr>
                <w:rFonts w:ascii="Arial" w:hAnsi="Arial" w:cs="Arial"/>
                <w:b/>
                <w:bCs/>
                <w:sz w:val="12"/>
                <w:szCs w:val="12"/>
              </w:rPr>
              <w:t>GX</w:t>
            </w:r>
          </w:p>
        </w:tc>
        <w:tc>
          <w:tcPr>
            <w:tcW w:w="626" w:type="dxa"/>
            <w:hideMark/>
          </w:tcPr>
          <w:p w:rsidR="0097157F" w:rsidRPr="00197B6A" w:rsidRDefault="0097157F" w:rsidP="00390BF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97B6A">
              <w:rPr>
                <w:rFonts w:ascii="Arial" w:hAnsi="Arial" w:cs="Arial"/>
                <w:b/>
                <w:bCs/>
                <w:sz w:val="12"/>
                <w:szCs w:val="12"/>
              </w:rPr>
              <w:t>wtXX</w:t>
            </w:r>
          </w:p>
        </w:tc>
        <w:tc>
          <w:tcPr>
            <w:tcW w:w="708" w:type="dxa"/>
            <w:hideMark/>
          </w:tcPr>
          <w:p w:rsidR="0097157F" w:rsidRPr="00197B6A" w:rsidRDefault="0097157F" w:rsidP="00390BF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97B6A">
              <w:rPr>
                <w:rFonts w:ascii="Arial" w:hAnsi="Arial" w:cs="Arial"/>
                <w:b/>
                <w:bCs/>
                <w:sz w:val="12"/>
                <w:szCs w:val="12"/>
              </w:rPr>
              <w:t>wtGX</w:t>
            </w:r>
          </w:p>
        </w:tc>
        <w:tc>
          <w:tcPr>
            <w:tcW w:w="1418" w:type="dxa"/>
            <w:hideMark/>
          </w:tcPr>
          <w:p w:rsidR="0097157F" w:rsidRPr="00197B6A" w:rsidRDefault="0097157F" w:rsidP="00390BF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97B6A">
              <w:rPr>
                <w:rFonts w:ascii="Arial" w:hAnsi="Arial" w:cs="Arial"/>
                <w:b/>
                <w:bCs/>
                <w:sz w:val="12"/>
                <w:szCs w:val="12"/>
              </w:rPr>
              <w:t>Functional annotation</w:t>
            </w:r>
          </w:p>
        </w:tc>
        <w:tc>
          <w:tcPr>
            <w:tcW w:w="1984" w:type="dxa"/>
            <w:hideMark/>
          </w:tcPr>
          <w:p w:rsidR="0097157F" w:rsidRPr="00197B6A" w:rsidRDefault="0097157F" w:rsidP="00390BF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97B6A">
              <w:rPr>
                <w:rFonts w:ascii="Arial" w:hAnsi="Arial" w:cs="Arial"/>
                <w:b/>
                <w:bCs/>
                <w:sz w:val="12"/>
                <w:szCs w:val="12"/>
              </w:rPr>
              <w:t>PFAM annotation</w:t>
            </w:r>
          </w:p>
        </w:tc>
        <w:tc>
          <w:tcPr>
            <w:tcW w:w="2268" w:type="dxa"/>
            <w:hideMark/>
          </w:tcPr>
          <w:p w:rsidR="0097157F" w:rsidRPr="00197B6A" w:rsidRDefault="0097157F" w:rsidP="00390BF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97B6A">
              <w:rPr>
                <w:rFonts w:ascii="Arial" w:hAnsi="Arial" w:cs="Arial"/>
                <w:b/>
                <w:bCs/>
                <w:sz w:val="12"/>
                <w:szCs w:val="12"/>
              </w:rPr>
              <w:t>GO annotation</w:t>
            </w:r>
          </w:p>
        </w:tc>
        <w:tc>
          <w:tcPr>
            <w:tcW w:w="2552" w:type="dxa"/>
            <w:hideMark/>
          </w:tcPr>
          <w:p w:rsidR="0097157F" w:rsidRPr="00197B6A" w:rsidRDefault="0097157F" w:rsidP="00390BF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97B6A">
              <w:rPr>
                <w:rFonts w:ascii="Arial" w:hAnsi="Arial" w:cs="Arial"/>
                <w:b/>
                <w:bCs/>
                <w:sz w:val="12"/>
                <w:szCs w:val="12"/>
              </w:rPr>
              <w:t>KEGG annotation</w:t>
            </w:r>
          </w:p>
        </w:tc>
        <w:tc>
          <w:tcPr>
            <w:tcW w:w="850" w:type="dxa"/>
            <w:hideMark/>
          </w:tcPr>
          <w:p w:rsidR="0097157F" w:rsidRPr="00197B6A" w:rsidRDefault="0097157F" w:rsidP="00390BF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97B6A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Predicted secretion signal sequence </w:t>
            </w:r>
          </w:p>
        </w:tc>
        <w:tc>
          <w:tcPr>
            <w:tcW w:w="1552" w:type="dxa"/>
            <w:hideMark/>
          </w:tcPr>
          <w:p w:rsidR="0097157F" w:rsidRPr="00197B6A" w:rsidRDefault="0097157F" w:rsidP="00390BF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97B6A">
              <w:rPr>
                <w:rFonts w:ascii="Arial" w:hAnsi="Arial" w:cs="Arial"/>
                <w:b/>
                <w:bCs/>
                <w:sz w:val="12"/>
                <w:szCs w:val="12"/>
              </w:rPr>
              <w:t>Secondary metabolism</w:t>
            </w:r>
          </w:p>
        </w:tc>
      </w:tr>
      <w:tr w:rsidR="0097157F" w:rsidRPr="00DE0E0E" w:rsidTr="00390BFB">
        <w:trPr>
          <w:trHeight w:val="94"/>
        </w:trPr>
        <w:tc>
          <w:tcPr>
            <w:tcW w:w="14134" w:type="dxa"/>
            <w:gridSpan w:val="11"/>
          </w:tcPr>
          <w:p w:rsidR="0097157F" w:rsidRPr="003540BF" w:rsidRDefault="0097157F" w:rsidP="00390BF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3540BF">
              <w:rPr>
                <w:rFonts w:ascii="Arial" w:hAnsi="Arial" w:cs="Arial"/>
                <w:b/>
                <w:sz w:val="12"/>
                <w:szCs w:val="12"/>
              </w:rPr>
              <w:t xml:space="preserve">DOWN REGULATED IN </w:t>
            </w:r>
            <w:r w:rsidRPr="003540BF">
              <w:rPr>
                <w:rFonts w:ascii="Arial" w:hAnsi="Arial" w:cs="Arial"/>
                <w:b/>
                <w:sz w:val="12"/>
                <w:szCs w:val="20"/>
              </w:rPr>
              <w:t>Δ</w:t>
            </w:r>
            <w:r w:rsidR="00FD60C3">
              <w:rPr>
                <w:rFonts w:ascii="Arial" w:hAnsi="Arial" w:cs="Arial"/>
                <w:b/>
                <w:i/>
                <w:sz w:val="12"/>
                <w:szCs w:val="20"/>
              </w:rPr>
              <w:t>fum21</w:t>
            </w:r>
          </w:p>
        </w:tc>
      </w:tr>
      <w:tr w:rsidR="0097157F" w:rsidRPr="00DE0E0E" w:rsidTr="00390BFB">
        <w:trPr>
          <w:trHeight w:val="315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1166045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5.49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13.21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AAA+-type ATPase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CC44D6">
              <w:rPr>
                <w:rFonts w:ascii="Arial" w:hAnsi="Arial" w:cs="Arial"/>
                <w:sz w:val="12"/>
                <w:szCs w:val="12"/>
              </w:rPr>
              <w:t>GO:0005524</w:t>
            </w:r>
            <w:r w:rsidRPr="00DE0E0E">
              <w:rPr>
                <w:rFonts w:ascii="Arial" w:hAnsi="Arial" w:cs="Arial"/>
                <w:sz w:val="12"/>
                <w:szCs w:val="12"/>
              </w:rPr>
              <w:t>|</w:t>
            </w:r>
            <w:r w:rsidRPr="00CC44D6">
              <w:rPr>
                <w:rFonts w:ascii="Arial" w:hAnsi="Arial" w:cs="Arial"/>
                <w:sz w:val="12"/>
                <w:szCs w:val="12"/>
              </w:rPr>
              <w:t xml:space="preserve"> ATP binding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750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1182124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2.90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4.89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 xml:space="preserve">Major Facilitator Superfamily transporter 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PF07690,11|MFS_1;PF07690,11|MFS_1;PF01306,14|LacY_symp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GO:0016020|membrane;GO:0006810|transport;GO:0016021|integral component of membrane;GO:0055085|transmembrane transport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15;Secondary metabolism, Type: Decorating</w:t>
            </w:r>
          </w:p>
        </w:tc>
      </w:tr>
      <w:tr w:rsidR="0097157F" w:rsidRPr="00DE0E0E" w:rsidTr="00390BFB">
        <w:trPr>
          <w:trHeight w:val="1414"/>
        </w:trPr>
        <w:tc>
          <w:tcPr>
            <w:tcW w:w="80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225717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0.02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26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25.19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29.92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Transcription factor An01g06900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fr-FR"/>
              </w:rPr>
              <w:t>PF04082,13|Fungal_trans;PF00172,13|Zn_clus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GO:0000981|sequence-specific DNA binding RNA polymerase II transcription factor activity;GO:0006355|regulation of transcription, DNA-templated;GO:0003677|DNA binding;GO:0005634|nucleus;GO:0008270|zinc ion binding;GO:0006351|transcription, DNA-templated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15;Secondary metabolism, Type: Decorating</w:t>
            </w:r>
          </w:p>
        </w:tc>
      </w:tr>
      <w:tr w:rsidR="0097157F" w:rsidRPr="00DE0E0E" w:rsidTr="00390BFB">
        <w:trPr>
          <w:trHeight w:val="413"/>
        </w:trPr>
        <w:tc>
          <w:tcPr>
            <w:tcW w:w="80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1117227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0.06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0.</w:t>
            </w:r>
            <w:r>
              <w:rPr>
                <w:rFonts w:ascii="Arial" w:hAnsi="Arial" w:cs="Arial"/>
                <w:sz w:val="12"/>
                <w:szCs w:val="12"/>
              </w:rPr>
              <w:t>30</w:t>
            </w:r>
          </w:p>
        </w:tc>
        <w:tc>
          <w:tcPr>
            <w:tcW w:w="626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285.71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519.60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es-ES"/>
              </w:rPr>
              <w:t>Peroxisomal acyl-CoA synthetase; fum10 orthologue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nl-NL"/>
              </w:rPr>
              <w:t>PF00501,23|AMP-binding;PF13193,1|AMP-binding_C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GO:0003824|catalytic activity;GO:0008152|metabolic process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15</w:t>
            </w:r>
          </w:p>
        </w:tc>
      </w:tr>
      <w:tr w:rsidR="0097157F" w:rsidRPr="00DE0E0E" w:rsidTr="00390BFB">
        <w:trPr>
          <w:trHeight w:val="702"/>
        </w:trPr>
        <w:tc>
          <w:tcPr>
            <w:tcW w:w="80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1117230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0.12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0.25</w:t>
            </w:r>
          </w:p>
        </w:tc>
        <w:tc>
          <w:tcPr>
            <w:tcW w:w="626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224.46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368.97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α</w:t>
            </w:r>
            <w:r w:rsidRPr="00DE0E0E">
              <w:rPr>
                <w:rFonts w:ascii="Arial" w:hAnsi="Arial" w:cs="Arial"/>
                <w:sz w:val="12"/>
                <w:szCs w:val="12"/>
                <w:lang w:val="fr-FR"/>
              </w:rPr>
              <w:t>-oxoamine synthase; serine palmitoyltransferase; fum8 orthologue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PF00155,16|Aminotran_1_2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GO:0009058|biosynthetic process;GO:0030170|pyridoxal phosphate binding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Metabolism|Lipid metabolism|Sphingolipid metabolism|K00654|E2,3,1,50, serine palmitoyltransferase [EC:2,3,1,50]:EC:2,3,1,50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15;Secondary metabolism, Type: Decorating</w:t>
            </w:r>
          </w:p>
        </w:tc>
      </w:tr>
      <w:tr w:rsidR="0097157F" w:rsidRPr="00DE0E0E" w:rsidTr="00390BFB">
        <w:trPr>
          <w:trHeight w:val="543"/>
        </w:trPr>
        <w:tc>
          <w:tcPr>
            <w:tcW w:w="80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1182116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0.12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0.39</w:t>
            </w:r>
          </w:p>
        </w:tc>
        <w:tc>
          <w:tcPr>
            <w:tcW w:w="626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347.32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573.20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522EF0">
              <w:rPr>
                <w:rFonts w:ascii="Arial" w:hAnsi="Arial" w:cs="Arial"/>
                <w:sz w:val="12"/>
                <w:szCs w:val="12"/>
              </w:rPr>
              <w:t>Fe-containing alcohol dehydrogenase type IV; fum7 orthologue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PF00465,14|Fe-ADH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GO:0016491|oxidoreductase activity;GO:0046872|metal ion binding;GO:0055114|oxidation-reduction process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Metabolism|Carbohydrate metabolism|Glycolysis / Gluconeogenesis|K04022|eutG, alcohol dehydrogenase: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15</w:t>
            </w:r>
          </w:p>
        </w:tc>
      </w:tr>
      <w:tr w:rsidR="0097157F" w:rsidRPr="00DE0E0E" w:rsidTr="00390BFB">
        <w:trPr>
          <w:trHeight w:val="409"/>
        </w:trPr>
        <w:tc>
          <w:tcPr>
            <w:tcW w:w="803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1142053</w:t>
            </w:r>
          </w:p>
        </w:tc>
        <w:tc>
          <w:tcPr>
            <w:tcW w:w="723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1.179</w:t>
            </w:r>
          </w:p>
        </w:tc>
        <w:tc>
          <w:tcPr>
            <w:tcW w:w="650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1.0923</w:t>
            </w:r>
          </w:p>
        </w:tc>
        <w:tc>
          <w:tcPr>
            <w:tcW w:w="626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2068.6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708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1433.24</w:t>
            </w:r>
          </w:p>
        </w:tc>
        <w:tc>
          <w:tcPr>
            <w:tcW w:w="1418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No annotation</w:t>
            </w:r>
            <w:r w:rsidRPr="00DE0E0E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1984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465"/>
        </w:trPr>
        <w:tc>
          <w:tcPr>
            <w:tcW w:w="80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1162446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0.14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0.2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626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81.29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167.04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Polyketide synthase; fum1 orthologue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00698,16|Acyl_transf_1;PF08659,5|KR;PF14765,1|PS-DH;PF00109,21|ketoacyl-synt;PF00106,20|adh_short;PF02801,17|Ketoacyl-synt_C;PF08242,7|Methyltransf_12;PF00107,21|ADH_zinc_N;PF13489,1|Methyltransf_23;PF13602,1|ADH_zinc_N_2;PF13847,1|Methyltransf_31;PF12847,2|Methyltransf_18;PF08240,7|ADH_N;PF00550,20|PP-binding;PF08241,7|Methyltransf_11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GO:0016491|oxidoreductase activity;GO:0008270|zinc ion binding;GO:0055114|oxidation-reduction process;GO:0008168|methyltransferase activity;GO:0008152|metabolic process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Metabolism|Overview|Fatty acid metabolism|K00665|FASN, fatty acid synthase, animal type [EC:2,3,1,85]:EC:2,3,1,85;Metabolism|Lipid metabolism|Fatty acid biosynthesis|K00665|FASN, fatty acid synthase, animal type [EC:2,3,1,85]:EC:2,3,1,85;Environmental Information Processing|Signal transduction|AMPK signaling pathway|K00665|FASN, fatty acid synthase, animal type [EC:2,3,1,85]:EC:2,3,1,85;Organismal Systems|Endocrine system|Insulin signaling pathway|K00665|FASN, fatty acid synthase, animal type [EC:2,3,1,85]:EC:2,3,1,85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15;Secondary metabolism, Type: PKS</w:t>
            </w:r>
          </w:p>
        </w:tc>
      </w:tr>
      <w:tr w:rsidR="0097157F" w:rsidRPr="00DE0E0E" w:rsidTr="00390BFB">
        <w:trPr>
          <w:trHeight w:val="465"/>
        </w:trPr>
        <w:tc>
          <w:tcPr>
            <w:tcW w:w="80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1162442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1.66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2.19</w:t>
            </w:r>
          </w:p>
        </w:tc>
        <w:tc>
          <w:tcPr>
            <w:tcW w:w="626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807.36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913.32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NAD-dependent epimerase/dehydratase; fum13 orthologue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PF01370,16|Epimerase;PF13460,1|NAD_binding_10;PF01073,14|3Beta_HSD;PF02719,10|Polysacc_synt_2;PF00106,20|adh_short;PF08659,5|KR;PF07993,7|NAD_binding_4;PF05368,8|NmrA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GO:0003854|3-beta-hydroxy-delta5-steroid dehydrogenase activity;GO:0016491|oxidoreductase activity;GO:0055114|oxidation-reduction process;GO:0044237|cellular metabolic process;GO:0008152|metabolic process;GO:0050662|coenzyme binding;GO:0006694|steroid biosynthetic process;GO:0009058|biosynthetic process;GO:0003824|catalytic activity;GO:0016616|oxidoreductase activity, acting on the CH-OH group of donors, NAD or NADP as acceptor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15;Secondary metabolism, Type: Decorating</w:t>
            </w:r>
          </w:p>
        </w:tc>
      </w:tr>
      <w:tr w:rsidR="0097157F" w:rsidRPr="00DE0E0E" w:rsidTr="00390BFB">
        <w:trPr>
          <w:trHeight w:val="465"/>
        </w:trPr>
        <w:tc>
          <w:tcPr>
            <w:tcW w:w="80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lastRenderedPageBreak/>
              <w:t>1101614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0.45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0.98</w:t>
            </w:r>
          </w:p>
        </w:tc>
        <w:tc>
          <w:tcPr>
            <w:tcW w:w="626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145.98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236.55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Cytochrome p450; fum6 orthologue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nl-NL"/>
              </w:rPr>
              <w:t>PF00067,17|p450;PF00667,15|FAD_binding_1;PF00258,20|Flavodoxin_1;PF00175,16|NAD_binding_1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GO:0016705|oxidoreductase activity, acting on paired donors, with incorporation or reduction of molecular oxygen;GO:0020037|heme binding;GO:0016491|oxidoreductase activity;GO:0055114|oxidation-reduction process;GO:0010181|FMN binding;GO:0005506|iron ion binding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Metabolism|Lipid metabolism|Fatty acid degradation|K14338|cypD_E, CYP102A2_3, cytochrome P450 / NADPH-cytochrome P450 reductase [EC:1,14,14,1 1,6,2,4]:EC:1,14,14,1 1,6,2,4;Metabolism|Amino acid metabolism|Tryptophan metabolism|K14338|cypD_E, CYP102A2_3, cytochrome P450 / NADPH-cytochrome P450 reductase [EC:1,14,14,1 1,6,2,4]:EC:1,14,14,1 1,6,2,4;Metabolism|Xenobiotics biodegradation and metabolism|Aminobenzoate degradation|K14338|cypD_E, CYP102A2_3, cytochrome P450 / NADPH-cytochrome P450 reductase [EC:1,14,14,1 1,6,2,4]:EC:1,14,14,1 1,6,2,4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15;Secondary metabolism, Type: Decorating</w:t>
            </w:r>
          </w:p>
        </w:tc>
      </w:tr>
      <w:tr w:rsidR="0097157F" w:rsidRPr="00DE0E0E" w:rsidTr="00390BFB">
        <w:trPr>
          <w:trHeight w:val="75"/>
        </w:trPr>
        <w:tc>
          <w:tcPr>
            <w:tcW w:w="803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1142051</w:t>
            </w:r>
          </w:p>
        </w:tc>
        <w:tc>
          <w:tcPr>
            <w:tcW w:w="723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4.63</w:t>
            </w:r>
          </w:p>
        </w:tc>
        <w:tc>
          <w:tcPr>
            <w:tcW w:w="650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8.34</w:t>
            </w:r>
          </w:p>
        </w:tc>
        <w:tc>
          <w:tcPr>
            <w:tcW w:w="626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1192.75</w:t>
            </w:r>
          </w:p>
        </w:tc>
        <w:tc>
          <w:tcPr>
            <w:tcW w:w="708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1607.79</w:t>
            </w:r>
          </w:p>
        </w:tc>
        <w:tc>
          <w:tcPr>
            <w:tcW w:w="1418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35"/>
        </w:trPr>
        <w:tc>
          <w:tcPr>
            <w:tcW w:w="803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1166044</w:t>
            </w:r>
          </w:p>
        </w:tc>
        <w:tc>
          <w:tcPr>
            <w:tcW w:w="723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2.66</w:t>
            </w:r>
          </w:p>
        </w:tc>
        <w:tc>
          <w:tcPr>
            <w:tcW w:w="650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2.75</w:t>
            </w:r>
          </w:p>
        </w:tc>
        <w:tc>
          <w:tcPr>
            <w:tcW w:w="626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284.01</w:t>
            </w:r>
          </w:p>
        </w:tc>
        <w:tc>
          <w:tcPr>
            <w:tcW w:w="708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347.93</w:t>
            </w:r>
          </w:p>
        </w:tc>
        <w:tc>
          <w:tcPr>
            <w:tcW w:w="1418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399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1172265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1.70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1.62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3.51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191.62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Oxidoreductase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PF03171,15|2OG-FeII_Oxy;PF14226,1|DIOX_N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GO:0016706|oxidoreductase activity, acting on paired donors, with incorporation or reduction of molecular oxygen, 2-oxoglutarate as one donor, and incorporation of one atom each of oxygen into both donors;GO:0055114|oxidation-reduction process;GO:0016491|oxidoreductase activity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412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1162443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3.61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6.66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384.23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564.86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CoA-dependent acyltransferase; fum14 orthologue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  <w:lang w:val="de-DE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de-DE"/>
              </w:rPr>
              <w:t>PF00668,15|Condensation;PF00550,20|PP-binding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  <w:lang w:val="de-DE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de-DE"/>
              </w:rPr>
              <w:t> 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  <w:lang w:val="de-DE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de-DE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  <w:lang w:val="de-DE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de-DE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15</w:t>
            </w:r>
          </w:p>
        </w:tc>
      </w:tr>
      <w:tr w:rsidR="0097157F" w:rsidRPr="00DE0E0E" w:rsidTr="00390BFB">
        <w:trPr>
          <w:trHeight w:val="855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1186369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8.13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0.57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11.86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19.06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 xml:space="preserve">Ca2+-modulated nonselective cation channel polycystin; </w:t>
            </w:r>
            <w:r w:rsidRPr="00DE0E0E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Homo sapiens </w:t>
            </w:r>
            <w:r w:rsidRPr="00DE0E0E">
              <w:rPr>
                <w:rFonts w:ascii="Arial" w:hAnsi="Arial" w:cs="Arial"/>
                <w:sz w:val="12"/>
                <w:szCs w:val="12"/>
              </w:rPr>
              <w:t>mucin 5AC orthologue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700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51907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1.45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3.73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75.16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110.86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Predicted 3-ketosphinganine reductase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PF00106,20|adh_short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GO:0016491|oxidoreductase activity;GO:0008152|metabolic process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15;Secondary metabolism, Type: Decorating</w:t>
            </w:r>
          </w:p>
        </w:tc>
      </w:tr>
      <w:tr w:rsidR="0097157F" w:rsidRPr="00DE0E0E" w:rsidTr="00390BFB">
        <w:trPr>
          <w:trHeight w:val="465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1181633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11.77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0.49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73.92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12.69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 xml:space="preserve">Putative SWI-SNF chromatin-remodeling complex protein 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12</w:t>
            </w:r>
          </w:p>
        </w:tc>
      </w:tr>
      <w:tr w:rsidR="0097157F" w:rsidRPr="00DE0E0E" w:rsidTr="00390BFB">
        <w:trPr>
          <w:trHeight w:val="557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1082505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1.56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1.48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18.44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32.99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Major Facilitator Superfamily permease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PF07690,11|MFS_1;PF00083,19|Sugar_tr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GO:0016021|integral component of me</w:t>
            </w:r>
            <w:r>
              <w:rPr>
                <w:rFonts w:ascii="Arial" w:hAnsi="Arial" w:cs="Arial"/>
                <w:sz w:val="12"/>
                <w:szCs w:val="12"/>
              </w:rPr>
              <w:t>mbrane;GO:0055085|transmembrane t</w:t>
            </w:r>
            <w:r w:rsidRPr="00DE0E0E">
              <w:rPr>
                <w:rFonts w:ascii="Arial" w:hAnsi="Arial" w:cs="Arial"/>
                <w:sz w:val="12"/>
                <w:szCs w:val="12"/>
              </w:rPr>
              <w:t>ransport;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DE0E0E">
              <w:rPr>
                <w:rFonts w:ascii="Arial" w:hAnsi="Arial" w:cs="Arial"/>
                <w:sz w:val="12"/>
                <w:szCs w:val="12"/>
              </w:rPr>
              <w:t>GO:0022857|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DE0E0E">
              <w:rPr>
                <w:rFonts w:ascii="Arial" w:hAnsi="Arial" w:cs="Arial"/>
                <w:sz w:val="12"/>
                <w:szCs w:val="12"/>
              </w:rPr>
              <w:t>transmembrane transporter activity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32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1142861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2.77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1.59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34.50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33.92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Chloroperoxidase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PF01328,12|Peroxidase_2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GO:0004601|peroxidase activity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687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1159889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0.88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0.93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20.02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17.88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O-methyltransferase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PF00891,13|Methyltransf_2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GO:0008171|O-methyltransferase activity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Metabolism|iosynthesis of other secondary metabolites|Phenylpropanoid biosynthesis|K13066|E2,1,1,68, COMT, caffeic acid 3-O-methyltransferase [EC:2,1,1,68]:EC:2,1,1,68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62;Secondary metabolism, Type: Decorating</w:t>
            </w:r>
          </w:p>
        </w:tc>
      </w:tr>
      <w:tr w:rsidR="0097157F" w:rsidRPr="00DE0E0E" w:rsidTr="00390BFB">
        <w:trPr>
          <w:trHeight w:val="413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1087288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1.98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2.37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82.10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39.12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Taurine catabolism dioxygenase TauD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PF02668,11|TauD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GO:0016491|oxidoreductase activity;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DE0E0E">
              <w:rPr>
                <w:rFonts w:ascii="Arial" w:hAnsi="Arial" w:cs="Arial"/>
                <w:sz w:val="12"/>
                <w:szCs w:val="12"/>
              </w:rPr>
              <w:t>GO:0055114|oxidation-reduction process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432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45784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12.44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1.70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21.20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25.17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Ca</w:t>
            </w:r>
            <w:r w:rsidRPr="00DE0E0E">
              <w:rPr>
                <w:rFonts w:ascii="Arial" w:hAnsi="Arial" w:cs="Arial"/>
                <w:sz w:val="12"/>
                <w:szCs w:val="12"/>
                <w:vertAlign w:val="superscript"/>
              </w:rPr>
              <w:t>2+</w:t>
            </w:r>
            <w:r w:rsidRPr="00DE0E0E">
              <w:rPr>
                <w:rFonts w:ascii="Arial" w:hAnsi="Arial" w:cs="Arial"/>
                <w:sz w:val="12"/>
                <w:szCs w:val="12"/>
              </w:rPr>
              <w:t>-modulated nonselective cation channel polycystin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BF45EB" w:rsidTr="00390BFB">
        <w:trPr>
          <w:trHeight w:val="465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1169210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2.53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5.86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12.61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72.09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 xml:space="preserve">Glutathione S-transferase-like protein 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  <w:lang w:val="de-DE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de-DE"/>
              </w:rPr>
              <w:t>PF14497,1|GST_C_3;PF13410,1|GST_C_2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  <w:lang w:val="de-DE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de-DE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  <w:lang w:val="de-DE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de-DE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  <w:lang w:val="de-DE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de-DE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  <w:lang w:val="de-DE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de-DE"/>
              </w:rPr>
              <w:t> </w:t>
            </w:r>
          </w:p>
        </w:tc>
      </w:tr>
      <w:tr w:rsidR="0097157F" w:rsidRPr="00DE0E0E" w:rsidTr="00390BFB">
        <w:trPr>
          <w:trHeight w:val="926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lastRenderedPageBreak/>
              <w:t>1116476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1.65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2.31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3.80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28.18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CDR ABC transporter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PF01061,19|ABC2_membrane;PF01061,19|ABC2_membrane;PF00005,22|ABC_tran;PF00005,22|ABC_tran;PF06422,7|PDR_CDR;PF12698,2|ABC2_membrane_3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GO:0016887|ATPase activity;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DE0E0E">
              <w:rPr>
                <w:rFonts w:ascii="Arial" w:hAnsi="Arial" w:cs="Arial"/>
                <w:sz w:val="12"/>
                <w:szCs w:val="12"/>
              </w:rPr>
              <w:t>GO:0016021|integral component of membrane;GO:0016020|membrane;GO:0005524|ATP binding;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DE0E0E">
              <w:rPr>
                <w:rFonts w:ascii="Arial" w:hAnsi="Arial" w:cs="Arial"/>
                <w:sz w:val="12"/>
                <w:szCs w:val="12"/>
              </w:rPr>
              <w:t>GO:0042626|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DE0E0E">
              <w:rPr>
                <w:rFonts w:ascii="Arial" w:hAnsi="Arial" w:cs="Arial"/>
                <w:sz w:val="12"/>
                <w:szCs w:val="12"/>
              </w:rPr>
              <w:t>ATPase activity, coupled to transmembrane movement of substances;GO:0006810|transport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Environmental Information Processing|Membrane transport|ABC transporters|K08712|ABCG2,SNQ2, ATP-binding cassette, subfamily G (WHITE), member 2, SNQ2: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12;Secondary metabolism, Type: Decorating</w:t>
            </w:r>
          </w:p>
        </w:tc>
      </w:tr>
      <w:tr w:rsidR="0097157F" w:rsidRPr="00DE0E0E" w:rsidTr="00390BFB">
        <w:trPr>
          <w:trHeight w:val="394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1089440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12.82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2.52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48.93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29.01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Major Facillitator Superfamily transporter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PF07690,11|MFS_1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GO:0016021|integral component of membrane;GO:0055085|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DE0E0E">
              <w:rPr>
                <w:rFonts w:ascii="Arial" w:hAnsi="Arial" w:cs="Arial"/>
                <w:sz w:val="12"/>
                <w:szCs w:val="12"/>
              </w:rPr>
              <w:t>transmembrane transport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684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1112167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0.46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0.60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1.10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6.38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Polyketide synthase AdaA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PF00109,21|ketoacyl-synt;PF00698,16|Acyl_transf_1;PF02801,17|Ketoacyl-synt_C;PF00550,20|PP-binding;PF00108,18|Thiolase_N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GO:0008152|metabolic process;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DE0E0E">
              <w:rPr>
                <w:rFonts w:ascii="Arial" w:hAnsi="Arial" w:cs="Arial"/>
                <w:sz w:val="12"/>
                <w:szCs w:val="12"/>
              </w:rPr>
              <w:t>GO:0016747|transferase activity, transferring acyl groups other than amino-acyl groups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70;Secondary metabolism, Type: PKS</w:t>
            </w:r>
          </w:p>
        </w:tc>
      </w:tr>
      <w:tr w:rsidR="0097157F" w:rsidRPr="00DE0E0E" w:rsidTr="00390BFB">
        <w:trPr>
          <w:trHeight w:val="269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1181632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7.20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2.79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88.83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26.80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12</w:t>
            </w:r>
          </w:p>
        </w:tc>
      </w:tr>
      <w:tr w:rsidR="0097157F" w:rsidRPr="00DE0E0E" w:rsidTr="00390BFB">
        <w:trPr>
          <w:trHeight w:val="91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1115620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2.08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1.27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2.78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12.02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C-type lectin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269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189113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21.33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8.60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4.66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80.47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NmrA-like family protein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nl-NL"/>
              </w:rPr>
              <w:t>PF13460,1|NAD_binding_10;PF05368,8|NmrA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nl-NL"/>
              </w:rPr>
              <w:t> 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nl-NL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nl-NL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</w:t>
            </w:r>
          </w:p>
        </w:tc>
      </w:tr>
      <w:tr w:rsidR="0097157F" w:rsidRPr="00DE0E0E" w:rsidTr="00390BFB">
        <w:trPr>
          <w:trHeight w:val="261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1005100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31.19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2.33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202.62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21.65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12</w:t>
            </w:r>
          </w:p>
        </w:tc>
      </w:tr>
      <w:tr w:rsidR="0097157F" w:rsidRPr="00DE0E0E" w:rsidTr="00390BFB">
        <w:trPr>
          <w:trHeight w:val="123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1186279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23.46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20.64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77.62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191.85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PF09351,5|DUF1993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253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1103854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8.96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1.34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16.66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11.77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Glycosyl transferase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PF00534,15|Glycos_transf_1;PF11997,3|DUF3492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GO:0009058|biosynthetic process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540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1139199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3.10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4.02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7.23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34</w:t>
            </w:r>
            <w:r>
              <w:rPr>
                <w:rFonts w:ascii="Arial" w:hAnsi="Arial" w:cs="Arial"/>
                <w:sz w:val="12"/>
                <w:szCs w:val="12"/>
              </w:rPr>
              <w:t>.97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Mono-oxygenase, FAD-binding/aromatic ring hydroxylase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PF01494,14|FAD_binding_3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70;Secondary metabolism, Type: Decorating</w:t>
            </w:r>
          </w:p>
        </w:tc>
      </w:tr>
      <w:tr w:rsidR="0097157F" w:rsidRPr="00DE0E0E" w:rsidTr="00390BFB">
        <w:trPr>
          <w:trHeight w:val="550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1186352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11.54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2.74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3.97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23.65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Molecular chaperone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PF00011,16|HSP20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Genetic Information Processing|Folding, sorting and degradation|Protein processing in endoplasmic reticulum|K13993|HSP20, HSP20 family protein: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19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1109756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1.87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1.59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8.34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13.54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PF11001,3|DUF2841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21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1187549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2.13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1.99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41.60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16.75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Integral membrane protein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975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1125454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210.5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0.71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6.22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5.80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Dihydroxy-acid dehydratase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PF00920,16|ILVD_EDD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GO:0003824|catalytic activity;GO:0008152|metabolic process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Metabolism|Overview|2-Oxocarboxylic acid metabolism|K01687|ilvD, dihydroxy-acid dehydratase [EC:4,2,1,9]:EC:4,2,1,9;Metabolism|Overview|Biosynthesis of amino acids|K01687|ilvD, dihydroxy-acid dehydratase [EC:4,2,1,9]:EC:4,2,1,9;Metabolism|Amino acid metabolism|Valine, leucine and isoleucine biosynthesis|K01687|ilvD, dihydroxy-acid dehydratase [EC:4,2,1,9]:EC:4,2,1,9;Metabolism|Metabolism of cofactors and vitamins|Pantothenate and CoA biosynthesis|K01687|ilvD, dihydroxy-acid dehydratase [EC:4,2,1,9]:EC:4,2,1,9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877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1184525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2.96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3.92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16.19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31.30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Non-ribosomal peptide synthetase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PF00501,23|AMP-binding;PF07993,7|NAD_binding_4;PF01370,16|Epimerase;PF00550,20|PP-binding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GO:0003824|catalytic activity;GO:0050662|coenzyme binding;GO:0044237|cellular metabolic process;GO:0008152|metabolic process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Metabolism|Overview|Biosynthesis of amino acids|K00143|LYS2, L-aminoadipate-semialdehyde dehydrogenase [EC:1,2,1,31]:EC:1,2,1,31;Metabolism|Amino acid metabolism|Lysine biosynthesis|K00143|LYS2, L-aminoadipate-semialdehyde dehydrogenase [EC:1,2,1,31]:EC:1,2,1,31;Metabolism|Amino acid metabolism|Lysine degradation|K00143|LYS2, L-aminoadipate-semialdehyde dehydrogenase [EC:1,2,1,31]:EC:1,2,1,31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35;Secondary metabolism, Type: NRPS-like</w:t>
            </w:r>
          </w:p>
        </w:tc>
      </w:tr>
      <w:tr w:rsidR="0097157F" w:rsidRPr="00DE0E0E" w:rsidTr="00390BFB">
        <w:trPr>
          <w:trHeight w:val="1692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lastRenderedPageBreak/>
              <w:t>1124090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4.10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2.40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14.39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18.02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Tryptophan synthase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PF00290,15|Trp_syntA;PF00291,20|PALP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GO:0004834|tryptophan synthase activity;GO:0006568|tryptophan metabolic process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Metabolism|Overview|Biosynthesis of amino acids|K01694|TRP, tryptophan synthase [EC:4,2,1,20]:EC:4,2,1,20;Metabolism|Amino acid metabolism|Glycine, serine and threonine metabolism|K01694|TRP, tryptophan synthase [EC:4,2,1,20]:EC:4,2,1,20;Metabolism|Amino acid metabolism|Phenylalanine, tyrosine and tryptophan biosynthesis|K01694|TRP, tryptophan synthase [EC:4,2,1,20]:EC:4,2,1,20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2397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1015414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2.08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1.95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8.27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14.50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Short chain dehygrogenase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PF00106,20|adh_short;PF13561,1|adh_short_C2;PF08659,5|KR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GO:0016491|oxidoreductase activity;GO:0008152|metabolic process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Metabolism|Overview|Fatty acid metabolism|K00059|fabG, 3-oxoacyl-[acyl-carrier protein] reductase [EC:1,1,1,100]:acyl-carrier protein;Metabolism|Lipid metabolism|Fatty acid biosynthesis|K00059|fabG, 3-oxoacyl-[acyl-carrier protein] reductase [EC:1,1,1,100]:acyl-carrier protein;Metabolism|Lipid metabolism|Biosynthesis of unsaturated fatty acids|K00059|fabG, 3-oxoacyl-[acyl-carrier protein] reductase [EC:1,1,1,100]:acyl-carrier protein;Metabolism|Metabolism of cofactors and vitamins|Biotin metabolism|K00059|fabG, 3-oxoacyl-[acyl-carrier protein] reductase [EC:1,1,1,100]:acyl-carrier protein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416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1139200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21.1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33.6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39.78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239.67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AdaD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PF13847,1|Methyltransf_31;PF13489,1|Methyltransf_23;PF08241,7|Methyltransf_11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GO:0008152|metabolic process;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DE0E0E">
              <w:rPr>
                <w:rFonts w:ascii="Arial" w:hAnsi="Arial" w:cs="Arial"/>
                <w:sz w:val="12"/>
                <w:szCs w:val="12"/>
              </w:rPr>
              <w:t>GO:0008168|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DE0E0E">
              <w:rPr>
                <w:rFonts w:ascii="Arial" w:hAnsi="Arial" w:cs="Arial"/>
                <w:sz w:val="12"/>
                <w:szCs w:val="12"/>
              </w:rPr>
              <w:t>methyltransferase activity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70</w:t>
            </w:r>
          </w:p>
        </w:tc>
      </w:tr>
      <w:tr w:rsidR="0097157F" w:rsidRPr="00DE0E0E" w:rsidTr="00390BFB">
        <w:trPr>
          <w:trHeight w:val="132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1187587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1.67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2.19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6.99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15.55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AAA+-type ATPase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PF00004,24|AAA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GO:0005524|ATP binding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557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1152279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0.36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4.10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0.23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28.71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Major Facilitator Superfamily transporter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PF07690,11|MFS_1;PF00083,19|Sugar_tr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GO:0016021|integral component of membrane;GO:0055085|transmembrane transport;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DE0E0E">
              <w:rPr>
                <w:rFonts w:ascii="Arial" w:hAnsi="Arial" w:cs="Arial"/>
                <w:sz w:val="12"/>
                <w:szCs w:val="12"/>
              </w:rPr>
              <w:t>GO:0022857|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DE0E0E">
              <w:rPr>
                <w:rFonts w:ascii="Arial" w:hAnsi="Arial" w:cs="Arial"/>
                <w:sz w:val="12"/>
                <w:szCs w:val="12"/>
              </w:rPr>
              <w:t>transmembrane transporter activity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270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1162650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11.45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21.21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5.68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146.94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Aegerolysin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PF06355,8|Aegerolysin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GO:0019836|hemolysis by symbiont of host erythrocytes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274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1200239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3.73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5.01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4.02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34.01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NmrA-like family protein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nl-NL"/>
              </w:rPr>
              <w:t>PF05368,8|NmrA;PF13460,1|NAD_binding_10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nl-NL"/>
              </w:rPr>
              <w:t> 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nl-NL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nl-NL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</w:t>
            </w:r>
          </w:p>
        </w:tc>
      </w:tr>
      <w:tr w:rsidR="0097157F" w:rsidRPr="00DE0E0E" w:rsidTr="00390BFB">
        <w:trPr>
          <w:trHeight w:val="973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1223842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2.06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1.36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9.52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9.10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hypothetical FAD/FMN-containing dehydrogenase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PF01565,18|FAD_binding_4;PF08031,7|BBE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GO:0055114|oxidation-reduction process;GO:0016491|oxidoreductase activity;GO:0050660|flavin adenine dinucleotide binding;GO:0008762|UDP-N-acetylmuramate dehydrogenase activity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64;Secondary metabolism, Type: Decorating</w:t>
            </w:r>
          </w:p>
        </w:tc>
      </w:tr>
      <w:tr w:rsidR="0097157F" w:rsidRPr="00DE0E0E" w:rsidTr="00390BFB">
        <w:trPr>
          <w:trHeight w:val="135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1186845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1.03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0.79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1.10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5.</w:t>
            </w:r>
            <w:r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37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1187028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162.8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192.14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393.75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1228.87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PF08592,6|DUF1772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408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1181350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2.29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3.78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5.74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21.89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Aspergillus kawachii D-alanine-D-alanine ligase orthologue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PF13535,1|ATP-grasp_4;PF07478,8|Dala_Dala_lig_C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GO:0008716|D-alanine-D-alanine ligase activity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974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1157348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41.45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5.07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52.27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28.54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UDP-glucose 4-epimerase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PF01370,16|Epimerase;PF13950,1|Epimerase_Csub;PF07993,7|NAD_binding_4;PF01073,14|3Beta_HSD;PF00106,20|adh_short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GO:0003854|3-beta-hydroxy-delta5-steroid dehydrogenase activity;GO:0016491|oxidoreductase activity;GO:0055114|oxidation-reduction process;GO:0044237|cellular metabolic process;GO:0008152|metabolic process;GO:0050662|coenzyme binding;GO:0006694|steroid biosynthetic process;GO:0003824|catalytic activity;GO:0016616|oxidoreductase activity, acting on the CH-OH group of donors, NAD or NADP as acceptor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Metabolism|Carbohydrate metabolism|Galactose metabolism|K01784|galE, GALE, UDP-glucose 4-epimerase [EC:5,1,3,2]:EC:5,1,3,2;Metabolism|Carbohydrate metabolism|Amino sugar and nucleotide sugar metabolism|K01784|galE, GALE, UDP-glucose 4-epimerase [EC:5,1,3,2]:EC:5,1,3,2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970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lastRenderedPageBreak/>
              <w:t>1186355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2.29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2.26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3.36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12.65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FAD-linked oxidase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PF01565,18|FAD_binding_4;PF08031,7|BBE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GO:0055114|oxidation-reduction process;GO:0016491|oxidoreductase activity;GO:0050660|flavin adenine dinucleotide binding;GO:0008762|UDP-N-acetylmuramate dehydrogenase activity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371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1155959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15.68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6.55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23.19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34.31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MNNG and nitrosoguanidine resistance protein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PF12051,3|DUF3533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557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1141103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432.6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32.82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371.26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162.69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trkA-N domain dehydrogenase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PF13460,1|NAD_binding_10;PF01370,16|Epimerase;PF05368,8|NmrA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GO:0003824|catalytic activity;GO:0050662|coenzyme binding;GO:0044237|cellular metabolic process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1</w:t>
            </w:r>
          </w:p>
        </w:tc>
      </w:tr>
      <w:tr w:rsidR="0097157F" w:rsidRPr="00DE0E0E" w:rsidTr="00390BFB">
        <w:trPr>
          <w:trHeight w:val="416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1107461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2.15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1.26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9.55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6.04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Chitinase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PF12708,2|Pectate_lyase_3;PF12708,2|Pectate_lyase_3;PF01476,15|LysM;PF01476,15|LysM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266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1187643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16.44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9.17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47.07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43.25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PF13894,1|zf-C2H2_4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3530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1099871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7.50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4.00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18.39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18.48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 xml:space="preserve">Flavin-containing monooxygenase 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PF13738,1|Pyr_redox_3;PF00743,14|FMO-like;PF13450,1|NAD_binding_8;PF13434,1|K_oxygenase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GO:0004499|N,N-dimethylaniline monooxygenase activity;GO:0055114|oxidation-reduction process;GO:0050661|NADP binding;GO:0050660|flavin adenine dinucleotide binding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Metabolism|Amino acid metabolism|Histidine metabolism|K00492|E1,14,13,-,:;Metabolism|Metabolism of terpenoids and polyketides|Limonene and pinene degradation|K00492|E1,14,13,-,:;Metabolism|Xenobiotics biodegradation and metabolism|Aminobenzoate degradation|K00492|E1,14,13,-,:;Metabolism|Xenobiotics biodegradation and metabolism|Chlorocyclohexane and chlorobenzene degradation|K00492|E1,14,13,-,:;Metabolism|Xenobiotics biodegradation and metabolism|Toluene degradation|K00492|E1,14,13,-,:;Metabolism|Xenobiotics biodegradation and metabolism|Bisphenol degradation|K00492|E1,14,13,-,:;Metabolism|Xenobiotics biodegradation and metabolism|Naphthalene degradation|K00492|E1,14,13,-,:;Metabolism|Xenobiotics biodegradation and metabolism|Polycyclic aromatic hydrocarbon degradation|K00492|E1,14,13,-,: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2773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1124492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3.56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3.68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16.86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16.34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 xml:space="preserve">Phosphoglycerate mutase 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PF00300,17|His_Phos_1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Metabolism|Overview|Carbon metabolism|K15634|gpmB, probable phosphoglycerate mutase [EC:5,4,2,12]:EC:5,4,2,12;Metabolism|Overview|Biosynthesis of amino acids|K15634|gpmB, probable phosphoglycerate mutase [EC:5,4,2,12]:EC:5,4,2,12;Metabolism|Carbohydrate metabolism|Glycolysis / Gluconeogenesis|K15634|gpmB, probable phosphoglycerate mutase [EC:5,4,2,12]:EC:5,4,2,12;Metabolism|Energy metabolism|Methane metabolism|K15634|gpmB, probable phosphoglycerate mutase [EC:5,4,2,12]:EC:5,4,2,12;Metabolism|Amino acid metabolism|Glycine, serine and threonine metabolism|K15634|gpmB, probable phosphoglycerate mutase [EC:5,4,2,12]:EC:5,4,2,12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503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1135815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44.48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9.66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78.96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41.71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Serine/threonine kinase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PF00069,20|Pkinase;PF07714,12|Pkinase_Tyr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GO:0005524|ATP binding;GO:0004672|protein kinase activity;GO:0006468|protein phosphorylation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11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52063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17.45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18.67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99.88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80.01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32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1150465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8.758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11.56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39.42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48.79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PF14420,1|Clr5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223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1161325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36.78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56.49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164.01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217.67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Integral membrane protein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2466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lastRenderedPageBreak/>
              <w:t>1141963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55.66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25.56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65.19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92.48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Glutathione S-transferase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  <w:lang w:val="de-DE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de-DE"/>
              </w:rPr>
              <w:t>PF13417,1|GST_N_3;PF00043,20|GST_C;PF02798,15|GST_N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GO:0005515|protein binding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Metabolism|Metabolism of other amino acids|Glutathione metabolism|K00799|GST, gst, glutathione S-transferase [EC:2,5,1,18]:EC:2,5,1,18;Metabolism|Xenobiotics biodegradation and metabolism|Metabolism of xenobiotics by cytochrome P450|K00799|GST, gst, glutathione S-transferase [EC:2,5,1,18]:EC:2,5,1,18;Metabolism|Xenobiotics biodegradation and metabolism|Drug metabolism - cytochrome P450|K00799|GST, gst, glutathione S-transferase [EC:2,5,1,18]:EC:2,5,1,18;Human Diseases|Cancers|Chemical carcinogenesis|K00799|GST, gst, glutathione S-transferase [EC:2,5,1,18]:EC:2,5,1,18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813"/>
        </w:trPr>
        <w:tc>
          <w:tcPr>
            <w:tcW w:w="80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1145979</w:t>
            </w:r>
          </w:p>
        </w:tc>
        <w:tc>
          <w:tcPr>
            <w:tcW w:w="723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23.89</w:t>
            </w:r>
          </w:p>
        </w:tc>
        <w:tc>
          <w:tcPr>
            <w:tcW w:w="6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10.39</w:t>
            </w:r>
          </w:p>
        </w:tc>
        <w:tc>
          <w:tcPr>
            <w:tcW w:w="626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47.82</w:t>
            </w:r>
          </w:p>
        </w:tc>
        <w:tc>
          <w:tcPr>
            <w:tcW w:w="70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35.46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GMC oxidoreductase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PF00732,14|GMC_oxred_N;PF05199,8|GMC_oxred_C;PF01266,19|DAO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GO:0016491|oxidoreductase activity;GO:0016614|oxidoreductase activity, acting on CH-OH group of donors;GO:0055114|oxidation-reduction process;GO:0050660|flavin adenine dinucleotide binding</w:t>
            </w:r>
          </w:p>
        </w:tc>
        <w:tc>
          <w:tcPr>
            <w:tcW w:w="2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Metabolism|Amino acid metabolism|Glycine, serine and threonine metabolism|K00108|E1,1,99,1, betA, CHDH, choline dehydrogenase [EC:1,1,99,1]:EC:1,1,99,1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shd w:val="clear" w:color="auto" w:fill="D9D9D9" w:themeFill="background1" w:themeFillShade="D9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Part of secondary metabolism cluster 46</w:t>
            </w:r>
          </w:p>
        </w:tc>
      </w:tr>
      <w:tr w:rsidR="0097157F" w:rsidRPr="00DE0E0E" w:rsidTr="00390BFB">
        <w:trPr>
          <w:trHeight w:val="207"/>
        </w:trPr>
        <w:tc>
          <w:tcPr>
            <w:tcW w:w="14134" w:type="dxa"/>
            <w:gridSpan w:val="11"/>
          </w:tcPr>
          <w:p w:rsidR="0097157F" w:rsidRPr="00DE0E0E" w:rsidRDefault="0097157F" w:rsidP="00390BF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UP</w:t>
            </w:r>
            <w:r w:rsidRPr="003540BF">
              <w:rPr>
                <w:rFonts w:ascii="Arial" w:hAnsi="Arial" w:cs="Arial"/>
                <w:b/>
                <w:sz w:val="12"/>
                <w:szCs w:val="12"/>
              </w:rPr>
              <w:t xml:space="preserve">REGULATED IN </w:t>
            </w:r>
            <w:r w:rsidRPr="003540BF">
              <w:rPr>
                <w:rFonts w:ascii="Arial" w:hAnsi="Arial" w:cs="Arial"/>
                <w:b/>
                <w:sz w:val="12"/>
                <w:szCs w:val="20"/>
              </w:rPr>
              <w:t>Δ</w:t>
            </w:r>
            <w:r w:rsidR="00FD60C3">
              <w:rPr>
                <w:rFonts w:ascii="Arial" w:hAnsi="Arial" w:cs="Arial"/>
                <w:b/>
                <w:i/>
                <w:sz w:val="12"/>
                <w:szCs w:val="20"/>
              </w:rPr>
              <w:t>fum21</w:t>
            </w:r>
          </w:p>
        </w:tc>
      </w:tr>
      <w:tr w:rsidR="0097157F" w:rsidRPr="00DE0E0E" w:rsidTr="00390BFB">
        <w:trPr>
          <w:trHeight w:val="259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1184413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32.46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92.14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16.80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22.85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Serine/threonine kinase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363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1184369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12.91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139.39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15.53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31.11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Lipase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PF00657,17|Lipase_GDSL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GO:0006629|lipid metabolic process;GO:0016788|hydrolase activity, acting on ester bonds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85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1156756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73.37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32.65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18.31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6.04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17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1185088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41.49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26.99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10.13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4.98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266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1180662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209.4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357.01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52.59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65.37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Lipase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  <w:lang w:val="es-ES"/>
              </w:rPr>
            </w:pPr>
            <w:r w:rsidRPr="00DE0E0E">
              <w:rPr>
                <w:rFonts w:ascii="Arial" w:hAnsi="Arial" w:cs="Arial"/>
                <w:sz w:val="12"/>
                <w:szCs w:val="12"/>
                <w:lang w:val="es-ES"/>
              </w:rPr>
              <w:t>PF01764,20|Lipase_3;PF03893,11|Lipase3_N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GO:0006629|lipid metabolic process;GO:0004806|triglyceride lipase activity;GO:0016042|lipid catabolic process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Metabolism|iosynthesis of other secondary metabolites|Tropane, piperidine and pyridine alkaloid biosynthesis|K01066|E3,1,1,-, esterase / lipase [EC:3,1,1,-]:EC:3,1,1,-;Metabolism|Xenobiotics biodegradation and metabolism|Bisphenol degradation|K01066|E3,1,1,-, esterase / lipase [EC:3,1,1,-]:EC:3,1,1,-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65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1181154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176</w:t>
            </w:r>
            <w:r>
              <w:rPr>
                <w:rFonts w:ascii="Arial" w:hAnsi="Arial" w:cs="Arial"/>
                <w:sz w:val="12"/>
                <w:szCs w:val="12"/>
              </w:rPr>
              <w:t>.00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89.30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43.13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13.98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69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1183897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11.41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535.00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17.5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81.16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Antifungal protein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PF11402,3|Antifungal_prot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983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1117716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4.09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35.43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2.23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5.03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Glycoside Hydrolase Family 7 protein CbhB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PF00840,15|Glyco_hydro_7;PF00734,13|CBM_1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GO:0030248|cellulose binding;GO:0005576|extracellular region;GO:0005975|carbohydrate metabolic process;GO:0004553|hydrolase activity, hydrolyzing O-glycosyl compounds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132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1187764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25.43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19.37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8.72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2.55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No annotation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983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1146836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3.82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6.24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2.71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0.69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hypothetical FAD/FMN-containing dehydrogenase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PF01565,18|FAD_binding_4;PF08031,7|BBE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GO:0055114|oxidation-reduction process;GO:0016491|oxidoreductase activity;GO:0050660|flavin adenine dinucleotide binding;GO:0008762|UDP-N-acetylmuramate dehydrogenase activity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97157F" w:rsidRPr="00DE0E0E" w:rsidTr="00390BFB">
        <w:trPr>
          <w:trHeight w:val="274"/>
        </w:trPr>
        <w:tc>
          <w:tcPr>
            <w:tcW w:w="80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1164071</w:t>
            </w:r>
          </w:p>
        </w:tc>
        <w:tc>
          <w:tcPr>
            <w:tcW w:w="723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96.22</w:t>
            </w:r>
          </w:p>
        </w:tc>
        <w:tc>
          <w:tcPr>
            <w:tcW w:w="6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108.91</w:t>
            </w:r>
          </w:p>
        </w:tc>
        <w:tc>
          <w:tcPr>
            <w:tcW w:w="626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30.43</w:t>
            </w:r>
          </w:p>
        </w:tc>
        <w:tc>
          <w:tcPr>
            <w:tcW w:w="70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11.6</w:t>
            </w:r>
            <w:r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141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Peptidase G1, eqolisin</w:t>
            </w:r>
          </w:p>
        </w:tc>
        <w:tc>
          <w:tcPr>
            <w:tcW w:w="1984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PF01828,12|Peptidase_A4</w:t>
            </w:r>
          </w:p>
        </w:tc>
        <w:tc>
          <w:tcPr>
            <w:tcW w:w="2268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GO:0006508|proteolysis;GO:0004190|aspartic-type endopeptidase activity</w:t>
            </w:r>
          </w:p>
        </w:tc>
        <w:tc>
          <w:tcPr>
            <w:tcW w:w="2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50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1552" w:type="dxa"/>
            <w:hideMark/>
          </w:tcPr>
          <w:p w:rsidR="0097157F" w:rsidRPr="00DE0E0E" w:rsidRDefault="0097157F" w:rsidP="00390BFB">
            <w:pPr>
              <w:rPr>
                <w:rFonts w:ascii="Arial" w:hAnsi="Arial" w:cs="Arial"/>
                <w:sz w:val="12"/>
                <w:szCs w:val="12"/>
              </w:rPr>
            </w:pPr>
            <w:r w:rsidRPr="00DE0E0E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</w:tbl>
    <w:p w:rsidR="0097157F" w:rsidRPr="007169BF" w:rsidRDefault="0097157F" w:rsidP="0097157F">
      <w:pPr>
        <w:rPr>
          <w:rFonts w:ascii="Arial" w:hAnsi="Arial" w:cs="Arial"/>
          <w:sz w:val="22"/>
          <w:szCs w:val="20"/>
        </w:rPr>
      </w:pPr>
    </w:p>
    <w:p w:rsidR="005C1287" w:rsidRDefault="005C1287">
      <w:pPr>
        <w:suppressAutoHyphens w:val="0"/>
        <w:spacing w:after="160" w:line="259" w:lineRule="auto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br w:type="page"/>
      </w:r>
    </w:p>
    <w:p w:rsidR="00390BFB" w:rsidRDefault="005C1287">
      <w:pPr>
        <w:suppressAutoHyphens w:val="0"/>
        <w:spacing w:after="160" w:line="259" w:lineRule="auto"/>
        <w:rPr>
          <w:rFonts w:ascii="Cambria" w:hAnsi="Cambria" w:cs="Arial"/>
          <w:b/>
          <w:sz w:val="22"/>
          <w:szCs w:val="22"/>
        </w:rPr>
      </w:pPr>
      <w:r w:rsidRPr="005C1287">
        <w:rPr>
          <w:noProof/>
          <w:lang w:val="en-GB" w:eastAsia="en-GB"/>
        </w:rPr>
        <w:lastRenderedPageBreak/>
        <w:drawing>
          <wp:inline distT="0" distB="0" distL="0" distR="0" wp14:anchorId="7A0466DD" wp14:editId="15EB2047">
            <wp:extent cx="9777730" cy="12627180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1262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0BFB">
        <w:rPr>
          <w:rFonts w:ascii="Cambria" w:hAnsi="Cambria" w:cs="Arial"/>
          <w:b/>
          <w:sz w:val="22"/>
          <w:szCs w:val="22"/>
        </w:rPr>
        <w:br w:type="page"/>
      </w:r>
    </w:p>
    <w:p w:rsidR="009263A7" w:rsidRDefault="009263A7">
      <w:pPr>
        <w:suppressAutoHyphens w:val="0"/>
        <w:spacing w:after="160" w:line="259" w:lineRule="auto"/>
        <w:rPr>
          <w:rFonts w:ascii="Cambria" w:hAnsi="Cambria" w:cs="Arial"/>
          <w:b/>
          <w:sz w:val="22"/>
          <w:szCs w:val="22"/>
        </w:rPr>
      </w:pPr>
      <w:r w:rsidRPr="009263A7">
        <w:rPr>
          <w:noProof/>
          <w:lang w:val="en-GB" w:eastAsia="en-GB"/>
        </w:rPr>
        <w:lastRenderedPageBreak/>
        <w:drawing>
          <wp:inline distT="0" distB="0" distL="0" distR="0" wp14:anchorId="668EF3EE" wp14:editId="1530D040">
            <wp:extent cx="9705987" cy="636890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5914" cy="636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b/>
          <w:sz w:val="22"/>
          <w:szCs w:val="22"/>
        </w:rPr>
        <w:br w:type="page"/>
      </w:r>
    </w:p>
    <w:p w:rsidR="009263A7" w:rsidRDefault="00332785">
      <w:pPr>
        <w:suppressAutoHyphens w:val="0"/>
        <w:spacing w:after="160" w:line="259" w:lineRule="auto"/>
        <w:rPr>
          <w:rFonts w:ascii="Cambria" w:hAnsi="Cambria" w:cs="Arial"/>
          <w:b/>
          <w:sz w:val="22"/>
          <w:szCs w:val="22"/>
        </w:rPr>
      </w:pPr>
      <w:r w:rsidRPr="00332785">
        <w:rPr>
          <w:noProof/>
          <w:lang w:val="en-GB" w:eastAsia="en-GB"/>
        </w:rPr>
        <w:lastRenderedPageBreak/>
        <w:drawing>
          <wp:inline distT="0" distB="0" distL="0" distR="0">
            <wp:extent cx="7134225" cy="4614545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25" cy="46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32F" w:rsidRDefault="004F232F" w:rsidP="001218EA">
      <w:pPr>
        <w:spacing w:line="480" w:lineRule="auto"/>
        <w:rPr>
          <w:rFonts w:ascii="Cambria" w:hAnsi="Cambria" w:cs="Arial"/>
          <w:b/>
          <w:sz w:val="22"/>
          <w:szCs w:val="22"/>
        </w:rPr>
        <w:sectPr w:rsidR="004F232F" w:rsidSect="009263A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4F232F" w:rsidRPr="004F232F" w:rsidRDefault="004F232F">
      <w:pPr>
        <w:suppressAutoHyphens w:val="0"/>
        <w:spacing w:after="160" w:line="259" w:lineRule="auto"/>
        <w:rPr>
          <w:rFonts w:ascii="Cambria" w:hAnsi="Cambria"/>
          <w:sz w:val="22"/>
          <w:szCs w:val="22"/>
        </w:rPr>
      </w:pPr>
    </w:p>
    <w:p w:rsidR="00A1699F" w:rsidRDefault="00A1699F" w:rsidP="004F232F">
      <w:pPr>
        <w:spacing w:line="480" w:lineRule="auto"/>
        <w:rPr>
          <w:rFonts w:ascii="Cambria" w:hAnsi="Cambria" w:cs="Arial"/>
          <w:b/>
          <w:sz w:val="22"/>
          <w:szCs w:val="22"/>
        </w:rPr>
      </w:pPr>
      <w:r>
        <w:rPr>
          <w:noProof/>
          <w:lang w:val="en-GB" w:eastAsia="en-GB"/>
        </w:rPr>
        <w:drawing>
          <wp:inline distT="0" distB="0" distL="0" distR="0" wp14:anchorId="4D6B4018" wp14:editId="2686B63B">
            <wp:extent cx="2340864" cy="3043123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1812" t="8570" r="37370" b="6531"/>
                    <a:stretch/>
                  </pic:blipFill>
                  <pic:spPr bwMode="auto">
                    <a:xfrm>
                      <a:off x="0" y="0"/>
                      <a:ext cx="2339492" cy="3041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232F" w:rsidRPr="004F232F" w:rsidRDefault="004F232F" w:rsidP="004F232F">
      <w:pPr>
        <w:spacing w:line="480" w:lineRule="auto"/>
        <w:rPr>
          <w:rFonts w:ascii="Cambria" w:hAnsi="Cambria" w:cs="Arial"/>
          <w:sz w:val="22"/>
          <w:szCs w:val="22"/>
        </w:rPr>
      </w:pPr>
      <w:r w:rsidRPr="004F232F">
        <w:rPr>
          <w:rFonts w:ascii="Cambria" w:hAnsi="Cambria" w:cs="Arial"/>
          <w:b/>
          <w:sz w:val="22"/>
          <w:szCs w:val="22"/>
        </w:rPr>
        <w:t xml:space="preserve">Supplemental Figure 1. </w:t>
      </w:r>
      <w:r w:rsidR="009263A7" w:rsidRPr="00E815E7">
        <w:rPr>
          <w:rFonts w:ascii="Cambria" w:hAnsi="Cambria" w:cs="Arial"/>
          <w:sz w:val="22"/>
          <w:szCs w:val="22"/>
        </w:rPr>
        <w:t>Southern blot analysis of wild type strain MA234.1, deletion strain Δ</w:t>
      </w:r>
      <w:r w:rsidR="00FD60C3">
        <w:rPr>
          <w:rFonts w:ascii="Cambria" w:hAnsi="Cambria" w:cs="Arial"/>
          <w:i/>
          <w:sz w:val="22"/>
          <w:szCs w:val="22"/>
        </w:rPr>
        <w:t>fum21</w:t>
      </w:r>
      <w:r w:rsidR="009263A7" w:rsidRPr="00E815E7">
        <w:rPr>
          <w:rFonts w:ascii="Cambria" w:hAnsi="Cambria" w:cs="Arial"/>
          <w:i/>
          <w:sz w:val="22"/>
          <w:szCs w:val="22"/>
        </w:rPr>
        <w:t xml:space="preserve"> </w:t>
      </w:r>
      <w:r w:rsidR="009263A7" w:rsidRPr="00E815E7">
        <w:rPr>
          <w:rFonts w:ascii="Cambria" w:hAnsi="Cambria" w:cs="Arial"/>
          <w:sz w:val="22"/>
          <w:szCs w:val="22"/>
        </w:rPr>
        <w:t>and complemented Δ</w:t>
      </w:r>
      <w:r w:rsidR="00FD60C3">
        <w:rPr>
          <w:rFonts w:ascii="Cambria" w:hAnsi="Cambria" w:cs="Arial"/>
          <w:i/>
          <w:sz w:val="22"/>
          <w:szCs w:val="22"/>
        </w:rPr>
        <w:t>fum21</w:t>
      </w:r>
      <w:r w:rsidR="009263A7">
        <w:rPr>
          <w:rFonts w:ascii="Cambria" w:hAnsi="Cambria" w:cs="Arial"/>
          <w:sz w:val="22"/>
          <w:szCs w:val="22"/>
        </w:rPr>
        <w:t xml:space="preserve"> strains 10 and </w:t>
      </w:r>
      <w:r w:rsidR="009263A7" w:rsidRPr="00E815E7">
        <w:rPr>
          <w:rFonts w:ascii="Cambria" w:hAnsi="Cambria" w:cs="Arial"/>
          <w:sz w:val="22"/>
          <w:szCs w:val="22"/>
        </w:rPr>
        <w:t xml:space="preserve">11.  Deletion of </w:t>
      </w:r>
      <w:r w:rsidR="00FD60C3">
        <w:rPr>
          <w:rFonts w:ascii="Cambria" w:hAnsi="Cambria" w:cs="Arial"/>
          <w:i/>
          <w:sz w:val="22"/>
          <w:szCs w:val="22"/>
        </w:rPr>
        <w:t>fum21</w:t>
      </w:r>
      <w:r w:rsidR="009263A7" w:rsidRPr="00E815E7">
        <w:rPr>
          <w:rFonts w:ascii="Cambria" w:hAnsi="Cambria" w:cs="Arial"/>
          <w:i/>
          <w:sz w:val="22"/>
          <w:szCs w:val="22"/>
        </w:rPr>
        <w:t xml:space="preserve"> </w:t>
      </w:r>
      <w:r w:rsidR="009263A7" w:rsidRPr="00E815E7">
        <w:rPr>
          <w:rFonts w:ascii="Cambria" w:hAnsi="Cambria" w:cs="Arial"/>
          <w:sz w:val="22"/>
          <w:szCs w:val="22"/>
        </w:rPr>
        <w:t xml:space="preserve">eliminated a HindIII site, thereby giving a fragment of 4075 </w:t>
      </w:r>
      <w:r w:rsidR="009263A7">
        <w:rPr>
          <w:rFonts w:ascii="Cambria" w:hAnsi="Cambria" w:cs="Arial"/>
          <w:sz w:val="22"/>
          <w:szCs w:val="22"/>
        </w:rPr>
        <w:t xml:space="preserve">and </w:t>
      </w:r>
      <w:r w:rsidR="009263A7" w:rsidRPr="00E815E7">
        <w:rPr>
          <w:rFonts w:ascii="Cambria" w:hAnsi="Cambria" w:cs="Arial"/>
          <w:sz w:val="22"/>
          <w:szCs w:val="22"/>
        </w:rPr>
        <w:t>1876 base pairs in Δ</w:t>
      </w:r>
      <w:r w:rsidR="00FD60C3">
        <w:rPr>
          <w:rFonts w:ascii="Cambria" w:hAnsi="Cambria" w:cs="Arial"/>
          <w:i/>
          <w:sz w:val="22"/>
          <w:szCs w:val="22"/>
        </w:rPr>
        <w:t>fum21</w:t>
      </w:r>
      <w:r w:rsidR="009263A7" w:rsidRPr="00E815E7">
        <w:rPr>
          <w:rFonts w:ascii="Cambria" w:hAnsi="Cambria" w:cs="Arial"/>
          <w:sz w:val="22"/>
          <w:szCs w:val="22"/>
        </w:rPr>
        <w:t xml:space="preserve"> </w:t>
      </w:r>
      <w:r w:rsidR="009263A7">
        <w:rPr>
          <w:rFonts w:ascii="Cambria" w:hAnsi="Cambria" w:cs="Arial"/>
          <w:sz w:val="22"/>
          <w:szCs w:val="22"/>
        </w:rPr>
        <w:t xml:space="preserve">and </w:t>
      </w:r>
      <w:r w:rsidR="009263A7" w:rsidRPr="00E815E7">
        <w:rPr>
          <w:rFonts w:ascii="Cambria" w:hAnsi="Cambria" w:cs="Arial"/>
          <w:sz w:val="22"/>
          <w:szCs w:val="22"/>
        </w:rPr>
        <w:t>wild type</w:t>
      </w:r>
      <w:r w:rsidR="009263A7">
        <w:rPr>
          <w:rFonts w:ascii="Cambria" w:hAnsi="Cambria" w:cs="Arial"/>
          <w:sz w:val="22"/>
          <w:szCs w:val="22"/>
        </w:rPr>
        <w:t>, respectively</w:t>
      </w:r>
      <w:r w:rsidR="009263A7" w:rsidRPr="00E815E7">
        <w:rPr>
          <w:rFonts w:ascii="Cambria" w:hAnsi="Cambria" w:cs="Arial"/>
          <w:sz w:val="22"/>
          <w:szCs w:val="22"/>
        </w:rPr>
        <w:t>.</w:t>
      </w:r>
      <w:r w:rsidR="009263A7">
        <w:rPr>
          <w:rFonts w:ascii="Cambria" w:hAnsi="Cambria" w:cs="Arial"/>
          <w:sz w:val="22"/>
          <w:szCs w:val="22"/>
        </w:rPr>
        <w:t xml:space="preserve"> Complemented strain 10 has multiple copies of </w:t>
      </w:r>
      <w:r w:rsidR="00FD60C3">
        <w:rPr>
          <w:rFonts w:ascii="Cambria" w:hAnsi="Cambria" w:cs="Arial"/>
          <w:i/>
          <w:sz w:val="22"/>
          <w:szCs w:val="22"/>
        </w:rPr>
        <w:t>fum21</w:t>
      </w:r>
      <w:r w:rsidR="009263A7">
        <w:rPr>
          <w:rFonts w:ascii="Cambria" w:hAnsi="Cambria" w:cs="Arial"/>
          <w:i/>
          <w:sz w:val="22"/>
          <w:szCs w:val="22"/>
        </w:rPr>
        <w:t xml:space="preserve">, </w:t>
      </w:r>
      <w:r w:rsidR="009263A7">
        <w:rPr>
          <w:rFonts w:ascii="Cambria" w:hAnsi="Cambria" w:cs="Arial"/>
          <w:sz w:val="22"/>
          <w:szCs w:val="22"/>
        </w:rPr>
        <w:t>while complemented strain 11 has a single integrated copy in its genome.</w:t>
      </w:r>
    </w:p>
    <w:p w:rsidR="004F232F" w:rsidRPr="004F232F" w:rsidRDefault="004F232F" w:rsidP="004F232F">
      <w:pPr>
        <w:suppressAutoHyphens w:val="0"/>
        <w:spacing w:after="160" w:line="259" w:lineRule="auto"/>
        <w:rPr>
          <w:rFonts w:ascii="Cambria" w:hAnsi="Cambria" w:cs="Arial"/>
          <w:sz w:val="22"/>
          <w:szCs w:val="22"/>
        </w:rPr>
      </w:pPr>
      <w:r w:rsidRPr="004F232F">
        <w:rPr>
          <w:rFonts w:ascii="Cambria" w:hAnsi="Cambria" w:cs="Arial"/>
          <w:sz w:val="22"/>
          <w:szCs w:val="22"/>
        </w:rPr>
        <w:br w:type="page"/>
      </w:r>
    </w:p>
    <w:p w:rsidR="00A1699F" w:rsidRDefault="00A1699F" w:rsidP="006E356A">
      <w:pPr>
        <w:spacing w:line="480" w:lineRule="auto"/>
        <w:rPr>
          <w:rFonts w:ascii="Cambria" w:hAnsi="Cambria" w:cs="Arial"/>
          <w:b/>
          <w:sz w:val="22"/>
          <w:szCs w:val="22"/>
        </w:rPr>
      </w:pPr>
    </w:p>
    <w:p w:rsidR="00A1699F" w:rsidRDefault="00A1699F" w:rsidP="006E356A">
      <w:pPr>
        <w:spacing w:line="480" w:lineRule="auto"/>
        <w:rPr>
          <w:rFonts w:ascii="Cambria" w:hAnsi="Cambria" w:cs="Arial"/>
          <w:b/>
          <w:sz w:val="22"/>
          <w:szCs w:val="22"/>
        </w:rPr>
      </w:pPr>
    </w:p>
    <w:p w:rsidR="00522EE7" w:rsidRDefault="00522EE7" w:rsidP="00522EE7">
      <w:pPr>
        <w:spacing w:line="480" w:lineRule="auto"/>
        <w:rPr>
          <w:rFonts w:ascii="Cambria" w:hAnsi="Cambria" w:cs="Arial"/>
          <w:b/>
          <w:sz w:val="22"/>
          <w:szCs w:val="22"/>
        </w:rPr>
      </w:pPr>
      <w:r w:rsidRPr="00196835">
        <w:rPr>
          <w:rFonts w:ascii="Cambria" w:hAnsi="Cambria" w:cs="Arial"/>
          <w:b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DF6ED9" wp14:editId="22AC7019">
                <wp:simplePos x="0" y="0"/>
                <wp:positionH relativeFrom="column">
                  <wp:posOffset>405584</wp:posOffset>
                </wp:positionH>
                <wp:positionV relativeFrom="paragraph">
                  <wp:posOffset>1306195</wp:posOffset>
                </wp:positionV>
                <wp:extent cx="237426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2EE7" w:rsidRPr="00196835" w:rsidRDefault="00522EE7" w:rsidP="00522EE7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>Fum21 (</w:t>
                            </w:r>
                            <w:r>
                              <w:rPr>
                                <w:b/>
                                <w:i/>
                              </w:rPr>
                              <w:t>Aspergillus niger)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DF6E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.95pt;margin-top:102.8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" stroked="f">
                <v:textbox style="mso-fit-shape-to-text:t">
                  <w:txbxContent>
                    <w:p w:rsidR="00522EE7" w:rsidRPr="00196835" w:rsidRDefault="00522EE7" w:rsidP="00522EE7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</w:rPr>
                        <w:t>Fum21 (</w:t>
                      </w:r>
                      <w:r>
                        <w:rPr>
                          <w:b/>
                          <w:i/>
                        </w:rPr>
                        <w:t xml:space="preserve">Aspergillus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niger</w:t>
                      </w:r>
                      <w:proofErr w:type="spellEnd"/>
                      <w:r>
                        <w:rPr>
                          <w:b/>
                          <w:i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 w:cs="Arial"/>
          <w:b/>
          <w:noProof/>
          <w:sz w:val="22"/>
          <w:szCs w:val="22"/>
          <w:lang w:val="en-GB" w:eastAsia="en-GB"/>
        </w:rPr>
        <w:drawing>
          <wp:inline distT="0" distB="0" distL="0" distR="0" wp14:anchorId="2FE26BA1" wp14:editId="1C47D67C">
            <wp:extent cx="5731510" cy="3863975"/>
            <wp:effectExtent l="0" t="0" r="254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david new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6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56A" w:rsidRPr="00FD3E97" w:rsidRDefault="006E356A" w:rsidP="006E356A">
      <w:pPr>
        <w:spacing w:line="480" w:lineRule="auto"/>
        <w:rPr>
          <w:rFonts w:asciiTheme="majorHAnsi" w:hAnsiTheme="majorHAnsi" w:cs="Arial"/>
          <w:sz w:val="22"/>
          <w:szCs w:val="22"/>
        </w:rPr>
      </w:pPr>
      <w:r w:rsidRPr="00B14E60">
        <w:rPr>
          <w:rFonts w:ascii="Cambria" w:hAnsi="Cambria" w:cs="Arial"/>
          <w:b/>
          <w:sz w:val="22"/>
          <w:szCs w:val="22"/>
        </w:rPr>
        <w:t xml:space="preserve">Supplemental Figure 2. </w:t>
      </w:r>
      <w:r w:rsidRPr="00B14E60">
        <w:rPr>
          <w:rFonts w:ascii="Cambria" w:hAnsi="Cambria" w:cs="Arial"/>
          <w:sz w:val="22"/>
          <w:szCs w:val="22"/>
        </w:rPr>
        <w:t xml:space="preserve">Schematic overview of Fum21 </w:t>
      </w:r>
      <w:r>
        <w:rPr>
          <w:rFonts w:ascii="Cambria" w:hAnsi="Cambria" w:cs="Arial"/>
          <w:sz w:val="22"/>
          <w:szCs w:val="22"/>
        </w:rPr>
        <w:t>of</w:t>
      </w:r>
      <w:r w:rsidRPr="00B14E60">
        <w:rPr>
          <w:rFonts w:ascii="Cambria" w:hAnsi="Cambria" w:cs="Arial"/>
          <w:sz w:val="22"/>
          <w:szCs w:val="22"/>
        </w:rPr>
        <w:t xml:space="preserve"> </w:t>
      </w:r>
      <w:r w:rsidRPr="00B14E60">
        <w:rPr>
          <w:rFonts w:ascii="Cambria" w:hAnsi="Cambria" w:cs="Arial"/>
          <w:i/>
          <w:sz w:val="22"/>
          <w:szCs w:val="22"/>
        </w:rPr>
        <w:t xml:space="preserve">Fusarium vertillioides </w:t>
      </w:r>
      <w:r w:rsidRPr="00B14E60">
        <w:rPr>
          <w:rFonts w:ascii="Cambria" w:hAnsi="Cambria" w:cs="Arial"/>
          <w:sz w:val="22"/>
          <w:szCs w:val="22"/>
        </w:rPr>
        <w:t xml:space="preserve">and </w:t>
      </w:r>
      <w:r w:rsidRPr="00B14E60">
        <w:rPr>
          <w:rFonts w:ascii="Cambria" w:hAnsi="Cambria" w:cs="Arial"/>
          <w:i/>
          <w:sz w:val="22"/>
          <w:szCs w:val="22"/>
        </w:rPr>
        <w:t>A</w:t>
      </w:r>
      <w:r>
        <w:rPr>
          <w:rFonts w:ascii="Cambria" w:hAnsi="Cambria" w:cs="Arial"/>
          <w:i/>
          <w:sz w:val="22"/>
          <w:szCs w:val="22"/>
        </w:rPr>
        <w:t>.</w:t>
      </w:r>
      <w:r w:rsidRPr="00B14E60">
        <w:rPr>
          <w:rFonts w:ascii="Cambria" w:hAnsi="Cambria" w:cs="Arial"/>
          <w:i/>
          <w:sz w:val="22"/>
          <w:szCs w:val="22"/>
        </w:rPr>
        <w:t xml:space="preserve"> niger</w:t>
      </w:r>
      <w:r>
        <w:rPr>
          <w:rFonts w:ascii="Cambria" w:hAnsi="Cambria" w:cs="Arial"/>
          <w:sz w:val="22"/>
          <w:szCs w:val="22"/>
        </w:rPr>
        <w:t xml:space="preserve"> (A) and the fumonisin gene cluster of </w:t>
      </w:r>
      <w:r>
        <w:rPr>
          <w:rFonts w:ascii="Cambria" w:hAnsi="Cambria" w:cs="Arial"/>
          <w:i/>
          <w:sz w:val="22"/>
          <w:szCs w:val="22"/>
        </w:rPr>
        <w:t xml:space="preserve">A. niger </w:t>
      </w:r>
      <w:r>
        <w:rPr>
          <w:rFonts w:ascii="Cambria" w:hAnsi="Cambria" w:cs="Arial"/>
          <w:sz w:val="22"/>
          <w:szCs w:val="22"/>
        </w:rPr>
        <w:t xml:space="preserve">according to </w:t>
      </w:r>
      <w:r w:rsidR="00B6184B">
        <w:rPr>
          <w:rFonts w:ascii="Cambria" w:hAnsi="Cambria" w:cs="Arial"/>
          <w:sz w:val="22"/>
          <w:szCs w:val="22"/>
        </w:rPr>
        <w:t>Susca et al (2014</w:t>
      </w:r>
      <w:r w:rsidRPr="00230F78">
        <w:rPr>
          <w:rFonts w:ascii="Cambria" w:hAnsi="Cambria" w:cs="Arial"/>
          <w:sz w:val="22"/>
          <w:szCs w:val="22"/>
        </w:rPr>
        <w:t xml:space="preserve">) </w:t>
      </w:r>
      <w:r>
        <w:rPr>
          <w:rFonts w:ascii="Cambria" w:hAnsi="Cambria" w:cs="Arial"/>
          <w:sz w:val="22"/>
          <w:szCs w:val="22"/>
        </w:rPr>
        <w:t xml:space="preserve">(B). </w:t>
      </w:r>
      <w:r w:rsidRPr="00B14E60">
        <w:rPr>
          <w:rFonts w:ascii="Cambria" w:hAnsi="Cambria" w:cs="Arial"/>
          <w:sz w:val="22"/>
          <w:szCs w:val="22"/>
        </w:rPr>
        <w:t>GAL = GAL4-like DNA binding domain.</w:t>
      </w:r>
    </w:p>
    <w:p w:rsidR="006E356A" w:rsidRDefault="006E356A" w:rsidP="006E356A"/>
    <w:p w:rsidR="004F232F" w:rsidRPr="004F232F" w:rsidRDefault="004F232F" w:rsidP="004F232F">
      <w:pPr>
        <w:spacing w:line="480" w:lineRule="auto"/>
        <w:rPr>
          <w:rFonts w:ascii="Cambria" w:hAnsi="Cambria" w:cs="Arial"/>
          <w:sz w:val="22"/>
          <w:szCs w:val="22"/>
        </w:rPr>
      </w:pPr>
    </w:p>
    <w:p w:rsidR="003038F0" w:rsidRPr="004F232F" w:rsidRDefault="003038F0">
      <w:pPr>
        <w:rPr>
          <w:rFonts w:ascii="Cambria" w:hAnsi="Cambria"/>
          <w:sz w:val="22"/>
          <w:szCs w:val="22"/>
        </w:rPr>
      </w:pPr>
    </w:p>
    <w:sectPr w:rsidR="003038F0" w:rsidRPr="004F232F" w:rsidSect="004F23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8EA"/>
    <w:rsid w:val="000D26B2"/>
    <w:rsid w:val="000D38DC"/>
    <w:rsid w:val="000D54CD"/>
    <w:rsid w:val="001218EA"/>
    <w:rsid w:val="001856D2"/>
    <w:rsid w:val="00195B4F"/>
    <w:rsid w:val="003038F0"/>
    <w:rsid w:val="00332785"/>
    <w:rsid w:val="003559ED"/>
    <w:rsid w:val="00390BFB"/>
    <w:rsid w:val="004F232F"/>
    <w:rsid w:val="00522EE7"/>
    <w:rsid w:val="005917BA"/>
    <w:rsid w:val="005A6910"/>
    <w:rsid w:val="005C1287"/>
    <w:rsid w:val="0060233D"/>
    <w:rsid w:val="006E356A"/>
    <w:rsid w:val="007D40B5"/>
    <w:rsid w:val="008E7944"/>
    <w:rsid w:val="009263A7"/>
    <w:rsid w:val="0097157F"/>
    <w:rsid w:val="00A1699F"/>
    <w:rsid w:val="00B6184B"/>
    <w:rsid w:val="00B91107"/>
    <w:rsid w:val="00BC5589"/>
    <w:rsid w:val="00BF45EB"/>
    <w:rsid w:val="00E33CC1"/>
    <w:rsid w:val="00EF3D98"/>
    <w:rsid w:val="00FD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A9ACF0-4321-4FA2-BD72-DE3A3908D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8EA"/>
    <w:pPr>
      <w:suppressAutoHyphens/>
      <w:spacing w:after="0" w:line="240" w:lineRule="auto"/>
    </w:pPr>
    <w:rPr>
      <w:rFonts w:ascii="Verdana" w:eastAsia="Times New Roman" w:hAnsi="Verdana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232F"/>
    <w:pPr>
      <w:suppressAutoHyphens w:val="0"/>
      <w:spacing w:before="100" w:beforeAutospacing="1" w:after="100" w:afterAutospacing="1"/>
    </w:pPr>
    <w:rPr>
      <w:rFonts w:ascii="Times New Roman" w:eastAsiaTheme="minorEastAsia" w:hAnsi="Times New Roman"/>
      <w:sz w:val="24"/>
      <w:lang w:val="en-GB" w:eastAsia="en-GB"/>
    </w:rPr>
  </w:style>
  <w:style w:type="table" w:styleId="TableGrid">
    <w:name w:val="Table Grid"/>
    <w:basedOn w:val="TableNormal"/>
    <w:rsid w:val="004F2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15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157F"/>
    <w:pPr>
      <w:suppressAutoHyphens w:val="0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57F"/>
    <w:rPr>
      <w:rFonts w:ascii="Verdana" w:eastAsia="Times New Roman" w:hAnsi="Verdana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5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57F"/>
    <w:rPr>
      <w:rFonts w:ascii="Verdana" w:eastAsia="Times New Roman" w:hAnsi="Verdana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57F"/>
    <w:pPr>
      <w:suppressAutoHyphens w:val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57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3375</Words>
  <Characters>19243</Characters>
  <Application>Microsoft Office Word</Application>
  <DocSecurity>4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Faculty of Science U.U.</Company>
  <LinksUpToDate>false</LinksUpToDate>
  <CharactersWithSpaces>22573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Wosten, H.A.B. (Han)</dc:creator>
  <cp:keywords/>
  <dc:description/>
  <cp:lastModifiedBy>Wosten, H.A.B. (Han)</cp:lastModifiedBy>
  <cp:revision>2</cp:revision>
  <dcterms:created xsi:type="dcterms:W3CDTF">2017-09-20T18:30:00Z</dcterms:created>
  <dcterms:modified xsi:type="dcterms:W3CDTF">2017-09-20T18:30:00Z</dcterms:modified>
</cp:coreProperties>
</file>