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b/>
          <w:bCs/>
          <w:sz w:val="20"/>
          <w:szCs w:val="20"/>
          <w:lang w:val="en-US"/>
        </w:rPr>
        <w:t xml:space="preserve">A dominant clonal lineage of </w:t>
      </w:r>
      <w:r w:rsidRPr="00624D2B">
        <w:rPr>
          <w:rFonts w:cs="Arial"/>
          <w:b/>
          <w:bCs/>
          <w:i/>
          <w:iCs/>
          <w:sz w:val="20"/>
          <w:szCs w:val="20"/>
          <w:lang w:val="en-US"/>
        </w:rPr>
        <w:t xml:space="preserve">Streptococcus </w:t>
      </w:r>
      <w:proofErr w:type="spellStart"/>
      <w:r w:rsidRPr="00624D2B">
        <w:rPr>
          <w:rFonts w:cs="Arial"/>
          <w:b/>
          <w:bCs/>
          <w:i/>
          <w:iCs/>
          <w:sz w:val="20"/>
          <w:szCs w:val="20"/>
          <w:lang w:val="en-US"/>
        </w:rPr>
        <w:t>uberis</w:t>
      </w:r>
      <w:proofErr w:type="spellEnd"/>
      <w:r w:rsidRPr="00624D2B">
        <w:rPr>
          <w:rFonts w:cs="Arial"/>
          <w:b/>
          <w:bCs/>
          <w:sz w:val="20"/>
          <w:szCs w:val="20"/>
          <w:lang w:val="en-US"/>
        </w:rPr>
        <w:t xml:space="preserve"> in cattle in Germany</w:t>
      </w:r>
    </w:p>
    <w:p w:rsidR="00874B74" w:rsidRPr="00624D2B" w:rsidRDefault="00624D2B">
      <w:pPr>
        <w:spacing w:line="480" w:lineRule="auto"/>
        <w:jc w:val="both"/>
        <w:rPr>
          <w:rFonts w:ascii="Times New Roman" w:hAnsi="Times New Roman" w:cs="Arial"/>
          <w:sz w:val="20"/>
          <w:szCs w:val="20"/>
          <w:lang w:val="en-US"/>
        </w:rPr>
      </w:pPr>
      <w:r w:rsidRPr="00624D2B">
        <w:rPr>
          <w:rFonts w:cs="Arial"/>
          <w:sz w:val="20"/>
          <w:szCs w:val="20"/>
          <w:lang w:val="en-US"/>
        </w:rPr>
        <w:t xml:space="preserve"> </w:t>
      </w:r>
      <w:bookmarkStart w:id="0" w:name="_GoBack"/>
      <w:bookmarkEnd w:id="0"/>
    </w:p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sz w:val="20"/>
          <w:szCs w:val="20"/>
          <w:lang w:val="en-US"/>
        </w:rPr>
        <w:t>Linda Fenske</w:t>
      </w:r>
      <w:r w:rsidRPr="00624D2B">
        <w:rPr>
          <w:rFonts w:cs="Arial"/>
          <w:sz w:val="20"/>
          <w:szCs w:val="20"/>
          <w:vertAlign w:val="superscript"/>
          <w:lang w:val="en-US"/>
        </w:rPr>
        <w:t>1</w:t>
      </w:r>
      <w:proofErr w:type="gramStart"/>
      <w:r w:rsidRPr="00624D2B">
        <w:rPr>
          <w:rFonts w:cs="Arial"/>
          <w:sz w:val="20"/>
          <w:szCs w:val="20"/>
          <w:vertAlign w:val="superscript"/>
          <w:lang w:val="en-US"/>
        </w:rPr>
        <w:t>,2</w:t>
      </w:r>
      <w:proofErr w:type="gramEnd"/>
      <w:r w:rsidRPr="00624D2B">
        <w:rPr>
          <w:rFonts w:cs="Arial"/>
          <w:sz w:val="20"/>
          <w:szCs w:val="20"/>
          <w:vertAlign w:val="superscript"/>
          <w:lang w:val="en-US"/>
        </w:rPr>
        <w:t>*</w:t>
      </w:r>
      <w:r w:rsidRPr="00624D2B">
        <w:rPr>
          <w:rFonts w:cs="Arial"/>
          <w:sz w:val="20"/>
          <w:szCs w:val="20"/>
          <w:lang w:val="en-US"/>
        </w:rPr>
        <w:t>, Irene Noll</w:t>
      </w:r>
      <w:r w:rsidRPr="00624D2B">
        <w:rPr>
          <w:rFonts w:cs="Arial"/>
          <w:sz w:val="20"/>
          <w:szCs w:val="20"/>
          <w:vertAlign w:val="superscript"/>
          <w:lang w:val="en-US"/>
        </w:rPr>
        <w:t>3</w:t>
      </w:r>
      <w:r w:rsidRPr="00624D2B">
        <w:rPr>
          <w:rFonts w:cs="Arial"/>
          <w:sz w:val="20"/>
          <w:szCs w:val="20"/>
          <w:lang w:val="en-US"/>
        </w:rPr>
        <w:t xml:space="preserve">, </w:t>
      </w:r>
      <w:proofErr w:type="spellStart"/>
      <w:r w:rsidRPr="00624D2B">
        <w:rPr>
          <w:rFonts w:cs="Arial"/>
          <w:sz w:val="20"/>
          <w:szCs w:val="20"/>
          <w:lang w:val="en-US"/>
        </w:rPr>
        <w:t>Jochen</w:t>
      </w:r>
      <w:proofErr w:type="spellEnd"/>
      <w:r w:rsidRPr="00624D2B">
        <w:rPr>
          <w:rFonts w:cs="Arial"/>
          <w:sz w:val="20"/>
          <w:szCs w:val="20"/>
          <w:lang w:val="en-US"/>
        </w:rPr>
        <w:t xml:space="preserve"> Blom</w:t>
      </w:r>
      <w:r w:rsidRPr="00624D2B">
        <w:rPr>
          <w:rFonts w:cs="Arial"/>
          <w:sz w:val="20"/>
          <w:szCs w:val="20"/>
          <w:vertAlign w:val="superscript"/>
          <w:lang w:val="en-US"/>
        </w:rPr>
        <w:t>2</w:t>
      </w:r>
      <w:r w:rsidRPr="00624D2B">
        <w:rPr>
          <w:rFonts w:cs="Arial"/>
          <w:sz w:val="20"/>
          <w:szCs w:val="20"/>
          <w:lang w:val="en-US"/>
        </w:rPr>
        <w:t>, Christa Ewers</w:t>
      </w:r>
      <w:r w:rsidRPr="00624D2B">
        <w:rPr>
          <w:rFonts w:cs="Arial"/>
          <w:sz w:val="20"/>
          <w:szCs w:val="20"/>
          <w:vertAlign w:val="superscript"/>
          <w:lang w:val="en-US"/>
        </w:rPr>
        <w:t>4</w:t>
      </w:r>
      <w:r w:rsidRPr="00624D2B">
        <w:rPr>
          <w:rFonts w:cs="Arial"/>
          <w:sz w:val="20"/>
          <w:szCs w:val="20"/>
          <w:lang w:val="en-US"/>
        </w:rPr>
        <w:t xml:space="preserve">, </w:t>
      </w:r>
      <w:proofErr w:type="spellStart"/>
      <w:r w:rsidRPr="00624D2B">
        <w:rPr>
          <w:rFonts w:cs="Arial"/>
          <w:sz w:val="20"/>
          <w:szCs w:val="20"/>
          <w:lang w:val="en-US"/>
        </w:rPr>
        <w:t>Torsten</w:t>
      </w:r>
      <w:proofErr w:type="spellEnd"/>
      <w:r w:rsidRPr="00624D2B">
        <w:rPr>
          <w:rFonts w:cs="Arial"/>
          <w:sz w:val="20"/>
          <w:szCs w:val="20"/>
          <w:lang w:val="en-US"/>
        </w:rPr>
        <w:t xml:space="preserve"> Semmler</w:t>
      </w:r>
      <w:r w:rsidRPr="00624D2B">
        <w:rPr>
          <w:rFonts w:cs="Arial"/>
          <w:sz w:val="20"/>
          <w:szCs w:val="20"/>
          <w:vertAlign w:val="superscript"/>
          <w:lang w:val="en-US"/>
        </w:rPr>
        <w:t>5</w:t>
      </w:r>
      <w:r w:rsidRPr="00624D2B">
        <w:rPr>
          <w:rFonts w:cs="Arial"/>
          <w:sz w:val="20"/>
          <w:szCs w:val="20"/>
          <w:lang w:val="en-US"/>
        </w:rPr>
        <w:t>, Ahmad Fawzy</w:t>
      </w:r>
      <w:r w:rsidRPr="00624D2B">
        <w:rPr>
          <w:rFonts w:cs="Arial"/>
          <w:sz w:val="20"/>
          <w:szCs w:val="20"/>
          <w:vertAlign w:val="superscript"/>
          <w:lang w:val="en-US"/>
        </w:rPr>
        <w:t>6,1</w:t>
      </w:r>
      <w:r w:rsidRPr="00624D2B">
        <w:rPr>
          <w:rFonts w:cs="Arial"/>
          <w:sz w:val="20"/>
          <w:szCs w:val="20"/>
          <w:lang w:val="en-US"/>
        </w:rPr>
        <w:t>, Tobias Eisenberg</w:t>
      </w:r>
      <w:r w:rsidRPr="00624D2B">
        <w:rPr>
          <w:rFonts w:cs="Arial"/>
          <w:sz w:val="20"/>
          <w:szCs w:val="20"/>
          <w:vertAlign w:val="superscript"/>
          <w:lang w:val="en-US"/>
        </w:rPr>
        <w:t>1,4</w:t>
      </w:r>
    </w:p>
    <w:p w:rsidR="00874B74" w:rsidRPr="00624D2B" w:rsidRDefault="00874B74">
      <w:pPr>
        <w:spacing w:line="480" w:lineRule="auto"/>
        <w:jc w:val="both"/>
        <w:rPr>
          <w:rFonts w:ascii="Times New Roman" w:hAnsi="Times New Roman" w:cs="Arial"/>
          <w:sz w:val="20"/>
          <w:szCs w:val="20"/>
          <w:lang w:val="en-US"/>
        </w:rPr>
      </w:pPr>
    </w:p>
    <w:p w:rsidR="00874B74" w:rsidRPr="00624D2B" w:rsidRDefault="00874B74">
      <w:pPr>
        <w:spacing w:line="480" w:lineRule="auto"/>
        <w:jc w:val="both"/>
        <w:rPr>
          <w:rFonts w:ascii="Times New Roman" w:hAnsi="Times New Roman" w:cs="Arial"/>
          <w:sz w:val="20"/>
          <w:szCs w:val="20"/>
          <w:lang w:val="en-US"/>
        </w:rPr>
      </w:pPr>
    </w:p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sz w:val="20"/>
          <w:szCs w:val="20"/>
          <w:vertAlign w:val="superscript"/>
          <w:lang w:val="en-US"/>
        </w:rPr>
        <w:t>1</w:t>
      </w:r>
      <w:r w:rsidRPr="00624D2B">
        <w:rPr>
          <w:rFonts w:cs="Arial"/>
          <w:sz w:val="20"/>
          <w:szCs w:val="20"/>
          <w:lang w:val="en-US"/>
        </w:rPr>
        <w:t xml:space="preserve"> Hessian State Laboratory, Department of Veterinary Medicine, Giessen, Germany</w:t>
      </w:r>
    </w:p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sz w:val="20"/>
          <w:szCs w:val="20"/>
          <w:vertAlign w:val="superscript"/>
          <w:lang w:val="en-US"/>
        </w:rPr>
        <w:t>2</w:t>
      </w:r>
      <w:r w:rsidRPr="00624D2B">
        <w:rPr>
          <w:rFonts w:cs="Arial"/>
          <w:sz w:val="20"/>
          <w:szCs w:val="20"/>
          <w:lang w:val="en-US"/>
        </w:rPr>
        <w:t xml:space="preserve"> Bioinformatics and Systems Biology, Justus-Liebig-University, Giessen, Germany</w:t>
      </w:r>
    </w:p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sz w:val="20"/>
          <w:szCs w:val="20"/>
          <w:vertAlign w:val="superscript"/>
          <w:lang w:val="en-US"/>
        </w:rPr>
        <w:t>3</w:t>
      </w:r>
      <w:r w:rsidRPr="00624D2B">
        <w:rPr>
          <w:rFonts w:cs="Arial"/>
          <w:sz w:val="20"/>
          <w:szCs w:val="20"/>
          <w:lang w:val="en-US"/>
        </w:rPr>
        <w:t xml:space="preserve"> Regional Council of </w:t>
      </w:r>
      <w:proofErr w:type="spellStart"/>
      <w:r w:rsidRPr="00624D2B">
        <w:rPr>
          <w:rFonts w:cs="Arial"/>
          <w:sz w:val="20"/>
          <w:szCs w:val="20"/>
          <w:lang w:val="en-US"/>
        </w:rPr>
        <w:t>Gießen</w:t>
      </w:r>
      <w:proofErr w:type="spellEnd"/>
      <w:r w:rsidRPr="00624D2B">
        <w:rPr>
          <w:rFonts w:cs="Arial"/>
          <w:sz w:val="20"/>
          <w:szCs w:val="20"/>
          <w:lang w:val="en-US"/>
        </w:rPr>
        <w:t xml:space="preserve">, </w:t>
      </w:r>
      <w:proofErr w:type="spellStart"/>
      <w:r w:rsidRPr="00624D2B">
        <w:rPr>
          <w:rFonts w:cs="Arial"/>
          <w:sz w:val="20"/>
          <w:szCs w:val="20"/>
          <w:lang w:val="en-US"/>
        </w:rPr>
        <w:t>Wetzlar</w:t>
      </w:r>
      <w:proofErr w:type="spellEnd"/>
      <w:r w:rsidRPr="00624D2B">
        <w:rPr>
          <w:rFonts w:cs="Arial"/>
          <w:sz w:val="20"/>
          <w:szCs w:val="20"/>
          <w:lang w:val="en-US"/>
        </w:rPr>
        <w:t>, Germany</w:t>
      </w:r>
    </w:p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sz w:val="20"/>
          <w:szCs w:val="20"/>
          <w:vertAlign w:val="superscript"/>
          <w:lang w:val="en-US"/>
        </w:rPr>
        <w:t>4</w:t>
      </w:r>
      <w:r w:rsidRPr="00624D2B">
        <w:rPr>
          <w:rFonts w:cs="Arial"/>
          <w:sz w:val="20"/>
          <w:szCs w:val="20"/>
          <w:lang w:val="en-US"/>
        </w:rPr>
        <w:t xml:space="preserve"> Institute of Hygiene and Infectious Diseases of</w:t>
      </w:r>
      <w:r w:rsidRPr="00624D2B">
        <w:rPr>
          <w:rFonts w:cs="Arial"/>
          <w:sz w:val="20"/>
          <w:szCs w:val="20"/>
          <w:lang w:val="en-US"/>
        </w:rPr>
        <w:t xml:space="preserve"> Animals, Justus Liebig University, Giessen, Germany</w:t>
      </w:r>
    </w:p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sz w:val="20"/>
          <w:szCs w:val="20"/>
          <w:vertAlign w:val="superscript"/>
          <w:lang w:val="en-US"/>
        </w:rPr>
        <w:t>5</w:t>
      </w:r>
      <w:r w:rsidRPr="00624D2B">
        <w:rPr>
          <w:rFonts w:cs="Arial"/>
          <w:sz w:val="20"/>
          <w:szCs w:val="20"/>
          <w:lang w:val="en-US"/>
        </w:rPr>
        <w:t xml:space="preserve"> NG 1 Microbial Genomics, Robert Koch Institute (RKI), Berlin, Germany</w:t>
      </w:r>
    </w:p>
    <w:p w:rsidR="00874B74" w:rsidRPr="00624D2B" w:rsidRDefault="00624D2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24D2B">
        <w:rPr>
          <w:rFonts w:cs="Arial"/>
          <w:sz w:val="20"/>
          <w:szCs w:val="20"/>
          <w:vertAlign w:val="superscript"/>
          <w:lang w:val="en-US"/>
        </w:rPr>
        <w:t>6</w:t>
      </w:r>
      <w:r w:rsidRPr="00624D2B">
        <w:rPr>
          <w:rFonts w:cs="Arial"/>
          <w:sz w:val="20"/>
          <w:szCs w:val="20"/>
          <w:lang w:val="en-US"/>
        </w:rPr>
        <w:t xml:space="preserve"> Cairo University, Faculty of Veterinary Medicine, Department of Medicine and Infectious Diseases, Giza, Egypt</w:t>
      </w:r>
    </w:p>
    <w:p w:rsidR="00874B74" w:rsidRPr="00624D2B" w:rsidRDefault="00874B74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</w:p>
    <w:p w:rsidR="00874B74" w:rsidRPr="00624D2B" w:rsidRDefault="00874B74">
      <w:pPr>
        <w:spacing w:line="480" w:lineRule="auto"/>
        <w:jc w:val="both"/>
        <w:rPr>
          <w:rFonts w:ascii="Times New Roman" w:hAnsi="Times New Roman" w:cs="Arial"/>
          <w:sz w:val="20"/>
          <w:szCs w:val="20"/>
          <w:lang w:val="en-US"/>
        </w:rPr>
      </w:pPr>
    </w:p>
    <w:p w:rsidR="00874B74" w:rsidRPr="00624D2B" w:rsidRDefault="00624D2B">
      <w:pPr>
        <w:spacing w:line="480" w:lineRule="auto"/>
        <w:jc w:val="both"/>
      </w:pPr>
      <w:r w:rsidRPr="00624D2B">
        <w:rPr>
          <w:rFonts w:ascii="Times New Roman" w:hAnsi="Times New Roman" w:cs="Arial"/>
          <w:sz w:val="20"/>
          <w:szCs w:val="20"/>
          <w:lang w:val="en-US"/>
        </w:rPr>
        <w:t>*corresponding au</w:t>
      </w:r>
      <w:r w:rsidRPr="00624D2B">
        <w:rPr>
          <w:rFonts w:ascii="Times New Roman" w:hAnsi="Times New Roman" w:cs="Arial"/>
          <w:sz w:val="20"/>
          <w:szCs w:val="20"/>
          <w:lang w:val="en-US"/>
        </w:rPr>
        <w:t xml:space="preserve">thor, mailing address: M.Sc. Linda Fenske, Bioinformatics and Systems Biology, </w:t>
      </w:r>
      <w:r w:rsidRPr="00624D2B">
        <w:rPr>
          <w:rFonts w:ascii="Times New Roman" w:hAnsi="Times New Roman" w:cs="Arial"/>
          <w:sz w:val="20"/>
          <w:szCs w:val="20"/>
          <w:lang w:val="en-US"/>
        </w:rPr>
        <w:br/>
        <w:t>Justus Liebig University, Giessen, Germany, linda.lenske@computational.bio.uni-giessen.de</w:t>
      </w:r>
    </w:p>
    <w:p w:rsidR="00874B74" w:rsidRPr="00624D2B" w:rsidRDefault="00874B74">
      <w:pPr>
        <w:spacing w:line="480" w:lineRule="auto"/>
        <w:jc w:val="both"/>
      </w:pPr>
    </w:p>
    <w:p w:rsidR="00874B74" w:rsidRPr="00624D2B" w:rsidRDefault="00874B74">
      <w:pPr>
        <w:spacing w:line="480" w:lineRule="auto"/>
        <w:jc w:val="both"/>
        <w:rPr>
          <w:rFonts w:ascii="Times New Roman" w:hAnsi="Times New Roman" w:cs="Arial"/>
          <w:sz w:val="20"/>
          <w:szCs w:val="20"/>
          <w:lang w:val="en-US"/>
        </w:rPr>
      </w:pPr>
    </w:p>
    <w:p w:rsidR="00874B74" w:rsidRPr="00624D2B" w:rsidRDefault="00874B74">
      <w:pPr>
        <w:spacing w:line="480" w:lineRule="auto"/>
        <w:jc w:val="both"/>
        <w:rPr>
          <w:rFonts w:ascii="Times New Roman" w:hAnsi="Times New Roman" w:cs="Arial"/>
          <w:sz w:val="20"/>
          <w:szCs w:val="20"/>
          <w:lang w:val="en-US"/>
        </w:rPr>
      </w:pPr>
    </w:p>
    <w:p w:rsidR="00874B74" w:rsidRPr="00624D2B" w:rsidRDefault="00624D2B">
      <w:pPr>
        <w:tabs>
          <w:tab w:val="left" w:pos="5972"/>
        </w:tabs>
        <w:spacing w:line="480" w:lineRule="auto"/>
        <w:rPr>
          <w:szCs w:val="20"/>
        </w:rPr>
      </w:pPr>
      <w:r w:rsidRPr="00624D2B">
        <w:rPr>
          <w:rFonts w:ascii="Times New Roman" w:hAnsi="Times New Roman" w:cs="Times New Roman"/>
          <w:b/>
          <w:sz w:val="20"/>
          <w:lang w:val="en-US"/>
        </w:rPr>
        <w:t xml:space="preserve">Suppl. Table 1 </w:t>
      </w:r>
      <w:r w:rsidRPr="00624D2B">
        <w:rPr>
          <w:rFonts w:ascii="Times New Roman" w:hAnsi="Times New Roman" w:cs="Times New Roman"/>
          <w:sz w:val="20"/>
          <w:lang w:val="en-US"/>
        </w:rPr>
        <w:t>More detailed information on the breed, age and origin of the cows f</w:t>
      </w:r>
      <w:r w:rsidRPr="00624D2B">
        <w:rPr>
          <w:rFonts w:ascii="Times New Roman" w:hAnsi="Times New Roman" w:cs="Times New Roman"/>
          <w:sz w:val="20"/>
          <w:lang w:val="en-US"/>
        </w:rPr>
        <w:t xml:space="preserve">rom which the samples </w:t>
      </w:r>
      <w:r w:rsidRPr="00624D2B">
        <w:rPr>
          <w:rFonts w:ascii="Times New Roman" w:hAnsi="Times New Roman" w:cs="Times New Roman"/>
          <w:sz w:val="20"/>
          <w:lang w:val="en-US"/>
        </w:rPr>
        <w:lastRenderedPageBreak/>
        <w:t>were taken</w:t>
      </w:r>
    </w:p>
    <w:tbl>
      <w:tblPr>
        <w:tblW w:w="90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1"/>
        <w:gridCol w:w="1001"/>
        <w:gridCol w:w="1574"/>
        <w:gridCol w:w="624"/>
        <w:gridCol w:w="1014"/>
        <w:gridCol w:w="802"/>
        <w:gridCol w:w="2037"/>
        <w:gridCol w:w="973"/>
      </w:tblGrid>
      <w:tr w:rsidR="00874B74" w:rsidRPr="00624D2B">
        <w:trPr>
          <w:tblHeader/>
        </w:trPr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Isolate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Federal State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Sample</w:t>
            </w: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Breed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Age [years]</w:t>
            </w:r>
          </w:p>
        </w:tc>
      </w:tr>
      <w:tr w:rsidR="00874B74" w:rsidRPr="00624D2B">
        <w:tc>
          <w:tcPr>
            <w:tcW w:w="9025" w:type="dxa"/>
            <w:gridSpan w:val="8"/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Group A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Su-01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Rhineland-Palatinate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11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Su-02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Rhineland-Palatinate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7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Su-03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Rhineland-Palatinate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5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Su-04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Rhineland-Palatinate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8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Su-05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Rhineland-Palatinate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5</w:t>
            </w:r>
          </w:p>
        </w:tc>
      </w:tr>
      <w:tr w:rsidR="00874B74" w:rsidRPr="00624D2B">
        <w:tc>
          <w:tcPr>
            <w:tcW w:w="9025" w:type="dxa"/>
            <w:gridSpan w:val="8"/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Group B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Su-06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5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Su-07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Su-08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4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Su-09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5</w:t>
            </w:r>
          </w:p>
        </w:tc>
      </w:tr>
      <w:tr w:rsidR="00874B74" w:rsidRPr="00624D2B">
        <w:trPr>
          <w:trHeight w:val="365"/>
        </w:trPr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Su-10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2019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</w:t>
            </w:r>
          </w:p>
        </w:tc>
      </w:tr>
      <w:tr w:rsidR="00874B74" w:rsidRPr="00624D2B">
        <w:trPr>
          <w:trHeight w:val="365"/>
        </w:trPr>
        <w:tc>
          <w:tcPr>
            <w:tcW w:w="9025" w:type="dxa"/>
            <w:gridSpan w:val="8"/>
          </w:tcPr>
          <w:p w:rsidR="00874B74" w:rsidRPr="00624D2B" w:rsidRDefault="00624D2B">
            <w:pPr>
              <w:pStyle w:val="TableContents"/>
              <w:spacing w:line="240" w:lineRule="auto"/>
              <w:rPr>
                <w:b/>
                <w:bCs/>
                <w:sz w:val="16"/>
                <w:szCs w:val="16"/>
              </w:rPr>
            </w:pPr>
            <w:r w:rsidRPr="00624D2B">
              <w:rPr>
                <w:b/>
                <w:bCs/>
                <w:sz w:val="16"/>
                <w:szCs w:val="16"/>
              </w:rPr>
              <w:t>Group C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Su-11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Red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Su-12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Red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  <w:tr w:rsidR="00874B74" w:rsidRPr="00624D2B">
        <w:trPr>
          <w:trHeight w:val="576"/>
        </w:trPr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Su-13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7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Su-14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7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Su-15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Su-16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Su-17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Su-18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Su-19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9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lastRenderedPageBreak/>
              <w:t>Su-20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7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Su-21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9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Su-22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7</w:t>
            </w:r>
          </w:p>
        </w:tc>
      </w:tr>
      <w:tr w:rsidR="00874B74" w:rsidRPr="00624D2B">
        <w:tc>
          <w:tcPr>
            <w:tcW w:w="1000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Su-23</w:t>
            </w:r>
          </w:p>
        </w:tc>
        <w:tc>
          <w:tcPr>
            <w:tcW w:w="1001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  <w:tr w:rsidR="00874B74" w:rsidRPr="00624D2B">
        <w:tc>
          <w:tcPr>
            <w:tcW w:w="1000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Su-24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Germany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Hesse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2016</w:t>
            </w:r>
          </w:p>
        </w:tc>
        <w:tc>
          <w:tcPr>
            <w:tcW w:w="1014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cow (udder)</w:t>
            </w:r>
          </w:p>
        </w:tc>
        <w:tc>
          <w:tcPr>
            <w:tcW w:w="802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milk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German Black Pied cattle</w:t>
            </w:r>
          </w:p>
        </w:tc>
        <w:tc>
          <w:tcPr>
            <w:tcW w:w="973" w:type="dxa"/>
            <w:tcBorders>
              <w:bottom w:val="single" w:sz="4" w:space="0" w:color="000000"/>
            </w:tcBorders>
          </w:tcPr>
          <w:p w:rsidR="00874B74" w:rsidRPr="00624D2B" w:rsidRDefault="00624D2B">
            <w:pPr>
              <w:pStyle w:val="TableContents"/>
              <w:spacing w:line="240" w:lineRule="auto"/>
              <w:jc w:val="center"/>
              <w:rPr>
                <w:sz w:val="16"/>
                <w:szCs w:val="16"/>
              </w:rPr>
            </w:pPr>
            <w:r w:rsidRPr="00624D2B">
              <w:rPr>
                <w:sz w:val="16"/>
                <w:szCs w:val="16"/>
              </w:rPr>
              <w:t>6</w:t>
            </w:r>
          </w:p>
        </w:tc>
      </w:tr>
    </w:tbl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:rsidR="00874B74" w:rsidRPr="00624D2B" w:rsidRDefault="00624D2B">
      <w:pPr>
        <w:spacing w:line="360" w:lineRule="auto"/>
        <w:jc w:val="both"/>
      </w:pPr>
      <w:r w:rsidRPr="00624D2B">
        <w:rPr>
          <w:rFonts w:ascii="Times New Roman" w:hAnsi="Times New Roman" w:cs="Times New Roman"/>
          <w:b/>
          <w:sz w:val="20"/>
          <w:lang w:val="en-US"/>
        </w:rPr>
        <w:t xml:space="preserve">Suppl. Table 2 </w:t>
      </w:r>
      <w:r w:rsidRPr="00624D2B">
        <w:rPr>
          <w:rFonts w:ascii="Times New Roman" w:hAnsi="Times New Roman" w:cs="Times New Roman"/>
          <w:sz w:val="20"/>
          <w:lang w:val="en-US"/>
        </w:rPr>
        <w:t xml:space="preserve">All genes found with </w:t>
      </w:r>
      <w:proofErr w:type="spellStart"/>
      <w:r w:rsidRPr="00624D2B">
        <w:rPr>
          <w:rFonts w:ascii="Times New Roman" w:hAnsi="Times New Roman" w:cs="Times New Roman"/>
          <w:sz w:val="20"/>
          <w:lang w:val="en-US"/>
        </w:rPr>
        <w:t>ABRicate</w:t>
      </w:r>
      <w:proofErr w:type="spellEnd"/>
      <w:r w:rsidRPr="00624D2B">
        <w:rPr>
          <w:rFonts w:ascii="Times New Roman" w:hAnsi="Times New Roman" w:cs="Times New Roman"/>
          <w:sz w:val="20"/>
          <w:lang w:val="en-US"/>
        </w:rPr>
        <w:t xml:space="preserve"> are listed. Genes found in all 24 isolates with 100 % gene coverage </w:t>
      </w:r>
      <w:r w:rsidRPr="00624D2B">
        <w:rPr>
          <w:rFonts w:ascii="Times New Roman" w:hAnsi="Times New Roman" w:cs="Times New Roman"/>
          <w:sz w:val="20"/>
          <w:lang w:val="en-US"/>
        </w:rPr>
        <w:lastRenderedPageBreak/>
        <w:t xml:space="preserve">are highlighted in light </w:t>
      </w:r>
      <w:r w:rsidRPr="00624D2B">
        <w:rPr>
          <w:rFonts w:ascii="Times New Roman" w:hAnsi="Times New Roman" w:cs="Times New Roman"/>
          <w:sz w:val="20"/>
          <w:lang w:val="en-US"/>
        </w:rPr>
        <w:t xml:space="preserve">gray. The specific </w:t>
      </w:r>
      <w:proofErr w:type="spellStart"/>
      <w:r w:rsidRPr="00624D2B">
        <w:rPr>
          <w:rFonts w:ascii="Times New Roman" w:hAnsi="Times New Roman" w:cs="Times New Roman"/>
          <w:sz w:val="20"/>
          <w:lang w:val="en-US"/>
        </w:rPr>
        <w:t>uniprot</w:t>
      </w:r>
      <w:proofErr w:type="spellEnd"/>
      <w:r w:rsidRPr="00624D2B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624D2B">
        <w:rPr>
          <w:rFonts w:ascii="Times New Roman" w:hAnsi="Times New Roman" w:cs="Times New Roman"/>
          <w:sz w:val="20"/>
          <w:lang w:val="en-US"/>
        </w:rPr>
        <w:t>acession</w:t>
      </w:r>
      <w:proofErr w:type="spellEnd"/>
      <w:r w:rsidRPr="00624D2B">
        <w:rPr>
          <w:rFonts w:ascii="Times New Roman" w:hAnsi="Times New Roman" w:cs="Times New Roman"/>
          <w:sz w:val="20"/>
          <w:lang w:val="en-US"/>
        </w:rPr>
        <w:t xml:space="preserve"> numbers are given in parentheses at the end of the function. In addition, reference is made to studies which have also </w:t>
      </w:r>
      <w:proofErr w:type="spellStart"/>
      <w:r w:rsidRPr="00624D2B">
        <w:rPr>
          <w:rFonts w:ascii="Times New Roman" w:hAnsi="Times New Roman" w:cs="Times New Roman"/>
          <w:sz w:val="20"/>
          <w:lang w:val="en-US"/>
        </w:rPr>
        <w:t>analysed</w:t>
      </w:r>
      <w:proofErr w:type="spellEnd"/>
      <w:r w:rsidRPr="00624D2B">
        <w:rPr>
          <w:rFonts w:ascii="Times New Roman" w:hAnsi="Times New Roman" w:cs="Times New Roman"/>
          <w:sz w:val="20"/>
          <w:lang w:val="en-US"/>
        </w:rPr>
        <w:t xml:space="preserve"> these genes.</w:t>
      </w:r>
    </w:p>
    <w:tbl>
      <w:tblPr>
        <w:tblW w:w="9065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1"/>
        <w:gridCol w:w="4015"/>
        <w:gridCol w:w="2029"/>
      </w:tblGrid>
      <w:tr w:rsidR="00874B74" w:rsidRPr="00624D2B">
        <w:trPr>
          <w:trHeight w:val="224"/>
          <w:tblHeader/>
        </w:trPr>
        <w:tc>
          <w:tcPr>
            <w:tcW w:w="30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Locus tag in the genome of 0140J </w:t>
            </w:r>
            <w:r w:rsidRPr="00624D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br/>
              <w:t>(gene name)</w:t>
            </w:r>
          </w:p>
        </w:tc>
        <w:tc>
          <w:tcPr>
            <w:tcW w:w="40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Function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Reference</w:t>
            </w:r>
          </w:p>
        </w:tc>
      </w:tr>
      <w:tr w:rsidR="00874B74" w:rsidRPr="00624D2B">
        <w:trPr>
          <w:trHeight w:val="224"/>
        </w:trPr>
        <w:tc>
          <w:tcPr>
            <w:tcW w:w="9065" w:type="dxa"/>
            <w:gridSpan w:val="3"/>
            <w:tcBorders>
              <w:top w:val="single" w:sz="4" w:space="0" w:color="000000"/>
            </w:tcBorders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I) Putative </w:t>
            </w:r>
            <w:r w:rsidRPr="00624D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virulence genes and anchor proteins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gapC 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Glyceraldehyde-3-phosphate dehydrogenase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AF421900)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Reinoso et al. 2011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Ballas et al. 2020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acdA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Zinc-binding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AAL00777.1)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Fessia et al. 2019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Ballas et al. 2020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SUB0135 (fruA)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Putative </w:t>
            </w: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fructan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beta-</w:t>
            </w: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fructosidase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precursor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CAR40555.1)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Collado et al. 2016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SUB0144 (vru)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Putative </w:t>
            </w: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Mga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-like regulatory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CAR40575.1)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Abureema et al. 2019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SUB0145 (lbp)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Lactoferrin binding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CAR40577.1)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Reinoso et al. 2011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Fessia et al. 2019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Collado et al. 2016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40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SUB0241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Putative surface-anchored 2’3-cyclic-nucleotide 2’-phosphodiesterase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CAR40749.1)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ard et al. 2009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SUB0826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Putative surface-anchored </w:t>
            </w: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subtilase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family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CAR41854.1)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SUB0881 (SrtA)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Sortase A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CAR41958.1)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Collado et al. 2016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SUB0888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surface-anchored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CAR41974.1)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SUB0207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surface-anchored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CAR40684.1)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22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SUB1730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surface-anchored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CAR43675.1)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SUB1095 (sclB)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Collagen-like surface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CAR42417.1)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Collado et al. 2016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SUB1111 (fbpS)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Fibronectin-binding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CAR42461.1)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Fessia et al. 2019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Ballas et</w:t>
            </w:r>
            <w:r w:rsidRPr="00624D2B">
              <w:rPr>
                <w:rFonts w:ascii="Times New Roman" w:hAnsi="Times New Roman"/>
                <w:sz w:val="16"/>
                <w:szCs w:val="16"/>
              </w:rPr>
              <w:t xml:space="preserve"> al. 2020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Collado et al. 2016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SUB1154 (C5a)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C5a peptidase precursor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CAR42550.1)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Collado et al. 2016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SUB1273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Hemolysin-like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CAR42774.1)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Collado et al. 2016</w:t>
            </w:r>
          </w:p>
        </w:tc>
      </w:tr>
      <w:tr w:rsidR="00874B74" w:rsidRPr="00624D2B">
        <w:trPr>
          <w:trHeight w:val="226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SUB1370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zinc-carboxypeptidase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CAR42963.1)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Leigh et al. 2010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</w:p>
        </w:tc>
      </w:tr>
      <w:tr w:rsidR="00874B74" w:rsidRPr="00624D2B">
        <w:trPr>
          <w:trHeight w:val="222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SUB1785 (pauA)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Streptokinase precursor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CAR43782.1)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tabs>
                <w:tab w:val="left" w:pos="1417"/>
              </w:tabs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Reinoso et al. 2011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Ballas et al. 2020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SUB1635 (sua)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Streptococcus </w:t>
            </w: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uberis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adhesion 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molecule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CAR43489.1)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Reinoso et al. 2011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Fessia et al. 2019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Ballas et al. 2020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SUB0159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Conserved Hypothetical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CAR40602.1)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oppF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Partial oligopeptide permease-like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ADZ16846.1)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Reinoso et al. 2011</w:t>
            </w:r>
          </w:p>
        </w:tc>
      </w:tr>
      <w:tr w:rsidR="00874B74" w:rsidRPr="00624D2B">
        <w:trPr>
          <w:trHeight w:val="237"/>
        </w:trPr>
        <w:tc>
          <w:tcPr>
            <w:tcW w:w="9065" w:type="dxa"/>
            <w:gridSpan w:val="3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II) Putative genes for biofilm production</w:t>
            </w:r>
          </w:p>
        </w:tc>
      </w:tr>
      <w:tr w:rsidR="00874B74" w:rsidRPr="00624D2B">
        <w:trPr>
          <w:trHeight w:val="232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SUB0330 (fba)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Fructose-biphosphate aldolase (CAR40904.1)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Collado et al. 2016</w:t>
            </w:r>
          </w:p>
        </w:tc>
      </w:tr>
      <w:tr w:rsidR="00874B74" w:rsidRPr="00624D2B">
        <w:trPr>
          <w:trHeight w:val="227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SUB0063 (adhE)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Alcohol-acetaldehyde dehydrogenase 2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CAR40428.1)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</w:tc>
      </w:tr>
      <w:tr w:rsidR="00874B74" w:rsidRPr="00624D2B">
        <w:trPr>
          <w:trHeight w:val="226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SUB0161 (fsaA)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Fructose-6-phosphate adolase (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CAR40606.1)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Collado et al. 2016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SUB0198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beta-glucosidase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CAR40665.1)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  <w:t>Ward et al. 2009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SUB0232</w:t>
            </w:r>
          </w:p>
          <w:p w:rsidR="00874B74" w:rsidRPr="00624D2B" w:rsidRDefault="00874B74">
            <w:pPr>
              <w:spacing w:line="240" w:lineRule="auto"/>
            </w:pP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Hypothetical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CAR40732.1)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26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SUB0235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Transcriptional regulator - LacI family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CAR40732.1)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Collado et al. 2016</w:t>
            </w:r>
          </w:p>
        </w:tc>
      </w:tr>
      <w:tr w:rsidR="00874B74" w:rsidRPr="00624D2B">
        <w:trPr>
          <w:trHeight w:val="16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SUB0279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Type I restriction modification system DNA </w:t>
            </w: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methylase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CAR40812.1)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  <w:t>Crowley et al. 2011</w:t>
            </w:r>
          </w:p>
        </w:tc>
      </w:tr>
      <w:tr w:rsidR="00874B74" w:rsidRPr="00624D2B">
        <w:trPr>
          <w:trHeight w:val="232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SUB0429 (clpP)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ATP-dependent </w:t>
            </w: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Clp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protease 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proteolytic subunit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CAR41093.1)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38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SUB0440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Hypothetical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CAR41108.1)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SUB0699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Glycosyl transferase (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CAR41604.1)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SUB0719 (gor)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Glutathione reductase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CAR41636.1)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SUB0750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Putative fructose-specific phosphotransferase system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CAR41692.1)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Collado et al. 2016</w:t>
            </w:r>
          </w:p>
        </w:tc>
      </w:tr>
      <w:tr w:rsidR="00874B74" w:rsidRPr="00624D2B">
        <w:trPr>
          <w:trHeight w:val="233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SUB0837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6-phospho-beta-glucosidase 4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CAR41871.1)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Collado et al. 2016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SUB0877 (nox)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Glycosyl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transferase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CAR41944.1)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SUB0944 (coaC)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Phosphopantothenoylcysteine decarboxylase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AR40944.1)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SUB1003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GntR family regulatory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CAR42240.1)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SUB1134 (miaA)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tRNA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delta(2)-isopentenylpyrophosphate transferase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CAR42507.1)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33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SUB1141 (malM)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4-alpha-glucanotransferase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CAR42521.1)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SUB1152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Glutamine ABC transporter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CAR42546.1)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Collado et al. 2016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SUB1206 (uidA)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Beta-glucuronidase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CAR42644.1)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29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SUB1212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Lipoprotein/Internalin homologue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CAR42655.1)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/>
                <w:sz w:val="16"/>
                <w:szCs w:val="16"/>
              </w:rPr>
              <w:t>Collado et al. 2016</w:t>
            </w:r>
          </w:p>
        </w:tc>
      </w:tr>
      <w:tr w:rsidR="00874B74" w:rsidRPr="00624D2B">
        <w:trPr>
          <w:trHeight w:val="226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SUB1382 (liaR)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Response regulator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CAR42990.1)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Salomäki et al. 2015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SUB1499 (acpP)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Acyl carrier protein (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CAR43216.1)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</w:tc>
      </w:tr>
      <w:tr w:rsidR="00874B74" w:rsidRPr="00624D2B">
        <w:trPr>
          <w:trHeight w:val="276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SUB1794 (hisS)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Histidyl-tRNA synthetase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CAR43804.1)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  <w:t>Crowley et al. 2011</w:t>
            </w:r>
          </w:p>
          <w:p w:rsidR="00874B74" w:rsidRPr="00624D2B" w:rsidRDefault="00874B7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SUB1810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NUDIX hydrolyase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CAR43838.1)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  <w:t>Salomäki et al. 2015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comEA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competence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CAR42718.1)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Moore, 2009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comEC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competence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CAR42715.1)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Moore, 2009</w:t>
            </w:r>
          </w:p>
        </w:tc>
      </w:tr>
      <w:tr w:rsidR="00874B74" w:rsidRPr="00624D2B">
        <w:trPr>
          <w:trHeight w:val="187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comX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Putative competence-specific global transcription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modulator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CAR40944.1)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Moore, 2009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luxS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S-ribosylhomocysteinase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CAR43029.1)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Moore, 2009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SUB1118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Conserved hypothetical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CAR42474.1)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Crowley et al. 2011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SUB0884 (lmb)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Laminin binding protein (CAR41964.1)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Fessia et al. 2019</w:t>
            </w:r>
          </w:p>
        </w:tc>
      </w:tr>
      <w:tr w:rsidR="00874B74" w:rsidRPr="00624D2B">
        <w:trPr>
          <w:trHeight w:val="476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SUB0405 (scpA)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Segretation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condensation protein A (CAR41047.1)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proofErr w:type="spellStart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Fessia</w:t>
            </w:r>
            <w:proofErr w:type="spellEnd"/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2019</w:t>
            </w:r>
          </w:p>
        </w:tc>
      </w:tr>
      <w:tr w:rsidR="00874B74" w:rsidRPr="00624D2B">
        <w:trPr>
          <w:trHeight w:val="222"/>
        </w:trPr>
        <w:tc>
          <w:tcPr>
            <w:tcW w:w="9065" w:type="dxa"/>
            <w:gridSpan w:val="3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III) Capsule production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SUB1697 (hasA)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Hyaluron-Synthase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CAR43611.1)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Reinoso et al. 2011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Ward et al. 2001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Ballas et al. 2020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SUB1696 (hasB)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UDP-glucose 6-dehydrogenase 1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CAR43609.1)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Reinoso et al. 2011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Ward et al. 2001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Ballas et al. 2020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SUB1027 (hasB2)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UDP-glucose 6-dehydrogenase 2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CAR42292.1)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Ballas et al.</w:t>
            </w:r>
            <w:r w:rsidRPr="00624D2B">
              <w:rPr>
                <w:rFonts w:ascii="Times New Roman" w:hAnsi="Times New Roman"/>
                <w:sz w:val="16"/>
                <w:szCs w:val="16"/>
              </w:rPr>
              <w:t xml:space="preserve"> 2020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hasC1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UTP-glucose-1-phosphate uridylyltransferase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WP010922799)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Reinoso et al. 2011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Ward et al. 2001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Ballas et al. 2020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SUB1691 (gpsA)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Glycerol-3-phosphate dehydrogenase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CAR43601.1)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37"/>
        </w:trPr>
        <w:tc>
          <w:tcPr>
            <w:tcW w:w="9065" w:type="dxa"/>
            <w:gridSpan w:val="3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IV) Bacteriocine</w:t>
            </w:r>
          </w:p>
        </w:tc>
      </w:tr>
      <w:tr w:rsidR="00874B74" w:rsidRPr="00624D2B">
        <w:trPr>
          <w:trHeight w:val="233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SUB0505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tive Bacteriocin ( CAR41231.1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SUB0506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Bacteriocin (</w:t>
            </w:r>
            <w:r w:rsidRPr="00624D2B">
              <w:rPr>
                <w:rStyle w:val="Hyperlink"/>
                <w:rFonts w:ascii="Times New Roman" w:hAnsi="Times New Roman" w:cs="Times New Roman"/>
                <w:color w:val="000000"/>
                <w:sz w:val="16"/>
                <w:szCs w:val="16"/>
                <w:u w:val="none"/>
              </w:rPr>
              <w:fldChar w:fldCharType="begin"/>
            </w:r>
            <w:r w:rsidRPr="00624D2B">
              <w:rPr>
                <w:rStyle w:val="Hyperlink"/>
                <w:rFonts w:ascii="Times New Roman" w:hAnsi="Times New Roman" w:cs="Times New Roman"/>
                <w:color w:val="000000"/>
                <w:sz w:val="16"/>
                <w:szCs w:val="16"/>
                <w:u w:val="none"/>
              </w:rPr>
              <w:instrText xml:space="preserve"> HYPERLINK "https://www.ebi.ac.uk/ena/data/view/CAR41232" \t "https://www.ebi.ac.uk/ena/data/view/CAR41232" \h </w:instrText>
            </w:r>
            <w:r w:rsidRPr="00624D2B">
              <w:rPr>
                <w:rStyle w:val="Hyperlink"/>
                <w:rFonts w:ascii="Times New Roman" w:hAnsi="Times New Roman" w:cs="Times New Roman"/>
                <w:color w:val="000000"/>
                <w:sz w:val="16"/>
                <w:szCs w:val="16"/>
                <w:u w:val="none"/>
              </w:rPr>
              <w:fldChar w:fldCharType="separate"/>
            </w:r>
            <w:r w:rsidRPr="00624D2B">
              <w:rPr>
                <w:rStyle w:val="Hyperlink"/>
                <w:rFonts w:ascii="Times New Roman" w:hAnsi="Times New Roman" w:cs="Times New Roman"/>
                <w:color w:val="000000"/>
                <w:sz w:val="16"/>
                <w:szCs w:val="16"/>
                <w:u w:val="none"/>
              </w:rPr>
              <w:t>CAR41232.1</w:t>
            </w:r>
            <w:r w:rsidRPr="00624D2B">
              <w:rPr>
                <w:rStyle w:val="Hyperlink"/>
                <w:rFonts w:ascii="Times New Roman" w:hAnsi="Times New Roman" w:cs="Times New Roman"/>
                <w:color w:val="000000"/>
                <w:sz w:val="16"/>
                <w:szCs w:val="16"/>
                <w:u w:val="none"/>
              </w:rPr>
              <w:fldChar w:fldCharType="end"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Ward et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al. 2009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SUB0509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Bacteriocin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CAR41236.1)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SUB0510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Bacteriocin immunity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CAR41238.1)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22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SUB0512 (pedA)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Bacteriocin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CAR41244.1)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Hossain et al. 2015</w:t>
            </w:r>
          </w:p>
        </w:tc>
      </w:tr>
      <w:tr w:rsidR="00874B74" w:rsidRPr="00624D2B">
        <w:trPr>
          <w:trHeight w:val="224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SUB0513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Putative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Bacteriocin immunity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CAR41245.1)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4D2B">
              <w:rPr>
                <w:rFonts w:ascii="Times New Roman" w:hAnsi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SUB0516</w:t>
            </w:r>
          </w:p>
        </w:tc>
        <w:tc>
          <w:tcPr>
            <w:tcW w:w="4015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Bacteriocin immunity protein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CAR41255.1)</w:t>
            </w:r>
          </w:p>
        </w:tc>
        <w:tc>
          <w:tcPr>
            <w:tcW w:w="2029" w:type="dxa"/>
            <w:shd w:val="clear" w:color="auto" w:fill="BFBFBF"/>
            <w:vAlign w:val="center"/>
          </w:tcPr>
          <w:p w:rsidR="00874B74" w:rsidRPr="00624D2B" w:rsidRDefault="00624D2B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4D2B">
              <w:rPr>
                <w:rFonts w:ascii="Times New Roman" w:hAnsi="Times New Roman"/>
                <w:sz w:val="16"/>
                <w:szCs w:val="16"/>
              </w:rPr>
              <w:t>Ward et al. 2009</w:t>
            </w:r>
          </w:p>
        </w:tc>
      </w:tr>
      <w:tr w:rsidR="00874B74" w:rsidRPr="00624D2B">
        <w:trPr>
          <w:trHeight w:val="220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SUB0032 (ublA)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Putative Bacteriocin (Uberolysin)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CAR40379.1)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Wirawan et al. 2007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br/>
              <w:t>Ward et al. 2009</w:t>
            </w:r>
          </w:p>
        </w:tc>
      </w:tr>
      <w:tr w:rsidR="00874B74" w:rsidRPr="00624D2B">
        <w:trPr>
          <w:trHeight w:val="228"/>
        </w:trPr>
        <w:tc>
          <w:tcPr>
            <w:tcW w:w="9065" w:type="dxa"/>
            <w:gridSpan w:val="3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V) Putative </w:t>
            </w: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antimicrobial resistance genes</w:t>
            </w:r>
          </w:p>
        </w:tc>
      </w:tr>
      <w:tr w:rsidR="00874B74" w:rsidRPr="00624D2B">
        <w:trPr>
          <w:trHeight w:val="233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lnuC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Linosamide nucleotidyltransferase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AY928180)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Haenni et al. 2011</w:t>
            </w:r>
            <w:r w:rsidRPr="00624D2B">
              <w:rPr>
                <w:rFonts w:ascii="Times New Roman" w:hAnsi="Times New Roman"/>
                <w:sz w:val="16"/>
                <w:szCs w:val="16"/>
              </w:rPr>
              <w:br/>
              <w:t>Vezina et al. 2021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lnuD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Linosamide nucleotidyltransferase (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EF452177)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Vezina et al. 2021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tetS</w:t>
            </w:r>
          </w:p>
        </w:tc>
        <w:tc>
          <w:tcPr>
            <w:tcW w:w="4015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Tetracycline-resistant ribosomal protection protein </w:t>
            </w: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(L09756)</w:t>
            </w:r>
          </w:p>
        </w:tc>
        <w:tc>
          <w:tcPr>
            <w:tcW w:w="2029" w:type="dxa"/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/>
                <w:sz w:val="16"/>
                <w:szCs w:val="16"/>
              </w:rPr>
              <w:t>Vélez et al. 2017</w:t>
            </w:r>
          </w:p>
        </w:tc>
      </w:tr>
      <w:tr w:rsidR="00874B74" w:rsidRPr="00624D2B">
        <w:trPr>
          <w:trHeight w:val="235"/>
        </w:trPr>
        <w:tc>
          <w:tcPr>
            <w:tcW w:w="3021" w:type="dxa"/>
            <w:tcBorders>
              <w:bottom w:val="single" w:sz="4" w:space="0" w:color="000000"/>
            </w:tcBorders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i/>
                <w:sz w:val="16"/>
                <w:szCs w:val="16"/>
              </w:rPr>
              <w:t>qacH (SUB0162)</w:t>
            </w:r>
          </w:p>
        </w:tc>
        <w:tc>
          <w:tcPr>
            <w:tcW w:w="4015" w:type="dxa"/>
            <w:tcBorders>
              <w:bottom w:val="single" w:sz="4" w:space="0" w:color="000000"/>
            </w:tcBorders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Quaternary ammonium compound resistance protein (CAR40609.1)</w:t>
            </w:r>
          </w:p>
        </w:tc>
        <w:tc>
          <w:tcPr>
            <w:tcW w:w="2029" w:type="dxa"/>
            <w:tcBorders>
              <w:bottom w:val="single" w:sz="4" w:space="0" w:color="000000"/>
            </w:tcBorders>
            <w:vAlign w:val="center"/>
          </w:tcPr>
          <w:p w:rsidR="00874B74" w:rsidRPr="00624D2B" w:rsidRDefault="00624D2B">
            <w:pPr>
              <w:spacing w:line="240" w:lineRule="auto"/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Ward et al. 2009</w:t>
            </w:r>
          </w:p>
        </w:tc>
      </w:tr>
    </w:tbl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874B74" w:rsidRPr="00624D2B" w:rsidRDefault="00874B74">
      <w:pPr>
        <w:spacing w:line="360" w:lineRule="auto"/>
        <w:jc w:val="both"/>
      </w:pPr>
    </w:p>
    <w:p w:rsidR="00874B74" w:rsidRPr="00624D2B" w:rsidRDefault="00874B74">
      <w:pPr>
        <w:spacing w:line="360" w:lineRule="auto"/>
        <w:jc w:val="both"/>
      </w:pPr>
    </w:p>
    <w:p w:rsidR="00874B74" w:rsidRPr="00624D2B" w:rsidRDefault="00624D2B">
      <w:pPr>
        <w:spacing w:line="36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624D2B">
        <w:rPr>
          <w:rFonts w:ascii="Times New Roman" w:hAnsi="Times New Roman" w:cs="Times New Roman"/>
          <w:b/>
          <w:sz w:val="20"/>
          <w:lang w:val="en-US"/>
        </w:rPr>
        <w:t xml:space="preserve">Suppl. Table 3 </w:t>
      </w:r>
      <w:r w:rsidRPr="00624D2B">
        <w:rPr>
          <w:rFonts w:ascii="Times New Roman" w:hAnsi="Times New Roman" w:cs="Times New Roman"/>
          <w:sz w:val="20"/>
          <w:lang w:val="en-US"/>
        </w:rPr>
        <w:t>Distribution of prophage regions of 24 isolates plus the references 0140J and EF20. R</w:t>
      </w:r>
      <w:r w:rsidRPr="00624D2B">
        <w:rPr>
          <w:rFonts w:ascii="Times New Roman" w:hAnsi="Times New Roman" w:cs="Times New Roman"/>
          <w:sz w:val="20"/>
          <w:lang w:val="en-US"/>
        </w:rPr>
        <w:t xml:space="preserve">esults generated with PHASTER. Score: &lt; 70: incomplete; 70-90: questionable; &gt; 90: intact. </w:t>
      </w:r>
      <w:proofErr w:type="spellStart"/>
      <w:r w:rsidRPr="00624D2B">
        <w:rPr>
          <w:rFonts w:ascii="Times New Roman" w:hAnsi="Times New Roman" w:cs="Times New Roman"/>
          <w:sz w:val="20"/>
          <w:lang w:val="en-US"/>
        </w:rPr>
        <w:t>Acession</w:t>
      </w:r>
      <w:proofErr w:type="spellEnd"/>
      <w:r w:rsidRPr="00624D2B">
        <w:rPr>
          <w:rFonts w:ascii="Times New Roman" w:hAnsi="Times New Roman" w:cs="Times New Roman"/>
          <w:sz w:val="20"/>
          <w:lang w:val="en-US"/>
        </w:rPr>
        <w:t xml:space="preserve"> numbers are given </w:t>
      </w:r>
      <w:proofErr w:type="spellStart"/>
      <w:r w:rsidRPr="00624D2B">
        <w:rPr>
          <w:rFonts w:ascii="Times New Roman" w:hAnsi="Times New Roman" w:cs="Times New Roman"/>
          <w:sz w:val="20"/>
          <w:lang w:val="en-US"/>
        </w:rPr>
        <w:t>parantheses</w:t>
      </w:r>
      <w:proofErr w:type="spellEnd"/>
    </w:p>
    <w:tbl>
      <w:tblPr>
        <w:tblW w:w="9043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9"/>
        <w:gridCol w:w="3389"/>
        <w:gridCol w:w="1350"/>
        <w:gridCol w:w="763"/>
        <w:gridCol w:w="1228"/>
        <w:gridCol w:w="1294"/>
      </w:tblGrid>
      <w:tr w:rsidR="00874B74" w:rsidRPr="00624D2B">
        <w:trPr>
          <w:trHeight w:val="228"/>
          <w:tblHeader/>
        </w:trPr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Isolate</w:t>
            </w:r>
          </w:p>
        </w:tc>
        <w:tc>
          <w:tcPr>
            <w:tcW w:w="338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Putative phage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Status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Score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Length (kb)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GC%</w:t>
            </w:r>
          </w:p>
        </w:tc>
      </w:tr>
      <w:tr w:rsidR="00874B74" w:rsidRPr="00624D2B">
        <w:trPr>
          <w:trHeight w:val="228"/>
        </w:trPr>
        <w:tc>
          <w:tcPr>
            <w:tcW w:w="9042" w:type="dxa"/>
            <w:gridSpan w:val="6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Group A</w:t>
            </w:r>
          </w:p>
        </w:tc>
      </w:tr>
      <w:tr w:rsidR="00874B74" w:rsidRPr="00624D2B">
        <w:trPr>
          <w:trHeight w:val="276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Su-01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Lactoc_bIL310 (NC_002669.1)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15.5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33.91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Su-02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Lactoc_bIL310 (NC_002669.1)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15.4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33.95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Su-03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Strep_P9 (DQ864624.1)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41.0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36.10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15.3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34.10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Su-04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Strept_phiARI0468_4 (NC_031915)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57.6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36.36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Lactoc_bIL310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(NC_002669.1)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33.91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Su-05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34.18</w:t>
            </w:r>
          </w:p>
        </w:tc>
      </w:tr>
      <w:tr w:rsidR="00874B74" w:rsidRPr="00624D2B">
        <w:trPr>
          <w:trHeight w:val="235"/>
        </w:trPr>
        <w:tc>
          <w:tcPr>
            <w:tcW w:w="9042" w:type="dxa"/>
            <w:gridSpan w:val="6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Group B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Su-06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Strept_K13 (NC_24357.1)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28.7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35.15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 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34.72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Su-07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28.1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34.70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38.4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35.13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Strept_Str_PAP_1 (NC_028666.1)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39.7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38.70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Strept_phiNJ2 (NC_019418)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43.1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36.35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Su-08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Lactoc_949 (NC_015263.1)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28.7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35.15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Lactoc_bIL311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16.3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34.68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Strept_Str_PAP_1 (NC_28666.1)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39.4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36.67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Su-09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 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Strept_SpSL1 (NC_027396)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20.5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36.99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Strept_phiNJ2 (NC_019418)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45.2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36.32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38.4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35.13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Strept_Str_PAP_1 (NC_28666.1)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38.3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38.74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Su-10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Strept_MM1 (NC_003050.2)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19.2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37.14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Strept_phiNJ2 (NC_019418)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45.2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36.31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38.4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35.13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Strept_Str_PAP_1 (NC_28666.1)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39.6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38.73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 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28.5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35.47</w:t>
            </w:r>
          </w:p>
        </w:tc>
      </w:tr>
      <w:tr w:rsidR="00874B74" w:rsidRPr="00624D2B">
        <w:trPr>
          <w:trHeight w:val="235"/>
        </w:trPr>
        <w:tc>
          <w:tcPr>
            <w:tcW w:w="9042" w:type="dxa"/>
            <w:gridSpan w:val="6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sz w:val="16"/>
                <w:szCs w:val="16"/>
              </w:rPr>
              <w:t>Group C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Su-11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Lactoc_lato (NC_004746)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35.7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34.56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Strept_7201 (NC_002185)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43.5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34.69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Strept_5093 (NC_012753)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46.6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36.05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Su-12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Lactoc_lato (NC_004746)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20.5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37.00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Su-13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tabs>
                <w:tab w:val="center" w:pos="1619"/>
              </w:tabs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Su-14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 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28.5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35.46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Su-15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Strept_T12 (NC_028700)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19.2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37.14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Lactoc_Q33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28.5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35.46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Su-16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Su-17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Su-18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Strept_9874 (NC_031023)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19.2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37.14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28.5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35.46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Strept_phiNJ2 (NC_019418)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36.52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Strept_Str_PAP_1 (NC_28666.1)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38.74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Su-19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 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Su-20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28.5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35.46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Strept_SMP </w:t>
            </w: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Su-21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 (NC_002670.1)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28.5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35.46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Su-22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Su-23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Lactoc_lato (NC_004746)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35.7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34.57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Strept_7201 (NC_002185)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43.5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34.69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Strept_5093 (NC_012753)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intact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36.7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35.95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Su-24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Lactoc_Q33 (NC_049809)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32.9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34.91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Strept_MM1 (NC_003050.2)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25.5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37.00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Strept_SMP (EF116926.2)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questionable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38.8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</w:tr>
      <w:tr w:rsidR="00874B74" w:rsidRPr="00624D2B">
        <w:trPr>
          <w:trHeight w:val="235"/>
        </w:trPr>
        <w:tc>
          <w:tcPr>
            <w:tcW w:w="9042" w:type="dxa"/>
            <w:gridSpan w:val="6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Reference strains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0140J</w:t>
            </w: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Lactoc_bIL310 (NC_002669.1)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27.1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37.61</w:t>
            </w:r>
          </w:p>
        </w:tc>
      </w:tr>
      <w:tr w:rsidR="00874B74" w:rsidRPr="00624D2B">
        <w:trPr>
          <w:trHeight w:val="235"/>
        </w:trPr>
        <w:tc>
          <w:tcPr>
            <w:tcW w:w="1018" w:type="dxa"/>
            <w:vAlign w:val="bottom"/>
          </w:tcPr>
          <w:p w:rsidR="00874B74" w:rsidRPr="00624D2B" w:rsidRDefault="00874B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9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Strept_5093 (NC_012753)</w:t>
            </w:r>
          </w:p>
        </w:tc>
        <w:tc>
          <w:tcPr>
            <w:tcW w:w="1350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31.2 </w:t>
            </w:r>
          </w:p>
        </w:tc>
        <w:tc>
          <w:tcPr>
            <w:tcW w:w="1294" w:type="dxa"/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36.37</w:t>
            </w:r>
          </w:p>
        </w:tc>
      </w:tr>
      <w:tr w:rsidR="00874B74">
        <w:trPr>
          <w:trHeight w:val="235"/>
        </w:trPr>
        <w:tc>
          <w:tcPr>
            <w:tcW w:w="1018" w:type="dxa"/>
            <w:tcBorders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EF20</w:t>
            </w:r>
          </w:p>
        </w:tc>
        <w:tc>
          <w:tcPr>
            <w:tcW w:w="3389" w:type="dxa"/>
            <w:tcBorders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Lactoc_bIL311 (NC_002670.1)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incomplete</w:t>
            </w:r>
          </w:p>
        </w:tc>
        <w:tc>
          <w:tcPr>
            <w:tcW w:w="763" w:type="dxa"/>
            <w:tcBorders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  <w:vAlign w:val="bottom"/>
          </w:tcPr>
          <w:p w:rsidR="00874B74" w:rsidRPr="00624D2B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 xml:space="preserve">40.3 </w:t>
            </w:r>
          </w:p>
        </w:tc>
        <w:tc>
          <w:tcPr>
            <w:tcW w:w="1294" w:type="dxa"/>
            <w:tcBorders>
              <w:bottom w:val="single" w:sz="4" w:space="0" w:color="000000"/>
            </w:tcBorders>
            <w:vAlign w:val="bottom"/>
          </w:tcPr>
          <w:p w:rsidR="00874B74" w:rsidRDefault="00624D2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4D2B">
              <w:rPr>
                <w:rFonts w:ascii="Times New Roman" w:hAnsi="Times New Roman" w:cs="Times New Roman"/>
                <w:sz w:val="16"/>
                <w:szCs w:val="16"/>
              </w:rPr>
              <w:t>36.03</w:t>
            </w:r>
          </w:p>
        </w:tc>
      </w:tr>
    </w:tbl>
    <w:p w:rsidR="00874B74" w:rsidRDefault="00874B74">
      <w:pPr>
        <w:spacing w:line="360" w:lineRule="auto"/>
        <w:jc w:val="both"/>
        <w:rPr>
          <w:rFonts w:ascii="Times New Roman" w:hAnsi="Times New Roman" w:cs="Times New Roman"/>
          <w:sz w:val="20"/>
          <w:lang w:val="en-US"/>
        </w:rPr>
      </w:pPr>
    </w:p>
    <w:p w:rsidR="00874B74" w:rsidRDefault="00874B74">
      <w:pPr>
        <w:rPr>
          <w:rFonts w:ascii="Times New Roman" w:hAnsi="Times New Roman" w:cs="Times New Roman"/>
          <w:sz w:val="20"/>
        </w:rPr>
      </w:pPr>
    </w:p>
    <w:sectPr w:rsidR="00874B74" w:rsidSect="00624D2B">
      <w:footerReference w:type="default" r:id="rId6"/>
      <w:pgSz w:w="11906" w:h="16838"/>
      <w:pgMar w:top="1440" w:right="1440" w:bottom="2880" w:left="1440" w:header="0" w:footer="14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24D2B">
      <w:pPr>
        <w:spacing w:after="0" w:line="240" w:lineRule="auto"/>
      </w:pPr>
      <w:r>
        <w:separator/>
      </w:r>
    </w:p>
  </w:endnote>
  <w:endnote w:type="continuationSeparator" w:id="0">
    <w:p w:rsidR="00000000" w:rsidRDefault="0062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B74" w:rsidRDefault="00874B74">
    <w:pPr>
      <w:pStyle w:val="BodyTex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24D2B">
      <w:pPr>
        <w:spacing w:after="0" w:line="240" w:lineRule="auto"/>
      </w:pPr>
      <w:r>
        <w:separator/>
      </w:r>
    </w:p>
  </w:footnote>
  <w:footnote w:type="continuationSeparator" w:id="0">
    <w:p w:rsidR="00000000" w:rsidRDefault="00624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74"/>
    <w:rsid w:val="00624D2B"/>
    <w:rsid w:val="0087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B416F5-35FD-415D-A54A-759A7D0A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color w:val="000000"/>
        <w:sz w:val="22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 w:val="0"/>
    </w:pPr>
  </w:style>
  <w:style w:type="paragraph" w:styleId="Heading1">
    <w:name w:val="heading 1"/>
    <w:basedOn w:val="LO-Normal"/>
    <w:qFormat/>
    <w:pPr>
      <w:spacing w:before="480"/>
      <w:outlineLvl w:val="0"/>
    </w:pPr>
    <w:rPr>
      <w:rFonts w:ascii="Arial" w:hAnsi="Arial" w:cs="Arial"/>
      <w:sz w:val="40"/>
    </w:rPr>
  </w:style>
  <w:style w:type="paragraph" w:styleId="Heading2">
    <w:name w:val="heading 2"/>
    <w:basedOn w:val="LO-Normal"/>
    <w:qFormat/>
    <w:pPr>
      <w:spacing w:before="360"/>
      <w:outlineLvl w:val="1"/>
    </w:pPr>
    <w:rPr>
      <w:rFonts w:ascii="Arial" w:hAnsi="Arial" w:cs="Arial"/>
      <w:sz w:val="34"/>
    </w:rPr>
  </w:style>
  <w:style w:type="paragraph" w:styleId="Heading3">
    <w:name w:val="heading 3"/>
    <w:basedOn w:val="Heading"/>
    <w:qFormat/>
    <w:pPr>
      <w:spacing w:before="140"/>
      <w:outlineLvl w:val="2"/>
    </w:pPr>
    <w:rPr>
      <w:rFonts w:ascii="Liberation Serif" w:hAnsi="Liberation Serif" w:cs="Liberation Serif"/>
      <w:b/>
    </w:rPr>
  </w:style>
  <w:style w:type="paragraph" w:styleId="Heading4">
    <w:name w:val="heading 4"/>
    <w:basedOn w:val="LO-Normal"/>
    <w:qFormat/>
    <w:pPr>
      <w:spacing w:before="320"/>
      <w:outlineLvl w:val="3"/>
    </w:pPr>
    <w:rPr>
      <w:rFonts w:ascii="Arial" w:hAnsi="Arial" w:cs="Arial"/>
      <w:b/>
      <w:sz w:val="26"/>
    </w:rPr>
  </w:style>
  <w:style w:type="paragraph" w:styleId="Heading5">
    <w:name w:val="heading 5"/>
    <w:basedOn w:val="LO-Normal"/>
    <w:qFormat/>
    <w:pPr>
      <w:spacing w:before="320"/>
      <w:outlineLvl w:val="4"/>
    </w:pPr>
    <w:rPr>
      <w:rFonts w:ascii="Arial" w:hAnsi="Arial" w:cs="Arial"/>
      <w:b/>
    </w:rPr>
  </w:style>
  <w:style w:type="paragraph" w:styleId="Heading6">
    <w:name w:val="heading 6"/>
    <w:basedOn w:val="LO-Normal"/>
    <w:qFormat/>
    <w:pPr>
      <w:spacing w:before="320"/>
      <w:outlineLvl w:val="5"/>
    </w:pPr>
    <w:rPr>
      <w:rFonts w:ascii="Arial" w:hAnsi="Arial" w:cs="Arial"/>
      <w:b/>
      <w:sz w:val="22"/>
    </w:rPr>
  </w:style>
  <w:style w:type="paragraph" w:styleId="Heading7">
    <w:name w:val="heading 7"/>
    <w:basedOn w:val="LO-Normal"/>
    <w:qFormat/>
    <w:pPr>
      <w:spacing w:before="320"/>
      <w:outlineLvl w:val="6"/>
    </w:pPr>
    <w:rPr>
      <w:rFonts w:ascii="Arial" w:hAnsi="Arial" w:cs="Arial"/>
      <w:b/>
      <w:i/>
      <w:sz w:val="22"/>
    </w:rPr>
  </w:style>
  <w:style w:type="paragraph" w:styleId="Heading8">
    <w:name w:val="heading 8"/>
    <w:basedOn w:val="LO-Normal"/>
    <w:qFormat/>
    <w:pPr>
      <w:spacing w:before="320"/>
      <w:outlineLvl w:val="7"/>
    </w:pPr>
    <w:rPr>
      <w:rFonts w:ascii="Arial" w:hAnsi="Arial" w:cs="Arial"/>
      <w:i/>
      <w:sz w:val="22"/>
    </w:rPr>
  </w:style>
  <w:style w:type="paragraph" w:styleId="Heading9">
    <w:name w:val="heading 9"/>
    <w:basedOn w:val="LO-Normal"/>
    <w:qFormat/>
    <w:pPr>
      <w:spacing w:before="320"/>
      <w:outlineLvl w:val="8"/>
    </w:pPr>
    <w:rPr>
      <w:rFonts w:ascii="Arial" w:hAnsi="Arial" w:cs="Arial"/>
      <w:i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basedOn w:val="DefaultParagraphFont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Characters">
    <w:name w:val="Endnote Characters"/>
    <w:basedOn w:val="DefaultParagraphFont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DStyletext">
    <w:name w:val="DStyle_text"/>
    <w:qFormat/>
    <w:rPr>
      <w:rFonts w:ascii="Arial" w:hAnsi="Arial" w:cs="Arial"/>
      <w:sz w:val="22"/>
      <w:lang w:val="en-US"/>
    </w:rPr>
  </w:style>
  <w:style w:type="character" w:customStyle="1" w:styleId="Heading1Char">
    <w:name w:val="Heading 1 Char"/>
    <w:qFormat/>
    <w:rPr>
      <w:rFonts w:ascii="Arial" w:hAnsi="Arial" w:cs="Arial"/>
      <w:sz w:val="40"/>
    </w:rPr>
  </w:style>
  <w:style w:type="character" w:customStyle="1" w:styleId="Heading2Char">
    <w:name w:val="Heading 2 Char"/>
    <w:qFormat/>
    <w:rPr>
      <w:rFonts w:ascii="Arial" w:hAnsi="Arial" w:cs="Arial"/>
      <w:sz w:val="34"/>
    </w:rPr>
  </w:style>
  <w:style w:type="character" w:customStyle="1" w:styleId="Heading3Char">
    <w:name w:val="Heading 3 Char"/>
    <w:qFormat/>
    <w:rPr>
      <w:rFonts w:ascii="Arial" w:hAnsi="Arial" w:cs="Arial"/>
      <w:sz w:val="30"/>
    </w:rPr>
  </w:style>
  <w:style w:type="character" w:customStyle="1" w:styleId="Heading4Char">
    <w:name w:val="Heading 4 Char"/>
    <w:qFormat/>
    <w:rPr>
      <w:rFonts w:ascii="Arial" w:hAnsi="Arial" w:cs="Arial"/>
      <w:b/>
      <w:sz w:val="26"/>
    </w:rPr>
  </w:style>
  <w:style w:type="character" w:customStyle="1" w:styleId="Heading5Char">
    <w:name w:val="Heading 5 Char"/>
    <w:qFormat/>
    <w:rPr>
      <w:rFonts w:ascii="Arial" w:hAnsi="Arial" w:cs="Arial"/>
      <w:b/>
      <w:sz w:val="24"/>
    </w:rPr>
  </w:style>
  <w:style w:type="character" w:customStyle="1" w:styleId="Heading6Char">
    <w:name w:val="Heading 6 Char"/>
    <w:qFormat/>
    <w:rPr>
      <w:rFonts w:ascii="Arial" w:hAnsi="Arial" w:cs="Arial"/>
      <w:b/>
      <w:sz w:val="22"/>
    </w:rPr>
  </w:style>
  <w:style w:type="character" w:customStyle="1" w:styleId="Heading7Char">
    <w:name w:val="Heading 7 Char"/>
    <w:qFormat/>
    <w:rPr>
      <w:rFonts w:ascii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hAnsi="Arial" w:cs="Arial"/>
      <w:i/>
      <w:sz w:val="22"/>
    </w:rPr>
  </w:style>
  <w:style w:type="character" w:customStyle="1" w:styleId="Heading9Char">
    <w:name w:val="Heading 9 Char"/>
    <w:qFormat/>
    <w:rPr>
      <w:rFonts w:ascii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CaptionChar">
    <w:name w:val="Caption Char"/>
    <w:qFormat/>
  </w:style>
  <w:style w:type="character" w:styleId="Hyperlink">
    <w:name w:val="Hyperlink"/>
    <w:qFormat/>
    <w:rPr>
      <w:color w:val="000080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customStyle="1" w:styleId="EndnoteTextChar">
    <w:name w:val="Endnote Text Char"/>
    <w:qFormat/>
    <w:rPr>
      <w:sz w:val="20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spacing w:before="240" w:after="120"/>
    </w:pPr>
    <w:rPr>
      <w:rFonts w:ascii="Liberation Sans" w:hAnsi="Liberation Sans" w:cs="Liberation Sans"/>
      <w:sz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pacing w:before="120" w:after="120"/>
    </w:pPr>
    <w:rPr>
      <w:i/>
    </w:rPr>
  </w:style>
  <w:style w:type="paragraph" w:customStyle="1" w:styleId="Index">
    <w:name w:val="Index"/>
    <w:basedOn w:val="Normal"/>
    <w:qFormat/>
  </w:style>
  <w:style w:type="paragraph" w:customStyle="1" w:styleId="DStyleparagraph">
    <w:name w:val="DStyle_paragraph"/>
    <w:qFormat/>
    <w:pPr>
      <w:widowControl w:val="0"/>
      <w:spacing w:after="200" w:line="276" w:lineRule="auto"/>
    </w:pPr>
    <w:rPr>
      <w:rFonts w:ascii="Liberation Serif" w:hAnsi="Liberation Serif" w:cs="Liberation Serif"/>
      <w:sz w:val="24"/>
    </w:rPr>
  </w:style>
  <w:style w:type="paragraph" w:customStyle="1" w:styleId="LO-Normal">
    <w:name w:val="LO-Normal"/>
    <w:basedOn w:val="DStyleparagraph"/>
    <w:qFormat/>
  </w:style>
  <w:style w:type="paragraph" w:styleId="ListParagraph">
    <w:name w:val="List Paragraph"/>
    <w:basedOn w:val="LO-Normal"/>
    <w:qFormat/>
    <w:pPr>
      <w:ind w:left="720"/>
    </w:pPr>
  </w:style>
  <w:style w:type="paragraph" w:styleId="NoSpacing">
    <w:name w:val="No Spacing"/>
    <w:basedOn w:val="DStyleparagraph"/>
    <w:qFormat/>
    <w:pPr>
      <w:spacing w:after="0" w:line="240" w:lineRule="auto"/>
    </w:pPr>
  </w:style>
  <w:style w:type="paragraph" w:styleId="Title">
    <w:name w:val="Title"/>
    <w:basedOn w:val="LO-Normal"/>
    <w:qFormat/>
    <w:pPr>
      <w:spacing w:before="300"/>
    </w:pPr>
    <w:rPr>
      <w:sz w:val="48"/>
    </w:rPr>
  </w:style>
  <w:style w:type="paragraph" w:styleId="Subtitle">
    <w:name w:val="Subtitle"/>
    <w:basedOn w:val="LO-Normal"/>
    <w:qFormat/>
    <w:pPr>
      <w:spacing w:before="200"/>
    </w:pPr>
  </w:style>
  <w:style w:type="paragraph" w:styleId="Quote">
    <w:name w:val="Quote"/>
    <w:basedOn w:val="LO-Normal"/>
    <w:qFormat/>
    <w:pPr>
      <w:ind w:left="720" w:right="720"/>
    </w:pPr>
    <w:rPr>
      <w:i/>
    </w:rPr>
  </w:style>
  <w:style w:type="paragraph" w:styleId="IntenseQuote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Normal"/>
    <w:qFormat/>
    <w:pPr>
      <w:tabs>
        <w:tab w:val="center" w:pos="4986"/>
        <w:tab w:val="right" w:pos="9972"/>
      </w:tabs>
    </w:pPr>
  </w:style>
  <w:style w:type="paragraph" w:styleId="Header">
    <w:name w:val="header"/>
    <w:basedOn w:val="LO-Normal"/>
    <w:pPr>
      <w:tabs>
        <w:tab w:val="center" w:pos="7143"/>
        <w:tab w:val="right" w:pos="14287"/>
      </w:tabs>
      <w:spacing w:after="0" w:line="240" w:lineRule="auto"/>
    </w:pPr>
  </w:style>
  <w:style w:type="paragraph" w:styleId="FootnoteText">
    <w:name w:val="footnote text"/>
    <w:basedOn w:val="LO-Normal"/>
    <w:qFormat/>
    <w:pPr>
      <w:spacing w:after="40" w:line="240" w:lineRule="auto"/>
    </w:pPr>
    <w:rPr>
      <w:sz w:val="18"/>
    </w:rPr>
  </w:style>
  <w:style w:type="paragraph" w:styleId="EndnoteText">
    <w:name w:val="endnote text"/>
    <w:basedOn w:val="LO-Normal"/>
    <w:qFormat/>
    <w:pPr>
      <w:spacing w:after="0" w:line="240" w:lineRule="auto"/>
    </w:pPr>
    <w:rPr>
      <w:sz w:val="20"/>
    </w:rPr>
  </w:style>
  <w:style w:type="paragraph" w:styleId="TOC1">
    <w:name w:val="toc 1"/>
    <w:basedOn w:val="LO-Normal"/>
    <w:qFormat/>
    <w:pPr>
      <w:spacing w:after="57"/>
    </w:pPr>
  </w:style>
  <w:style w:type="paragraph" w:styleId="TOC2">
    <w:name w:val="toc 2"/>
    <w:basedOn w:val="LO-Normal"/>
    <w:qFormat/>
    <w:pPr>
      <w:spacing w:after="57"/>
      <w:ind w:left="283"/>
    </w:pPr>
  </w:style>
  <w:style w:type="paragraph" w:styleId="TOC3">
    <w:name w:val="toc 3"/>
    <w:basedOn w:val="LO-Normal"/>
    <w:qFormat/>
    <w:pPr>
      <w:spacing w:after="57"/>
      <w:ind w:left="567"/>
    </w:pPr>
  </w:style>
  <w:style w:type="paragraph" w:styleId="TOC4">
    <w:name w:val="toc 4"/>
    <w:basedOn w:val="LO-Normal"/>
    <w:qFormat/>
    <w:pPr>
      <w:spacing w:after="57"/>
      <w:ind w:left="850"/>
    </w:pPr>
  </w:style>
  <w:style w:type="paragraph" w:styleId="TOC5">
    <w:name w:val="toc 5"/>
    <w:basedOn w:val="LO-Normal"/>
    <w:qFormat/>
    <w:pPr>
      <w:spacing w:after="57"/>
      <w:ind w:left="1134"/>
    </w:pPr>
  </w:style>
  <w:style w:type="paragraph" w:styleId="TOC6">
    <w:name w:val="toc 6"/>
    <w:basedOn w:val="LO-Normal"/>
    <w:qFormat/>
    <w:pPr>
      <w:spacing w:after="57"/>
      <w:ind w:left="1417"/>
    </w:pPr>
  </w:style>
  <w:style w:type="paragraph" w:styleId="TOC7">
    <w:name w:val="toc 7"/>
    <w:basedOn w:val="LO-Normal"/>
    <w:qFormat/>
    <w:pPr>
      <w:spacing w:after="57"/>
      <w:ind w:left="1701"/>
    </w:pPr>
  </w:style>
  <w:style w:type="paragraph" w:styleId="TOC8">
    <w:name w:val="toc 8"/>
    <w:basedOn w:val="LO-Normal"/>
    <w:qFormat/>
    <w:pPr>
      <w:spacing w:after="57"/>
      <w:ind w:left="1984"/>
    </w:pPr>
  </w:style>
  <w:style w:type="paragraph" w:styleId="TOC9">
    <w:name w:val="toc 9"/>
    <w:basedOn w:val="LO-Normal"/>
    <w:qFormat/>
    <w:pPr>
      <w:spacing w:after="57"/>
      <w:ind w:left="2268"/>
    </w:pPr>
  </w:style>
  <w:style w:type="paragraph" w:styleId="IndexHeading">
    <w:name w:val="index heading"/>
    <w:basedOn w:val="Heading"/>
  </w:style>
  <w:style w:type="paragraph" w:styleId="TOCHeading">
    <w:name w:val="TOC Heading"/>
    <w:basedOn w:val="DStyleparagraph"/>
    <w:qFormat/>
  </w:style>
  <w:style w:type="paragraph" w:styleId="TableofFigures">
    <w:name w:val="table of figures"/>
    <w:basedOn w:val="LO-Normal"/>
    <w:qFormat/>
    <w:pPr>
      <w:spacing w:after="0"/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paragraph" w:styleId="Footer">
    <w:name w:val="footer"/>
    <w:basedOn w:val="HeaderandFooter"/>
  </w:style>
  <w:style w:type="table" w:styleId="TableGrid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GridTable1Light-Accent1">
    <w:name w:val="Grid Table 1 Light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styleId="GridTable1Light-Accent2">
    <w:name w:val="Grid Table 1 Light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styleId="GridTable1Light-Accent3">
    <w:name w:val="Grid Table 1 Light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styleId="GridTable1Light-Accent4">
    <w:name w:val="Grid Table 1 Light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styleId="GridTable1Light-Accent5">
    <w:name w:val="Grid Table 1 Light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styleId="GridTable1Light-Accent6">
    <w:name w:val="Grid Table 1 Light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GridTable2-Accent1">
    <w:name w:val="Grid Table 2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styleId="GridTable2-Accent2">
    <w:name w:val="Grid Table 2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styleId="GridTable2-Accent3">
    <w:name w:val="Grid Table 2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styleId="GridTable2-Accent4">
    <w:name w:val="Grid Table 2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styleId="GridTable2-Accent5">
    <w:name w:val="Grid Table 2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styleId="GridTable2-Accent6">
    <w:name w:val="Grid Table 2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GridTable3-Accent1">
    <w:name w:val="Grid Table 3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styleId="GridTable3-Accent2">
    <w:name w:val="Grid Table 3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styleId="GridTable3-Accent3">
    <w:name w:val="Grid Table 3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styleId="GridTable3-Accent4">
    <w:name w:val="Grid Table 3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styleId="GridTable3-Accent5">
    <w:name w:val="Grid Table 3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styleId="GridTable3-Accent6">
    <w:name w:val="Grid Table 3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GridTable4-Accent1">
    <w:name w:val="Grid Table 4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styleId="GridTable4-Accent2">
    <w:name w:val="Grid Table 4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styleId="GridTable4-Accent3">
    <w:name w:val="Grid Table 4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styleId="GridTable4-Accent4">
    <w:name w:val="Grid Table 4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styleId="GridTable4-Accent5">
    <w:name w:val="Grid Table 4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styleId="GridTable4-Accent6">
    <w:name w:val="Grid Table 4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styleId="GridTable5Dark-Accent2">
    <w:name w:val="Grid Table 5 Dark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styleId="GridTable5Dark-Accent3">
    <w:name w:val="Grid Table 5 Dark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styleId="GridTable5Dark-Accent5">
    <w:name w:val="Grid Table 5 Dark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styleId="GridTable5Dark-Accent6">
    <w:name w:val="Grid Table 5 Dark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GridTable6Colorful-Accent6">
    <w:name w:val="Grid Table 6 Colorful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GridTable7Colorful-Accent6">
    <w:name w:val="Grid Table 7 Colorful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ListTable1Light-Accent1">
    <w:name w:val="List Table 1 Light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styleId="ListTable1Light-Accent2">
    <w:name w:val="List Table 1 Light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styleId="ListTable1Light-Accent3">
    <w:name w:val="List Table 1 Light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styleId="ListTable1Light-Accent4">
    <w:name w:val="List Table 1 Light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styleId="ListTable1Light-Accent5">
    <w:name w:val="List Table 1 Light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styleId="ListTable1Light-Accent6">
    <w:name w:val="List Table 1 Light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ListTable2-Accent1">
    <w:name w:val="List Table 2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styleId="ListTable2-Accent2">
    <w:name w:val="List Table 2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styleId="ListTable2-Accent3">
    <w:name w:val="List Table 2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styleId="ListTable2-Accent4">
    <w:name w:val="List Table 2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styleId="ListTable2-Accent5">
    <w:name w:val="List Table 2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styleId="ListTable2-Accent6">
    <w:name w:val="List Table 2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styleId="ListTable3-Accent3">
    <w:name w:val="List Table 3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styleId="ListTable3-Accent4">
    <w:name w:val="List Table 3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styleId="ListTable3-Accent5">
    <w:name w:val="List Table 3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styleId="ListTable3-Accent6">
    <w:name w:val="List Table 3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ListTable4-Accent1">
    <w:name w:val="List Table 4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styleId="ListTable4-Accent2">
    <w:name w:val="List Table 4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styleId="ListTable4-Accent3">
    <w:name w:val="List Table 4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styleId="ListTable4-Accent4">
    <w:name w:val="List Table 4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styleId="ListTable4-Accent5">
    <w:name w:val="List Table 4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styleId="ListTable4-Accent6">
    <w:name w:val="List Table 4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styleId="ListTable5Dark-Accent1">
    <w:name w:val="List Table 5 Dark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styleId="ListTable5Dark-Accent2">
    <w:name w:val="List Table 5 Dark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styleId="ListTable5Dark-Accent3">
    <w:name w:val="List Table 5 Dark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styleId="ListTable5Dark-Accent4">
    <w:name w:val="List Table 5 Dark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styleId="ListTable5Dark-Accent5">
    <w:name w:val="List Table 5 Dark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styleId="ListTable5Dark-Accent6">
    <w:name w:val="List Table 5 Dark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ListTable6Colorful-Accent1">
    <w:name w:val="List Table 6 Colorful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styleId="ListTable6Colorful-Accent2">
    <w:name w:val="List Table 6 Colorful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styleId="ListTable7Colorful-Accent2">
    <w:name w:val="List Table 7 Colorful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en-IN" w:eastAsia="en-IN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24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2062</Words>
  <Characters>11754</Characters>
  <Application>Microsoft Office Word</Application>
  <DocSecurity>0</DocSecurity>
  <Lines>97</Lines>
  <Paragraphs>27</Paragraphs>
  <ScaleCrop>false</ScaleCrop>
  <Company>HP Inc.</Company>
  <LinksUpToDate>false</LinksUpToDate>
  <CharactersWithSpaces>13789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DURGA P</cp:lastModifiedBy>
  <cp:revision>20</cp:revision>
  <dcterms:created xsi:type="dcterms:W3CDTF">2022-04-22T11:25:00Z</dcterms:created>
  <dcterms:modified xsi:type="dcterms:W3CDTF">2022-04-22T11:25:00Z</dcterms:modified>
  <dc:language>de-DE</dc:language>
</cp:coreProperties>
</file>