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CD4C9" w14:textId="77777777" w:rsidR="00BF0164" w:rsidRPr="00D614C1" w:rsidRDefault="00BF0164" w:rsidP="00BF0164">
      <w:pPr>
        <w:shd w:val="clear" w:color="auto" w:fill="FFFFFF"/>
        <w:tabs>
          <w:tab w:val="left" w:pos="360"/>
        </w:tabs>
        <w:spacing w:line="480" w:lineRule="auto"/>
        <w:textAlignment w:val="top"/>
        <w:rPr>
          <w:b/>
          <w:bCs/>
          <w:color w:val="000000"/>
          <w:sz w:val="20"/>
          <w:szCs w:val="20"/>
        </w:rPr>
      </w:pPr>
      <w:r w:rsidRPr="00D614C1">
        <w:rPr>
          <w:b/>
          <w:bCs/>
          <w:color w:val="000000"/>
          <w:sz w:val="20"/>
          <w:szCs w:val="20"/>
        </w:rPr>
        <w:t>Supplemental Materials A</w:t>
      </w:r>
    </w:p>
    <w:p w14:paraId="666BF0DE" w14:textId="77777777" w:rsidR="00BF0164" w:rsidRPr="00D614C1" w:rsidRDefault="00BF0164" w:rsidP="00BF0164">
      <w:pPr>
        <w:shd w:val="clear" w:color="auto" w:fill="FFFFFF"/>
        <w:tabs>
          <w:tab w:val="left" w:pos="360"/>
        </w:tabs>
        <w:spacing w:line="480" w:lineRule="auto"/>
        <w:textAlignment w:val="top"/>
        <w:rPr>
          <w:i/>
          <w:iCs/>
          <w:color w:val="000000"/>
          <w:sz w:val="20"/>
          <w:szCs w:val="20"/>
        </w:rPr>
      </w:pPr>
      <w:r w:rsidRPr="00D614C1">
        <w:rPr>
          <w:i/>
          <w:iCs/>
          <w:color w:val="000000"/>
          <w:sz w:val="20"/>
          <w:szCs w:val="20"/>
        </w:rPr>
        <w:t>Childhood Opportunity Index 2.0 Indicators and Descriptions by Domain (Education, Health/Environment, Social/Economic)</w:t>
      </w:r>
    </w:p>
    <w:tbl>
      <w:tblPr>
        <w:tblStyle w:val="TableGrid"/>
        <w:tblW w:w="5553" w:type="pct"/>
        <w:tblBorders>
          <w:top w:val="single" w:sz="2" w:space="0" w:color="auto"/>
          <w:left w:val="none" w:sz="0" w:space="0" w:color="auto"/>
          <w:bottom w:val="single" w:sz="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0"/>
        <w:gridCol w:w="6615"/>
      </w:tblGrid>
      <w:tr w:rsidR="00BF0164" w:rsidRPr="00D614C1" w14:paraId="5D76EB74" w14:textId="77777777" w:rsidTr="0006052E">
        <w:trPr>
          <w:trHeight w:val="432"/>
        </w:trPr>
        <w:tc>
          <w:tcPr>
            <w:tcW w:w="1818" w:type="pct"/>
            <w:tcBorders>
              <w:bottom w:val="single" w:sz="2" w:space="0" w:color="auto"/>
            </w:tcBorders>
          </w:tcPr>
          <w:p w14:paraId="56046A49" w14:textId="77777777" w:rsidR="00BF0164" w:rsidRPr="00D614C1" w:rsidRDefault="00BF0164" w:rsidP="0006052E">
            <w:pPr>
              <w:jc w:val="center"/>
              <w:textAlignment w:val="top"/>
              <w:rPr>
                <w:b/>
                <w:bCs/>
                <w:color w:val="000000"/>
                <w:sz w:val="20"/>
                <w:szCs w:val="20"/>
              </w:rPr>
            </w:pPr>
            <w:r w:rsidRPr="00D614C1">
              <w:rPr>
                <w:b/>
                <w:bCs/>
                <w:color w:val="000000"/>
                <w:sz w:val="20"/>
                <w:szCs w:val="20"/>
              </w:rPr>
              <w:t>Indicator</w:t>
            </w:r>
          </w:p>
        </w:tc>
        <w:tc>
          <w:tcPr>
            <w:tcW w:w="3182" w:type="pct"/>
            <w:tcBorders>
              <w:bottom w:val="single" w:sz="2" w:space="0" w:color="auto"/>
            </w:tcBorders>
          </w:tcPr>
          <w:p w14:paraId="026E531B" w14:textId="77777777" w:rsidR="00BF0164" w:rsidRPr="00D614C1" w:rsidRDefault="00BF0164" w:rsidP="0006052E">
            <w:pPr>
              <w:jc w:val="center"/>
              <w:textAlignment w:val="top"/>
              <w:rPr>
                <w:b/>
                <w:bCs/>
                <w:color w:val="000000"/>
                <w:sz w:val="20"/>
                <w:szCs w:val="20"/>
              </w:rPr>
            </w:pPr>
            <w:r w:rsidRPr="00D614C1">
              <w:rPr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</w:tr>
      <w:tr w:rsidR="00BF0164" w:rsidRPr="00D614C1" w14:paraId="76A4E2A5" w14:textId="77777777" w:rsidTr="0006052E">
        <w:trPr>
          <w:trHeight w:val="432"/>
        </w:trPr>
        <w:tc>
          <w:tcPr>
            <w:tcW w:w="4999" w:type="pct"/>
            <w:gridSpan w:val="2"/>
            <w:tcBorders>
              <w:top w:val="single" w:sz="2" w:space="0" w:color="auto"/>
              <w:bottom w:val="nil"/>
            </w:tcBorders>
          </w:tcPr>
          <w:p w14:paraId="3633A745" w14:textId="77777777" w:rsidR="00BF0164" w:rsidRPr="00D614C1" w:rsidRDefault="00BF0164" w:rsidP="0006052E">
            <w:pPr>
              <w:textAlignment w:val="top"/>
              <w:rPr>
                <w:i/>
                <w:iCs/>
                <w:color w:val="000000"/>
                <w:sz w:val="20"/>
                <w:szCs w:val="20"/>
              </w:rPr>
            </w:pPr>
            <w:r w:rsidRPr="00D614C1">
              <w:rPr>
                <w:i/>
                <w:iCs/>
                <w:color w:val="000000"/>
                <w:sz w:val="20"/>
                <w:szCs w:val="20"/>
              </w:rPr>
              <w:t>Education</w:t>
            </w:r>
          </w:p>
        </w:tc>
      </w:tr>
      <w:tr w:rsidR="00BF0164" w:rsidRPr="00D614C1" w14:paraId="3C3EF962" w14:textId="77777777" w:rsidTr="0006052E">
        <w:trPr>
          <w:trHeight w:val="432"/>
        </w:trPr>
        <w:tc>
          <w:tcPr>
            <w:tcW w:w="1818" w:type="pct"/>
            <w:tcBorders>
              <w:top w:val="nil"/>
              <w:bottom w:val="nil"/>
            </w:tcBorders>
          </w:tcPr>
          <w:p w14:paraId="2E97D951" w14:textId="77777777" w:rsidR="00BF0164" w:rsidRPr="00D614C1" w:rsidRDefault="00BF0164" w:rsidP="0006052E">
            <w:pPr>
              <w:ind w:left="253"/>
              <w:textAlignment w:val="top"/>
              <w:rPr>
                <w:color w:val="000000"/>
                <w:sz w:val="20"/>
                <w:szCs w:val="20"/>
              </w:rPr>
            </w:pPr>
            <w:r w:rsidRPr="00D614C1">
              <w:rPr>
                <w:color w:val="000000"/>
                <w:sz w:val="20"/>
                <w:szCs w:val="20"/>
              </w:rPr>
              <w:t>ECE Centers</w:t>
            </w:r>
          </w:p>
        </w:tc>
        <w:tc>
          <w:tcPr>
            <w:tcW w:w="3182" w:type="pct"/>
            <w:tcBorders>
              <w:top w:val="nil"/>
              <w:bottom w:val="nil"/>
            </w:tcBorders>
          </w:tcPr>
          <w:p w14:paraId="1278B831" w14:textId="77777777" w:rsidR="00BF0164" w:rsidRPr="00D614C1" w:rsidRDefault="00BF0164" w:rsidP="0006052E">
            <w:pPr>
              <w:textAlignment w:val="top"/>
              <w:rPr>
                <w:color w:val="000000"/>
                <w:sz w:val="20"/>
                <w:szCs w:val="20"/>
              </w:rPr>
            </w:pPr>
            <w:r w:rsidRPr="00D614C1">
              <w:rPr>
                <w:color w:val="000000"/>
                <w:sz w:val="20"/>
                <w:szCs w:val="20"/>
              </w:rPr>
              <w:t>The number of ECE centers within a 5-mile radius.</w:t>
            </w:r>
          </w:p>
        </w:tc>
      </w:tr>
      <w:tr w:rsidR="00BF0164" w:rsidRPr="00D614C1" w14:paraId="196C8FCE" w14:textId="77777777" w:rsidTr="0006052E">
        <w:trPr>
          <w:trHeight w:val="432"/>
        </w:trPr>
        <w:tc>
          <w:tcPr>
            <w:tcW w:w="1818" w:type="pct"/>
            <w:tcBorders>
              <w:top w:val="nil"/>
            </w:tcBorders>
          </w:tcPr>
          <w:p w14:paraId="56F1E650" w14:textId="77777777" w:rsidR="00BF0164" w:rsidRPr="00D614C1" w:rsidRDefault="00BF0164" w:rsidP="0006052E">
            <w:pPr>
              <w:ind w:left="253"/>
              <w:textAlignment w:val="top"/>
              <w:rPr>
                <w:color w:val="000000"/>
                <w:sz w:val="20"/>
                <w:szCs w:val="20"/>
              </w:rPr>
            </w:pPr>
            <w:r w:rsidRPr="00D614C1">
              <w:rPr>
                <w:color w:val="000000"/>
                <w:sz w:val="20"/>
                <w:szCs w:val="20"/>
              </w:rPr>
              <w:t>High-quality ECE centers</w:t>
            </w:r>
          </w:p>
        </w:tc>
        <w:tc>
          <w:tcPr>
            <w:tcW w:w="3182" w:type="pct"/>
            <w:tcBorders>
              <w:top w:val="nil"/>
            </w:tcBorders>
          </w:tcPr>
          <w:p w14:paraId="191D705E" w14:textId="77777777" w:rsidR="00BF0164" w:rsidRPr="00D614C1" w:rsidRDefault="00BF0164" w:rsidP="0006052E">
            <w:pPr>
              <w:textAlignment w:val="top"/>
              <w:rPr>
                <w:color w:val="000000"/>
                <w:sz w:val="20"/>
                <w:szCs w:val="20"/>
              </w:rPr>
            </w:pPr>
            <w:r w:rsidRPr="00D614C1">
              <w:rPr>
                <w:color w:val="000000"/>
                <w:sz w:val="20"/>
                <w:szCs w:val="20"/>
              </w:rPr>
              <w:t>The number of accredited ECE centers within a 5-mile radius.</w:t>
            </w:r>
          </w:p>
        </w:tc>
      </w:tr>
      <w:tr w:rsidR="00BF0164" w:rsidRPr="00D614C1" w14:paraId="236D57D2" w14:textId="77777777" w:rsidTr="0006052E">
        <w:trPr>
          <w:trHeight w:val="432"/>
        </w:trPr>
        <w:tc>
          <w:tcPr>
            <w:tcW w:w="1818" w:type="pct"/>
          </w:tcPr>
          <w:p w14:paraId="74D59A83" w14:textId="77777777" w:rsidR="00BF0164" w:rsidRPr="00D614C1" w:rsidRDefault="00BF0164" w:rsidP="0006052E">
            <w:pPr>
              <w:ind w:left="253"/>
              <w:textAlignment w:val="top"/>
              <w:rPr>
                <w:color w:val="000000"/>
                <w:sz w:val="20"/>
                <w:szCs w:val="20"/>
              </w:rPr>
            </w:pPr>
            <w:r w:rsidRPr="00D614C1">
              <w:rPr>
                <w:color w:val="000000"/>
                <w:sz w:val="20"/>
                <w:szCs w:val="20"/>
              </w:rPr>
              <w:t>ECE enrollment</w:t>
            </w:r>
          </w:p>
        </w:tc>
        <w:tc>
          <w:tcPr>
            <w:tcW w:w="3182" w:type="pct"/>
          </w:tcPr>
          <w:p w14:paraId="41959B23" w14:textId="77777777" w:rsidR="00BF0164" w:rsidRPr="00D614C1" w:rsidRDefault="00BF0164" w:rsidP="0006052E">
            <w:pPr>
              <w:textAlignment w:val="top"/>
              <w:rPr>
                <w:color w:val="000000"/>
                <w:sz w:val="20"/>
                <w:szCs w:val="20"/>
              </w:rPr>
            </w:pPr>
            <w:r w:rsidRPr="00D614C1">
              <w:rPr>
                <w:color w:val="000000"/>
                <w:sz w:val="20"/>
                <w:szCs w:val="20"/>
              </w:rPr>
              <w:t>Percent 3- and 4-year-olds enrolled in ECEs.</w:t>
            </w:r>
          </w:p>
        </w:tc>
      </w:tr>
      <w:tr w:rsidR="00BF0164" w:rsidRPr="00D614C1" w14:paraId="4DA766CB" w14:textId="77777777" w:rsidTr="0006052E">
        <w:trPr>
          <w:trHeight w:val="432"/>
        </w:trPr>
        <w:tc>
          <w:tcPr>
            <w:tcW w:w="1818" w:type="pct"/>
          </w:tcPr>
          <w:p w14:paraId="34CEDF6B" w14:textId="77777777" w:rsidR="00BF0164" w:rsidRPr="00D614C1" w:rsidRDefault="00BF0164" w:rsidP="0006052E">
            <w:pPr>
              <w:ind w:left="253"/>
              <w:textAlignment w:val="top"/>
              <w:rPr>
                <w:color w:val="000000"/>
                <w:sz w:val="20"/>
                <w:szCs w:val="20"/>
              </w:rPr>
            </w:pPr>
            <w:r w:rsidRPr="00D614C1">
              <w:rPr>
                <w:color w:val="000000"/>
                <w:sz w:val="20"/>
                <w:szCs w:val="20"/>
              </w:rPr>
              <w:t>Third grade reading proficiency</w:t>
            </w:r>
          </w:p>
        </w:tc>
        <w:tc>
          <w:tcPr>
            <w:tcW w:w="3182" w:type="pct"/>
          </w:tcPr>
          <w:p w14:paraId="7F5DD453" w14:textId="77777777" w:rsidR="00BF0164" w:rsidRPr="00D614C1" w:rsidRDefault="00BF0164" w:rsidP="0006052E">
            <w:pPr>
              <w:textAlignment w:val="top"/>
              <w:rPr>
                <w:color w:val="000000"/>
                <w:sz w:val="20"/>
                <w:szCs w:val="20"/>
              </w:rPr>
            </w:pPr>
            <w:r w:rsidRPr="00D614C1">
              <w:rPr>
                <w:color w:val="000000"/>
                <w:sz w:val="20"/>
                <w:szCs w:val="20"/>
              </w:rPr>
              <w:t>The percentage of third graders earning proficient scores on standardized reading assessments.</w:t>
            </w:r>
          </w:p>
        </w:tc>
      </w:tr>
      <w:tr w:rsidR="00BF0164" w:rsidRPr="00D614C1" w14:paraId="0365E4AE" w14:textId="77777777" w:rsidTr="0006052E">
        <w:trPr>
          <w:trHeight w:val="432"/>
        </w:trPr>
        <w:tc>
          <w:tcPr>
            <w:tcW w:w="1818" w:type="pct"/>
          </w:tcPr>
          <w:p w14:paraId="2A1F5024" w14:textId="77777777" w:rsidR="00BF0164" w:rsidRPr="00D614C1" w:rsidRDefault="00BF0164" w:rsidP="0006052E">
            <w:pPr>
              <w:ind w:left="253"/>
              <w:textAlignment w:val="top"/>
              <w:rPr>
                <w:color w:val="000000"/>
                <w:sz w:val="20"/>
                <w:szCs w:val="20"/>
              </w:rPr>
            </w:pPr>
            <w:r w:rsidRPr="00D614C1">
              <w:rPr>
                <w:color w:val="000000"/>
                <w:sz w:val="20"/>
                <w:szCs w:val="20"/>
              </w:rPr>
              <w:t>Third grade math proficiency</w:t>
            </w:r>
          </w:p>
        </w:tc>
        <w:tc>
          <w:tcPr>
            <w:tcW w:w="3182" w:type="pct"/>
          </w:tcPr>
          <w:p w14:paraId="0E52391E" w14:textId="77777777" w:rsidR="00BF0164" w:rsidRPr="00D614C1" w:rsidRDefault="00BF0164" w:rsidP="0006052E">
            <w:pPr>
              <w:textAlignment w:val="top"/>
              <w:rPr>
                <w:color w:val="000000"/>
                <w:sz w:val="20"/>
                <w:szCs w:val="20"/>
              </w:rPr>
            </w:pPr>
            <w:r w:rsidRPr="00D614C1">
              <w:rPr>
                <w:color w:val="000000"/>
                <w:sz w:val="20"/>
                <w:szCs w:val="20"/>
              </w:rPr>
              <w:t>The percentage of third graders earning proficient scores on standardized math assessments.</w:t>
            </w:r>
          </w:p>
        </w:tc>
      </w:tr>
      <w:tr w:rsidR="00BF0164" w:rsidRPr="00D614C1" w14:paraId="41527940" w14:textId="77777777" w:rsidTr="0006052E">
        <w:trPr>
          <w:trHeight w:val="432"/>
        </w:trPr>
        <w:tc>
          <w:tcPr>
            <w:tcW w:w="1818" w:type="pct"/>
          </w:tcPr>
          <w:p w14:paraId="7702A433" w14:textId="77777777" w:rsidR="00BF0164" w:rsidRPr="00D614C1" w:rsidRDefault="00BF0164" w:rsidP="0006052E">
            <w:pPr>
              <w:ind w:left="253"/>
              <w:textAlignment w:val="top"/>
              <w:rPr>
                <w:color w:val="000000"/>
                <w:sz w:val="20"/>
                <w:szCs w:val="20"/>
              </w:rPr>
            </w:pPr>
            <w:r w:rsidRPr="00D614C1">
              <w:rPr>
                <w:color w:val="000000"/>
                <w:sz w:val="20"/>
                <w:szCs w:val="20"/>
              </w:rPr>
              <w:t>High school graduation rate</w:t>
            </w:r>
          </w:p>
        </w:tc>
        <w:tc>
          <w:tcPr>
            <w:tcW w:w="3182" w:type="pct"/>
          </w:tcPr>
          <w:p w14:paraId="3B623330" w14:textId="77777777" w:rsidR="00BF0164" w:rsidRPr="00D614C1" w:rsidRDefault="00BF0164" w:rsidP="0006052E">
            <w:pPr>
              <w:textAlignment w:val="top"/>
              <w:rPr>
                <w:color w:val="000000"/>
                <w:sz w:val="20"/>
                <w:szCs w:val="20"/>
              </w:rPr>
            </w:pPr>
            <w:r w:rsidRPr="00D614C1">
              <w:rPr>
                <w:color w:val="000000"/>
                <w:sz w:val="20"/>
                <w:szCs w:val="20"/>
              </w:rPr>
              <w:t>The percentage of ninth graders graduating from high school on time.</w:t>
            </w:r>
          </w:p>
        </w:tc>
      </w:tr>
      <w:tr w:rsidR="00BF0164" w:rsidRPr="00D614C1" w14:paraId="3605EB44" w14:textId="77777777" w:rsidTr="0006052E">
        <w:trPr>
          <w:trHeight w:val="432"/>
        </w:trPr>
        <w:tc>
          <w:tcPr>
            <w:tcW w:w="1818" w:type="pct"/>
          </w:tcPr>
          <w:p w14:paraId="14026AAA" w14:textId="77777777" w:rsidR="00BF0164" w:rsidRPr="00D614C1" w:rsidRDefault="00BF0164" w:rsidP="0006052E">
            <w:pPr>
              <w:ind w:left="253"/>
              <w:textAlignment w:val="top"/>
              <w:rPr>
                <w:color w:val="000000"/>
                <w:sz w:val="20"/>
                <w:szCs w:val="20"/>
              </w:rPr>
            </w:pPr>
            <w:r w:rsidRPr="00D614C1">
              <w:rPr>
                <w:color w:val="000000"/>
                <w:sz w:val="20"/>
                <w:szCs w:val="20"/>
              </w:rPr>
              <w:t>Advanced Placement Enrollment</w:t>
            </w:r>
          </w:p>
        </w:tc>
        <w:tc>
          <w:tcPr>
            <w:tcW w:w="3182" w:type="pct"/>
          </w:tcPr>
          <w:p w14:paraId="3BC2AA24" w14:textId="77777777" w:rsidR="00BF0164" w:rsidRPr="00D614C1" w:rsidRDefault="00BF0164" w:rsidP="0006052E">
            <w:pPr>
              <w:textAlignment w:val="top"/>
              <w:rPr>
                <w:color w:val="000000"/>
                <w:sz w:val="20"/>
                <w:szCs w:val="20"/>
              </w:rPr>
            </w:pPr>
            <w:r w:rsidRPr="00D614C1">
              <w:rPr>
                <w:color w:val="000000"/>
                <w:sz w:val="20"/>
                <w:szCs w:val="20"/>
              </w:rPr>
              <w:t>Ratio of students enrolled in at least one AP course to the number of 11</w:t>
            </w:r>
            <w:r w:rsidRPr="00D614C1">
              <w:rPr>
                <w:color w:val="000000"/>
                <w:sz w:val="20"/>
                <w:szCs w:val="20"/>
                <w:vertAlign w:val="superscript"/>
              </w:rPr>
              <w:t>th</w:t>
            </w:r>
            <w:r w:rsidRPr="00D614C1">
              <w:rPr>
                <w:color w:val="000000"/>
                <w:sz w:val="20"/>
                <w:szCs w:val="20"/>
              </w:rPr>
              <w:t xml:space="preserve"> and 12</w:t>
            </w:r>
            <w:r w:rsidRPr="00D614C1">
              <w:rPr>
                <w:color w:val="000000"/>
                <w:sz w:val="20"/>
                <w:szCs w:val="20"/>
                <w:vertAlign w:val="superscript"/>
              </w:rPr>
              <w:t>th</w:t>
            </w:r>
            <w:r w:rsidRPr="00D614C1">
              <w:rPr>
                <w:color w:val="000000"/>
                <w:sz w:val="20"/>
                <w:szCs w:val="20"/>
              </w:rPr>
              <w:t xml:space="preserve"> grade students.</w:t>
            </w:r>
          </w:p>
        </w:tc>
      </w:tr>
      <w:tr w:rsidR="00BF0164" w:rsidRPr="00D614C1" w14:paraId="218D4D98" w14:textId="77777777" w:rsidTr="0006052E">
        <w:trPr>
          <w:trHeight w:val="432"/>
        </w:trPr>
        <w:tc>
          <w:tcPr>
            <w:tcW w:w="1818" w:type="pct"/>
          </w:tcPr>
          <w:p w14:paraId="1C1F4E6C" w14:textId="77777777" w:rsidR="00BF0164" w:rsidRPr="00D614C1" w:rsidRDefault="00BF0164" w:rsidP="0006052E">
            <w:pPr>
              <w:ind w:left="253"/>
              <w:textAlignment w:val="top"/>
              <w:rPr>
                <w:color w:val="000000"/>
                <w:sz w:val="20"/>
                <w:szCs w:val="20"/>
              </w:rPr>
            </w:pPr>
            <w:r w:rsidRPr="00D614C1">
              <w:rPr>
                <w:color w:val="000000"/>
                <w:sz w:val="20"/>
                <w:szCs w:val="20"/>
              </w:rPr>
              <w:t>College enrollment in nearby institutions</w:t>
            </w:r>
          </w:p>
        </w:tc>
        <w:tc>
          <w:tcPr>
            <w:tcW w:w="3182" w:type="pct"/>
          </w:tcPr>
          <w:p w14:paraId="781039FB" w14:textId="77777777" w:rsidR="00BF0164" w:rsidRPr="00D614C1" w:rsidRDefault="00BF0164" w:rsidP="0006052E">
            <w:pPr>
              <w:textAlignment w:val="top"/>
              <w:rPr>
                <w:color w:val="000000"/>
                <w:sz w:val="20"/>
                <w:szCs w:val="20"/>
              </w:rPr>
            </w:pPr>
            <w:r w:rsidRPr="00D614C1">
              <w:rPr>
                <w:color w:val="000000"/>
                <w:sz w:val="20"/>
                <w:szCs w:val="20"/>
              </w:rPr>
              <w:t>Percentage of college-aged students enrolled in college within a 25-mile radius.</w:t>
            </w:r>
          </w:p>
        </w:tc>
      </w:tr>
      <w:tr w:rsidR="00BF0164" w:rsidRPr="00D614C1" w14:paraId="0D188C73" w14:textId="77777777" w:rsidTr="0006052E">
        <w:trPr>
          <w:trHeight w:val="432"/>
        </w:trPr>
        <w:tc>
          <w:tcPr>
            <w:tcW w:w="1818" w:type="pct"/>
          </w:tcPr>
          <w:p w14:paraId="44E679FD" w14:textId="77777777" w:rsidR="00BF0164" w:rsidRPr="00D614C1" w:rsidRDefault="00BF0164" w:rsidP="0006052E">
            <w:pPr>
              <w:ind w:left="253"/>
              <w:textAlignment w:val="top"/>
              <w:rPr>
                <w:color w:val="000000"/>
                <w:sz w:val="20"/>
                <w:szCs w:val="20"/>
              </w:rPr>
            </w:pPr>
            <w:r w:rsidRPr="00D614C1">
              <w:rPr>
                <w:color w:val="000000"/>
                <w:sz w:val="20"/>
                <w:szCs w:val="20"/>
              </w:rPr>
              <w:t>School poverty</w:t>
            </w:r>
          </w:p>
        </w:tc>
        <w:tc>
          <w:tcPr>
            <w:tcW w:w="3182" w:type="pct"/>
          </w:tcPr>
          <w:p w14:paraId="58E2BA79" w14:textId="77777777" w:rsidR="00BF0164" w:rsidRPr="00D614C1" w:rsidRDefault="00BF0164" w:rsidP="0006052E">
            <w:pPr>
              <w:textAlignment w:val="top"/>
              <w:rPr>
                <w:color w:val="000000"/>
                <w:sz w:val="20"/>
                <w:szCs w:val="20"/>
              </w:rPr>
            </w:pPr>
            <w:r w:rsidRPr="00D614C1">
              <w:rPr>
                <w:color w:val="000000"/>
                <w:sz w:val="20"/>
                <w:szCs w:val="20"/>
              </w:rPr>
              <w:t xml:space="preserve">Percentage of students eligible for free or reduced-price lunches (reversed). </w:t>
            </w:r>
          </w:p>
        </w:tc>
      </w:tr>
      <w:tr w:rsidR="00BF0164" w:rsidRPr="00D614C1" w14:paraId="7A35BCEF" w14:textId="77777777" w:rsidTr="0006052E">
        <w:trPr>
          <w:trHeight w:val="432"/>
        </w:trPr>
        <w:tc>
          <w:tcPr>
            <w:tcW w:w="1818" w:type="pct"/>
            <w:tcBorders>
              <w:bottom w:val="nil"/>
            </w:tcBorders>
          </w:tcPr>
          <w:p w14:paraId="01D0DF1D" w14:textId="77777777" w:rsidR="00BF0164" w:rsidRPr="00D614C1" w:rsidRDefault="00BF0164" w:rsidP="0006052E">
            <w:pPr>
              <w:ind w:left="253"/>
              <w:textAlignment w:val="top"/>
              <w:rPr>
                <w:color w:val="000000"/>
                <w:sz w:val="20"/>
                <w:szCs w:val="20"/>
              </w:rPr>
            </w:pPr>
            <w:r w:rsidRPr="00D614C1">
              <w:rPr>
                <w:color w:val="000000"/>
                <w:sz w:val="20"/>
                <w:szCs w:val="20"/>
              </w:rPr>
              <w:t>Teacher experience</w:t>
            </w:r>
          </w:p>
        </w:tc>
        <w:tc>
          <w:tcPr>
            <w:tcW w:w="3182" w:type="pct"/>
            <w:tcBorders>
              <w:bottom w:val="nil"/>
            </w:tcBorders>
          </w:tcPr>
          <w:p w14:paraId="450C0C04" w14:textId="77777777" w:rsidR="00BF0164" w:rsidRPr="00D614C1" w:rsidRDefault="00BF0164" w:rsidP="0006052E">
            <w:pPr>
              <w:textAlignment w:val="top"/>
              <w:rPr>
                <w:color w:val="000000"/>
                <w:sz w:val="20"/>
                <w:szCs w:val="20"/>
              </w:rPr>
            </w:pPr>
            <w:r w:rsidRPr="00D614C1">
              <w:rPr>
                <w:color w:val="000000"/>
                <w:sz w:val="20"/>
                <w:szCs w:val="20"/>
              </w:rPr>
              <w:t>Percentage of teachers within their first or second year (reversed).</w:t>
            </w:r>
          </w:p>
        </w:tc>
      </w:tr>
      <w:tr w:rsidR="00BF0164" w:rsidRPr="00D614C1" w14:paraId="38661AE6" w14:textId="77777777" w:rsidTr="0006052E">
        <w:trPr>
          <w:trHeight w:val="432"/>
        </w:trPr>
        <w:tc>
          <w:tcPr>
            <w:tcW w:w="1818" w:type="pct"/>
            <w:tcBorders>
              <w:top w:val="nil"/>
              <w:bottom w:val="nil"/>
            </w:tcBorders>
          </w:tcPr>
          <w:p w14:paraId="7A9E189A" w14:textId="77777777" w:rsidR="00BF0164" w:rsidRPr="00D614C1" w:rsidRDefault="00BF0164" w:rsidP="0006052E">
            <w:pPr>
              <w:ind w:left="253"/>
              <w:textAlignment w:val="top"/>
              <w:rPr>
                <w:color w:val="000000"/>
                <w:sz w:val="20"/>
                <w:szCs w:val="20"/>
              </w:rPr>
            </w:pPr>
            <w:r w:rsidRPr="00D614C1">
              <w:rPr>
                <w:color w:val="000000"/>
                <w:sz w:val="20"/>
                <w:szCs w:val="20"/>
              </w:rPr>
              <w:t>Adult education attainment</w:t>
            </w:r>
          </w:p>
        </w:tc>
        <w:tc>
          <w:tcPr>
            <w:tcW w:w="3182" w:type="pct"/>
            <w:tcBorders>
              <w:top w:val="nil"/>
              <w:bottom w:val="nil"/>
            </w:tcBorders>
          </w:tcPr>
          <w:p w14:paraId="1E22CED9" w14:textId="77777777" w:rsidR="00BF0164" w:rsidRPr="00D614C1" w:rsidRDefault="00BF0164" w:rsidP="0006052E">
            <w:pPr>
              <w:textAlignment w:val="top"/>
              <w:rPr>
                <w:color w:val="000000"/>
                <w:sz w:val="20"/>
                <w:szCs w:val="20"/>
              </w:rPr>
            </w:pPr>
            <w:r w:rsidRPr="00D614C1">
              <w:rPr>
                <w:color w:val="000000"/>
                <w:sz w:val="20"/>
                <w:szCs w:val="20"/>
              </w:rPr>
              <w:t>Percentage of adults aged 25 or older with a college degree or higher.</w:t>
            </w:r>
          </w:p>
        </w:tc>
      </w:tr>
      <w:tr w:rsidR="00BF0164" w:rsidRPr="00D614C1" w14:paraId="0CAC9989" w14:textId="77777777" w:rsidTr="0006052E">
        <w:trPr>
          <w:trHeight w:val="432"/>
        </w:trPr>
        <w:tc>
          <w:tcPr>
            <w:tcW w:w="4999" w:type="pct"/>
            <w:gridSpan w:val="2"/>
            <w:tcBorders>
              <w:top w:val="nil"/>
              <w:bottom w:val="nil"/>
            </w:tcBorders>
          </w:tcPr>
          <w:p w14:paraId="4022A8A5" w14:textId="77777777" w:rsidR="00BF0164" w:rsidRPr="00D614C1" w:rsidRDefault="00BF0164" w:rsidP="0006052E">
            <w:pPr>
              <w:textAlignment w:val="top"/>
              <w:rPr>
                <w:i/>
                <w:iCs/>
                <w:color w:val="000000"/>
                <w:sz w:val="20"/>
                <w:szCs w:val="20"/>
              </w:rPr>
            </w:pPr>
            <w:r w:rsidRPr="00D614C1">
              <w:rPr>
                <w:i/>
                <w:iCs/>
                <w:color w:val="000000"/>
                <w:sz w:val="20"/>
                <w:szCs w:val="20"/>
              </w:rPr>
              <w:t>Health and Environment</w:t>
            </w:r>
          </w:p>
        </w:tc>
      </w:tr>
      <w:tr w:rsidR="00BF0164" w:rsidRPr="00D614C1" w14:paraId="5227206C" w14:textId="77777777" w:rsidTr="0006052E">
        <w:trPr>
          <w:trHeight w:val="432"/>
        </w:trPr>
        <w:tc>
          <w:tcPr>
            <w:tcW w:w="1818" w:type="pct"/>
            <w:tcBorders>
              <w:top w:val="nil"/>
              <w:bottom w:val="nil"/>
            </w:tcBorders>
          </w:tcPr>
          <w:p w14:paraId="548ADD35" w14:textId="77777777" w:rsidR="00BF0164" w:rsidRPr="00D614C1" w:rsidRDefault="00BF0164" w:rsidP="0006052E">
            <w:pPr>
              <w:ind w:left="253"/>
              <w:textAlignment w:val="top"/>
              <w:rPr>
                <w:color w:val="000000"/>
                <w:sz w:val="20"/>
                <w:szCs w:val="20"/>
              </w:rPr>
            </w:pPr>
            <w:r w:rsidRPr="00D614C1">
              <w:rPr>
                <w:color w:val="000000"/>
                <w:sz w:val="20"/>
                <w:szCs w:val="20"/>
              </w:rPr>
              <w:t>Access to healthy foods</w:t>
            </w:r>
          </w:p>
        </w:tc>
        <w:tc>
          <w:tcPr>
            <w:tcW w:w="3182" w:type="pct"/>
            <w:tcBorders>
              <w:top w:val="nil"/>
              <w:bottom w:val="nil"/>
            </w:tcBorders>
          </w:tcPr>
          <w:p w14:paraId="6E551C2F" w14:textId="77777777" w:rsidR="00BF0164" w:rsidRPr="00D614C1" w:rsidRDefault="00BF0164" w:rsidP="0006052E">
            <w:pPr>
              <w:textAlignment w:val="top"/>
              <w:rPr>
                <w:color w:val="000000"/>
                <w:sz w:val="20"/>
                <w:szCs w:val="20"/>
              </w:rPr>
            </w:pPr>
            <w:r w:rsidRPr="00D614C1">
              <w:rPr>
                <w:color w:val="000000"/>
                <w:sz w:val="20"/>
                <w:szCs w:val="20"/>
              </w:rPr>
              <w:t>Percentage of households without a car located further than a half-mile from the nearest supermarket (reversed).</w:t>
            </w:r>
          </w:p>
        </w:tc>
      </w:tr>
      <w:tr w:rsidR="00BF0164" w:rsidRPr="00D614C1" w14:paraId="09BA3A26" w14:textId="77777777" w:rsidTr="0006052E">
        <w:trPr>
          <w:trHeight w:val="432"/>
        </w:trPr>
        <w:tc>
          <w:tcPr>
            <w:tcW w:w="1818" w:type="pct"/>
            <w:tcBorders>
              <w:top w:val="nil"/>
              <w:bottom w:val="nil"/>
            </w:tcBorders>
          </w:tcPr>
          <w:p w14:paraId="4213B7E9" w14:textId="77777777" w:rsidR="00BF0164" w:rsidRPr="00D614C1" w:rsidRDefault="00BF0164" w:rsidP="0006052E">
            <w:pPr>
              <w:ind w:left="253"/>
              <w:textAlignment w:val="top"/>
              <w:rPr>
                <w:color w:val="000000"/>
                <w:sz w:val="20"/>
                <w:szCs w:val="20"/>
              </w:rPr>
            </w:pPr>
            <w:r w:rsidRPr="00D614C1">
              <w:rPr>
                <w:color w:val="000000"/>
                <w:sz w:val="20"/>
                <w:szCs w:val="20"/>
              </w:rPr>
              <w:t>Access to green space</w:t>
            </w:r>
          </w:p>
        </w:tc>
        <w:tc>
          <w:tcPr>
            <w:tcW w:w="3182" w:type="pct"/>
            <w:tcBorders>
              <w:top w:val="nil"/>
              <w:bottom w:val="nil"/>
            </w:tcBorders>
          </w:tcPr>
          <w:p w14:paraId="098335F9" w14:textId="77777777" w:rsidR="00BF0164" w:rsidRPr="00D614C1" w:rsidRDefault="00BF0164" w:rsidP="0006052E">
            <w:pPr>
              <w:textAlignment w:val="top"/>
              <w:rPr>
                <w:color w:val="000000"/>
                <w:sz w:val="20"/>
                <w:szCs w:val="20"/>
              </w:rPr>
            </w:pPr>
            <w:r w:rsidRPr="00D614C1">
              <w:rPr>
                <w:color w:val="000000"/>
                <w:sz w:val="20"/>
                <w:szCs w:val="20"/>
              </w:rPr>
              <w:t>Percentage of impenetrable surface areas (e.g., rooftops, roads, parking lots; reversed).</w:t>
            </w:r>
          </w:p>
        </w:tc>
      </w:tr>
      <w:tr w:rsidR="00BF0164" w:rsidRPr="00D614C1" w14:paraId="36BB2F12" w14:textId="77777777" w:rsidTr="0006052E">
        <w:trPr>
          <w:trHeight w:val="432"/>
        </w:trPr>
        <w:tc>
          <w:tcPr>
            <w:tcW w:w="1818" w:type="pct"/>
            <w:tcBorders>
              <w:top w:val="nil"/>
              <w:bottom w:val="nil"/>
            </w:tcBorders>
          </w:tcPr>
          <w:p w14:paraId="4855691E" w14:textId="77777777" w:rsidR="00BF0164" w:rsidRPr="00D614C1" w:rsidRDefault="00BF0164" w:rsidP="0006052E">
            <w:pPr>
              <w:ind w:left="253"/>
              <w:textAlignment w:val="top"/>
              <w:rPr>
                <w:color w:val="000000"/>
                <w:sz w:val="20"/>
                <w:szCs w:val="20"/>
              </w:rPr>
            </w:pPr>
            <w:r w:rsidRPr="00D614C1">
              <w:rPr>
                <w:color w:val="000000"/>
                <w:sz w:val="20"/>
                <w:szCs w:val="20"/>
              </w:rPr>
              <w:t xml:space="preserve">Walkability </w:t>
            </w:r>
          </w:p>
        </w:tc>
        <w:tc>
          <w:tcPr>
            <w:tcW w:w="3182" w:type="pct"/>
            <w:tcBorders>
              <w:top w:val="nil"/>
              <w:bottom w:val="nil"/>
            </w:tcBorders>
          </w:tcPr>
          <w:p w14:paraId="0FAE8F46" w14:textId="77777777" w:rsidR="00BF0164" w:rsidRPr="00D614C1" w:rsidRDefault="00BF0164" w:rsidP="0006052E">
            <w:pPr>
              <w:textAlignment w:val="top"/>
              <w:rPr>
                <w:color w:val="000000"/>
                <w:sz w:val="20"/>
                <w:szCs w:val="20"/>
              </w:rPr>
            </w:pPr>
            <w:r w:rsidRPr="00D614C1">
              <w:rPr>
                <w:color w:val="000000"/>
                <w:sz w:val="20"/>
                <w:szCs w:val="20"/>
              </w:rPr>
              <w:t>EPA Walkability Index</w:t>
            </w:r>
          </w:p>
        </w:tc>
      </w:tr>
      <w:tr w:rsidR="00BF0164" w:rsidRPr="00D614C1" w14:paraId="7F84DD57" w14:textId="77777777" w:rsidTr="0006052E">
        <w:trPr>
          <w:trHeight w:val="432"/>
        </w:trPr>
        <w:tc>
          <w:tcPr>
            <w:tcW w:w="1818" w:type="pct"/>
            <w:tcBorders>
              <w:top w:val="nil"/>
              <w:bottom w:val="nil"/>
            </w:tcBorders>
          </w:tcPr>
          <w:p w14:paraId="460999AF" w14:textId="77777777" w:rsidR="00BF0164" w:rsidRPr="00D614C1" w:rsidRDefault="00BF0164" w:rsidP="0006052E">
            <w:pPr>
              <w:ind w:left="253"/>
              <w:textAlignment w:val="top"/>
              <w:rPr>
                <w:color w:val="000000"/>
                <w:sz w:val="20"/>
                <w:szCs w:val="20"/>
              </w:rPr>
            </w:pPr>
            <w:r w:rsidRPr="00D614C1">
              <w:rPr>
                <w:color w:val="000000"/>
                <w:sz w:val="20"/>
                <w:szCs w:val="20"/>
              </w:rPr>
              <w:t>Housing vacancy rate</w:t>
            </w:r>
          </w:p>
        </w:tc>
        <w:tc>
          <w:tcPr>
            <w:tcW w:w="3182" w:type="pct"/>
            <w:tcBorders>
              <w:top w:val="nil"/>
              <w:bottom w:val="nil"/>
            </w:tcBorders>
          </w:tcPr>
          <w:p w14:paraId="7959A7BC" w14:textId="77777777" w:rsidR="00BF0164" w:rsidRPr="00D614C1" w:rsidRDefault="00BF0164" w:rsidP="0006052E">
            <w:pPr>
              <w:textAlignment w:val="top"/>
              <w:rPr>
                <w:color w:val="000000"/>
                <w:sz w:val="20"/>
                <w:szCs w:val="20"/>
              </w:rPr>
            </w:pPr>
            <w:r w:rsidRPr="00D614C1">
              <w:rPr>
                <w:color w:val="000000"/>
                <w:sz w:val="20"/>
                <w:szCs w:val="20"/>
              </w:rPr>
              <w:t>Percentage of vacant housing units (reversed).</w:t>
            </w:r>
          </w:p>
        </w:tc>
      </w:tr>
      <w:tr w:rsidR="00BF0164" w:rsidRPr="00D614C1" w14:paraId="6A3263CA" w14:textId="77777777" w:rsidTr="0006052E">
        <w:trPr>
          <w:trHeight w:val="432"/>
        </w:trPr>
        <w:tc>
          <w:tcPr>
            <w:tcW w:w="4999" w:type="pct"/>
            <w:gridSpan w:val="2"/>
            <w:tcBorders>
              <w:top w:val="nil"/>
              <w:bottom w:val="nil"/>
            </w:tcBorders>
          </w:tcPr>
          <w:p w14:paraId="272C5129" w14:textId="77777777" w:rsidR="00BF0164" w:rsidRPr="00D614C1" w:rsidRDefault="00BF0164" w:rsidP="0006052E">
            <w:pPr>
              <w:textAlignment w:val="top"/>
              <w:rPr>
                <w:color w:val="000000"/>
                <w:sz w:val="20"/>
                <w:szCs w:val="20"/>
              </w:rPr>
            </w:pPr>
            <w:r w:rsidRPr="00D614C1">
              <w:rPr>
                <w:i/>
                <w:iCs/>
                <w:color w:val="000000"/>
                <w:sz w:val="20"/>
                <w:szCs w:val="20"/>
              </w:rPr>
              <w:t xml:space="preserve">Social and Economic </w:t>
            </w:r>
          </w:p>
        </w:tc>
      </w:tr>
      <w:tr w:rsidR="00BF0164" w:rsidRPr="00D614C1" w14:paraId="0BAF00C8" w14:textId="77777777" w:rsidTr="0006052E">
        <w:trPr>
          <w:trHeight w:val="82"/>
        </w:trPr>
        <w:tc>
          <w:tcPr>
            <w:tcW w:w="1818" w:type="pct"/>
            <w:tcBorders>
              <w:top w:val="nil"/>
              <w:bottom w:val="nil"/>
            </w:tcBorders>
          </w:tcPr>
          <w:p w14:paraId="2A2B2AAE" w14:textId="77777777" w:rsidR="00BF0164" w:rsidRPr="00D614C1" w:rsidRDefault="00BF0164" w:rsidP="0006052E">
            <w:pPr>
              <w:ind w:left="253"/>
              <w:textAlignment w:val="top"/>
              <w:rPr>
                <w:color w:val="000000"/>
                <w:sz w:val="20"/>
                <w:szCs w:val="20"/>
              </w:rPr>
            </w:pPr>
            <w:r w:rsidRPr="00D614C1">
              <w:rPr>
                <w:color w:val="000000"/>
                <w:sz w:val="20"/>
                <w:szCs w:val="20"/>
              </w:rPr>
              <w:t>Poverty rate</w:t>
            </w:r>
          </w:p>
        </w:tc>
        <w:tc>
          <w:tcPr>
            <w:tcW w:w="3182" w:type="pct"/>
            <w:tcBorders>
              <w:top w:val="nil"/>
              <w:bottom w:val="nil"/>
            </w:tcBorders>
          </w:tcPr>
          <w:p w14:paraId="55111712" w14:textId="77777777" w:rsidR="00BF0164" w:rsidRPr="00D614C1" w:rsidRDefault="00BF0164" w:rsidP="0006052E">
            <w:pPr>
              <w:textAlignment w:val="top"/>
              <w:rPr>
                <w:color w:val="000000"/>
                <w:sz w:val="20"/>
                <w:szCs w:val="20"/>
              </w:rPr>
            </w:pPr>
            <w:r w:rsidRPr="00D614C1">
              <w:rPr>
                <w:color w:val="000000"/>
                <w:sz w:val="20"/>
                <w:szCs w:val="20"/>
              </w:rPr>
              <w:t>Percentage of individuals whose household income is below the federal poverty threshold (reversed).</w:t>
            </w:r>
          </w:p>
        </w:tc>
      </w:tr>
      <w:tr w:rsidR="00BF0164" w:rsidRPr="00D614C1" w14:paraId="545CBD3B" w14:textId="77777777" w:rsidTr="0006052E">
        <w:trPr>
          <w:trHeight w:val="432"/>
        </w:trPr>
        <w:tc>
          <w:tcPr>
            <w:tcW w:w="1818" w:type="pct"/>
            <w:tcBorders>
              <w:top w:val="nil"/>
            </w:tcBorders>
          </w:tcPr>
          <w:p w14:paraId="53BDBA11" w14:textId="77777777" w:rsidR="00BF0164" w:rsidRPr="00D614C1" w:rsidRDefault="00BF0164" w:rsidP="0006052E">
            <w:pPr>
              <w:ind w:left="253"/>
              <w:textAlignment w:val="top"/>
              <w:rPr>
                <w:color w:val="000000"/>
                <w:sz w:val="20"/>
                <w:szCs w:val="20"/>
              </w:rPr>
            </w:pPr>
            <w:r w:rsidRPr="00D614C1">
              <w:rPr>
                <w:color w:val="000000"/>
                <w:sz w:val="20"/>
                <w:szCs w:val="20"/>
              </w:rPr>
              <w:t>Public assistance rate</w:t>
            </w:r>
          </w:p>
        </w:tc>
        <w:tc>
          <w:tcPr>
            <w:tcW w:w="3182" w:type="pct"/>
            <w:tcBorders>
              <w:top w:val="nil"/>
            </w:tcBorders>
          </w:tcPr>
          <w:p w14:paraId="30980DF8" w14:textId="77777777" w:rsidR="00BF0164" w:rsidRPr="00D614C1" w:rsidRDefault="00BF0164" w:rsidP="0006052E">
            <w:pPr>
              <w:textAlignment w:val="top"/>
              <w:rPr>
                <w:color w:val="000000"/>
                <w:sz w:val="20"/>
                <w:szCs w:val="20"/>
              </w:rPr>
            </w:pPr>
            <w:r w:rsidRPr="00D614C1">
              <w:rPr>
                <w:color w:val="000000"/>
                <w:sz w:val="20"/>
                <w:szCs w:val="20"/>
              </w:rPr>
              <w:t>Percentage of households receiving cash public assistance or Food Stamps (reversed).</w:t>
            </w:r>
          </w:p>
        </w:tc>
      </w:tr>
      <w:tr w:rsidR="00BF0164" w:rsidRPr="00D614C1" w14:paraId="69C5E514" w14:textId="77777777" w:rsidTr="0006052E">
        <w:trPr>
          <w:trHeight w:val="432"/>
        </w:trPr>
        <w:tc>
          <w:tcPr>
            <w:tcW w:w="1818" w:type="pct"/>
          </w:tcPr>
          <w:p w14:paraId="04D46DFC" w14:textId="77777777" w:rsidR="00BF0164" w:rsidRPr="00D614C1" w:rsidRDefault="00BF0164" w:rsidP="0006052E">
            <w:pPr>
              <w:ind w:left="253"/>
              <w:textAlignment w:val="top"/>
              <w:rPr>
                <w:color w:val="000000"/>
                <w:sz w:val="20"/>
                <w:szCs w:val="20"/>
              </w:rPr>
            </w:pPr>
            <w:r w:rsidRPr="00D614C1">
              <w:rPr>
                <w:color w:val="000000"/>
                <w:sz w:val="20"/>
                <w:szCs w:val="20"/>
              </w:rPr>
              <w:t>Homeownership rate</w:t>
            </w:r>
          </w:p>
        </w:tc>
        <w:tc>
          <w:tcPr>
            <w:tcW w:w="3182" w:type="pct"/>
          </w:tcPr>
          <w:p w14:paraId="648BFF16" w14:textId="77777777" w:rsidR="00BF0164" w:rsidRPr="00D614C1" w:rsidRDefault="00BF0164" w:rsidP="0006052E">
            <w:pPr>
              <w:textAlignment w:val="top"/>
              <w:rPr>
                <w:color w:val="000000"/>
                <w:sz w:val="20"/>
                <w:szCs w:val="20"/>
              </w:rPr>
            </w:pPr>
            <w:r w:rsidRPr="00D614C1">
              <w:rPr>
                <w:color w:val="000000"/>
                <w:sz w:val="20"/>
                <w:szCs w:val="20"/>
              </w:rPr>
              <w:t>Percentage of owner-occupied housing units.</w:t>
            </w:r>
          </w:p>
        </w:tc>
      </w:tr>
      <w:tr w:rsidR="00BF0164" w:rsidRPr="00D614C1" w14:paraId="4AE1AC34" w14:textId="77777777" w:rsidTr="0006052E">
        <w:trPr>
          <w:trHeight w:val="432"/>
        </w:trPr>
        <w:tc>
          <w:tcPr>
            <w:tcW w:w="1818" w:type="pct"/>
          </w:tcPr>
          <w:p w14:paraId="67F2144B" w14:textId="77777777" w:rsidR="00BF0164" w:rsidRPr="00D614C1" w:rsidRDefault="00BF0164" w:rsidP="0006052E">
            <w:pPr>
              <w:ind w:left="253"/>
              <w:textAlignment w:val="top"/>
              <w:rPr>
                <w:color w:val="000000"/>
                <w:sz w:val="20"/>
                <w:szCs w:val="20"/>
              </w:rPr>
            </w:pPr>
            <w:r w:rsidRPr="00D614C1">
              <w:rPr>
                <w:color w:val="000000"/>
                <w:sz w:val="20"/>
                <w:szCs w:val="20"/>
              </w:rPr>
              <w:t>High-skill employment rate</w:t>
            </w:r>
          </w:p>
        </w:tc>
        <w:tc>
          <w:tcPr>
            <w:tcW w:w="3182" w:type="pct"/>
          </w:tcPr>
          <w:p w14:paraId="4D016DE4" w14:textId="77777777" w:rsidR="00BF0164" w:rsidRPr="00D614C1" w:rsidRDefault="00BF0164" w:rsidP="0006052E">
            <w:pPr>
              <w:textAlignment w:val="top"/>
              <w:rPr>
                <w:color w:val="000000"/>
                <w:sz w:val="20"/>
                <w:szCs w:val="20"/>
              </w:rPr>
            </w:pPr>
            <w:r w:rsidRPr="00D614C1">
              <w:rPr>
                <w:color w:val="000000"/>
                <w:sz w:val="20"/>
                <w:szCs w:val="20"/>
              </w:rPr>
              <w:t>Percentage of individuals aged 16 or older who are over employed in high-skill occupations such as management, business, finance, science, education, engineering, community service, and more.</w:t>
            </w:r>
          </w:p>
        </w:tc>
      </w:tr>
      <w:tr w:rsidR="00BF0164" w:rsidRPr="00D614C1" w14:paraId="0788AF48" w14:textId="77777777" w:rsidTr="0006052E">
        <w:trPr>
          <w:trHeight w:val="432"/>
        </w:trPr>
        <w:tc>
          <w:tcPr>
            <w:tcW w:w="1818" w:type="pct"/>
          </w:tcPr>
          <w:p w14:paraId="4E9821B4" w14:textId="77777777" w:rsidR="00BF0164" w:rsidRPr="00D614C1" w:rsidRDefault="00BF0164" w:rsidP="0006052E">
            <w:pPr>
              <w:ind w:left="253"/>
              <w:textAlignment w:val="top"/>
              <w:rPr>
                <w:color w:val="000000"/>
                <w:sz w:val="20"/>
                <w:szCs w:val="20"/>
              </w:rPr>
            </w:pPr>
            <w:r w:rsidRPr="00D614C1">
              <w:rPr>
                <w:color w:val="000000"/>
                <w:sz w:val="20"/>
                <w:szCs w:val="20"/>
              </w:rPr>
              <w:t>Median household income</w:t>
            </w:r>
          </w:p>
        </w:tc>
        <w:tc>
          <w:tcPr>
            <w:tcW w:w="3182" w:type="pct"/>
          </w:tcPr>
          <w:p w14:paraId="3D51D5ED" w14:textId="77777777" w:rsidR="00BF0164" w:rsidRPr="00D614C1" w:rsidRDefault="00BF0164" w:rsidP="0006052E">
            <w:pPr>
              <w:textAlignment w:val="top"/>
              <w:rPr>
                <w:color w:val="000000"/>
                <w:sz w:val="20"/>
                <w:szCs w:val="20"/>
              </w:rPr>
            </w:pPr>
            <w:r w:rsidRPr="00D614C1">
              <w:rPr>
                <w:color w:val="000000"/>
                <w:sz w:val="20"/>
                <w:szCs w:val="20"/>
              </w:rPr>
              <w:t>Median household income.</w:t>
            </w:r>
          </w:p>
        </w:tc>
      </w:tr>
      <w:tr w:rsidR="00BF0164" w:rsidRPr="00D614C1" w14:paraId="3F86FBE9" w14:textId="77777777" w:rsidTr="0006052E">
        <w:trPr>
          <w:trHeight w:val="432"/>
        </w:trPr>
        <w:tc>
          <w:tcPr>
            <w:tcW w:w="1818" w:type="pct"/>
          </w:tcPr>
          <w:p w14:paraId="21B909E4" w14:textId="77777777" w:rsidR="00BF0164" w:rsidRPr="00D614C1" w:rsidRDefault="00BF0164" w:rsidP="0006052E">
            <w:pPr>
              <w:ind w:left="253"/>
              <w:textAlignment w:val="top"/>
              <w:rPr>
                <w:color w:val="000000"/>
                <w:sz w:val="20"/>
                <w:szCs w:val="20"/>
              </w:rPr>
            </w:pPr>
            <w:r w:rsidRPr="00D614C1">
              <w:rPr>
                <w:color w:val="000000"/>
                <w:sz w:val="20"/>
                <w:szCs w:val="20"/>
              </w:rPr>
              <w:t>Single-headed households</w:t>
            </w:r>
          </w:p>
        </w:tc>
        <w:tc>
          <w:tcPr>
            <w:tcW w:w="3182" w:type="pct"/>
          </w:tcPr>
          <w:p w14:paraId="52BD3429" w14:textId="77777777" w:rsidR="00BF0164" w:rsidRPr="00D614C1" w:rsidRDefault="00BF0164" w:rsidP="0006052E">
            <w:pPr>
              <w:textAlignment w:val="top"/>
              <w:rPr>
                <w:color w:val="000000"/>
                <w:sz w:val="20"/>
                <w:szCs w:val="20"/>
              </w:rPr>
            </w:pPr>
            <w:r w:rsidRPr="00D614C1">
              <w:rPr>
                <w:color w:val="000000"/>
                <w:sz w:val="20"/>
                <w:szCs w:val="20"/>
              </w:rPr>
              <w:t xml:space="preserve">Percentage of family households that are </w:t>
            </w:r>
            <w:proofErr w:type="gramStart"/>
            <w:r w:rsidRPr="00D614C1">
              <w:rPr>
                <w:color w:val="000000"/>
                <w:sz w:val="20"/>
                <w:szCs w:val="20"/>
              </w:rPr>
              <w:t>single-parent</w:t>
            </w:r>
            <w:proofErr w:type="gramEnd"/>
            <w:r w:rsidRPr="00D614C1">
              <w:rPr>
                <w:color w:val="000000"/>
                <w:sz w:val="20"/>
                <w:szCs w:val="20"/>
              </w:rPr>
              <w:t xml:space="preserve"> headed (reversed).</w:t>
            </w:r>
          </w:p>
        </w:tc>
      </w:tr>
    </w:tbl>
    <w:p w14:paraId="387AEC84" w14:textId="77777777" w:rsidR="00BF0164" w:rsidRPr="00D614C1" w:rsidRDefault="00BF0164" w:rsidP="00BF0164">
      <w:pPr>
        <w:pStyle w:val="Bibliography"/>
        <w:rPr>
          <w:sz w:val="20"/>
          <w:szCs w:val="20"/>
        </w:rPr>
      </w:pPr>
      <w:r w:rsidRPr="00D614C1">
        <w:rPr>
          <w:i/>
          <w:iCs/>
          <w:color w:val="000000" w:themeColor="text1"/>
          <w:sz w:val="20"/>
          <w:szCs w:val="20"/>
        </w:rPr>
        <w:lastRenderedPageBreak/>
        <w:t xml:space="preserve">Note. </w:t>
      </w:r>
      <w:r w:rsidRPr="00D614C1">
        <w:rPr>
          <w:sz w:val="20"/>
          <w:szCs w:val="20"/>
        </w:rPr>
        <w:t xml:space="preserve">This table was abstracted from the Childhood Opportunity Index technical document and modified for simplicity </w:t>
      </w:r>
      <w:r w:rsidRPr="00D614C1">
        <w:rPr>
          <w:noProof/>
          <w:sz w:val="20"/>
          <w:szCs w:val="20"/>
        </w:rPr>
        <w:t>(Noelke et al., 2020)</w:t>
      </w:r>
    </w:p>
    <w:p w14:paraId="306E452D" w14:textId="77777777" w:rsidR="00951711" w:rsidRDefault="00951711"/>
    <w:sectPr w:rsidR="009517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164"/>
    <w:rsid w:val="000771F9"/>
    <w:rsid w:val="005C77B7"/>
    <w:rsid w:val="00951711"/>
    <w:rsid w:val="00BF0164"/>
    <w:rsid w:val="00D3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ACC805"/>
  <w15:chartTrackingRefBased/>
  <w15:docId w15:val="{DC60AE10-E9BC-464A-B4D0-BD659105F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164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01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01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016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016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016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016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016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016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016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0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0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0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01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01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01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01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01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01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01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F0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016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F0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0164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F01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0164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F01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0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01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016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F0164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BF0164"/>
    <w:pPr>
      <w:spacing w:line="480" w:lineRule="auto"/>
      <w:ind w:left="72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369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Jessica Virginia-Marie (hty7ds)</dc:creator>
  <cp:keywords/>
  <dc:description/>
  <cp:lastModifiedBy>Smith, Jessica Virginia-Marie (hty7ds)</cp:lastModifiedBy>
  <cp:revision>1</cp:revision>
  <dcterms:created xsi:type="dcterms:W3CDTF">2024-06-29T18:12:00Z</dcterms:created>
  <dcterms:modified xsi:type="dcterms:W3CDTF">2024-06-29T18:13:00Z</dcterms:modified>
</cp:coreProperties>
</file>