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47" w:rsidRDefault="00626B47" w:rsidP="00626B47">
      <w:pPr>
        <w:wordWrap/>
        <w:spacing w:line="360" w:lineRule="auto"/>
        <w:contextualSpacing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Supplementary Fig. 1</w:t>
      </w:r>
    </w:p>
    <w:p w:rsidR="00626B47" w:rsidRDefault="00626B47" w:rsidP="00626B47">
      <w:pPr>
        <w:wordWrap/>
        <w:spacing w:line="360" w:lineRule="auto"/>
        <w:contextualSpacing/>
        <w:jc w:val="left"/>
        <w:rPr>
          <w:rFonts w:asciiTheme="majorHAnsi" w:hAnsiTheme="majorHAnsi"/>
        </w:rPr>
      </w:pPr>
    </w:p>
    <w:p w:rsidR="00626B47" w:rsidRDefault="00626B47" w:rsidP="00626B47">
      <w:pPr>
        <w:spacing w:line="36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en-US"/>
        </w:rPr>
        <w:drawing>
          <wp:inline distT="0" distB="0" distL="0" distR="0">
            <wp:extent cx="2751455" cy="4699000"/>
            <wp:effectExtent l="2540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B47" w:rsidRDefault="00626B47" w:rsidP="00626B47">
      <w:pPr>
        <w:spacing w:line="360" w:lineRule="auto"/>
        <w:rPr>
          <w:rFonts w:asciiTheme="majorHAnsi" w:hAnsiTheme="majorHAnsi"/>
          <w:b/>
        </w:rPr>
      </w:pPr>
    </w:p>
    <w:p w:rsidR="009D03F4" w:rsidRPr="00626B47" w:rsidRDefault="00626B47" w:rsidP="00626B47">
      <w:pPr>
        <w:spacing w:line="360" w:lineRule="auto"/>
        <w:rPr>
          <w:rFonts w:hAnsi="바탕" w:cs="바탕"/>
          <w:b/>
        </w:rPr>
      </w:pPr>
      <w:r>
        <w:rPr>
          <w:rFonts w:asciiTheme="majorHAnsi" w:hAnsiTheme="majorHAnsi"/>
          <w:b/>
        </w:rPr>
        <w:t xml:space="preserve">Supplementary </w:t>
      </w:r>
      <w:r w:rsidRPr="007548DA">
        <w:rPr>
          <w:rFonts w:asciiTheme="majorHAnsi" w:hAnsiTheme="majorHAnsi"/>
          <w:b/>
        </w:rPr>
        <w:t xml:space="preserve">Fig. </w:t>
      </w:r>
      <w:r>
        <w:rPr>
          <w:rFonts w:asciiTheme="majorHAnsi" w:hAnsiTheme="majorHAnsi"/>
          <w:b/>
        </w:rPr>
        <w:t>1</w:t>
      </w:r>
      <w:r w:rsidRPr="007548DA">
        <w:rPr>
          <w:rFonts w:asciiTheme="majorHAnsi" w:hAnsiTheme="majorHAnsi"/>
        </w:rPr>
        <w:t xml:space="preserve"> </w:t>
      </w:r>
      <w:r w:rsidRPr="00B13246">
        <w:rPr>
          <w:rFonts w:asciiTheme="majorHAnsi" w:hAnsiTheme="majorHAnsi"/>
        </w:rPr>
        <w:t xml:space="preserve">RGC survival and GFAP protein expression in </w:t>
      </w:r>
      <w:r w:rsidRPr="00B13246">
        <w:rPr>
          <w:rFonts w:ascii="Calibri" w:hAnsi="Calibri"/>
        </w:rPr>
        <w:t xml:space="preserve">control </w:t>
      </w:r>
      <w:r w:rsidRPr="00B13246">
        <w:rPr>
          <w:rFonts w:asciiTheme="majorHAnsi" w:hAnsiTheme="majorHAnsi"/>
        </w:rPr>
        <w:t>mice treated with control or CoQ</w:t>
      </w:r>
      <w:r w:rsidRPr="00B13246">
        <w:rPr>
          <w:rFonts w:asciiTheme="majorHAnsi" w:hAnsiTheme="majorHAnsi"/>
          <w:vertAlign w:val="subscript"/>
        </w:rPr>
        <w:t xml:space="preserve">10 </w:t>
      </w:r>
      <w:r w:rsidRPr="00B13246">
        <w:rPr>
          <w:rFonts w:asciiTheme="majorHAnsi" w:hAnsiTheme="majorHAnsi"/>
        </w:rPr>
        <w:t xml:space="preserve">diet. </w:t>
      </w:r>
      <w:proofErr w:type="spellStart"/>
      <w:r w:rsidRPr="00B13246">
        <w:rPr>
          <w:rFonts w:asciiTheme="majorHAnsi" w:hAnsiTheme="majorHAnsi" w:cs="바탕"/>
        </w:rPr>
        <w:t>Unsupplemented</w:t>
      </w:r>
      <w:proofErr w:type="spellEnd"/>
      <w:r w:rsidRPr="00B13246">
        <w:rPr>
          <w:rFonts w:asciiTheme="majorHAnsi" w:hAnsiTheme="majorHAnsi" w:cs="바탕"/>
        </w:rPr>
        <w:t xml:space="preserve"> </w:t>
      </w:r>
      <w:r w:rsidRPr="00B13246">
        <w:rPr>
          <w:rFonts w:asciiTheme="majorHAnsi" w:hAnsiTheme="majorHAnsi"/>
        </w:rPr>
        <w:t>c</w:t>
      </w:r>
      <w:r w:rsidRPr="00B13246">
        <w:rPr>
          <w:rFonts w:ascii="Calibri" w:hAnsi="Calibri"/>
        </w:rPr>
        <w:t>ontrol or CoQ</w:t>
      </w:r>
      <w:r w:rsidRPr="00B13246">
        <w:rPr>
          <w:rFonts w:ascii="Calibri" w:hAnsi="Calibri"/>
          <w:vertAlign w:val="subscript"/>
        </w:rPr>
        <w:t>10</w:t>
      </w:r>
      <w:r w:rsidRPr="00B13246">
        <w:rPr>
          <w:rFonts w:ascii="Calibri" w:hAnsi="Calibri"/>
        </w:rPr>
        <w:t xml:space="preserve"> (1%) diet were daily treated and continued for 2 weeks.</w:t>
      </w:r>
      <w:r w:rsidRPr="00B13246" w:rsidDel="003F6180">
        <w:rPr>
          <w:rFonts w:asciiTheme="majorHAnsi" w:hAnsiTheme="majorHAnsi"/>
        </w:rPr>
        <w:t xml:space="preserve"> </w:t>
      </w:r>
      <w:r w:rsidRPr="00B13246">
        <w:rPr>
          <w:rFonts w:asciiTheme="majorHAnsi" w:hAnsiTheme="majorHAnsi"/>
        </w:rPr>
        <w:t xml:space="preserve">(A) Retinal whole-mount </w:t>
      </w:r>
      <w:proofErr w:type="spellStart"/>
      <w:r w:rsidRPr="00B13246">
        <w:rPr>
          <w:rFonts w:asciiTheme="majorHAnsi" w:hAnsiTheme="majorHAnsi"/>
        </w:rPr>
        <w:t>immunohistochemistry</w:t>
      </w:r>
      <w:proofErr w:type="spellEnd"/>
      <w:r w:rsidRPr="00B13246">
        <w:rPr>
          <w:rFonts w:asciiTheme="majorHAnsi" w:hAnsiTheme="majorHAnsi"/>
        </w:rPr>
        <w:t xml:space="preserve"> for Brn3a at 2 weeks after transient retinal ischemia. High magnification showed representative images from the middle area of retinas.</w:t>
      </w:r>
      <w:r w:rsidRPr="00B13246">
        <w:rPr>
          <w:rFonts w:ascii="Calibri" w:hAnsi="Calibri"/>
        </w:rPr>
        <w:t xml:space="preserve"> (B) There were no significant changes in RGC survival between control- and CoQ</w:t>
      </w:r>
      <w:r w:rsidRPr="00B13246">
        <w:rPr>
          <w:rFonts w:ascii="Calibri" w:hAnsi="Calibri"/>
          <w:vertAlign w:val="subscript"/>
        </w:rPr>
        <w:t>10</w:t>
      </w:r>
      <w:r w:rsidRPr="00B13246">
        <w:rPr>
          <w:rFonts w:ascii="Calibri" w:hAnsi="Calibri"/>
        </w:rPr>
        <w:t>-treated control C57BL</w:t>
      </w:r>
      <w:r w:rsidRPr="00B13246">
        <w:rPr>
          <w:rFonts w:ascii="Calibri" w:hAnsi="Calibri"/>
          <w:i/>
          <w:vertAlign w:val="superscript"/>
        </w:rPr>
        <w:t xml:space="preserve"> </w:t>
      </w:r>
      <w:r w:rsidRPr="00B13246">
        <w:rPr>
          <w:rFonts w:ascii="Calibri" w:hAnsi="Calibri"/>
        </w:rPr>
        <w:t xml:space="preserve">mice </w:t>
      </w:r>
      <w:r w:rsidRPr="00B13246">
        <w:rPr>
          <w:rFonts w:asciiTheme="majorHAnsi" w:hAnsiTheme="majorHAnsi"/>
        </w:rPr>
        <w:t>(</w:t>
      </w:r>
      <w:r w:rsidRPr="00B13246">
        <w:rPr>
          <w:rFonts w:asciiTheme="majorHAnsi" w:hAnsiTheme="majorHAnsi"/>
          <w:i/>
        </w:rPr>
        <w:t>n</w:t>
      </w:r>
      <w:r w:rsidRPr="00B13246">
        <w:rPr>
          <w:rFonts w:asciiTheme="majorHAnsi" w:hAnsiTheme="majorHAnsi"/>
        </w:rPr>
        <w:t xml:space="preserve"> = 5 retinas/group)</w:t>
      </w:r>
      <w:r w:rsidRPr="00B13246">
        <w:rPr>
          <w:rFonts w:ascii="Calibri" w:hAnsi="Calibri"/>
        </w:rPr>
        <w:t>.</w:t>
      </w:r>
      <w:r w:rsidRPr="00B13246">
        <w:rPr>
          <w:rFonts w:asciiTheme="majorHAnsi" w:hAnsiTheme="majorHAnsi"/>
        </w:rPr>
        <w:t xml:space="preserve"> </w:t>
      </w:r>
      <w:r w:rsidRPr="00B13246">
        <w:rPr>
          <w:rFonts w:asciiTheme="majorHAnsi" w:hAnsiTheme="majorHAnsi"/>
          <w:i/>
        </w:rPr>
        <w:t>Scale bar</w:t>
      </w:r>
      <w:r w:rsidRPr="00B13246">
        <w:rPr>
          <w:rFonts w:asciiTheme="majorHAnsi" w:hAnsiTheme="majorHAnsi"/>
        </w:rPr>
        <w:t xml:space="preserve"> 50 </w:t>
      </w:r>
      <w:r w:rsidRPr="00B13246">
        <w:rPr>
          <w:rFonts w:asciiTheme="majorHAnsi" w:hAnsiTheme="majorHAnsi"/>
        </w:rPr>
        <w:sym w:font="Symbol" w:char="F06D"/>
      </w:r>
      <w:r w:rsidRPr="00B13246">
        <w:rPr>
          <w:rFonts w:asciiTheme="majorHAnsi" w:hAnsiTheme="majorHAnsi"/>
        </w:rPr>
        <w:t xml:space="preserve">m. (C) GFAP Western blot at 12 h after transient ischemia. </w:t>
      </w:r>
      <w:r w:rsidRPr="00B13246">
        <w:rPr>
          <w:rFonts w:ascii="Calibri" w:hAnsi="Calibri"/>
        </w:rPr>
        <w:t>There was no significant change in GFAP protein</w:t>
      </w:r>
      <w:r>
        <w:rPr>
          <w:rFonts w:ascii="Calibri" w:hAnsi="Calibri"/>
        </w:rPr>
        <w:t xml:space="preserve"> expression between control- and CoQ</w:t>
      </w:r>
      <w:r w:rsidRPr="00AC0811">
        <w:rPr>
          <w:rFonts w:ascii="Calibri" w:hAnsi="Calibri"/>
          <w:vertAlign w:val="subscript"/>
        </w:rPr>
        <w:t>10</w:t>
      </w:r>
      <w:r>
        <w:rPr>
          <w:rFonts w:ascii="Calibri" w:hAnsi="Calibri"/>
        </w:rPr>
        <w:t>-treated control</w:t>
      </w:r>
      <w:r w:rsidRPr="007548DA">
        <w:rPr>
          <w:rFonts w:ascii="Calibri" w:hAnsi="Calibri"/>
          <w:i/>
          <w:vertAlign w:val="superscript"/>
        </w:rPr>
        <w:t xml:space="preserve"> </w:t>
      </w:r>
      <w:r w:rsidRPr="007548DA">
        <w:rPr>
          <w:rFonts w:ascii="Calibri" w:hAnsi="Calibri"/>
        </w:rPr>
        <w:t>mice</w:t>
      </w:r>
      <w:r>
        <w:rPr>
          <w:rFonts w:hAnsi="바탕" w:cs="바탕" w:hint="eastAsia"/>
        </w:rPr>
        <w:t>.</w:t>
      </w:r>
    </w:p>
    <w:sectPr w:rsidR="009D03F4" w:rsidRPr="00626B47" w:rsidSect="009D03F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바탕">
    <w:charset w:val="4F"/>
    <w:family w:val="auto"/>
    <w:pitch w:val="variable"/>
    <w:sig w:usb0="00000001" w:usb1="00000000" w:usb2="01002406" w:usb3="00000000" w:csb0="0008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626B47"/>
    <w:rsid w:val="0020779D"/>
    <w:rsid w:val="00626B47"/>
    <w:rsid w:val="00B13246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바탕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B47"/>
    <w:pPr>
      <w:widowControl w:val="0"/>
      <w:wordWrap w:val="0"/>
      <w:autoSpaceDE w:val="0"/>
      <w:autoSpaceDN w:val="0"/>
      <w:jc w:val="both"/>
    </w:pPr>
    <w:rPr>
      <w:rFonts w:ascii="바탕" w:hAnsi="Times New Roman" w:cs="Times New Roman"/>
      <w:kern w:val="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Macintosh Word</Application>
  <DocSecurity>0</DocSecurity>
  <Lines>4</Lines>
  <Paragraphs>1</Paragraphs>
  <ScaleCrop>false</ScaleCrop>
  <Company>UCSD Glaucoma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Ju</dc:creator>
  <cp:keywords/>
  <cp:lastModifiedBy>Daniel Ju</cp:lastModifiedBy>
  <cp:revision>2</cp:revision>
  <dcterms:created xsi:type="dcterms:W3CDTF">2013-12-07T18:47:00Z</dcterms:created>
  <dcterms:modified xsi:type="dcterms:W3CDTF">2013-12-07T18:47:00Z</dcterms:modified>
</cp:coreProperties>
</file>