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Table 1.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Clinical and pathologic characteristics of patients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1217"/>
        <w:gridCol w:w="1217"/>
        <w:gridCol w:w="121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Par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meter</w:t>
            </w:r>
          </w:p>
        </w:tc>
        <w:tc>
          <w:tcPr>
            <w:tcW w:w="1217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Range</w:t>
            </w:r>
          </w:p>
        </w:tc>
        <w:tc>
          <w:tcPr>
            <w:tcW w:w="48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Tumor stage (number of patients)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pT1-2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pT3-4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N1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Number of patients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Age(years)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≤60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＞60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Tumor grade (Gleason score)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≤7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＞7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Serum PSA (ng/mL)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≤10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＞10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</w:tr>
    </w:tbl>
    <w:p/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The primer sequences used in RT-qPCR.</w:t>
      </w:r>
    </w:p>
    <w:tbl>
      <w:tblPr>
        <w:tblStyle w:val="2"/>
        <w:tblW w:w="92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4022"/>
        <w:gridCol w:w="37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jc w:val="left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Gene</w:t>
            </w:r>
          </w:p>
        </w:tc>
        <w:tc>
          <w:tcPr>
            <w:tcW w:w="40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jc w:val="left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Forward primer (5’-3’)</w:t>
            </w:r>
          </w:p>
        </w:tc>
        <w:tc>
          <w:tcPr>
            <w:tcW w:w="3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jc w:val="left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Reversed primer (5’-3’)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jc w:val="both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bookmarkStart w:id="0" w:name="OLE_LINK20"/>
            <w:r>
              <w:rPr>
                <w:rFonts w:ascii="Times New Roman" w:hAnsi="Times New Roman" w:cs="Times New Roman"/>
                <w:sz w:val="21"/>
                <w:szCs w:val="21"/>
              </w:rPr>
              <w:t>ATG1</w:t>
            </w:r>
            <w:bookmarkEnd w:id="0"/>
          </w:p>
        </w:tc>
        <w:tc>
          <w:tcPr>
            <w:tcW w:w="40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TTAACCGCTCGGCTCTGATTTC</w:t>
            </w:r>
          </w:p>
        </w:tc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AAGCTCCTTTATGAGATGCTCGATTC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jc w:val="both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OLE_LINK19"/>
            <w:r>
              <w:rPr>
                <w:rFonts w:ascii="Times New Roman" w:hAnsi="Times New Roman" w:cs="Times New Roman"/>
                <w:sz w:val="21"/>
                <w:szCs w:val="21"/>
              </w:rPr>
              <w:t>ATG2</w:t>
            </w:r>
            <w:bookmarkEnd w:id="1"/>
          </w:p>
        </w:tc>
        <w:tc>
          <w:tcPr>
            <w:tcW w:w="40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GATTTCGATACAATGGCATTTTG</w:t>
            </w:r>
          </w:p>
        </w:tc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ACCCTATAGAAACGTCCAAGTTAG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jc w:val="both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ATG3</w:t>
            </w:r>
          </w:p>
        </w:tc>
        <w:tc>
          <w:tcPr>
            <w:tcW w:w="40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GATGGCGGATGGGTAGATACA</w:t>
            </w:r>
          </w:p>
        </w:tc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TCTTCACATAGTGCTGAGCAATC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jc w:val="both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ATG5</w:t>
            </w:r>
          </w:p>
        </w:tc>
        <w:tc>
          <w:tcPr>
            <w:tcW w:w="40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GTTTTGGGCCATCAATCGGAA</w:t>
            </w:r>
          </w:p>
        </w:tc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TCTCCTAGTGTGTGCAACTGT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jc w:val="both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ATG7</w:t>
            </w:r>
          </w:p>
        </w:tc>
        <w:tc>
          <w:tcPr>
            <w:tcW w:w="40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ATGATCCCTGTAACTTAGCCCA</w:t>
            </w:r>
          </w:p>
        </w:tc>
        <w:tc>
          <w:tcPr>
            <w:tcW w:w="3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CACGGAAGCAAACAACTTCAAC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jc w:val="both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GAPDH</w:t>
            </w:r>
          </w:p>
        </w:tc>
        <w:tc>
          <w:tcPr>
            <w:tcW w:w="40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AGCCACATCGCTCAGACAC</w:t>
            </w:r>
          </w:p>
        </w:tc>
        <w:tc>
          <w:tcPr>
            <w:tcW w:w="378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GCCCAATACGACCAAATCC</w:t>
            </w:r>
          </w:p>
        </w:tc>
      </w:tr>
    </w:tbl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yZTRlN2FlN2U1NDZkOGVhNDZiZGY0M2JiNjEwMjMifQ=="/>
  </w:docVars>
  <w:rsids>
    <w:rsidRoot w:val="10B52C45"/>
    <w:rsid w:val="10B52C45"/>
    <w:rsid w:val="179B49B5"/>
    <w:rsid w:val="1E823648"/>
    <w:rsid w:val="3EDA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592</Characters>
  <Lines>0</Lines>
  <Paragraphs>0</Paragraphs>
  <TotalTime>2</TotalTime>
  <ScaleCrop>false</ScaleCrop>
  <LinksUpToDate>false</LinksUpToDate>
  <CharactersWithSpaces>621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2023-02-09T15:48:00Z</dcterms:created>
  <dc:creator>柠檬</dc:creator>
  <cp:lastModifiedBy>WPS_1644722999</cp:lastModifiedBy>
  <dcterms:modified xsi:type="dcterms:W3CDTF">2023-02-10T03:07:05Z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57A837870E3549F7A519147A0D7CD9E9</vt:lpwstr>
  </property>
</Properties>
</file>