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54727" w14:textId="77777777" w:rsidR="006B7384" w:rsidRPr="00110413" w:rsidRDefault="006B7384">
      <w:pPr>
        <w:rPr>
          <w:rFonts w:ascii="Times New Roman" w:hAnsi="Times New Roman" w:cs="Times New Roman"/>
          <w:sz w:val="20"/>
          <w:szCs w:val="20"/>
        </w:rPr>
      </w:pPr>
    </w:p>
    <w:p w14:paraId="7EF75A7F" w14:textId="77777777" w:rsidR="00A56B9E" w:rsidRPr="00110413" w:rsidRDefault="00A56B9E" w:rsidP="00A56B9E">
      <w:pPr>
        <w:jc w:val="center"/>
        <w:rPr>
          <w:rFonts w:ascii="Times New Roman" w:hAnsi="Times New Roman" w:cs="Times New Roman"/>
          <w:b/>
          <w:bCs/>
          <w:color w:val="0D0D0D" w:themeColor="text1" w:themeTint="F2"/>
          <w:sz w:val="24"/>
          <w:szCs w:val="24"/>
          <w:u w:val="single"/>
        </w:rPr>
      </w:pPr>
      <w:r w:rsidRPr="00110413">
        <w:rPr>
          <w:rFonts w:ascii="Times New Roman" w:hAnsi="Times New Roman" w:cs="Times New Roman"/>
          <w:b/>
          <w:bCs/>
          <w:color w:val="0D0D0D" w:themeColor="text1" w:themeTint="F2"/>
          <w:sz w:val="24"/>
          <w:szCs w:val="24"/>
          <w:u w:val="single"/>
        </w:rPr>
        <w:t>Supplementary Information</w:t>
      </w:r>
    </w:p>
    <w:p w14:paraId="2C6058A9" w14:textId="77777777" w:rsidR="00A56B9E" w:rsidRPr="00110413" w:rsidRDefault="00A56B9E" w:rsidP="00A56B9E">
      <w:pPr>
        <w:jc w:val="center"/>
        <w:rPr>
          <w:rFonts w:ascii="Times New Roman" w:hAnsi="Times New Roman" w:cs="Times New Roman"/>
          <w:b/>
          <w:bCs/>
          <w:color w:val="0D0D0D" w:themeColor="text1" w:themeTint="F2"/>
          <w:sz w:val="20"/>
          <w:szCs w:val="20"/>
          <w:u w:val="single"/>
        </w:rPr>
      </w:pPr>
    </w:p>
    <w:p w14:paraId="047E4996" w14:textId="77777777" w:rsidR="00A56B9E" w:rsidRPr="00110413" w:rsidRDefault="00A56B9E" w:rsidP="00A56B9E">
      <w:pPr>
        <w:spacing w:line="360" w:lineRule="auto"/>
        <w:rPr>
          <w:rFonts w:ascii="Times New Roman" w:hAnsi="Times New Roman" w:cs="Times New Roman"/>
          <w:b/>
          <w:bCs/>
          <w:sz w:val="20"/>
          <w:szCs w:val="20"/>
        </w:rPr>
      </w:pPr>
      <w:r w:rsidRPr="00110413">
        <w:rPr>
          <w:rFonts w:ascii="Times New Roman" w:hAnsi="Times New Roman" w:cs="Times New Roman"/>
          <w:b/>
          <w:bCs/>
          <w:sz w:val="20"/>
          <w:szCs w:val="20"/>
        </w:rPr>
        <w:t xml:space="preserve">Microplastic contamination in commercial tilapia feeds: lessons from a developing country  </w:t>
      </w:r>
    </w:p>
    <w:p w14:paraId="35EC7A44" w14:textId="77777777" w:rsidR="005F4A64" w:rsidRPr="00110413" w:rsidRDefault="005F4A64" w:rsidP="005F4A64">
      <w:pPr>
        <w:spacing w:line="360" w:lineRule="auto"/>
        <w:rPr>
          <w:rFonts w:ascii="Times New Roman" w:hAnsi="Times New Roman" w:cs="Times New Roman"/>
          <w:b/>
          <w:bCs/>
          <w:sz w:val="20"/>
          <w:szCs w:val="20"/>
          <w:vertAlign w:val="superscript"/>
        </w:rPr>
      </w:pPr>
      <w:r w:rsidRPr="00110413">
        <w:rPr>
          <w:rFonts w:ascii="Times New Roman" w:hAnsi="Times New Roman" w:cs="Times New Roman"/>
          <w:b/>
          <w:bCs/>
          <w:sz w:val="20"/>
          <w:szCs w:val="20"/>
        </w:rPr>
        <w:t>Mohammad Abdul Momin Siddique</w:t>
      </w:r>
      <w:r w:rsidRPr="00110413">
        <w:rPr>
          <w:rFonts w:ascii="Times New Roman" w:hAnsi="Times New Roman" w:cs="Times New Roman"/>
          <w:b/>
          <w:bCs/>
          <w:sz w:val="20"/>
          <w:szCs w:val="20"/>
          <w:vertAlign w:val="superscript"/>
        </w:rPr>
        <w:t>1,2,*</w:t>
      </w:r>
      <w:r w:rsidRPr="00110413">
        <w:rPr>
          <w:rFonts w:ascii="Times New Roman" w:hAnsi="Times New Roman" w:cs="Times New Roman"/>
          <w:b/>
          <w:bCs/>
          <w:sz w:val="20"/>
          <w:szCs w:val="20"/>
        </w:rPr>
        <w:t>, Tasnia Tahsin</w:t>
      </w:r>
      <w:r w:rsidRPr="00110413">
        <w:rPr>
          <w:rFonts w:ascii="Times New Roman" w:hAnsi="Times New Roman" w:cs="Times New Roman"/>
          <w:b/>
          <w:bCs/>
          <w:sz w:val="20"/>
          <w:szCs w:val="20"/>
          <w:vertAlign w:val="superscript"/>
        </w:rPr>
        <w:t>2</w:t>
      </w:r>
      <w:r w:rsidRPr="00110413">
        <w:rPr>
          <w:rFonts w:ascii="Times New Roman" w:hAnsi="Times New Roman" w:cs="Times New Roman"/>
          <w:b/>
          <w:bCs/>
          <w:sz w:val="20"/>
          <w:szCs w:val="20"/>
        </w:rPr>
        <w:t>, Koushik Das</w:t>
      </w:r>
      <w:r w:rsidRPr="00110413">
        <w:rPr>
          <w:rFonts w:ascii="Times New Roman" w:hAnsi="Times New Roman" w:cs="Times New Roman"/>
          <w:b/>
          <w:bCs/>
          <w:sz w:val="20"/>
          <w:szCs w:val="20"/>
          <w:vertAlign w:val="superscript"/>
        </w:rPr>
        <w:t>1</w:t>
      </w:r>
      <w:r w:rsidRPr="00110413">
        <w:rPr>
          <w:rFonts w:ascii="Times New Roman" w:hAnsi="Times New Roman" w:cs="Times New Roman"/>
          <w:b/>
          <w:bCs/>
          <w:sz w:val="20"/>
          <w:szCs w:val="20"/>
        </w:rPr>
        <w:t xml:space="preserve"> </w:t>
      </w:r>
    </w:p>
    <w:p w14:paraId="5086547F" w14:textId="77777777" w:rsidR="005F4A64" w:rsidRPr="00110413" w:rsidRDefault="005F4A64" w:rsidP="005F4A64">
      <w:pPr>
        <w:spacing w:line="360" w:lineRule="auto"/>
        <w:rPr>
          <w:rFonts w:ascii="Times New Roman" w:hAnsi="Times New Roman" w:cs="Times New Roman"/>
          <w:color w:val="000000" w:themeColor="text1"/>
          <w:sz w:val="20"/>
          <w:szCs w:val="20"/>
        </w:rPr>
      </w:pPr>
      <w:r w:rsidRPr="00110413">
        <w:rPr>
          <w:rFonts w:ascii="Times New Roman" w:hAnsi="Times New Roman" w:cs="Times New Roman"/>
          <w:color w:val="000000" w:themeColor="text1"/>
          <w:sz w:val="20"/>
          <w:szCs w:val="20"/>
          <w:vertAlign w:val="superscript"/>
        </w:rPr>
        <w:t xml:space="preserve">1 </w:t>
      </w:r>
      <w:r w:rsidRPr="00110413">
        <w:rPr>
          <w:rFonts w:ascii="Times New Roman" w:hAnsi="Times New Roman" w:cs="Times New Roman"/>
          <w:color w:val="000000" w:themeColor="text1"/>
          <w:sz w:val="20"/>
          <w:szCs w:val="20"/>
        </w:rPr>
        <w:t>University of South Bohemia in Ceske Budejovice, Faculty of Fisheries and Protection of Waters, South Bohemian Research Center of Aquaculture and Biodiversity of Hydrogenases, Research Institute of Fish Culture and Hydrobiology, Zatisi 728/II, 389 25 Vodnany, Czech Republic</w:t>
      </w:r>
    </w:p>
    <w:p w14:paraId="4C6462FA" w14:textId="77777777" w:rsidR="005F4A64" w:rsidRPr="00110413" w:rsidRDefault="005F4A64" w:rsidP="005F4A64">
      <w:pPr>
        <w:spacing w:line="360" w:lineRule="auto"/>
        <w:rPr>
          <w:rFonts w:ascii="Times New Roman" w:hAnsi="Times New Roman" w:cs="Times New Roman"/>
          <w:sz w:val="20"/>
          <w:szCs w:val="20"/>
        </w:rPr>
      </w:pPr>
      <w:r w:rsidRPr="00110413">
        <w:rPr>
          <w:rFonts w:ascii="Times New Roman" w:hAnsi="Times New Roman" w:cs="Times New Roman"/>
          <w:sz w:val="20"/>
          <w:szCs w:val="20"/>
          <w:vertAlign w:val="superscript"/>
        </w:rPr>
        <w:t xml:space="preserve">2 </w:t>
      </w:r>
      <w:r w:rsidRPr="00110413">
        <w:rPr>
          <w:rFonts w:ascii="Times New Roman" w:hAnsi="Times New Roman" w:cs="Times New Roman"/>
          <w:sz w:val="20"/>
          <w:szCs w:val="20"/>
        </w:rPr>
        <w:t>Department of Oceanography, Noakhali Science and Technology University, Noakhali-3814, Bangladesh</w:t>
      </w:r>
    </w:p>
    <w:p w14:paraId="43284181" w14:textId="77777777" w:rsidR="00A56B9E" w:rsidRPr="00110413" w:rsidRDefault="00A56B9E" w:rsidP="00A56B9E">
      <w:pPr>
        <w:jc w:val="center"/>
        <w:rPr>
          <w:rFonts w:ascii="Times New Roman" w:hAnsi="Times New Roman" w:cs="Times New Roman"/>
          <w:color w:val="0D0D0D" w:themeColor="text1" w:themeTint="F2"/>
          <w:sz w:val="20"/>
          <w:szCs w:val="20"/>
          <w:u w:val="single"/>
        </w:rPr>
      </w:pPr>
    </w:p>
    <w:p w14:paraId="0CEB4EE5" w14:textId="6DCD47BD" w:rsidR="00A56B9E" w:rsidRPr="00110413" w:rsidRDefault="00A56B9E" w:rsidP="00A56B9E">
      <w:pPr>
        <w:spacing w:line="276" w:lineRule="auto"/>
        <w:rPr>
          <w:rFonts w:ascii="Times New Roman" w:eastAsia="Calibri" w:hAnsi="Times New Roman" w:cs="Times New Roman"/>
          <w:bCs/>
          <w:sz w:val="20"/>
          <w:szCs w:val="20"/>
        </w:rPr>
      </w:pPr>
      <w:r w:rsidRPr="00110413">
        <w:rPr>
          <w:rFonts w:ascii="Times New Roman" w:eastAsia="Calibri" w:hAnsi="Times New Roman" w:cs="Times New Roman"/>
          <w:b/>
          <w:sz w:val="20"/>
          <w:szCs w:val="20"/>
        </w:rPr>
        <w:t>Table S1</w:t>
      </w:r>
      <w:r w:rsidRPr="00110413">
        <w:rPr>
          <w:rFonts w:ascii="Times New Roman" w:eastAsia="Calibri" w:hAnsi="Times New Roman" w:cs="Times New Roman"/>
          <w:bCs/>
          <w:sz w:val="20"/>
          <w:szCs w:val="20"/>
        </w:rPr>
        <w:t>.  Indices are used to describe the hazard level of microplastic in tilapia feeds.</w:t>
      </w:r>
    </w:p>
    <w:tbl>
      <w:tblPr>
        <w:tblW w:w="5000" w:type="pct"/>
        <w:tblLook w:val="04A0" w:firstRow="1" w:lastRow="0" w:firstColumn="1" w:lastColumn="0" w:noHBand="0" w:noVBand="1"/>
      </w:tblPr>
      <w:tblGrid>
        <w:gridCol w:w="1512"/>
        <w:gridCol w:w="2297"/>
        <w:gridCol w:w="1050"/>
        <w:gridCol w:w="2295"/>
        <w:gridCol w:w="2252"/>
      </w:tblGrid>
      <w:tr w:rsidR="00A56B9E" w:rsidRPr="00110413" w14:paraId="3DB6EC47" w14:textId="77777777" w:rsidTr="00A56B9E">
        <w:trPr>
          <w:trHeight w:val="20"/>
        </w:trPr>
        <w:tc>
          <w:tcPr>
            <w:tcW w:w="804" w:type="pct"/>
            <w:tcBorders>
              <w:top w:val="single" w:sz="8" w:space="0" w:color="8E8E8E"/>
              <w:left w:val="nil"/>
              <w:bottom w:val="single" w:sz="8" w:space="0" w:color="8E8E8E"/>
              <w:right w:val="nil"/>
            </w:tcBorders>
            <w:vAlign w:val="center"/>
            <w:hideMark/>
          </w:tcPr>
          <w:p w14:paraId="3A3E66F5" w14:textId="77777777" w:rsidR="00A56B9E" w:rsidRPr="00110413" w:rsidRDefault="00A56B9E">
            <w:pPr>
              <w:spacing w:before="120" w:after="120" w:line="240" w:lineRule="auto"/>
              <w:jc w:val="center"/>
              <w:rPr>
                <w:rFonts w:ascii="Times New Roman" w:eastAsia="Times New Roman" w:hAnsi="Times New Roman" w:cs="Times New Roman"/>
                <w:b/>
                <w:bCs/>
                <w:color w:val="000000"/>
                <w:kern w:val="2"/>
                <w:sz w:val="20"/>
                <w:szCs w:val="20"/>
              </w:rPr>
            </w:pPr>
            <w:r w:rsidRPr="00110413">
              <w:rPr>
                <w:rFonts w:ascii="Times New Roman" w:eastAsia="Times New Roman" w:hAnsi="Times New Roman" w:cs="Times New Roman"/>
                <w:b/>
                <w:bCs/>
                <w:color w:val="000000"/>
                <w:kern w:val="2"/>
                <w:sz w:val="20"/>
                <w:szCs w:val="20"/>
              </w:rPr>
              <w:t>PHI</w:t>
            </w:r>
          </w:p>
        </w:tc>
        <w:tc>
          <w:tcPr>
            <w:tcW w:w="1221" w:type="pct"/>
            <w:tcBorders>
              <w:top w:val="single" w:sz="8" w:space="0" w:color="8E8E8E"/>
              <w:left w:val="nil"/>
              <w:bottom w:val="single" w:sz="8" w:space="0" w:color="8E8E8E"/>
              <w:right w:val="nil"/>
            </w:tcBorders>
            <w:vAlign w:val="center"/>
            <w:hideMark/>
          </w:tcPr>
          <w:p w14:paraId="07008E96" w14:textId="77777777" w:rsidR="00A56B9E" w:rsidRPr="00110413" w:rsidRDefault="00A56B9E">
            <w:pPr>
              <w:spacing w:before="120" w:after="120" w:line="240" w:lineRule="auto"/>
              <w:jc w:val="center"/>
              <w:rPr>
                <w:rFonts w:ascii="Times New Roman" w:eastAsia="Times New Roman" w:hAnsi="Times New Roman" w:cs="Times New Roman"/>
                <w:b/>
                <w:bCs/>
                <w:color w:val="000000"/>
                <w:kern w:val="2"/>
                <w:sz w:val="20"/>
                <w:szCs w:val="20"/>
              </w:rPr>
            </w:pPr>
            <w:r w:rsidRPr="00110413">
              <w:rPr>
                <w:rFonts w:ascii="Times New Roman" w:eastAsia="Times New Roman" w:hAnsi="Times New Roman" w:cs="Times New Roman"/>
                <w:b/>
                <w:bCs/>
                <w:color w:val="000000"/>
                <w:kern w:val="2"/>
                <w:sz w:val="20"/>
                <w:szCs w:val="20"/>
              </w:rPr>
              <w:t>Hazard category</w:t>
            </w:r>
          </w:p>
        </w:tc>
        <w:tc>
          <w:tcPr>
            <w:tcW w:w="558" w:type="pct"/>
            <w:tcBorders>
              <w:top w:val="single" w:sz="8" w:space="0" w:color="8E8E8E"/>
              <w:left w:val="nil"/>
              <w:bottom w:val="single" w:sz="8" w:space="0" w:color="8E8E8E"/>
              <w:right w:val="nil"/>
            </w:tcBorders>
            <w:vAlign w:val="center"/>
            <w:hideMark/>
          </w:tcPr>
          <w:p w14:paraId="3B6AD234" w14:textId="77777777" w:rsidR="00A56B9E" w:rsidRPr="00110413" w:rsidRDefault="00A56B9E">
            <w:pPr>
              <w:spacing w:before="120" w:after="120" w:line="240" w:lineRule="auto"/>
              <w:jc w:val="center"/>
              <w:rPr>
                <w:rFonts w:ascii="Times New Roman" w:eastAsia="Times New Roman" w:hAnsi="Times New Roman" w:cs="Times New Roman"/>
                <w:b/>
                <w:bCs/>
                <w:color w:val="000000"/>
                <w:kern w:val="2"/>
                <w:sz w:val="20"/>
                <w:szCs w:val="20"/>
              </w:rPr>
            </w:pPr>
            <w:r w:rsidRPr="00110413">
              <w:rPr>
                <w:rFonts w:ascii="Times New Roman" w:eastAsia="Times New Roman" w:hAnsi="Times New Roman" w:cs="Times New Roman"/>
                <w:b/>
                <w:bCs/>
                <w:color w:val="000000"/>
                <w:kern w:val="2"/>
                <w:sz w:val="20"/>
                <w:szCs w:val="20"/>
              </w:rPr>
              <w:t>PLI</w:t>
            </w:r>
          </w:p>
        </w:tc>
        <w:tc>
          <w:tcPr>
            <w:tcW w:w="1220" w:type="pct"/>
            <w:tcBorders>
              <w:top w:val="single" w:sz="8" w:space="0" w:color="8E8E8E"/>
              <w:left w:val="nil"/>
              <w:bottom w:val="single" w:sz="8" w:space="0" w:color="8E8E8E"/>
              <w:right w:val="nil"/>
            </w:tcBorders>
            <w:vAlign w:val="center"/>
            <w:hideMark/>
          </w:tcPr>
          <w:p w14:paraId="0C0EFA32" w14:textId="77777777" w:rsidR="00A56B9E" w:rsidRPr="00110413" w:rsidRDefault="00A56B9E">
            <w:pPr>
              <w:spacing w:before="120" w:after="120" w:line="240" w:lineRule="auto"/>
              <w:jc w:val="center"/>
              <w:rPr>
                <w:rFonts w:ascii="Times New Roman" w:eastAsia="Times New Roman" w:hAnsi="Times New Roman" w:cs="Times New Roman"/>
                <w:b/>
                <w:bCs/>
                <w:color w:val="000000"/>
                <w:kern w:val="2"/>
                <w:sz w:val="20"/>
                <w:szCs w:val="20"/>
              </w:rPr>
            </w:pPr>
            <w:r w:rsidRPr="00110413">
              <w:rPr>
                <w:rFonts w:ascii="Times New Roman" w:eastAsia="Times New Roman" w:hAnsi="Times New Roman" w:cs="Times New Roman"/>
                <w:b/>
                <w:bCs/>
                <w:color w:val="000000"/>
                <w:kern w:val="2"/>
                <w:sz w:val="20"/>
                <w:szCs w:val="20"/>
              </w:rPr>
              <w:t>Hazard category</w:t>
            </w:r>
          </w:p>
        </w:tc>
        <w:tc>
          <w:tcPr>
            <w:tcW w:w="1197" w:type="pct"/>
            <w:tcBorders>
              <w:top w:val="single" w:sz="8" w:space="0" w:color="8E8E8E"/>
              <w:left w:val="nil"/>
              <w:bottom w:val="single" w:sz="8" w:space="0" w:color="8E8E8E"/>
              <w:right w:val="nil"/>
            </w:tcBorders>
            <w:vAlign w:val="center"/>
            <w:hideMark/>
          </w:tcPr>
          <w:p w14:paraId="006855F9" w14:textId="77777777" w:rsidR="00A56B9E" w:rsidRPr="00110413" w:rsidRDefault="00A56B9E">
            <w:pPr>
              <w:spacing w:before="120" w:after="120" w:line="240" w:lineRule="auto"/>
              <w:jc w:val="center"/>
              <w:rPr>
                <w:rFonts w:ascii="Times New Roman" w:eastAsia="Times New Roman" w:hAnsi="Times New Roman" w:cs="Times New Roman"/>
                <w:b/>
                <w:bCs/>
                <w:color w:val="000000"/>
                <w:kern w:val="2"/>
                <w:sz w:val="20"/>
                <w:szCs w:val="20"/>
              </w:rPr>
            </w:pPr>
            <w:r w:rsidRPr="00110413">
              <w:rPr>
                <w:rFonts w:ascii="Times New Roman" w:eastAsia="Times New Roman" w:hAnsi="Times New Roman" w:cs="Times New Roman"/>
                <w:b/>
                <w:bCs/>
                <w:color w:val="000000"/>
                <w:kern w:val="2"/>
                <w:sz w:val="20"/>
                <w:szCs w:val="20"/>
              </w:rPr>
              <w:t>Risk category</w:t>
            </w:r>
          </w:p>
        </w:tc>
      </w:tr>
      <w:tr w:rsidR="00A56B9E" w:rsidRPr="00110413" w14:paraId="603A12F2" w14:textId="77777777" w:rsidTr="00A56B9E">
        <w:trPr>
          <w:trHeight w:val="20"/>
        </w:trPr>
        <w:tc>
          <w:tcPr>
            <w:tcW w:w="804" w:type="pct"/>
            <w:vAlign w:val="center"/>
            <w:hideMark/>
          </w:tcPr>
          <w:p w14:paraId="2D9329D3"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0–1</w:t>
            </w:r>
          </w:p>
        </w:tc>
        <w:tc>
          <w:tcPr>
            <w:tcW w:w="1221" w:type="pct"/>
            <w:vAlign w:val="center"/>
            <w:hideMark/>
          </w:tcPr>
          <w:p w14:paraId="01B85734"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I</w:t>
            </w:r>
          </w:p>
        </w:tc>
        <w:tc>
          <w:tcPr>
            <w:tcW w:w="558" w:type="pct"/>
            <w:vAlign w:val="center"/>
            <w:hideMark/>
          </w:tcPr>
          <w:p w14:paraId="17F60750"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&lt; 10</w:t>
            </w:r>
          </w:p>
        </w:tc>
        <w:tc>
          <w:tcPr>
            <w:tcW w:w="1220" w:type="pct"/>
            <w:vAlign w:val="center"/>
            <w:hideMark/>
          </w:tcPr>
          <w:p w14:paraId="54833BFD"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I</w:t>
            </w:r>
          </w:p>
        </w:tc>
        <w:tc>
          <w:tcPr>
            <w:tcW w:w="1197" w:type="pct"/>
            <w:vAlign w:val="center"/>
            <w:hideMark/>
          </w:tcPr>
          <w:p w14:paraId="4AE221DE"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Minor</w:t>
            </w:r>
          </w:p>
        </w:tc>
      </w:tr>
      <w:tr w:rsidR="00A56B9E" w:rsidRPr="00110413" w14:paraId="03B5176F" w14:textId="77777777" w:rsidTr="00A56B9E">
        <w:trPr>
          <w:trHeight w:val="20"/>
        </w:trPr>
        <w:tc>
          <w:tcPr>
            <w:tcW w:w="804" w:type="pct"/>
            <w:vAlign w:val="center"/>
            <w:hideMark/>
          </w:tcPr>
          <w:p w14:paraId="2EF5AAD4"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1–10</w:t>
            </w:r>
          </w:p>
        </w:tc>
        <w:tc>
          <w:tcPr>
            <w:tcW w:w="1221" w:type="pct"/>
            <w:vAlign w:val="center"/>
            <w:hideMark/>
          </w:tcPr>
          <w:p w14:paraId="21A7437C"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II</w:t>
            </w:r>
          </w:p>
        </w:tc>
        <w:tc>
          <w:tcPr>
            <w:tcW w:w="558" w:type="pct"/>
            <w:vAlign w:val="center"/>
            <w:hideMark/>
          </w:tcPr>
          <w:p w14:paraId="28D4B5EE"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w:t>
            </w:r>
          </w:p>
        </w:tc>
        <w:tc>
          <w:tcPr>
            <w:tcW w:w="1220" w:type="pct"/>
            <w:vAlign w:val="center"/>
            <w:hideMark/>
          </w:tcPr>
          <w:p w14:paraId="035422B0"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w:t>
            </w:r>
          </w:p>
        </w:tc>
        <w:tc>
          <w:tcPr>
            <w:tcW w:w="1197" w:type="pct"/>
            <w:vAlign w:val="center"/>
            <w:hideMark/>
          </w:tcPr>
          <w:p w14:paraId="5C88B5D8"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Moderate</w:t>
            </w:r>
          </w:p>
        </w:tc>
      </w:tr>
      <w:tr w:rsidR="00A56B9E" w:rsidRPr="00110413" w14:paraId="2DD58CFA" w14:textId="77777777" w:rsidTr="00A56B9E">
        <w:trPr>
          <w:trHeight w:val="20"/>
        </w:trPr>
        <w:tc>
          <w:tcPr>
            <w:tcW w:w="804" w:type="pct"/>
            <w:vAlign w:val="center"/>
            <w:hideMark/>
          </w:tcPr>
          <w:p w14:paraId="5550A962"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10–100</w:t>
            </w:r>
          </w:p>
        </w:tc>
        <w:tc>
          <w:tcPr>
            <w:tcW w:w="1221" w:type="pct"/>
            <w:vAlign w:val="center"/>
            <w:hideMark/>
          </w:tcPr>
          <w:p w14:paraId="127EE6F3"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III</w:t>
            </w:r>
          </w:p>
        </w:tc>
        <w:tc>
          <w:tcPr>
            <w:tcW w:w="558" w:type="pct"/>
            <w:vAlign w:val="center"/>
            <w:hideMark/>
          </w:tcPr>
          <w:p w14:paraId="296EC3A8"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10–20</w:t>
            </w:r>
          </w:p>
        </w:tc>
        <w:tc>
          <w:tcPr>
            <w:tcW w:w="1220" w:type="pct"/>
            <w:vAlign w:val="center"/>
            <w:hideMark/>
          </w:tcPr>
          <w:p w14:paraId="1954D388"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II</w:t>
            </w:r>
          </w:p>
        </w:tc>
        <w:tc>
          <w:tcPr>
            <w:tcW w:w="1197" w:type="pct"/>
            <w:vAlign w:val="center"/>
            <w:hideMark/>
          </w:tcPr>
          <w:p w14:paraId="53B04F0D"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High</w:t>
            </w:r>
          </w:p>
        </w:tc>
      </w:tr>
      <w:tr w:rsidR="00A56B9E" w:rsidRPr="00110413" w14:paraId="52C6FD74" w14:textId="77777777" w:rsidTr="00A56B9E">
        <w:trPr>
          <w:trHeight w:val="20"/>
        </w:trPr>
        <w:tc>
          <w:tcPr>
            <w:tcW w:w="804" w:type="pct"/>
            <w:vAlign w:val="center"/>
            <w:hideMark/>
          </w:tcPr>
          <w:p w14:paraId="748E11D5"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100–1000</w:t>
            </w:r>
          </w:p>
        </w:tc>
        <w:tc>
          <w:tcPr>
            <w:tcW w:w="1221" w:type="pct"/>
            <w:vAlign w:val="center"/>
            <w:hideMark/>
          </w:tcPr>
          <w:p w14:paraId="094F0F5E"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IV</w:t>
            </w:r>
          </w:p>
        </w:tc>
        <w:tc>
          <w:tcPr>
            <w:tcW w:w="558" w:type="pct"/>
            <w:vAlign w:val="center"/>
            <w:hideMark/>
          </w:tcPr>
          <w:p w14:paraId="390D4DB5"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20–30</w:t>
            </w:r>
          </w:p>
        </w:tc>
        <w:tc>
          <w:tcPr>
            <w:tcW w:w="1220" w:type="pct"/>
            <w:vAlign w:val="center"/>
            <w:hideMark/>
          </w:tcPr>
          <w:p w14:paraId="4E6AFA4F"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III</w:t>
            </w:r>
          </w:p>
        </w:tc>
        <w:tc>
          <w:tcPr>
            <w:tcW w:w="1197" w:type="pct"/>
            <w:vAlign w:val="center"/>
            <w:hideMark/>
          </w:tcPr>
          <w:p w14:paraId="32A3D8F5"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Danger</w:t>
            </w:r>
          </w:p>
        </w:tc>
      </w:tr>
      <w:tr w:rsidR="00A56B9E" w:rsidRPr="00110413" w14:paraId="02AFE2D1" w14:textId="77777777" w:rsidTr="00A56B9E">
        <w:trPr>
          <w:trHeight w:val="20"/>
        </w:trPr>
        <w:tc>
          <w:tcPr>
            <w:tcW w:w="804" w:type="pct"/>
            <w:tcBorders>
              <w:top w:val="nil"/>
              <w:left w:val="nil"/>
              <w:bottom w:val="single" w:sz="8" w:space="0" w:color="8E8E8E"/>
              <w:right w:val="nil"/>
            </w:tcBorders>
            <w:vAlign w:val="center"/>
            <w:hideMark/>
          </w:tcPr>
          <w:p w14:paraId="36F62BCD"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&gt;1000</w:t>
            </w:r>
          </w:p>
        </w:tc>
        <w:tc>
          <w:tcPr>
            <w:tcW w:w="1221" w:type="pct"/>
            <w:tcBorders>
              <w:top w:val="nil"/>
              <w:left w:val="nil"/>
              <w:bottom w:val="single" w:sz="8" w:space="0" w:color="8E8E8E"/>
              <w:right w:val="nil"/>
            </w:tcBorders>
            <w:vAlign w:val="center"/>
            <w:hideMark/>
          </w:tcPr>
          <w:p w14:paraId="1CFB1717"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V</w:t>
            </w:r>
          </w:p>
        </w:tc>
        <w:tc>
          <w:tcPr>
            <w:tcW w:w="558" w:type="pct"/>
            <w:tcBorders>
              <w:top w:val="nil"/>
              <w:left w:val="nil"/>
              <w:bottom w:val="single" w:sz="8" w:space="0" w:color="8E8E8E"/>
              <w:right w:val="nil"/>
            </w:tcBorders>
            <w:vAlign w:val="center"/>
            <w:hideMark/>
          </w:tcPr>
          <w:p w14:paraId="67B188FF"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&gt; 30</w:t>
            </w:r>
          </w:p>
        </w:tc>
        <w:tc>
          <w:tcPr>
            <w:tcW w:w="1220" w:type="pct"/>
            <w:tcBorders>
              <w:top w:val="nil"/>
              <w:left w:val="nil"/>
              <w:bottom w:val="single" w:sz="8" w:space="0" w:color="8E8E8E"/>
              <w:right w:val="nil"/>
            </w:tcBorders>
            <w:vAlign w:val="center"/>
            <w:hideMark/>
          </w:tcPr>
          <w:p w14:paraId="20E18EF5"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IV</w:t>
            </w:r>
          </w:p>
        </w:tc>
        <w:tc>
          <w:tcPr>
            <w:tcW w:w="1197" w:type="pct"/>
            <w:tcBorders>
              <w:top w:val="nil"/>
              <w:left w:val="nil"/>
              <w:bottom w:val="single" w:sz="8" w:space="0" w:color="8E8E8E"/>
              <w:right w:val="nil"/>
            </w:tcBorders>
            <w:vAlign w:val="center"/>
            <w:hideMark/>
          </w:tcPr>
          <w:p w14:paraId="1C584DDD" w14:textId="77777777" w:rsidR="00A56B9E" w:rsidRPr="00110413" w:rsidRDefault="00A56B9E">
            <w:pPr>
              <w:spacing w:before="120" w:after="120" w:line="240" w:lineRule="auto"/>
              <w:jc w:val="center"/>
              <w:rPr>
                <w:rFonts w:ascii="Times New Roman" w:eastAsia="Times New Roman" w:hAnsi="Times New Roman" w:cs="Times New Roman"/>
                <w:color w:val="000000"/>
                <w:kern w:val="2"/>
                <w:sz w:val="20"/>
                <w:szCs w:val="20"/>
              </w:rPr>
            </w:pPr>
            <w:r w:rsidRPr="00110413">
              <w:rPr>
                <w:rFonts w:ascii="Times New Roman" w:eastAsia="Times New Roman" w:hAnsi="Times New Roman" w:cs="Times New Roman"/>
                <w:color w:val="000000"/>
                <w:kern w:val="2"/>
                <w:sz w:val="20"/>
                <w:szCs w:val="20"/>
              </w:rPr>
              <w:t>Extreme danger</w:t>
            </w:r>
          </w:p>
        </w:tc>
      </w:tr>
    </w:tbl>
    <w:p w14:paraId="309D2300" w14:textId="77777777" w:rsidR="00A56B9E" w:rsidRPr="00110413" w:rsidRDefault="00A56B9E" w:rsidP="00A56B9E">
      <w:pPr>
        <w:rPr>
          <w:rFonts w:ascii="Times New Roman" w:hAnsi="Times New Roman" w:cs="Times New Roman"/>
          <w:sz w:val="20"/>
          <w:szCs w:val="20"/>
          <w14:ligatures w14:val="none"/>
        </w:rPr>
      </w:pPr>
    </w:p>
    <w:p w14:paraId="03D7D305" w14:textId="77777777" w:rsidR="00A56B9E" w:rsidRPr="00110413" w:rsidRDefault="00A56B9E">
      <w:pPr>
        <w:rPr>
          <w:rFonts w:ascii="Times New Roman" w:hAnsi="Times New Roman" w:cs="Times New Roman"/>
          <w:sz w:val="20"/>
          <w:szCs w:val="20"/>
        </w:rPr>
      </w:pPr>
    </w:p>
    <w:sectPr w:rsidR="00A56B9E" w:rsidRPr="00110413">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EwNzcyMQcyLS2NjZV0lIJTi4sz8/NACkxqAaqrw38sAAAA"/>
  </w:docVars>
  <w:rsids>
    <w:rsidRoot w:val="00A56B9E"/>
    <w:rsid w:val="00110413"/>
    <w:rsid w:val="001B08D1"/>
    <w:rsid w:val="00376637"/>
    <w:rsid w:val="005F4A64"/>
    <w:rsid w:val="006B7384"/>
    <w:rsid w:val="00A10ACD"/>
    <w:rsid w:val="00A56B9E"/>
    <w:rsid w:val="00A878EB"/>
    <w:rsid w:val="00AE72A8"/>
    <w:rsid w:val="00C45F78"/>
    <w:rsid w:val="00F36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05BF4"/>
  <w15:chartTrackingRefBased/>
  <w15:docId w15:val="{19DF75A0-50E0-44B6-93EC-344DE9A46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pPr>
      <w:spacing w:line="256" w:lineRule="auto"/>
    </w:pPr>
    <w:rPr>
      <w:kern w:val="0"/>
    </w:rPr>
  </w:style>
  <w:style w:type="paragraph" w:styleId="Heading1">
    <w:name w:val="heading 1"/>
    <w:basedOn w:val="Normal"/>
    <w:next w:val="Normal"/>
    <w:link w:val="Heading1Char"/>
    <w:uiPriority w:val="9"/>
    <w:qFormat/>
    <w:rsid w:val="00A56B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6B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6B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6B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6B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6B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6B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6B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6B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MS">
    <w:name w:val="MAMS"/>
    <w:basedOn w:val="NormalWeb"/>
    <w:link w:val="MAMSChar"/>
    <w:autoRedefine/>
    <w:qFormat/>
    <w:rsid w:val="00376637"/>
    <w:pPr>
      <w:spacing w:after="240" w:line="360" w:lineRule="auto"/>
      <w:jc w:val="both"/>
    </w:pPr>
    <w:rPr>
      <w:rFonts w:ascii="Arial" w:eastAsia="Times New Roman" w:hAnsi="Arial"/>
      <w:color w:val="0D0D0D" w:themeColor="text1" w:themeTint="F2"/>
      <w14:ligatures w14:val="none"/>
    </w:rPr>
  </w:style>
  <w:style w:type="character" w:customStyle="1" w:styleId="MAMSChar">
    <w:name w:val="MAMS Char"/>
    <w:basedOn w:val="DefaultParagraphFont"/>
    <w:link w:val="MAMS"/>
    <w:rsid w:val="00376637"/>
    <w:rPr>
      <w:rFonts w:ascii="Arial" w:eastAsia="Times New Roman" w:hAnsi="Arial" w:cs="Times New Roman"/>
      <w:color w:val="0D0D0D" w:themeColor="text1" w:themeTint="F2"/>
      <w:kern w:val="0"/>
      <w:sz w:val="24"/>
      <w:szCs w:val="24"/>
      <w14:ligatures w14:val="none"/>
    </w:rPr>
  </w:style>
  <w:style w:type="paragraph" w:styleId="NormalWeb">
    <w:name w:val="Normal (Web)"/>
    <w:basedOn w:val="Normal"/>
    <w:uiPriority w:val="99"/>
    <w:semiHidden/>
    <w:unhideWhenUsed/>
    <w:rsid w:val="00376637"/>
    <w:rPr>
      <w:rFonts w:ascii="Times New Roman" w:hAnsi="Times New Roman" w:cs="Times New Roman"/>
      <w:sz w:val="24"/>
      <w:szCs w:val="24"/>
    </w:rPr>
  </w:style>
  <w:style w:type="character" w:customStyle="1" w:styleId="Heading1Char">
    <w:name w:val="Heading 1 Char"/>
    <w:basedOn w:val="DefaultParagraphFont"/>
    <w:link w:val="Heading1"/>
    <w:uiPriority w:val="9"/>
    <w:rsid w:val="00A56B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6B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6B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6B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6B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6B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6B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6B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6B9E"/>
    <w:rPr>
      <w:rFonts w:eastAsiaTheme="majorEastAsia" w:cstheme="majorBidi"/>
      <w:color w:val="272727" w:themeColor="text1" w:themeTint="D8"/>
    </w:rPr>
  </w:style>
  <w:style w:type="paragraph" w:styleId="Title">
    <w:name w:val="Title"/>
    <w:basedOn w:val="Normal"/>
    <w:next w:val="Normal"/>
    <w:link w:val="TitleChar"/>
    <w:uiPriority w:val="10"/>
    <w:qFormat/>
    <w:rsid w:val="00A56B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6B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6B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6B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6B9E"/>
    <w:pPr>
      <w:spacing w:before="160"/>
      <w:jc w:val="center"/>
    </w:pPr>
    <w:rPr>
      <w:i/>
      <w:iCs/>
      <w:color w:val="404040" w:themeColor="text1" w:themeTint="BF"/>
    </w:rPr>
  </w:style>
  <w:style w:type="character" w:customStyle="1" w:styleId="QuoteChar">
    <w:name w:val="Quote Char"/>
    <w:basedOn w:val="DefaultParagraphFont"/>
    <w:link w:val="Quote"/>
    <w:uiPriority w:val="29"/>
    <w:rsid w:val="00A56B9E"/>
    <w:rPr>
      <w:i/>
      <w:iCs/>
      <w:color w:val="404040" w:themeColor="text1" w:themeTint="BF"/>
    </w:rPr>
  </w:style>
  <w:style w:type="paragraph" w:styleId="ListParagraph">
    <w:name w:val="List Paragraph"/>
    <w:basedOn w:val="Normal"/>
    <w:uiPriority w:val="34"/>
    <w:qFormat/>
    <w:rsid w:val="00A56B9E"/>
    <w:pPr>
      <w:ind w:left="720"/>
      <w:contextualSpacing/>
    </w:pPr>
  </w:style>
  <w:style w:type="character" w:styleId="IntenseEmphasis">
    <w:name w:val="Intense Emphasis"/>
    <w:basedOn w:val="DefaultParagraphFont"/>
    <w:uiPriority w:val="21"/>
    <w:qFormat/>
    <w:rsid w:val="00A56B9E"/>
    <w:rPr>
      <w:i/>
      <w:iCs/>
      <w:color w:val="0F4761" w:themeColor="accent1" w:themeShade="BF"/>
    </w:rPr>
  </w:style>
  <w:style w:type="paragraph" w:styleId="IntenseQuote">
    <w:name w:val="Intense Quote"/>
    <w:basedOn w:val="Normal"/>
    <w:next w:val="Normal"/>
    <w:link w:val="IntenseQuoteChar"/>
    <w:uiPriority w:val="30"/>
    <w:qFormat/>
    <w:rsid w:val="00A56B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6B9E"/>
    <w:rPr>
      <w:i/>
      <w:iCs/>
      <w:color w:val="0F4761" w:themeColor="accent1" w:themeShade="BF"/>
    </w:rPr>
  </w:style>
  <w:style w:type="character" w:styleId="IntenseReference">
    <w:name w:val="Intense Reference"/>
    <w:basedOn w:val="DefaultParagraphFont"/>
    <w:uiPriority w:val="32"/>
    <w:qFormat/>
    <w:rsid w:val="00A56B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124140">
      <w:bodyDiv w:val="1"/>
      <w:marLeft w:val="0"/>
      <w:marRight w:val="0"/>
      <w:marTop w:val="0"/>
      <w:marBottom w:val="0"/>
      <w:divBdr>
        <w:top w:val="none" w:sz="0" w:space="0" w:color="auto"/>
        <w:left w:val="none" w:sz="0" w:space="0" w:color="auto"/>
        <w:bottom w:val="none" w:sz="0" w:space="0" w:color="auto"/>
        <w:right w:val="none" w:sz="0" w:space="0" w:color="auto"/>
      </w:divBdr>
    </w:div>
    <w:div w:id="198720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127</Words>
  <Characters>715</Characters>
  <Application>Microsoft Office Word</Application>
  <DocSecurity>0</DocSecurity>
  <Lines>47</Lines>
  <Paragraphs>40</Paragraphs>
  <ScaleCrop>false</ScaleCrop>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4</cp:revision>
  <dcterms:created xsi:type="dcterms:W3CDTF">2024-10-31T19:40:00Z</dcterms:created>
  <dcterms:modified xsi:type="dcterms:W3CDTF">2025-01-20T20:38:00Z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b2fa17fe-3a82-4f91-8795-91c47135feee</vt:lpwstr>
  </property>
</Properties>
</file>