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297B3" w14:textId="77777777" w:rsidR="00436AB0" w:rsidRPr="00436AB0" w:rsidRDefault="00436AB0" w:rsidP="00E32591">
      <w:pPr>
        <w:keepNext/>
        <w:spacing w:line="360" w:lineRule="auto"/>
        <w:contextualSpacing/>
        <w:rPr>
          <w:rFonts w:ascii="Cambria" w:eastAsia="Times New Roman" w:hAnsi="Cambria" w:cs="Times New Roman"/>
          <w:b/>
          <w:bCs/>
          <w:kern w:val="0"/>
          <w:sz w:val="24"/>
          <w:szCs w:val="24"/>
          <w:lang w:val="en-GB" w:eastAsia="fi-FI"/>
          <w14:ligatures w14:val="none"/>
        </w:rPr>
      </w:pPr>
      <w:bookmarkStart w:id="0" w:name="OLE_LINK1"/>
      <w:r w:rsidRPr="00436AB0">
        <w:rPr>
          <w:rFonts w:ascii="Cambria" w:eastAsia="Times New Roman" w:hAnsi="Cambria" w:cs="Times New Roman"/>
          <w:b/>
          <w:bCs/>
          <w:kern w:val="0"/>
          <w:sz w:val="24"/>
          <w:szCs w:val="24"/>
          <w:lang w:val="en-GB" w:eastAsia="fi-FI"/>
          <w14:ligatures w14:val="none"/>
        </w:rPr>
        <w:t>Supplemental materials to ‘The Civic Argument Literacy Test (CALT) – Foundations and Development’</w:t>
      </w:r>
    </w:p>
    <w:p w14:paraId="2F429521" w14:textId="77777777" w:rsidR="00436AB0" w:rsidRPr="00436AB0" w:rsidRDefault="00436AB0" w:rsidP="00E32591">
      <w:pPr>
        <w:keepNext/>
        <w:spacing w:line="360" w:lineRule="auto"/>
        <w:contextualSpacing/>
        <w:rPr>
          <w:rFonts w:ascii="Cambria" w:eastAsia="Times New Roman" w:hAnsi="Cambria" w:cs="Times New Roman"/>
          <w:kern w:val="0"/>
          <w:sz w:val="24"/>
          <w:szCs w:val="24"/>
          <w:lang w:val="en-GB" w:eastAsia="fi-FI"/>
          <w14:ligatures w14:val="none"/>
        </w:rPr>
      </w:pPr>
    </w:p>
    <w:p w14:paraId="285FEA6E" w14:textId="77777777" w:rsidR="00436AB0" w:rsidRPr="00436AB0" w:rsidRDefault="00436AB0" w:rsidP="00E32591">
      <w:pPr>
        <w:keepNext/>
        <w:spacing w:line="360" w:lineRule="auto"/>
        <w:contextualSpacing/>
        <w:rPr>
          <w:rFonts w:ascii="Cambria" w:eastAsia="Times New Roman" w:hAnsi="Cambria" w:cs="Times New Roman"/>
          <w:kern w:val="0"/>
          <w:sz w:val="24"/>
          <w:szCs w:val="24"/>
          <w:lang w:val="en-GB" w:eastAsia="fi-FI"/>
          <w14:ligatures w14:val="none"/>
        </w:rPr>
      </w:pPr>
    </w:p>
    <w:p w14:paraId="02B156D4" w14:textId="77777777" w:rsidR="00436AB0" w:rsidRPr="00436AB0" w:rsidRDefault="00436AB0" w:rsidP="00E32591">
      <w:pPr>
        <w:keepNext/>
        <w:spacing w:line="360" w:lineRule="auto"/>
        <w:contextualSpacing/>
        <w:jc w:val="center"/>
        <w:rPr>
          <w:rFonts w:ascii="Cambria" w:hAnsi="Cambria" w:cs="Times New Roman"/>
          <w:b/>
          <w:bCs/>
          <w:sz w:val="24"/>
          <w:szCs w:val="24"/>
          <w:lang w:val="en-GB"/>
        </w:rPr>
      </w:pPr>
      <w:r w:rsidRPr="00436AB0">
        <w:rPr>
          <w:rFonts w:ascii="Cambria" w:hAnsi="Cambria" w:cs="Times New Roman"/>
          <w:b/>
          <w:bCs/>
          <w:sz w:val="24"/>
          <w:szCs w:val="24"/>
          <w:lang w:val="en-GB"/>
        </w:rPr>
        <w:t>Study 1, Supplemental Methods and Results</w:t>
      </w:r>
    </w:p>
    <w:p w14:paraId="685CC6D3" w14:textId="77777777" w:rsidR="00436AB0" w:rsidRPr="00436AB0" w:rsidRDefault="00436AB0" w:rsidP="00E32591">
      <w:pPr>
        <w:spacing w:line="360" w:lineRule="auto"/>
        <w:contextualSpacing/>
        <w:rPr>
          <w:rFonts w:ascii="Cambria" w:hAnsi="Cambria" w:cs="Times New Roman"/>
          <w:b/>
          <w:bCs/>
          <w:i/>
          <w:iCs/>
          <w:sz w:val="24"/>
          <w:szCs w:val="24"/>
          <w:lang w:val="en-GB"/>
        </w:rPr>
      </w:pPr>
      <w:r w:rsidRPr="00436AB0">
        <w:rPr>
          <w:rFonts w:ascii="Cambria" w:hAnsi="Cambria" w:cs="Times New Roman"/>
          <w:b/>
          <w:bCs/>
          <w:i/>
          <w:iCs/>
          <w:sz w:val="24"/>
          <w:szCs w:val="24"/>
          <w:lang w:val="en-GB"/>
        </w:rPr>
        <w:t>Participants and Procedure</w:t>
      </w:r>
    </w:p>
    <w:p w14:paraId="4A447541" w14:textId="77777777" w:rsidR="00436AB0" w:rsidRPr="00436AB0" w:rsidRDefault="00436AB0" w:rsidP="00E32591">
      <w:pPr>
        <w:spacing w:line="360" w:lineRule="auto"/>
        <w:ind w:firstLine="624"/>
        <w:contextualSpacing/>
        <w:rPr>
          <w:rFonts w:ascii="Cambria" w:hAnsi="Cambria" w:cs="Times New Roman"/>
          <w:color w:val="FF0000"/>
          <w:sz w:val="24"/>
          <w:szCs w:val="24"/>
          <w:lang w:val="en-GB"/>
        </w:rPr>
      </w:pPr>
      <w:r w:rsidRPr="00436AB0">
        <w:rPr>
          <w:rFonts w:ascii="Cambria" w:hAnsi="Cambria" w:cs="Times New Roman"/>
          <w:sz w:val="24"/>
          <w:szCs w:val="24"/>
          <w:lang w:val="en-GB" w:eastAsia="fi-FI"/>
        </w:rPr>
        <w:t xml:space="preserve">Study 1 received ethical approval from the Ethics Committee of the Tampere Region in June 2023. We recruited 240 participants through Prolific. The sample was restricted to residents of the UK whose first language was English. </w:t>
      </w:r>
      <w:r w:rsidRPr="00436AB0">
        <w:rPr>
          <w:rFonts w:ascii="Cambria" w:hAnsi="Cambria" w:cs="Times New Roman"/>
          <w:sz w:val="24"/>
          <w:szCs w:val="24"/>
          <w:lang w:val="en-GB"/>
        </w:rPr>
        <w:t>The sample size was determined through a power analysis conducted using the G*Power program. Our goal was to obtain .80 power to detect medium-sized effects (</w:t>
      </w:r>
      <w:r w:rsidRPr="00436AB0">
        <w:rPr>
          <w:rFonts w:ascii="Cambria" w:hAnsi="Cambria" w:cs="Times New Roman"/>
          <w:i/>
          <w:iCs/>
          <w:sz w:val="24"/>
          <w:szCs w:val="24"/>
          <w:lang w:val="en-GB"/>
        </w:rPr>
        <w:t>r</w:t>
      </w:r>
      <w:r w:rsidRPr="00436AB0">
        <w:rPr>
          <w:rFonts w:ascii="Cambria" w:hAnsi="Cambria" w:cs="Times New Roman"/>
          <w:sz w:val="24"/>
          <w:szCs w:val="24"/>
          <w:lang w:val="en-GB"/>
        </w:rPr>
        <w:t xml:space="preserve"> ≥ .20) at the .05 alpha error probability level. For bivariate correlations, this requires a minimum of 183 participants. Our sample exceeds this minimum limit and allows for removing outliers. </w:t>
      </w:r>
    </w:p>
    <w:p w14:paraId="3F531EF9" w14:textId="77777777" w:rsidR="00436AB0" w:rsidRPr="00436AB0" w:rsidRDefault="00436AB0" w:rsidP="00E32591">
      <w:pPr>
        <w:spacing w:line="360" w:lineRule="auto"/>
        <w:ind w:firstLine="624"/>
        <w:contextualSpacing/>
        <w:rPr>
          <w:rFonts w:ascii="Cambria" w:hAnsi="Cambria" w:cs="Times New Roman"/>
          <w:sz w:val="24"/>
          <w:szCs w:val="24"/>
          <w:lang w:val="en-GB"/>
        </w:rPr>
      </w:pPr>
      <w:r w:rsidRPr="00436AB0">
        <w:rPr>
          <w:rFonts w:ascii="Cambria" w:hAnsi="Cambria" w:cs="Times New Roman"/>
          <w:sz w:val="24"/>
          <w:szCs w:val="24"/>
          <w:lang w:val="en-GB"/>
        </w:rPr>
        <w:t>The mean age of the participants was 42 years (</w:t>
      </w:r>
      <w:r w:rsidRPr="00436AB0">
        <w:rPr>
          <w:rFonts w:ascii="Cambria" w:hAnsi="Cambria" w:cs="Times New Roman"/>
          <w:i/>
          <w:iCs/>
          <w:sz w:val="24"/>
          <w:szCs w:val="24"/>
          <w:lang w:val="en-GB"/>
        </w:rPr>
        <w:t xml:space="preserve">SD </w:t>
      </w:r>
      <w:r w:rsidRPr="00436AB0">
        <w:rPr>
          <w:rFonts w:ascii="Cambria" w:hAnsi="Cambria" w:cs="Times New Roman"/>
          <w:sz w:val="24"/>
          <w:szCs w:val="24"/>
          <w:lang w:val="en-GB"/>
        </w:rPr>
        <w:t xml:space="preserve">= 13.3 years, range: 19–80). Sixty-three percent were female. Most were employed either full-time (40%) or part-time (17%), while 8% were students. The majority (64%) had an undergraduate degree or higher. All major fields of work or study (Natural Sciences; Technology; Medicine; Agriculture, forestry, and veterinary medicine; Social Sciences; Humanities and arts) were represented. Only 30% reported being familiar with the terms ‘syllogism’ and ‘fallacy’, while 42% reported not being familiar with them, and the rest were unsure. </w:t>
      </w:r>
    </w:p>
    <w:p w14:paraId="72D8008F" w14:textId="77777777" w:rsidR="00436AB0" w:rsidRPr="00436AB0" w:rsidRDefault="00436AB0" w:rsidP="00E32591">
      <w:pPr>
        <w:spacing w:line="360" w:lineRule="auto"/>
        <w:ind w:firstLine="624"/>
        <w:contextualSpacing/>
        <w:rPr>
          <w:rFonts w:ascii="Cambria" w:hAnsi="Cambria" w:cs="Times New Roman"/>
          <w:sz w:val="24"/>
          <w:szCs w:val="24"/>
          <w:lang w:val="en-GB"/>
        </w:rPr>
      </w:pPr>
      <w:r w:rsidRPr="00436AB0">
        <w:rPr>
          <w:rFonts w:ascii="Cambria" w:hAnsi="Cambria" w:cs="Times New Roman"/>
          <w:sz w:val="24"/>
          <w:szCs w:val="24"/>
          <w:lang w:val="en-GB" w:eastAsia="fi-FI"/>
        </w:rPr>
        <w:t xml:space="preserve">The participants were paid the standard rate of £9 per hour suggested by Prolific. They were directed to a server hosting the study, where they indicated informed consent before proceeding to the study. </w:t>
      </w:r>
      <w:r w:rsidRPr="00436AB0">
        <w:rPr>
          <w:rFonts w:ascii="Cambria" w:hAnsi="Cambria" w:cs="Times New Roman"/>
          <w:sz w:val="24"/>
          <w:szCs w:val="24"/>
          <w:lang w:val="en-GB"/>
        </w:rPr>
        <w:t xml:space="preserve">The median time to complete the study was 37 minutes (excluding one outlier who completed the study in 10 minutes). All studies, measures, and data/participant exclusions are reported in this document. </w:t>
      </w:r>
    </w:p>
    <w:p w14:paraId="639A6070" w14:textId="77777777" w:rsidR="00436AB0" w:rsidRPr="00436AB0" w:rsidRDefault="00436AB0" w:rsidP="00E32591">
      <w:pPr>
        <w:spacing w:line="360" w:lineRule="auto"/>
        <w:contextualSpacing/>
        <w:rPr>
          <w:rFonts w:ascii="Cambria" w:hAnsi="Cambria" w:cs="Times New Roman"/>
          <w:b/>
          <w:bCs/>
          <w:i/>
          <w:iCs/>
          <w:sz w:val="24"/>
          <w:szCs w:val="24"/>
          <w:lang w:val="en-GB"/>
        </w:rPr>
      </w:pPr>
      <w:r w:rsidRPr="00436AB0">
        <w:rPr>
          <w:rFonts w:ascii="Cambria" w:hAnsi="Cambria" w:cs="Times New Roman"/>
          <w:b/>
          <w:bCs/>
          <w:i/>
          <w:iCs/>
          <w:sz w:val="24"/>
          <w:szCs w:val="24"/>
          <w:lang w:val="en-GB"/>
        </w:rPr>
        <w:t>Measures</w:t>
      </w:r>
    </w:p>
    <w:p w14:paraId="34729782" w14:textId="77777777" w:rsidR="00436AB0" w:rsidRPr="00436AB0" w:rsidRDefault="00436AB0" w:rsidP="00E32591">
      <w:pPr>
        <w:spacing w:line="360" w:lineRule="auto"/>
        <w:ind w:firstLine="624"/>
        <w:contextualSpacing/>
        <w:rPr>
          <w:rFonts w:ascii="Cambria" w:hAnsi="Cambria" w:cs="Times New Roman"/>
          <w:sz w:val="24"/>
          <w:szCs w:val="24"/>
          <w:lang w:val="en-GB" w:eastAsia="fi-FI"/>
        </w:rPr>
      </w:pPr>
      <w:r w:rsidRPr="00436AB0">
        <w:rPr>
          <w:rFonts w:ascii="Cambria" w:hAnsi="Cambria" w:cs="Times New Roman"/>
          <w:b/>
          <w:bCs/>
          <w:sz w:val="24"/>
          <w:szCs w:val="24"/>
          <w:lang w:val="en-GB" w:eastAsia="fi-FI"/>
        </w:rPr>
        <w:t xml:space="preserve">Argumentation in Context Literacy Test. </w:t>
      </w:r>
      <w:r w:rsidRPr="00436AB0">
        <w:rPr>
          <w:rFonts w:ascii="Cambria" w:hAnsi="Cambria" w:cs="Times New Roman"/>
          <w:sz w:val="24"/>
          <w:szCs w:val="24"/>
          <w:lang w:val="en-GB" w:eastAsia="fi-FI"/>
        </w:rPr>
        <w:t xml:space="preserve">The argument analysis tasks were presented in a multiple-choice format. Each correct response was scored as one point. The reliability of the tasks is examined in the Results section. Part 1 (Identifying Standpoints and Arguments) included three short argumentative texts. The texts addressed societal topics such as abandoning daylight-saving time. The clauses in the texts were numbered, and the multiple-choice response options referred to the clause numbers. In two texts, the task was to identify the standpoint and all the arguments that </w:t>
      </w:r>
      <w:r w:rsidRPr="00436AB0">
        <w:rPr>
          <w:rFonts w:ascii="Cambria" w:hAnsi="Cambria" w:cs="Times New Roman"/>
          <w:sz w:val="24"/>
          <w:szCs w:val="24"/>
          <w:lang w:val="en-GB" w:eastAsia="fi-FI"/>
        </w:rPr>
        <w:lastRenderedPageBreak/>
        <w:t>supported it. In one text, only the standpoint needed to be identified. Part 2 (Identifying missing premises, i.e. enthymeme analysis) included seven arguments. The participants were told that in each argument, one clause was missing. The task was to select which of four presented options best completes the argument. Part 3 (Argumentation Hierarchies) included three texts. The task was similar to Part 1, but in addition to standpoints and main arguments, these texts required the identification of sub-arguments that support the main arguments. Part 4 (Identifying Fallacies) included five arguments. The instructions stated, ‘In the following task, many would say that something is wrong with the argumenta</w:t>
      </w:r>
      <w:r w:rsidRPr="00436AB0">
        <w:rPr>
          <w:rFonts w:ascii="Cambria" w:eastAsia="Times New Roman" w:hAnsi="Cambria" w:cs="Times New Roman"/>
          <w:sz w:val="24"/>
          <w:szCs w:val="24"/>
          <w:lang w:val="en-GB" w:eastAsia="fi-FI"/>
        </w:rPr>
        <w:t>ti</w:t>
      </w:r>
      <w:r w:rsidRPr="00436AB0">
        <w:rPr>
          <w:rFonts w:ascii="Cambria" w:hAnsi="Cambria" w:cs="Times New Roman"/>
          <w:sz w:val="24"/>
          <w:szCs w:val="24"/>
          <w:lang w:val="en-GB" w:eastAsia="fi-FI"/>
        </w:rPr>
        <w:t>on. It can be a minor or a major weakness. Among the four op</w:t>
      </w:r>
      <w:r w:rsidRPr="00436AB0">
        <w:rPr>
          <w:rFonts w:ascii="Cambria" w:eastAsia="Times New Roman" w:hAnsi="Cambria" w:cs="Times New Roman"/>
          <w:sz w:val="24"/>
          <w:szCs w:val="24"/>
          <w:lang w:val="en-GB" w:eastAsia="fi-FI"/>
        </w:rPr>
        <w:t>ti</w:t>
      </w:r>
      <w:r w:rsidRPr="00436AB0">
        <w:rPr>
          <w:rFonts w:ascii="Cambria" w:hAnsi="Cambria" w:cs="Times New Roman"/>
          <w:sz w:val="24"/>
          <w:szCs w:val="24"/>
          <w:lang w:val="en-GB" w:eastAsia="fi-FI"/>
        </w:rPr>
        <w:t>ons given …, choose the one that you think best describes a possible weakness or problem in the argumenta</w:t>
      </w:r>
      <w:r w:rsidRPr="00436AB0">
        <w:rPr>
          <w:rFonts w:ascii="Cambria" w:eastAsia="Times New Roman" w:hAnsi="Cambria" w:cs="Times New Roman"/>
          <w:sz w:val="24"/>
          <w:szCs w:val="24"/>
          <w:lang w:val="en-GB" w:eastAsia="fi-FI"/>
        </w:rPr>
        <w:t>ti</w:t>
      </w:r>
      <w:r w:rsidRPr="00436AB0">
        <w:rPr>
          <w:rFonts w:ascii="Cambria" w:hAnsi="Cambria" w:cs="Times New Roman"/>
          <w:sz w:val="24"/>
          <w:szCs w:val="24"/>
          <w:lang w:val="en-GB" w:eastAsia="fi-FI"/>
        </w:rPr>
        <w:t xml:space="preserve">on’. Part 5 (Argument Schemes) included seven arguments. The instructions provided a short description and examples of the symptomatic, analogous, and causal argument schemes. The participants’ task was to indicate which of these schemes each argument represented. </w:t>
      </w:r>
    </w:p>
    <w:p w14:paraId="2B2B2281" w14:textId="77777777" w:rsidR="00436AB0" w:rsidRPr="00436AB0" w:rsidRDefault="00436AB0" w:rsidP="00E32591">
      <w:pPr>
        <w:widowControl w:val="0"/>
        <w:spacing w:line="360" w:lineRule="auto"/>
        <w:ind w:firstLine="624"/>
        <w:contextualSpacing/>
        <w:rPr>
          <w:rFonts w:ascii="Cambria" w:hAnsi="Cambria" w:cs="Times New Roman"/>
          <w:sz w:val="24"/>
          <w:szCs w:val="24"/>
          <w:lang w:val="en-GB"/>
        </w:rPr>
      </w:pPr>
      <w:r w:rsidRPr="00436AB0">
        <w:rPr>
          <w:rFonts w:ascii="Cambria" w:hAnsi="Cambria" w:cs="Times New Roman"/>
          <w:b/>
          <w:bCs/>
          <w:sz w:val="24"/>
          <w:szCs w:val="24"/>
          <w:lang w:val="en-GB" w:eastAsia="fi-FI"/>
        </w:rPr>
        <w:t xml:space="preserve">Overall Argument Soundness Discrimination. </w:t>
      </w:r>
      <w:r w:rsidRPr="00436AB0">
        <w:rPr>
          <w:rFonts w:ascii="Cambria" w:hAnsi="Cambria" w:cs="Times New Roman"/>
          <w:sz w:val="24"/>
          <w:szCs w:val="24"/>
          <w:lang w:val="en-GB" w:eastAsia="fi-FI"/>
        </w:rPr>
        <w:t xml:space="preserve">The ability to distinguish sound from unsound arguments was assessed using 16 argument pairs from Svedholm-Häkkinen </w:t>
      </w:r>
      <w:r w:rsidRPr="00436AB0">
        <w:rPr>
          <w:rFonts w:ascii="Cambria" w:hAnsi="Cambria" w:cs="Times New Roman"/>
          <w:noProof/>
          <w:sz w:val="24"/>
          <w:szCs w:val="24"/>
          <w:lang w:val="en-GB" w:eastAsia="fi-FI"/>
        </w:rPr>
        <w:t>(2026)</w:t>
      </w:r>
      <w:r w:rsidRPr="00436AB0">
        <w:rPr>
          <w:rFonts w:ascii="Cambria" w:hAnsi="Cambria" w:cs="Times New Roman"/>
          <w:sz w:val="24"/>
          <w:szCs w:val="24"/>
          <w:lang w:val="en-GB" w:eastAsia="fi-FI"/>
        </w:rPr>
        <w:t xml:space="preserve">. This did not require explicit analysis, but a global overall numeric assessment of an argument’s strength. The arguments included causal, authority, symptomatic, and analogous arguments. They concerned societal topics such as reinstating the death penalty. For each topic and scheme, one argument was in line with the critical questions for that scheme (sound argument), while another violated them (unsound argument). The arguments were presented in scrambled order with all arguments visible on the same page, and each argument was rated on a five-point scale (-2 = </w:t>
      </w:r>
      <w:r w:rsidRPr="00436AB0">
        <w:rPr>
          <w:rFonts w:ascii="Cambria" w:hAnsi="Cambria" w:cs="Times New Roman"/>
          <w:i/>
          <w:iCs/>
          <w:sz w:val="24"/>
          <w:szCs w:val="24"/>
          <w:lang w:val="en-GB" w:eastAsia="fi-FI"/>
        </w:rPr>
        <w:t>very weak</w:t>
      </w:r>
      <w:r w:rsidRPr="00436AB0">
        <w:rPr>
          <w:rFonts w:ascii="Cambria" w:hAnsi="Cambria" w:cs="Times New Roman"/>
          <w:sz w:val="24"/>
          <w:szCs w:val="24"/>
          <w:lang w:val="en-GB" w:eastAsia="fi-FI"/>
        </w:rPr>
        <w:t xml:space="preserve"> to +2 = </w:t>
      </w:r>
      <w:r w:rsidRPr="00436AB0">
        <w:rPr>
          <w:rFonts w:ascii="Cambria" w:hAnsi="Cambria" w:cs="Times New Roman"/>
          <w:i/>
          <w:iCs/>
          <w:sz w:val="24"/>
          <w:szCs w:val="24"/>
          <w:lang w:val="en-GB" w:eastAsia="fi-FI"/>
        </w:rPr>
        <w:t>very strong</w:t>
      </w:r>
      <w:r w:rsidRPr="00436AB0">
        <w:rPr>
          <w:rFonts w:ascii="Cambria" w:hAnsi="Cambria" w:cs="Times New Roman"/>
          <w:sz w:val="24"/>
          <w:szCs w:val="24"/>
          <w:lang w:val="en-GB" w:eastAsia="fi-FI"/>
        </w:rPr>
        <w:t>). The task was scored by subtracting the rating given to the unsound argument within each pair from the rating given to the sound argument. The average of these differences made up the final score, with larger values denoting better performance. The range of possible scores was from -4 to 4.</w:t>
      </w:r>
      <w:r w:rsidRPr="00436AB0">
        <w:rPr>
          <w:rFonts w:ascii="Cambria" w:hAnsi="Cambria" w:cs="Times New Roman"/>
          <w:sz w:val="24"/>
          <w:szCs w:val="24"/>
          <w:lang w:val="en-GB"/>
        </w:rPr>
        <w:t xml:space="preserve"> The reliability of the scale (the difference scores), </w:t>
      </w:r>
      <w:r w:rsidRPr="00436AB0">
        <w:rPr>
          <w:rFonts w:ascii="Cambria" w:hAnsi="Cambria" w:cs="Times New Roman"/>
          <w:sz w:val="24"/>
          <w:szCs w:val="24"/>
          <w:lang w:val="en-GB" w:eastAsia="fi-FI"/>
        </w:rPr>
        <w:t>estimated using McDonald’s Omega total,</w:t>
      </w:r>
      <w:r w:rsidRPr="00436AB0">
        <w:rPr>
          <w:rFonts w:ascii="Cambria" w:hAnsi="Cambria" w:cs="Times New Roman"/>
          <w:sz w:val="24"/>
          <w:szCs w:val="24"/>
          <w:lang w:val="en-GB"/>
        </w:rPr>
        <w:t xml:space="preserve"> was weak, ω = .55.</w:t>
      </w:r>
    </w:p>
    <w:p w14:paraId="30D78542" w14:textId="77777777" w:rsidR="00436AB0" w:rsidRPr="00436AB0" w:rsidRDefault="00436AB0" w:rsidP="00E32591">
      <w:pPr>
        <w:keepNext/>
        <w:spacing w:line="360" w:lineRule="auto"/>
        <w:ind w:firstLine="624"/>
        <w:contextualSpacing/>
        <w:rPr>
          <w:rFonts w:ascii="Cambria" w:hAnsi="Cambria" w:cs="Times New Roman"/>
          <w:sz w:val="24"/>
          <w:szCs w:val="24"/>
          <w:lang w:val="en-GB" w:eastAsia="fi-FI"/>
        </w:rPr>
      </w:pPr>
      <w:r w:rsidRPr="00436AB0">
        <w:rPr>
          <w:rFonts w:ascii="Cambria" w:hAnsi="Cambria" w:cs="Times New Roman"/>
          <w:b/>
          <w:bCs/>
          <w:sz w:val="24"/>
          <w:szCs w:val="24"/>
          <w:lang w:val="en-GB" w:eastAsia="fi-FI"/>
        </w:rPr>
        <w:t xml:space="preserve">Correlates. </w:t>
      </w:r>
      <w:r w:rsidRPr="00436AB0">
        <w:rPr>
          <w:rFonts w:ascii="Cambria" w:hAnsi="Cambria" w:cs="Times New Roman"/>
          <w:sz w:val="24"/>
          <w:szCs w:val="24"/>
          <w:lang w:val="en-GB" w:eastAsia="fi-FI"/>
        </w:rPr>
        <w:t xml:space="preserve">Actively Open-Minded Thinking (AOT) was assessed using an 11-item (ω = .82) scale (Baron et al., 2023). The items measure the willingness to be open to opposing evidence and viewpoints. The items were rated on a five-point scale (1 = </w:t>
      </w:r>
      <w:r w:rsidRPr="00436AB0">
        <w:rPr>
          <w:rFonts w:ascii="Cambria" w:hAnsi="Cambria" w:cs="Times New Roman"/>
          <w:i/>
          <w:iCs/>
          <w:sz w:val="24"/>
          <w:szCs w:val="24"/>
          <w:lang w:val="en-GB" w:eastAsia="fi-FI"/>
        </w:rPr>
        <w:t xml:space="preserve">I </w:t>
      </w:r>
      <w:r w:rsidRPr="00436AB0">
        <w:rPr>
          <w:rFonts w:ascii="Cambria" w:hAnsi="Cambria" w:cs="Times New Roman"/>
          <w:i/>
          <w:iCs/>
          <w:sz w:val="24"/>
          <w:szCs w:val="24"/>
          <w:lang w:val="en-GB" w:eastAsia="fi-FI"/>
        </w:rPr>
        <w:lastRenderedPageBreak/>
        <w:t>completely disagree</w:t>
      </w:r>
      <w:r w:rsidRPr="00436AB0">
        <w:rPr>
          <w:rFonts w:ascii="Cambria" w:hAnsi="Cambria" w:cs="Times New Roman"/>
          <w:sz w:val="24"/>
          <w:szCs w:val="24"/>
          <w:lang w:val="en-GB" w:eastAsia="fi-FI"/>
        </w:rPr>
        <w:t xml:space="preserve">, 5 = </w:t>
      </w:r>
      <w:r w:rsidRPr="00436AB0">
        <w:rPr>
          <w:rFonts w:ascii="Cambria" w:hAnsi="Cambria" w:cs="Times New Roman"/>
          <w:i/>
          <w:iCs/>
          <w:sz w:val="24"/>
          <w:szCs w:val="24"/>
          <w:lang w:val="en-GB" w:eastAsia="fi-FI"/>
        </w:rPr>
        <w:t>I completely agree</w:t>
      </w:r>
      <w:r w:rsidRPr="00436AB0">
        <w:rPr>
          <w:rFonts w:ascii="Cambria" w:hAnsi="Cambria" w:cs="Times New Roman"/>
          <w:sz w:val="24"/>
          <w:szCs w:val="24"/>
          <w:lang w:val="en-GB" w:eastAsia="fi-FI"/>
        </w:rPr>
        <w:t>). An example item is ‘People should search ac</w:t>
      </w:r>
      <w:r w:rsidRPr="00436AB0">
        <w:rPr>
          <w:rFonts w:ascii="Cambria" w:eastAsia="Times New Roman" w:hAnsi="Cambria" w:cs="Times New Roman"/>
          <w:sz w:val="24"/>
          <w:szCs w:val="24"/>
          <w:lang w:val="en-GB" w:eastAsia="fi-FI"/>
        </w:rPr>
        <w:t>ti</w:t>
      </w:r>
      <w:r w:rsidRPr="00436AB0">
        <w:rPr>
          <w:rFonts w:ascii="Cambria" w:hAnsi="Cambria" w:cs="Times New Roman"/>
          <w:sz w:val="24"/>
          <w:szCs w:val="24"/>
          <w:lang w:val="en-GB" w:eastAsia="fi-FI"/>
        </w:rPr>
        <w:t xml:space="preserve">vely for reasons why they might be wrong.’ </w:t>
      </w:r>
    </w:p>
    <w:p w14:paraId="571FF903" w14:textId="77777777" w:rsidR="00436AB0" w:rsidRPr="00436AB0" w:rsidRDefault="00436AB0" w:rsidP="00E32591">
      <w:pPr>
        <w:spacing w:line="360" w:lineRule="auto"/>
        <w:ind w:firstLine="624"/>
        <w:contextualSpacing/>
        <w:rPr>
          <w:rFonts w:ascii="Cambria" w:hAnsi="Cambria" w:cs="Times New Roman"/>
          <w:sz w:val="24"/>
          <w:szCs w:val="24"/>
          <w:lang w:val="en-GB" w:eastAsia="fi-FI"/>
        </w:rPr>
      </w:pPr>
      <w:r w:rsidRPr="00436AB0">
        <w:rPr>
          <w:rFonts w:ascii="Cambria" w:hAnsi="Cambria" w:cs="Times New Roman"/>
          <w:sz w:val="24"/>
          <w:szCs w:val="24"/>
          <w:lang w:val="en-GB" w:eastAsia="fi-FI"/>
        </w:rPr>
        <w:t xml:space="preserve">Need for Cognition (NFC) was assessed using the 12-item Rationality subscale (ω = .89) of the Multifaceted Rational-Experiential Inventory </w:t>
      </w:r>
      <w:r w:rsidRPr="00436AB0">
        <w:rPr>
          <w:rFonts w:ascii="Cambria" w:eastAsia="Times New Roman" w:hAnsi="Cambria" w:cs="Times New Roman"/>
          <w:kern w:val="0"/>
          <w:sz w:val="24"/>
          <w:szCs w:val="24"/>
          <w:lang w:val="en-GB" w:eastAsia="fi-FI"/>
          <w14:ligatures w14:val="none"/>
        </w:rPr>
        <w:t xml:space="preserve">(REIm; Norris &amp; Epstein, 2011), which concerns </w:t>
      </w:r>
      <w:r w:rsidRPr="00436AB0">
        <w:rPr>
          <w:rFonts w:ascii="Cambria" w:hAnsi="Cambria" w:cs="Times New Roman"/>
          <w:sz w:val="24"/>
          <w:szCs w:val="24"/>
          <w:lang w:val="en-GB" w:eastAsia="fi-FI"/>
        </w:rPr>
        <w:t xml:space="preserve">the tendency to enjoy and seek out activities that involve extensive thinking. The items were rated on a five-point scale (1 = </w:t>
      </w:r>
      <w:r w:rsidRPr="00436AB0">
        <w:rPr>
          <w:rFonts w:ascii="Cambria" w:hAnsi="Cambria" w:cs="Times New Roman"/>
          <w:i/>
          <w:iCs/>
          <w:sz w:val="24"/>
          <w:szCs w:val="24"/>
          <w:lang w:val="en-GB" w:eastAsia="fi-FI"/>
        </w:rPr>
        <w:t>completely disagree</w:t>
      </w:r>
      <w:r w:rsidRPr="00436AB0">
        <w:rPr>
          <w:rFonts w:ascii="Cambria" w:hAnsi="Cambria" w:cs="Times New Roman"/>
          <w:sz w:val="24"/>
          <w:szCs w:val="24"/>
          <w:lang w:val="en-GB" w:eastAsia="fi-FI"/>
        </w:rPr>
        <w:t xml:space="preserve">, 5 = </w:t>
      </w:r>
      <w:r w:rsidRPr="00436AB0">
        <w:rPr>
          <w:rFonts w:ascii="Cambria" w:hAnsi="Cambria" w:cs="Times New Roman"/>
          <w:i/>
          <w:iCs/>
          <w:sz w:val="24"/>
          <w:szCs w:val="24"/>
          <w:lang w:val="en-GB" w:eastAsia="fi-FI"/>
        </w:rPr>
        <w:t>completely agree</w:t>
      </w:r>
      <w:r w:rsidRPr="00436AB0">
        <w:rPr>
          <w:rFonts w:ascii="Cambria" w:hAnsi="Cambria" w:cs="Times New Roman"/>
          <w:sz w:val="24"/>
          <w:szCs w:val="24"/>
          <w:lang w:val="en-GB" w:eastAsia="fi-FI"/>
        </w:rPr>
        <w:t>). An example item is ‘I enjoy problems that require hard thinking.’</w:t>
      </w:r>
    </w:p>
    <w:p w14:paraId="00A0BF3C" w14:textId="77777777" w:rsidR="00436AB0" w:rsidRPr="00436AB0" w:rsidRDefault="00436AB0" w:rsidP="00E32591">
      <w:pPr>
        <w:spacing w:line="360" w:lineRule="auto"/>
        <w:ind w:firstLine="624"/>
        <w:contextualSpacing/>
        <w:rPr>
          <w:rFonts w:ascii="Cambria" w:hAnsi="Cambria" w:cs="Times New Roman"/>
          <w:sz w:val="24"/>
          <w:szCs w:val="24"/>
          <w:lang w:val="en-GB" w:eastAsia="fi-FI"/>
        </w:rPr>
      </w:pPr>
      <w:r w:rsidRPr="00436AB0">
        <w:rPr>
          <w:rFonts w:ascii="Cambria" w:hAnsi="Cambria" w:cs="Times New Roman"/>
          <w:sz w:val="24"/>
          <w:szCs w:val="24"/>
          <w:lang w:val="en-GB" w:eastAsia="fi-FI"/>
        </w:rPr>
        <w:t>Faith in Intuition was assessed using the 10-item REIm Intuition subscale (ω = .73), which concerns relying on gut feelings in decision-making. The scale format was as in the NFC. An example item is ‘I like to rely on my intui</w:t>
      </w:r>
      <w:r w:rsidRPr="00436AB0">
        <w:rPr>
          <w:rFonts w:ascii="Cambria" w:eastAsia="Times New Roman" w:hAnsi="Cambria" w:cs="Times New Roman"/>
          <w:sz w:val="24"/>
          <w:szCs w:val="24"/>
          <w:lang w:val="en-GB" w:eastAsia="fi-FI"/>
        </w:rPr>
        <w:t>tiv</w:t>
      </w:r>
      <w:r w:rsidRPr="00436AB0">
        <w:rPr>
          <w:rFonts w:ascii="Cambria" w:hAnsi="Cambria" w:cs="Times New Roman"/>
          <w:sz w:val="24"/>
          <w:szCs w:val="24"/>
          <w:lang w:val="en-GB" w:eastAsia="fi-FI"/>
        </w:rPr>
        <w:t>e impressions.’</w:t>
      </w:r>
    </w:p>
    <w:p w14:paraId="31D51DCA" w14:textId="77777777" w:rsidR="00436AB0" w:rsidRPr="00436AB0" w:rsidRDefault="00436AB0" w:rsidP="00E32591">
      <w:pPr>
        <w:spacing w:line="360" w:lineRule="auto"/>
        <w:ind w:firstLine="720"/>
        <w:contextualSpacing/>
        <w:rPr>
          <w:rFonts w:ascii="Cambria" w:hAnsi="Cambria" w:cs="Times New Roman"/>
          <w:kern w:val="0"/>
          <w:sz w:val="24"/>
          <w:szCs w:val="24"/>
          <w:lang w:val="en-GB" w:eastAsia="fi-FI"/>
          <w14:ligatures w14:val="none"/>
        </w:rPr>
      </w:pPr>
      <w:r w:rsidRPr="00436AB0">
        <w:rPr>
          <w:rFonts w:ascii="Cambria" w:hAnsi="Cambria" w:cs="Times New Roman"/>
          <w:sz w:val="24"/>
          <w:szCs w:val="24"/>
          <w:lang w:val="en-GB" w:eastAsia="fi-FI"/>
        </w:rPr>
        <w:t xml:space="preserve">Cognitive Reflection was assessed as follows. There were three non-mathematical ‘trick’ items </w:t>
      </w:r>
      <w:r w:rsidRPr="00436AB0">
        <w:rPr>
          <w:rFonts w:ascii="Cambria" w:hAnsi="Cambria" w:cs="Times New Roman"/>
          <w:noProof/>
          <w:sz w:val="24"/>
          <w:szCs w:val="24"/>
          <w:lang w:val="en-GB" w:eastAsia="fi-FI"/>
        </w:rPr>
        <w:t>(Thomson &amp; Oppenheimer, 2016)</w:t>
      </w:r>
      <w:r w:rsidRPr="00436AB0">
        <w:rPr>
          <w:rFonts w:ascii="Cambria" w:hAnsi="Cambria" w:cs="Times New Roman"/>
          <w:sz w:val="24"/>
          <w:szCs w:val="24"/>
          <w:lang w:val="en-GB" w:eastAsia="fi-FI"/>
        </w:rPr>
        <w:t xml:space="preserve">, which </w:t>
      </w:r>
      <w:r w:rsidRPr="00436AB0">
        <w:rPr>
          <w:rFonts w:ascii="Cambria" w:eastAsia="Times New Roman" w:hAnsi="Cambria" w:cs="Times New Roman"/>
          <w:kern w:val="0"/>
          <w:sz w:val="24"/>
          <w:szCs w:val="24"/>
          <w:lang w:val="en-GB" w:eastAsia="fi-FI"/>
          <w14:ligatures w14:val="none"/>
        </w:rPr>
        <w:t xml:space="preserve">measure </w:t>
      </w:r>
      <w:r w:rsidRPr="00436AB0">
        <w:rPr>
          <w:rFonts w:ascii="Cambria" w:hAnsi="Cambria" w:cs="Times New Roman"/>
          <w:sz w:val="24"/>
          <w:szCs w:val="24"/>
          <w:lang w:val="en-GB" w:eastAsia="fi-FI"/>
        </w:rPr>
        <w:t>the tendency and ability to stop to think problems through rather than responding impulsively,</w:t>
      </w:r>
      <w:r w:rsidRPr="00436AB0">
        <w:rPr>
          <w:rFonts w:ascii="Cambria" w:eastAsia="Times New Roman" w:hAnsi="Cambria" w:cs="Times New Roman"/>
          <w:kern w:val="0"/>
          <w:sz w:val="24"/>
          <w:szCs w:val="24"/>
          <w:lang w:val="en-GB" w:eastAsia="fi-FI"/>
          <w14:ligatures w14:val="none"/>
        </w:rPr>
        <w:t xml:space="preserve"> such as ‘Emily’s father has three daughters. The first two are named April and May. What is the third daughter’s name?’. Another three items </w:t>
      </w:r>
      <w:r w:rsidRPr="00436AB0">
        <w:rPr>
          <w:rFonts w:ascii="Cambria" w:eastAsia="Times New Roman" w:hAnsi="Cambria" w:cs="Times New Roman"/>
          <w:noProof/>
          <w:kern w:val="0"/>
          <w:sz w:val="24"/>
          <w:szCs w:val="24"/>
          <w:lang w:val="en-GB" w:eastAsia="fi-FI"/>
          <w14:ligatures w14:val="none"/>
        </w:rPr>
        <w:t>(Toplak et al., 2014)</w:t>
      </w:r>
      <w:r w:rsidRPr="00436AB0">
        <w:rPr>
          <w:rFonts w:ascii="Cambria" w:eastAsia="Times New Roman" w:hAnsi="Cambria" w:cs="Times New Roman"/>
          <w:kern w:val="0"/>
          <w:sz w:val="24"/>
          <w:szCs w:val="24"/>
          <w:lang w:val="en-GB" w:eastAsia="fi-FI"/>
          <w14:ligatures w14:val="none"/>
        </w:rPr>
        <w:t xml:space="preserve"> additionally require mental arithmetic. An example is ‘If John can drink one barrel of water in 6 days, and Mary can drink one barrel of water in 12 days, how many days would it take them to drink one barrel of water together?’. Participants wrote their answers in a box, and correct answers were scored as 1, incorrect answers as 0.</w:t>
      </w:r>
      <w:r w:rsidRPr="00436AB0">
        <w:rPr>
          <w:rFonts w:ascii="Cambria" w:hAnsi="Cambria" w:cs="Times New Roman"/>
          <w:kern w:val="0"/>
          <w:sz w:val="24"/>
          <w:szCs w:val="24"/>
          <w:lang w:val="en-GB" w:eastAsia="fi-FI"/>
          <w14:ligatures w14:val="none"/>
        </w:rPr>
        <w:t xml:space="preserve"> Because the internal consistency of the scale was weak </w:t>
      </w:r>
      <w:r w:rsidRPr="00436AB0">
        <w:rPr>
          <w:rFonts w:ascii="Cambria" w:hAnsi="Cambria" w:cs="Times New Roman"/>
          <w:sz w:val="24"/>
          <w:szCs w:val="24"/>
          <w:lang w:val="en-GB" w:eastAsia="fi-FI"/>
        </w:rPr>
        <w:t xml:space="preserve">(ω = .61), its dimensionality was examined. </w:t>
      </w:r>
      <w:r w:rsidRPr="00436AB0">
        <w:rPr>
          <w:rFonts w:ascii="Cambria" w:hAnsi="Cambria" w:cs="Times New Roman"/>
          <w:kern w:val="0"/>
          <w:sz w:val="24"/>
          <w:szCs w:val="24"/>
          <w:lang w:val="en-GB" w:eastAsia="fi-FI"/>
          <w14:ligatures w14:val="none"/>
        </w:rPr>
        <w:t>Parallel analysis suggested that the six items form two factors. Confirmatory Factor Analysis (CFA) was used to compare a unitary model in which all items load on one latent factor, to a two-dimensional model in which the three trick questions formed one factor, and the three mathematical items formed another factor. The fit of the two-dimensional model, CFI = .98, TLI = .963, RMSEA = .039, χ</w:t>
      </w:r>
      <w:r w:rsidRPr="00436AB0">
        <w:rPr>
          <w:rFonts w:ascii="Cambria" w:hAnsi="Cambria" w:cs="Times New Roman"/>
          <w:kern w:val="0"/>
          <w:sz w:val="24"/>
          <w:szCs w:val="24"/>
          <w:vertAlign w:val="superscript"/>
          <w:lang w:val="en-GB" w:eastAsia="fi-FI"/>
          <w14:ligatures w14:val="none"/>
        </w:rPr>
        <w:t>2</w:t>
      </w:r>
      <w:r w:rsidRPr="00436AB0">
        <w:rPr>
          <w:rFonts w:ascii="Cambria" w:hAnsi="Cambria" w:cs="Times New Roman"/>
          <w:kern w:val="0"/>
          <w:sz w:val="24"/>
          <w:szCs w:val="24"/>
          <w:lang w:val="en-GB" w:eastAsia="fi-FI"/>
          <w14:ligatures w14:val="none"/>
        </w:rPr>
        <w:t xml:space="preserve">(8) = 10.897, </w:t>
      </w:r>
      <w:r w:rsidRPr="00436AB0">
        <w:rPr>
          <w:rFonts w:ascii="Cambria" w:hAnsi="Cambria" w:cs="Times New Roman"/>
          <w:i/>
          <w:iCs/>
          <w:kern w:val="0"/>
          <w:sz w:val="24"/>
          <w:szCs w:val="24"/>
          <w:lang w:val="en-GB" w:eastAsia="fi-FI"/>
          <w14:ligatures w14:val="none"/>
        </w:rPr>
        <w:t>p</w:t>
      </w:r>
      <w:r w:rsidRPr="00436AB0">
        <w:rPr>
          <w:rFonts w:ascii="Cambria" w:hAnsi="Cambria" w:cs="Times New Roman"/>
          <w:kern w:val="0"/>
          <w:sz w:val="24"/>
          <w:szCs w:val="24"/>
          <w:lang w:val="en-GB" w:eastAsia="fi-FI"/>
          <w14:ligatures w14:val="none"/>
        </w:rPr>
        <w:t xml:space="preserve"> = .208, clearly exceeded that of the unidimensional model CFI = .791, TLI = .652, RMSEA = .119, χ</w:t>
      </w:r>
      <w:r w:rsidRPr="00436AB0">
        <w:rPr>
          <w:rFonts w:ascii="Cambria" w:hAnsi="Cambria" w:cs="Times New Roman"/>
          <w:kern w:val="0"/>
          <w:sz w:val="24"/>
          <w:szCs w:val="24"/>
          <w:vertAlign w:val="superscript"/>
          <w:lang w:val="en-GB" w:eastAsia="fi-FI"/>
          <w14:ligatures w14:val="none"/>
        </w:rPr>
        <w:t>2</w:t>
      </w:r>
      <w:r w:rsidRPr="00436AB0">
        <w:rPr>
          <w:rFonts w:ascii="Cambria" w:hAnsi="Cambria" w:cs="Times New Roman"/>
          <w:kern w:val="0"/>
          <w:sz w:val="24"/>
          <w:szCs w:val="24"/>
          <w:lang w:val="en-GB" w:eastAsia="fi-FI"/>
          <w14:ligatures w14:val="none"/>
        </w:rPr>
        <w:t xml:space="preserve">(9) = 39.663, </w:t>
      </w:r>
      <w:r w:rsidRPr="00436AB0">
        <w:rPr>
          <w:rFonts w:ascii="Cambria" w:hAnsi="Cambria" w:cs="Times New Roman"/>
          <w:i/>
          <w:iCs/>
          <w:kern w:val="0"/>
          <w:sz w:val="24"/>
          <w:szCs w:val="24"/>
          <w:lang w:val="en-GB" w:eastAsia="fi-FI"/>
          <w14:ligatures w14:val="none"/>
        </w:rPr>
        <w:t>p</w:t>
      </w:r>
      <w:r w:rsidRPr="00436AB0">
        <w:rPr>
          <w:rFonts w:ascii="Cambria" w:hAnsi="Cambria" w:cs="Times New Roman"/>
          <w:kern w:val="0"/>
          <w:sz w:val="24"/>
          <w:szCs w:val="24"/>
          <w:lang w:val="en-GB" w:eastAsia="fi-FI"/>
          <w14:ligatures w14:val="none"/>
        </w:rPr>
        <w:t xml:space="preserve"> &lt; .001; test of difference: χ</w:t>
      </w:r>
      <w:r w:rsidRPr="00436AB0">
        <w:rPr>
          <w:rFonts w:ascii="Cambria" w:hAnsi="Cambria" w:cs="Times New Roman"/>
          <w:kern w:val="0"/>
          <w:sz w:val="24"/>
          <w:szCs w:val="24"/>
          <w:vertAlign w:val="superscript"/>
          <w:lang w:val="en-GB" w:eastAsia="fi-FI"/>
          <w14:ligatures w14:val="none"/>
        </w:rPr>
        <w:t>2</w:t>
      </w:r>
      <w:r w:rsidRPr="00436AB0">
        <w:rPr>
          <w:rFonts w:ascii="Cambria" w:hAnsi="Cambria" w:cs="Times New Roman"/>
          <w:kern w:val="0"/>
          <w:sz w:val="24"/>
          <w:szCs w:val="24"/>
          <w:lang w:val="en-GB" w:eastAsia="fi-FI"/>
          <w14:ligatures w14:val="none"/>
        </w:rPr>
        <w:t xml:space="preserve">(1) = 28.767, </w:t>
      </w:r>
      <w:r w:rsidRPr="00436AB0">
        <w:rPr>
          <w:rFonts w:ascii="Cambria" w:hAnsi="Cambria" w:cs="Times New Roman"/>
          <w:i/>
          <w:iCs/>
          <w:kern w:val="0"/>
          <w:sz w:val="24"/>
          <w:szCs w:val="24"/>
          <w:lang w:val="en-GB" w:eastAsia="fi-FI"/>
          <w14:ligatures w14:val="none"/>
        </w:rPr>
        <w:t>p</w:t>
      </w:r>
      <w:r w:rsidRPr="00436AB0">
        <w:rPr>
          <w:rFonts w:ascii="Cambria" w:hAnsi="Cambria" w:cs="Times New Roman"/>
          <w:kern w:val="0"/>
          <w:sz w:val="24"/>
          <w:szCs w:val="24"/>
          <w:lang w:val="en-GB" w:eastAsia="fi-FI"/>
          <w14:ligatures w14:val="none"/>
        </w:rPr>
        <w:t xml:space="preserve"> &lt; .001. However, reliability was not improved (CRT trick: </w:t>
      </w:r>
      <w:r w:rsidRPr="00436AB0">
        <w:rPr>
          <w:rFonts w:ascii="Cambria" w:hAnsi="Cambria" w:cs="Times New Roman"/>
          <w:sz w:val="24"/>
          <w:szCs w:val="24"/>
          <w:lang w:val="en-GB" w:eastAsia="fi-FI"/>
        </w:rPr>
        <w:t>ω = .52; CRT math: ω = .62). T</w:t>
      </w:r>
      <w:r w:rsidRPr="00436AB0">
        <w:rPr>
          <w:rFonts w:ascii="Cambria" w:hAnsi="Cambria" w:cs="Times New Roman"/>
          <w:kern w:val="0"/>
          <w:sz w:val="24"/>
          <w:szCs w:val="24"/>
          <w:lang w:val="en-GB" w:eastAsia="fi-FI"/>
          <w14:ligatures w14:val="none"/>
        </w:rPr>
        <w:t>hus, subsequent analyses were run using both a scale pooling the six items, and separate variables of CRT trick questions and CRT mathematical questions.</w:t>
      </w:r>
    </w:p>
    <w:p w14:paraId="57E4A2AD" w14:textId="77777777" w:rsidR="00436AB0" w:rsidRPr="00436AB0" w:rsidRDefault="00436AB0" w:rsidP="00E32591">
      <w:pPr>
        <w:spacing w:line="360" w:lineRule="auto"/>
        <w:ind w:firstLine="624"/>
        <w:contextualSpacing/>
        <w:rPr>
          <w:rFonts w:ascii="Cambria" w:hAnsi="Cambria" w:cs="Times New Roman"/>
          <w:sz w:val="24"/>
          <w:szCs w:val="24"/>
          <w:lang w:val="en-GB" w:eastAsia="fi-FI"/>
        </w:rPr>
      </w:pPr>
      <w:r w:rsidRPr="00436AB0">
        <w:rPr>
          <w:rFonts w:ascii="Cambria" w:hAnsi="Cambria" w:cs="Times New Roman"/>
          <w:sz w:val="24"/>
          <w:szCs w:val="24"/>
          <w:lang w:val="en-GB" w:eastAsia="fi-FI"/>
        </w:rPr>
        <w:t xml:space="preserve">Reading comprehension was measured using the Deep Cloze Test </w:t>
      </w:r>
      <w:r w:rsidRPr="00436AB0">
        <w:rPr>
          <w:rFonts w:ascii="Cambria" w:hAnsi="Cambria" w:cs="Times New Roman"/>
          <w:noProof/>
          <w:sz w:val="24"/>
          <w:szCs w:val="24"/>
          <w:lang w:val="en-GB" w:eastAsia="fi-FI"/>
        </w:rPr>
        <w:t>(Lyskov Jensen &amp; Elbro, 2022)</w:t>
      </w:r>
      <w:r w:rsidRPr="00436AB0">
        <w:rPr>
          <w:rFonts w:ascii="Cambria" w:hAnsi="Cambria" w:cs="Times New Roman"/>
          <w:sz w:val="24"/>
          <w:szCs w:val="24"/>
          <w:lang w:val="en-GB" w:eastAsia="fi-FI"/>
        </w:rPr>
        <w:t xml:space="preserve">. It contains 34 short stories, a few sentences long, with a key word missing. The task is to select the missing word from four options. Correct responses </w:t>
      </w:r>
      <w:r w:rsidRPr="00436AB0">
        <w:rPr>
          <w:rFonts w:ascii="Cambria" w:hAnsi="Cambria" w:cs="Times New Roman"/>
          <w:sz w:val="24"/>
          <w:szCs w:val="24"/>
          <w:lang w:val="en-GB" w:eastAsia="fi-FI"/>
        </w:rPr>
        <w:lastRenderedPageBreak/>
        <w:t>require forming a coherent situation model of the story. The number of correct responses given within 5 minutes formed the task score. The split-half</w:t>
      </w:r>
      <w:r w:rsidRPr="00436AB0">
        <w:rPr>
          <w:rFonts w:ascii="Cambria" w:hAnsi="Cambria" w:cs="Times New Roman"/>
          <w:sz w:val="24"/>
          <w:szCs w:val="24"/>
          <w:lang w:val="en-GB"/>
        </w:rPr>
        <w:t xml:space="preserve"> </w:t>
      </w:r>
      <w:r w:rsidRPr="00436AB0">
        <w:rPr>
          <w:rFonts w:ascii="Cambria" w:hAnsi="Cambria" w:cs="Times New Roman"/>
          <w:sz w:val="24"/>
          <w:szCs w:val="24"/>
          <w:lang w:val="en-GB" w:eastAsia="fi-FI"/>
        </w:rPr>
        <w:t>reliability with Spearman–Brown correction, calculated over even- and odd-numbered items, was .95.</w:t>
      </w:r>
    </w:p>
    <w:p w14:paraId="7941B973" w14:textId="77777777" w:rsidR="00436AB0" w:rsidRPr="00436AB0" w:rsidRDefault="00436AB0" w:rsidP="00E32591">
      <w:pPr>
        <w:keepNext/>
        <w:spacing w:line="360" w:lineRule="auto"/>
        <w:ind w:firstLine="624"/>
        <w:contextualSpacing/>
        <w:rPr>
          <w:rFonts w:ascii="Cambria" w:hAnsi="Cambria" w:cs="Times New Roman"/>
          <w:sz w:val="24"/>
          <w:szCs w:val="24"/>
          <w:lang w:val="en-GB" w:eastAsia="fi-FI"/>
        </w:rPr>
      </w:pPr>
      <w:r w:rsidRPr="00436AB0">
        <w:rPr>
          <w:rFonts w:ascii="Cambria" w:hAnsi="Cambria" w:cs="Times New Roman"/>
          <w:b/>
          <w:bCs/>
          <w:sz w:val="24"/>
          <w:szCs w:val="24"/>
          <w:lang w:val="en-GB" w:eastAsia="fi-FI"/>
        </w:rPr>
        <w:t xml:space="preserve">Background Information. </w:t>
      </w:r>
      <w:r w:rsidRPr="00436AB0">
        <w:rPr>
          <w:rFonts w:ascii="Cambria" w:hAnsi="Cambria" w:cs="Times New Roman"/>
          <w:sz w:val="24"/>
          <w:szCs w:val="24"/>
          <w:lang w:val="en-GB" w:eastAsia="fi-FI"/>
        </w:rPr>
        <w:t>On the last page of the study, participants were asked to indicate their highest completed educational degree, main field of study or work, whether English was their first language, their self-rated familiarity with terms related to argument analysis (</w:t>
      </w:r>
      <w:r w:rsidRPr="00436AB0">
        <w:rPr>
          <w:rFonts w:ascii="Cambria" w:hAnsi="Cambria" w:cs="Times New Roman"/>
          <w:i/>
          <w:iCs/>
          <w:sz w:val="24"/>
          <w:szCs w:val="24"/>
          <w:lang w:val="en-GB" w:eastAsia="fi-FI"/>
        </w:rPr>
        <w:t>yes/no/not sure</w:t>
      </w:r>
      <w:r w:rsidRPr="00436AB0">
        <w:rPr>
          <w:rFonts w:ascii="Cambria" w:hAnsi="Cambria" w:cs="Times New Roman"/>
          <w:sz w:val="24"/>
          <w:szCs w:val="24"/>
          <w:lang w:val="en-GB" w:eastAsia="fi-FI"/>
        </w:rPr>
        <w:t xml:space="preserve">), and their self-rated interest in argumentation and debate (on a five-point scale). For use in statistical analyses, we treated the education variable (an ordinal scale variable) as if it were on an interval scale (coded as follows: </w:t>
      </w:r>
      <w:r w:rsidRPr="00436AB0">
        <w:rPr>
          <w:rFonts w:ascii="Cambria" w:hAnsi="Cambria" w:cs="Times New Roman"/>
          <w:i/>
          <w:iCs/>
          <w:sz w:val="24"/>
          <w:szCs w:val="24"/>
          <w:lang w:val="en-GB" w:eastAsia="fi-FI"/>
        </w:rPr>
        <w:t>Secondary education (e.g. GED; GCSE)</w:t>
      </w:r>
      <w:r w:rsidRPr="00436AB0">
        <w:rPr>
          <w:rFonts w:ascii="Cambria" w:hAnsi="Cambria" w:cs="Times New Roman"/>
          <w:sz w:val="24"/>
          <w:szCs w:val="24"/>
          <w:lang w:val="en-GB" w:eastAsia="fi-FI"/>
        </w:rPr>
        <w:t xml:space="preserve"> = 1, </w:t>
      </w:r>
      <w:r w:rsidRPr="00436AB0">
        <w:rPr>
          <w:rFonts w:ascii="Cambria" w:hAnsi="Cambria" w:cs="Times New Roman"/>
          <w:i/>
          <w:iCs/>
          <w:sz w:val="24"/>
          <w:szCs w:val="24"/>
          <w:lang w:val="en-GB" w:eastAsia="fi-FI"/>
        </w:rPr>
        <w:t>A-levels</w:t>
      </w:r>
      <w:r w:rsidRPr="00436AB0">
        <w:rPr>
          <w:rFonts w:ascii="Cambria" w:hAnsi="Cambria" w:cs="Times New Roman"/>
          <w:sz w:val="24"/>
          <w:szCs w:val="24"/>
          <w:lang w:val="en-GB" w:eastAsia="fi-FI"/>
        </w:rPr>
        <w:t xml:space="preserve"> = 2, </w:t>
      </w:r>
      <w:r w:rsidRPr="00436AB0">
        <w:rPr>
          <w:rFonts w:ascii="Cambria" w:hAnsi="Cambria" w:cs="Times New Roman"/>
          <w:i/>
          <w:iCs/>
          <w:sz w:val="24"/>
          <w:szCs w:val="24"/>
          <w:lang w:val="en-GB" w:eastAsia="fi-FI"/>
        </w:rPr>
        <w:t>Technical or community college</w:t>
      </w:r>
      <w:r w:rsidRPr="00436AB0">
        <w:rPr>
          <w:rFonts w:ascii="Cambria" w:hAnsi="Cambria" w:cs="Times New Roman"/>
          <w:sz w:val="24"/>
          <w:szCs w:val="24"/>
          <w:lang w:val="en-GB" w:eastAsia="fi-FI"/>
        </w:rPr>
        <w:t xml:space="preserve"> = 3, </w:t>
      </w:r>
      <w:r w:rsidRPr="00436AB0">
        <w:rPr>
          <w:rFonts w:ascii="Cambria" w:hAnsi="Cambria" w:cs="Times New Roman"/>
          <w:i/>
          <w:iCs/>
          <w:sz w:val="24"/>
          <w:szCs w:val="24"/>
          <w:lang w:val="en-GB" w:eastAsia="fi-FI"/>
        </w:rPr>
        <w:t>Undergraduate</w:t>
      </w:r>
      <w:r w:rsidRPr="00436AB0">
        <w:rPr>
          <w:rFonts w:ascii="Cambria" w:hAnsi="Cambria" w:cs="Times New Roman"/>
          <w:sz w:val="24"/>
          <w:szCs w:val="24"/>
          <w:lang w:val="en-GB" w:eastAsia="fi-FI"/>
        </w:rPr>
        <w:t xml:space="preserve"> = 4, </w:t>
      </w:r>
      <w:r w:rsidRPr="00436AB0">
        <w:rPr>
          <w:rFonts w:ascii="Cambria" w:hAnsi="Cambria" w:cs="Times New Roman"/>
          <w:i/>
          <w:iCs/>
          <w:sz w:val="24"/>
          <w:szCs w:val="24"/>
          <w:lang w:val="en-GB" w:eastAsia="fi-FI"/>
        </w:rPr>
        <w:t>Graduate</w:t>
      </w:r>
      <w:r w:rsidRPr="00436AB0">
        <w:rPr>
          <w:rFonts w:ascii="Cambria" w:hAnsi="Cambria" w:cs="Times New Roman"/>
          <w:sz w:val="24"/>
          <w:szCs w:val="24"/>
          <w:lang w:val="en-GB" w:eastAsia="fi-FI"/>
        </w:rPr>
        <w:t xml:space="preserve"> = 5, </w:t>
      </w:r>
      <w:r w:rsidRPr="00436AB0">
        <w:rPr>
          <w:rFonts w:ascii="Cambria" w:hAnsi="Cambria" w:cs="Times New Roman"/>
          <w:i/>
          <w:iCs/>
          <w:sz w:val="24"/>
          <w:szCs w:val="24"/>
          <w:lang w:val="en-GB" w:eastAsia="fi-FI"/>
        </w:rPr>
        <w:t xml:space="preserve">Doctorate </w:t>
      </w:r>
      <w:r w:rsidRPr="00436AB0">
        <w:rPr>
          <w:rFonts w:ascii="Cambria" w:hAnsi="Cambria" w:cs="Times New Roman"/>
          <w:sz w:val="24"/>
          <w:szCs w:val="24"/>
          <w:lang w:val="en-GB" w:eastAsia="fi-FI"/>
        </w:rPr>
        <w:t>= 6). The interest variable was not related to any other variable and was thus not analysed further.</w:t>
      </w:r>
    </w:p>
    <w:p w14:paraId="697456D4" w14:textId="77777777" w:rsidR="00436AB0" w:rsidRPr="00436AB0" w:rsidRDefault="00436AB0" w:rsidP="00E32591">
      <w:pPr>
        <w:spacing w:line="360" w:lineRule="auto"/>
        <w:ind w:firstLine="624"/>
        <w:contextualSpacing/>
        <w:rPr>
          <w:rFonts w:ascii="Cambria" w:eastAsia="Times New Roman" w:hAnsi="Cambria" w:cs="Times New Roman"/>
          <w:kern w:val="0"/>
          <w:sz w:val="24"/>
          <w:szCs w:val="24"/>
          <w:lang w:val="en-GB" w:eastAsia="en-GB"/>
          <w14:ligatures w14:val="none"/>
        </w:rPr>
      </w:pPr>
      <w:r w:rsidRPr="00436AB0">
        <w:rPr>
          <w:rFonts w:ascii="Cambria" w:hAnsi="Cambria" w:cs="Times New Roman"/>
          <w:sz w:val="24"/>
          <w:szCs w:val="24"/>
          <w:lang w:val="en-GB" w:eastAsia="fi-FI"/>
        </w:rPr>
        <w:t>In addition, t</w:t>
      </w:r>
      <w:r w:rsidRPr="00436AB0">
        <w:rPr>
          <w:rFonts w:ascii="Cambria" w:hAnsi="Cambria" w:cs="Times New Roman"/>
          <w:sz w:val="24"/>
          <w:szCs w:val="24"/>
          <w:lang w:val="en-GB"/>
        </w:rPr>
        <w:t>wo attention check items were built into the study. The first attention check had the appearance of an argument analysis task, but with instructions to select ‘Missing.’ The second attention check was presented at the end of the study, with instructions to choose the option ‘other’ and to type in ‘I read the instruc</w:t>
      </w:r>
      <w:r w:rsidRPr="00436AB0">
        <w:rPr>
          <w:rFonts w:ascii="Cambria" w:eastAsia="Times New Roman" w:hAnsi="Cambria" w:cs="Times New Roman"/>
          <w:sz w:val="24"/>
          <w:szCs w:val="24"/>
          <w:lang w:val="en-GB"/>
        </w:rPr>
        <w:t>ti</w:t>
      </w:r>
      <w:r w:rsidRPr="00436AB0">
        <w:rPr>
          <w:rFonts w:ascii="Cambria" w:hAnsi="Cambria" w:cs="Times New Roman"/>
          <w:sz w:val="24"/>
          <w:szCs w:val="24"/>
          <w:lang w:val="en-GB"/>
        </w:rPr>
        <w:t xml:space="preserve">ons’. </w:t>
      </w:r>
      <w:r w:rsidRPr="00436AB0">
        <w:rPr>
          <w:rFonts w:ascii="Cambria" w:eastAsia="Times New Roman" w:hAnsi="Cambria" w:cs="Times New Roman"/>
          <w:kern w:val="0"/>
          <w:sz w:val="24"/>
          <w:szCs w:val="24"/>
          <w:lang w:val="en-GB" w:eastAsia="en-GB"/>
          <w14:ligatures w14:val="none"/>
        </w:rPr>
        <w:t xml:space="preserve">Prolific provided the following variables describing the participants: age, gender, first language, country of residence, student status, occupational status. </w:t>
      </w:r>
    </w:p>
    <w:p w14:paraId="2F33EC24" w14:textId="77777777" w:rsidR="00436AB0" w:rsidRPr="00436AB0" w:rsidRDefault="00436AB0" w:rsidP="00E32591">
      <w:pPr>
        <w:keepNext/>
        <w:spacing w:line="360" w:lineRule="auto"/>
        <w:contextualSpacing/>
        <w:rPr>
          <w:rFonts w:ascii="Cambria" w:hAnsi="Cambria" w:cs="Times New Roman"/>
          <w:b/>
          <w:bCs/>
          <w:sz w:val="24"/>
          <w:szCs w:val="24"/>
          <w:lang w:val="en-GB"/>
        </w:rPr>
      </w:pPr>
      <w:r w:rsidRPr="00436AB0">
        <w:rPr>
          <w:rFonts w:ascii="Cambria" w:hAnsi="Cambria" w:cs="Times New Roman"/>
          <w:b/>
          <w:bCs/>
          <w:sz w:val="24"/>
          <w:szCs w:val="24"/>
          <w:lang w:val="en-GB"/>
        </w:rPr>
        <w:t>Results</w:t>
      </w:r>
    </w:p>
    <w:p w14:paraId="75F6F4D8" w14:textId="77777777" w:rsidR="00436AB0" w:rsidRPr="00436AB0" w:rsidRDefault="00436AB0" w:rsidP="00E32591">
      <w:pPr>
        <w:spacing w:line="360" w:lineRule="auto"/>
        <w:contextualSpacing/>
        <w:rPr>
          <w:rFonts w:ascii="Cambria" w:hAnsi="Cambria" w:cs="Times New Roman"/>
          <w:b/>
          <w:bCs/>
          <w:i/>
          <w:iCs/>
          <w:sz w:val="24"/>
          <w:szCs w:val="24"/>
          <w:lang w:val="en-GB"/>
        </w:rPr>
      </w:pPr>
      <w:r w:rsidRPr="00436AB0">
        <w:rPr>
          <w:rFonts w:ascii="Cambria" w:hAnsi="Cambria" w:cs="Times New Roman"/>
          <w:b/>
          <w:bCs/>
          <w:i/>
          <w:iCs/>
          <w:sz w:val="24"/>
          <w:szCs w:val="24"/>
          <w:lang w:val="en-GB"/>
        </w:rPr>
        <w:t>Data examination</w:t>
      </w:r>
    </w:p>
    <w:p w14:paraId="1E1C0585" w14:textId="77777777" w:rsidR="00436AB0" w:rsidRPr="00436AB0" w:rsidRDefault="00436AB0" w:rsidP="00E32591">
      <w:pPr>
        <w:spacing w:line="360" w:lineRule="auto"/>
        <w:ind w:firstLine="624"/>
        <w:contextualSpacing/>
        <w:rPr>
          <w:rFonts w:ascii="Cambria" w:hAnsi="Cambria" w:cs="Times New Roman"/>
          <w:sz w:val="24"/>
          <w:szCs w:val="24"/>
          <w:lang w:val="en-GB"/>
        </w:rPr>
      </w:pPr>
      <w:r w:rsidRPr="00436AB0">
        <w:rPr>
          <w:rFonts w:ascii="Cambria" w:hAnsi="Cambria" w:cs="Times New Roman"/>
          <w:sz w:val="24"/>
          <w:szCs w:val="24"/>
          <w:lang w:val="en-GB"/>
        </w:rPr>
        <w:t xml:space="preserve">We began by examining the distributions of ACLT scores and outliers. Two items were not correctly identified by any participants. The examination of multivariate outliers on the ACLT items identified 13 participants (5.4% of the sample) whose pattern of scores significantly deviated from a chi-square distribution with 44 df (Mahalanobis distance significant at p &lt; .001). After removal of the outliers there were seven additional items (all in Part 3) that were not correctly identified by any of the remaining participants. We ran all subsequent analyses without the outliers and the affected items. This resulted in a final sample size of 227. </w:t>
      </w:r>
    </w:p>
    <w:p w14:paraId="340C8D51" w14:textId="77777777" w:rsidR="00436AB0" w:rsidRPr="00436AB0" w:rsidRDefault="00436AB0" w:rsidP="00E32591">
      <w:pPr>
        <w:spacing w:line="360" w:lineRule="auto"/>
        <w:ind w:firstLine="624"/>
        <w:contextualSpacing/>
        <w:rPr>
          <w:rFonts w:ascii="Cambria" w:hAnsi="Cambria" w:cs="Times New Roman"/>
          <w:sz w:val="24"/>
          <w:szCs w:val="24"/>
          <w:lang w:val="en-GB"/>
        </w:rPr>
      </w:pPr>
      <w:r w:rsidRPr="00436AB0">
        <w:rPr>
          <w:rFonts w:ascii="Cambria" w:hAnsi="Cambria" w:cs="Times New Roman"/>
          <w:sz w:val="24"/>
          <w:szCs w:val="24"/>
          <w:lang w:val="en-GB"/>
        </w:rPr>
        <w:t>Next, the reliability of the remaining items was investigated. Because the items were scored dichotomously, we used polychoric correlations. Results are reported in the manuscript.</w:t>
      </w:r>
    </w:p>
    <w:p w14:paraId="609639A3" w14:textId="77777777" w:rsidR="00436AB0" w:rsidRPr="00436AB0" w:rsidRDefault="00436AB0" w:rsidP="00E32591">
      <w:pPr>
        <w:keepNext/>
        <w:spacing w:line="360" w:lineRule="auto"/>
        <w:contextualSpacing/>
        <w:rPr>
          <w:rFonts w:ascii="Cambria" w:hAnsi="Cambria" w:cs="Times New Roman"/>
          <w:b/>
          <w:bCs/>
          <w:i/>
          <w:iCs/>
          <w:sz w:val="24"/>
          <w:szCs w:val="24"/>
          <w:lang w:val="en-GB"/>
        </w:rPr>
      </w:pPr>
      <w:r w:rsidRPr="00436AB0">
        <w:rPr>
          <w:rFonts w:ascii="Cambria" w:hAnsi="Cambria" w:cs="Times New Roman"/>
          <w:b/>
          <w:bCs/>
          <w:i/>
          <w:iCs/>
          <w:sz w:val="24"/>
          <w:szCs w:val="24"/>
          <w:lang w:val="en-GB"/>
        </w:rPr>
        <w:lastRenderedPageBreak/>
        <w:t>Correlations</w:t>
      </w:r>
    </w:p>
    <w:p w14:paraId="7E2DFA8D" w14:textId="77777777" w:rsidR="00436AB0" w:rsidRPr="00436AB0" w:rsidRDefault="00436AB0" w:rsidP="00E32591">
      <w:pPr>
        <w:spacing w:line="360" w:lineRule="auto"/>
        <w:ind w:firstLine="624"/>
        <w:contextualSpacing/>
        <w:rPr>
          <w:rFonts w:ascii="Cambria" w:hAnsi="Cambria" w:cs="Times New Roman"/>
          <w:sz w:val="24"/>
          <w:szCs w:val="24"/>
          <w:lang w:val="en-GB"/>
        </w:rPr>
      </w:pPr>
      <w:r w:rsidRPr="00436AB0">
        <w:rPr>
          <w:rFonts w:ascii="Cambria" w:hAnsi="Cambria" w:cs="Times New Roman"/>
          <w:sz w:val="24"/>
          <w:szCs w:val="24"/>
          <w:lang w:val="en-GB" w:eastAsia="fi-FI"/>
        </w:rPr>
        <w:t>We examined correlations between the different parts of the test. As Table S1 shows, the correlations were mainly positive but many of them were small</w:t>
      </w:r>
      <w:r w:rsidRPr="00436AB0">
        <w:rPr>
          <w:rFonts w:ascii="Cambria" w:hAnsi="Cambria" w:cs="Times New Roman"/>
          <w:sz w:val="24"/>
          <w:szCs w:val="24"/>
          <w:lang w:val="en-GB"/>
        </w:rPr>
        <w:t xml:space="preserve">. While Parts 1–3 were consistently positively intercorrelated, Parts 4 and 5 were not. The correlations were likely attenuated due to the low reliabilities of the scales. </w:t>
      </w:r>
    </w:p>
    <w:p w14:paraId="44F1F958" w14:textId="77777777" w:rsidR="00436AB0" w:rsidRPr="00436AB0" w:rsidRDefault="00436AB0" w:rsidP="00E32591">
      <w:pPr>
        <w:spacing w:line="360" w:lineRule="auto"/>
        <w:ind w:firstLine="624"/>
        <w:contextualSpacing/>
        <w:rPr>
          <w:rFonts w:ascii="Cambria" w:hAnsi="Cambria" w:cs="Times New Roman"/>
          <w:sz w:val="24"/>
          <w:szCs w:val="24"/>
          <w:lang w:val="en-GB" w:eastAsia="fi-FI"/>
        </w:rPr>
      </w:pPr>
      <w:r w:rsidRPr="00436AB0">
        <w:rPr>
          <w:rFonts w:ascii="Cambria" w:hAnsi="Cambria" w:cs="Times New Roman"/>
          <w:sz w:val="24"/>
          <w:szCs w:val="24"/>
          <w:lang w:val="en-GB"/>
        </w:rPr>
        <w:t>We also calculated correlations between ACLT scores and the other studied variables (Table S2). These show that</w:t>
      </w:r>
      <w:r w:rsidRPr="00436AB0">
        <w:rPr>
          <w:rFonts w:ascii="Cambria" w:hAnsi="Cambria" w:cs="Times New Roman"/>
          <w:sz w:val="24"/>
          <w:szCs w:val="24"/>
          <w:lang w:val="en-GB" w:eastAsia="fi-FI"/>
        </w:rPr>
        <w:t xml:space="preserve"> both the ACLT total score and all its subscales were unrelated to the reading comprehension test. </w:t>
      </w:r>
    </w:p>
    <w:p w14:paraId="11F78435" w14:textId="77777777" w:rsidR="00436AB0" w:rsidRPr="00436AB0" w:rsidRDefault="00436AB0" w:rsidP="00E32591">
      <w:pPr>
        <w:spacing w:line="360" w:lineRule="auto"/>
        <w:ind w:firstLine="624"/>
        <w:contextualSpacing/>
        <w:rPr>
          <w:rFonts w:ascii="Cambria" w:hAnsi="Cambria" w:cs="Times New Roman"/>
          <w:sz w:val="24"/>
          <w:szCs w:val="24"/>
          <w:lang w:val="en-GB" w:eastAsia="fi-FI"/>
        </w:rPr>
      </w:pPr>
      <w:r w:rsidRPr="00436AB0">
        <w:rPr>
          <w:rFonts w:ascii="Cambria" w:hAnsi="Cambria" w:cs="Times New Roman"/>
          <w:sz w:val="24"/>
          <w:szCs w:val="24"/>
          <w:shd w:val="clear" w:color="auto" w:fill="FFFFFF"/>
          <w:lang w:val="en-GB"/>
        </w:rPr>
        <w:t xml:space="preserve">Next, we examined the relationships between argument literacy and analytic thinking styles. The </w:t>
      </w:r>
      <w:r w:rsidRPr="00436AB0">
        <w:rPr>
          <w:rFonts w:ascii="Cambria" w:hAnsi="Cambria" w:cs="Times New Roman"/>
          <w:sz w:val="24"/>
          <w:szCs w:val="24"/>
          <w:lang w:val="en-GB" w:eastAsia="fi-FI"/>
        </w:rPr>
        <w:t xml:space="preserve">overall ACLT score was positively related to all analytic thinking dispositions, while correlations with the separate dimensions tended to be small. </w:t>
      </w:r>
    </w:p>
    <w:p w14:paraId="5F97938F" w14:textId="77777777" w:rsidR="00436AB0" w:rsidRPr="00436AB0" w:rsidRDefault="00436AB0" w:rsidP="00E32591">
      <w:pPr>
        <w:spacing w:line="360" w:lineRule="auto"/>
        <w:ind w:firstLine="624"/>
        <w:contextualSpacing/>
        <w:rPr>
          <w:rFonts w:ascii="Cambria" w:hAnsi="Cambria" w:cs="Times New Roman"/>
          <w:sz w:val="24"/>
          <w:szCs w:val="24"/>
          <w:lang w:val="en-GB" w:eastAsia="fi-FI"/>
        </w:rPr>
      </w:pPr>
      <w:r w:rsidRPr="00436AB0">
        <w:rPr>
          <w:rFonts w:ascii="Cambria" w:hAnsi="Cambria" w:cs="Times New Roman"/>
          <w:sz w:val="24"/>
          <w:szCs w:val="24"/>
          <w:lang w:val="en-GB"/>
        </w:rPr>
        <w:t xml:space="preserve">Neither ACLT total scores nor soundness discrimination scores differed between those who reported previous familiarity with argument analysis, or between participants from different fields of occupation or study </w:t>
      </w:r>
      <w:r w:rsidRPr="00436AB0">
        <w:rPr>
          <w:rFonts w:ascii="Cambria" w:hAnsi="Cambria" w:cs="Times New Roman"/>
          <w:sz w:val="24"/>
          <w:szCs w:val="24"/>
          <w:lang w:val="en-GB" w:eastAsia="fi-FI"/>
        </w:rPr>
        <w:t xml:space="preserve">(ANOVA </w:t>
      </w:r>
      <w:r w:rsidRPr="00436AB0">
        <w:rPr>
          <w:rFonts w:ascii="Cambria" w:hAnsi="Cambria" w:cs="Times New Roman"/>
          <w:i/>
          <w:iCs/>
          <w:sz w:val="24"/>
          <w:szCs w:val="24"/>
          <w:lang w:val="en-GB" w:eastAsia="fi-FI"/>
        </w:rPr>
        <w:t>p</w:t>
      </w:r>
      <w:r w:rsidRPr="00436AB0">
        <w:rPr>
          <w:rFonts w:ascii="Cambria" w:hAnsi="Cambria" w:cs="Times New Roman"/>
          <w:sz w:val="24"/>
          <w:szCs w:val="24"/>
          <w:lang w:val="en-GB" w:eastAsia="fi-FI"/>
        </w:rPr>
        <w:t>s &gt; .05).</w:t>
      </w:r>
    </w:p>
    <w:p w14:paraId="5504B887" w14:textId="77777777" w:rsidR="00436AB0" w:rsidRPr="00436AB0" w:rsidRDefault="00436AB0" w:rsidP="00E32591">
      <w:pPr>
        <w:spacing w:line="360" w:lineRule="auto"/>
        <w:contextualSpacing/>
        <w:rPr>
          <w:rFonts w:ascii="Cambria" w:hAnsi="Cambria" w:cs="Times New Roman"/>
          <w:b/>
          <w:bCs/>
          <w:sz w:val="24"/>
          <w:szCs w:val="24"/>
          <w:lang w:val="en-GB"/>
        </w:rPr>
      </w:pPr>
    </w:p>
    <w:p w14:paraId="3127FC3E" w14:textId="77777777" w:rsidR="00436AB0" w:rsidRPr="00436AB0" w:rsidRDefault="00436AB0" w:rsidP="00E32591">
      <w:pPr>
        <w:spacing w:line="360" w:lineRule="auto"/>
        <w:contextualSpacing/>
        <w:rPr>
          <w:rFonts w:ascii="Cambria" w:hAnsi="Cambria" w:cs="Times New Roman"/>
          <w:b/>
          <w:bCs/>
          <w:sz w:val="24"/>
          <w:szCs w:val="24"/>
          <w:lang w:val="en-GB"/>
        </w:rPr>
      </w:pPr>
      <w:r w:rsidRPr="00436AB0">
        <w:rPr>
          <w:rFonts w:ascii="Cambria" w:hAnsi="Cambria" w:cs="Times New Roman"/>
          <w:b/>
          <w:bCs/>
          <w:sz w:val="24"/>
          <w:szCs w:val="24"/>
          <w:lang w:val="en-GB"/>
        </w:rPr>
        <w:t>Table S1</w:t>
      </w:r>
    </w:p>
    <w:p w14:paraId="6604B142" w14:textId="77777777" w:rsidR="00436AB0" w:rsidRPr="00436AB0" w:rsidRDefault="00436AB0" w:rsidP="00E32591">
      <w:pPr>
        <w:spacing w:line="360" w:lineRule="auto"/>
        <w:contextualSpacing/>
        <w:rPr>
          <w:rFonts w:ascii="Cambria" w:hAnsi="Cambria" w:cs="Times New Roman"/>
          <w:i/>
          <w:iCs/>
          <w:sz w:val="24"/>
          <w:szCs w:val="24"/>
          <w:lang w:val="en-GB"/>
        </w:rPr>
      </w:pPr>
      <w:r w:rsidRPr="00436AB0">
        <w:rPr>
          <w:rFonts w:ascii="Cambria" w:hAnsi="Cambria" w:cs="Times New Roman"/>
          <w:i/>
          <w:iCs/>
          <w:sz w:val="24"/>
          <w:szCs w:val="24"/>
          <w:lang w:val="en-GB"/>
        </w:rPr>
        <w:t>Correlations between parts of the ACLT, and descriptive statistics. Exact p-values in parentheses.</w:t>
      </w:r>
    </w:p>
    <w:tbl>
      <w:tblPr>
        <w:tblStyle w:val="TableGrid"/>
        <w:tblW w:w="0" w:type="auto"/>
        <w:tblInd w:w="0" w:type="dxa"/>
        <w:tblLook w:val="04A0" w:firstRow="1" w:lastRow="0" w:firstColumn="1" w:lastColumn="0" w:noHBand="0" w:noVBand="1"/>
      </w:tblPr>
      <w:tblGrid>
        <w:gridCol w:w="4106"/>
        <w:gridCol w:w="992"/>
        <w:gridCol w:w="993"/>
        <w:gridCol w:w="992"/>
        <w:gridCol w:w="992"/>
        <w:gridCol w:w="941"/>
      </w:tblGrid>
      <w:tr w:rsidR="00436AB0" w:rsidRPr="00436AB0" w14:paraId="42FB731D" w14:textId="77777777" w:rsidTr="006453C1">
        <w:tc>
          <w:tcPr>
            <w:tcW w:w="4106" w:type="dxa"/>
            <w:tcBorders>
              <w:top w:val="single" w:sz="4" w:space="0" w:color="auto"/>
              <w:left w:val="single" w:sz="4" w:space="0" w:color="auto"/>
              <w:bottom w:val="single" w:sz="4" w:space="0" w:color="auto"/>
              <w:right w:val="single" w:sz="4" w:space="0" w:color="auto"/>
            </w:tcBorders>
            <w:hideMark/>
          </w:tcPr>
          <w:p w14:paraId="5D112FE7"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hAnsi="Cambria" w:cs="Times New Roman"/>
                <w:sz w:val="24"/>
                <w:szCs w:val="24"/>
                <w:lang w:val="en-GB"/>
              </w:rPr>
              <w:t>Variable</w:t>
            </w:r>
          </w:p>
        </w:tc>
        <w:tc>
          <w:tcPr>
            <w:tcW w:w="992" w:type="dxa"/>
            <w:tcBorders>
              <w:top w:val="single" w:sz="4" w:space="0" w:color="auto"/>
              <w:left w:val="single" w:sz="4" w:space="0" w:color="auto"/>
              <w:bottom w:val="single" w:sz="4" w:space="0" w:color="auto"/>
              <w:right w:val="single" w:sz="4" w:space="0" w:color="auto"/>
            </w:tcBorders>
            <w:hideMark/>
          </w:tcPr>
          <w:p w14:paraId="7767A594"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hAnsi="Cambria" w:cs="Times New Roman"/>
                <w:sz w:val="24"/>
                <w:szCs w:val="24"/>
                <w:lang w:val="en-GB"/>
              </w:rPr>
              <w:t>Part 1</w:t>
            </w:r>
          </w:p>
        </w:tc>
        <w:tc>
          <w:tcPr>
            <w:tcW w:w="993" w:type="dxa"/>
            <w:tcBorders>
              <w:top w:val="single" w:sz="4" w:space="0" w:color="auto"/>
              <w:left w:val="single" w:sz="4" w:space="0" w:color="auto"/>
              <w:bottom w:val="single" w:sz="4" w:space="0" w:color="auto"/>
              <w:right w:val="single" w:sz="4" w:space="0" w:color="auto"/>
            </w:tcBorders>
            <w:hideMark/>
          </w:tcPr>
          <w:p w14:paraId="5E4817D9"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hAnsi="Cambria" w:cs="Times New Roman"/>
                <w:sz w:val="24"/>
                <w:szCs w:val="24"/>
                <w:lang w:val="en-GB"/>
              </w:rPr>
              <w:t>Part 2</w:t>
            </w:r>
          </w:p>
        </w:tc>
        <w:tc>
          <w:tcPr>
            <w:tcW w:w="992" w:type="dxa"/>
            <w:tcBorders>
              <w:top w:val="single" w:sz="4" w:space="0" w:color="auto"/>
              <w:left w:val="single" w:sz="4" w:space="0" w:color="auto"/>
              <w:bottom w:val="single" w:sz="4" w:space="0" w:color="auto"/>
              <w:right w:val="single" w:sz="4" w:space="0" w:color="auto"/>
            </w:tcBorders>
            <w:hideMark/>
          </w:tcPr>
          <w:p w14:paraId="0EC7CE0E"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hAnsi="Cambria" w:cs="Times New Roman"/>
                <w:sz w:val="24"/>
                <w:szCs w:val="24"/>
                <w:lang w:val="en-GB"/>
              </w:rPr>
              <w:t>Part 3</w:t>
            </w:r>
          </w:p>
        </w:tc>
        <w:tc>
          <w:tcPr>
            <w:tcW w:w="992" w:type="dxa"/>
            <w:tcBorders>
              <w:top w:val="single" w:sz="4" w:space="0" w:color="auto"/>
              <w:left w:val="single" w:sz="4" w:space="0" w:color="auto"/>
              <w:bottom w:val="single" w:sz="4" w:space="0" w:color="auto"/>
              <w:right w:val="single" w:sz="4" w:space="0" w:color="auto"/>
            </w:tcBorders>
            <w:hideMark/>
          </w:tcPr>
          <w:p w14:paraId="2238A9FB"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hAnsi="Cambria" w:cs="Times New Roman"/>
                <w:sz w:val="24"/>
                <w:szCs w:val="24"/>
                <w:lang w:val="en-GB"/>
              </w:rPr>
              <w:t>Part 4</w:t>
            </w:r>
          </w:p>
        </w:tc>
        <w:tc>
          <w:tcPr>
            <w:tcW w:w="941" w:type="dxa"/>
            <w:tcBorders>
              <w:top w:val="single" w:sz="4" w:space="0" w:color="auto"/>
              <w:left w:val="single" w:sz="4" w:space="0" w:color="auto"/>
              <w:bottom w:val="single" w:sz="4" w:space="0" w:color="auto"/>
              <w:right w:val="single" w:sz="4" w:space="0" w:color="auto"/>
            </w:tcBorders>
            <w:hideMark/>
          </w:tcPr>
          <w:p w14:paraId="72DDD32E"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hAnsi="Cambria" w:cs="Times New Roman"/>
                <w:sz w:val="24"/>
                <w:szCs w:val="24"/>
                <w:lang w:val="en-GB"/>
              </w:rPr>
              <w:t>Part 5</w:t>
            </w:r>
          </w:p>
        </w:tc>
      </w:tr>
      <w:tr w:rsidR="00436AB0" w:rsidRPr="00436AB0" w14:paraId="5A7B480E" w14:textId="77777777" w:rsidTr="006453C1">
        <w:tc>
          <w:tcPr>
            <w:tcW w:w="4106" w:type="dxa"/>
            <w:tcBorders>
              <w:top w:val="single" w:sz="4" w:space="0" w:color="auto"/>
              <w:left w:val="single" w:sz="4" w:space="0" w:color="auto"/>
              <w:bottom w:val="single" w:sz="4" w:space="0" w:color="auto"/>
              <w:right w:val="single" w:sz="4" w:space="0" w:color="auto"/>
            </w:tcBorders>
            <w:hideMark/>
          </w:tcPr>
          <w:p w14:paraId="437BEC7D"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hAnsi="Cambria" w:cs="Times New Roman"/>
                <w:sz w:val="24"/>
                <w:szCs w:val="24"/>
                <w:lang w:val="en-GB"/>
              </w:rPr>
              <w:t>Part 1 (Standpoints and arguments)</w:t>
            </w:r>
          </w:p>
        </w:tc>
        <w:tc>
          <w:tcPr>
            <w:tcW w:w="992" w:type="dxa"/>
            <w:tcBorders>
              <w:top w:val="single" w:sz="4" w:space="0" w:color="auto"/>
              <w:left w:val="single" w:sz="4" w:space="0" w:color="auto"/>
              <w:bottom w:val="single" w:sz="4" w:space="0" w:color="auto"/>
              <w:right w:val="single" w:sz="4" w:space="0" w:color="auto"/>
            </w:tcBorders>
          </w:tcPr>
          <w:p w14:paraId="042C3FCB" w14:textId="77777777" w:rsidR="00436AB0" w:rsidRPr="00436AB0" w:rsidRDefault="00436AB0" w:rsidP="00E32591">
            <w:pPr>
              <w:spacing w:after="255" w:line="360" w:lineRule="auto"/>
              <w:contextualSpacing/>
              <w:rPr>
                <w:rFonts w:ascii="Cambria" w:hAnsi="Cambria" w:cs="Times New Roman"/>
                <w:sz w:val="24"/>
                <w:szCs w:val="24"/>
                <w:lang w:val="en-GB"/>
              </w:rPr>
            </w:pPr>
          </w:p>
        </w:tc>
        <w:tc>
          <w:tcPr>
            <w:tcW w:w="993" w:type="dxa"/>
            <w:tcBorders>
              <w:top w:val="single" w:sz="4" w:space="0" w:color="auto"/>
              <w:left w:val="single" w:sz="4" w:space="0" w:color="auto"/>
              <w:bottom w:val="single" w:sz="4" w:space="0" w:color="auto"/>
              <w:right w:val="single" w:sz="4" w:space="0" w:color="auto"/>
            </w:tcBorders>
          </w:tcPr>
          <w:p w14:paraId="3098140E" w14:textId="77777777" w:rsidR="00436AB0" w:rsidRPr="00436AB0" w:rsidRDefault="00436AB0" w:rsidP="00E32591">
            <w:pPr>
              <w:spacing w:after="255" w:line="360" w:lineRule="auto"/>
              <w:contextualSpacing/>
              <w:rPr>
                <w:rFonts w:ascii="Cambria" w:hAnsi="Cambria" w:cs="Times New Roman"/>
                <w:sz w:val="24"/>
                <w:szCs w:val="24"/>
                <w:lang w:val="en-GB"/>
              </w:rPr>
            </w:pPr>
          </w:p>
        </w:tc>
        <w:tc>
          <w:tcPr>
            <w:tcW w:w="992" w:type="dxa"/>
            <w:tcBorders>
              <w:top w:val="single" w:sz="4" w:space="0" w:color="auto"/>
              <w:left w:val="single" w:sz="4" w:space="0" w:color="auto"/>
              <w:bottom w:val="single" w:sz="4" w:space="0" w:color="auto"/>
              <w:right w:val="single" w:sz="4" w:space="0" w:color="auto"/>
            </w:tcBorders>
          </w:tcPr>
          <w:p w14:paraId="55463799" w14:textId="77777777" w:rsidR="00436AB0" w:rsidRPr="00436AB0" w:rsidRDefault="00436AB0" w:rsidP="00E32591">
            <w:pPr>
              <w:spacing w:after="255" w:line="360" w:lineRule="auto"/>
              <w:contextualSpacing/>
              <w:rPr>
                <w:rFonts w:ascii="Cambria" w:hAnsi="Cambria" w:cs="Times New Roman"/>
                <w:sz w:val="24"/>
                <w:szCs w:val="24"/>
                <w:lang w:val="en-GB"/>
              </w:rPr>
            </w:pPr>
          </w:p>
        </w:tc>
        <w:tc>
          <w:tcPr>
            <w:tcW w:w="992" w:type="dxa"/>
            <w:tcBorders>
              <w:top w:val="single" w:sz="4" w:space="0" w:color="auto"/>
              <w:left w:val="single" w:sz="4" w:space="0" w:color="auto"/>
              <w:bottom w:val="single" w:sz="4" w:space="0" w:color="auto"/>
              <w:right w:val="single" w:sz="4" w:space="0" w:color="auto"/>
            </w:tcBorders>
          </w:tcPr>
          <w:p w14:paraId="01CFD29C" w14:textId="77777777" w:rsidR="00436AB0" w:rsidRPr="00436AB0" w:rsidRDefault="00436AB0" w:rsidP="00E32591">
            <w:pPr>
              <w:spacing w:after="255" w:line="360" w:lineRule="auto"/>
              <w:contextualSpacing/>
              <w:rPr>
                <w:rFonts w:ascii="Cambria" w:hAnsi="Cambria" w:cs="Times New Roman"/>
                <w:sz w:val="24"/>
                <w:szCs w:val="24"/>
                <w:lang w:val="en-GB"/>
              </w:rPr>
            </w:pPr>
          </w:p>
        </w:tc>
        <w:tc>
          <w:tcPr>
            <w:tcW w:w="941" w:type="dxa"/>
            <w:tcBorders>
              <w:top w:val="single" w:sz="4" w:space="0" w:color="auto"/>
              <w:left w:val="single" w:sz="4" w:space="0" w:color="auto"/>
              <w:bottom w:val="single" w:sz="4" w:space="0" w:color="auto"/>
              <w:right w:val="single" w:sz="4" w:space="0" w:color="auto"/>
            </w:tcBorders>
          </w:tcPr>
          <w:p w14:paraId="1CCF5EF9" w14:textId="77777777" w:rsidR="00436AB0" w:rsidRPr="00436AB0" w:rsidRDefault="00436AB0" w:rsidP="00E32591">
            <w:pPr>
              <w:spacing w:after="255" w:line="360" w:lineRule="auto"/>
              <w:contextualSpacing/>
              <w:rPr>
                <w:rFonts w:ascii="Cambria" w:hAnsi="Cambria" w:cs="Times New Roman"/>
                <w:sz w:val="24"/>
                <w:szCs w:val="24"/>
                <w:lang w:val="en-GB"/>
              </w:rPr>
            </w:pPr>
          </w:p>
        </w:tc>
      </w:tr>
      <w:tr w:rsidR="00436AB0" w:rsidRPr="00436AB0" w14:paraId="1246DD3A" w14:textId="77777777" w:rsidTr="006453C1">
        <w:tc>
          <w:tcPr>
            <w:tcW w:w="4106" w:type="dxa"/>
            <w:tcBorders>
              <w:top w:val="single" w:sz="4" w:space="0" w:color="auto"/>
              <w:left w:val="single" w:sz="4" w:space="0" w:color="auto"/>
              <w:bottom w:val="single" w:sz="4" w:space="0" w:color="auto"/>
              <w:right w:val="single" w:sz="4" w:space="0" w:color="auto"/>
            </w:tcBorders>
            <w:hideMark/>
          </w:tcPr>
          <w:p w14:paraId="46882A83"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hAnsi="Cambria" w:cs="Times New Roman"/>
                <w:sz w:val="24"/>
                <w:szCs w:val="24"/>
                <w:lang w:val="en-GB"/>
              </w:rPr>
              <w:t xml:space="preserve">Part 2 (Enthymeme analysis) </w:t>
            </w:r>
          </w:p>
        </w:tc>
        <w:tc>
          <w:tcPr>
            <w:tcW w:w="992" w:type="dxa"/>
            <w:tcBorders>
              <w:top w:val="single" w:sz="4" w:space="0" w:color="auto"/>
              <w:left w:val="single" w:sz="4" w:space="0" w:color="auto"/>
              <w:bottom w:val="single" w:sz="4" w:space="0" w:color="auto"/>
              <w:right w:val="single" w:sz="4" w:space="0" w:color="auto"/>
            </w:tcBorders>
            <w:hideMark/>
          </w:tcPr>
          <w:p w14:paraId="70D3ACDE"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hAnsi="Cambria" w:cs="Times New Roman"/>
                <w:sz w:val="24"/>
                <w:szCs w:val="24"/>
                <w:lang w:val="en-GB"/>
              </w:rPr>
              <w:t>0.20</w:t>
            </w:r>
          </w:p>
          <w:p w14:paraId="039BB338"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hAnsi="Cambria" w:cs="Times New Roman"/>
                <w:sz w:val="24"/>
                <w:szCs w:val="24"/>
                <w:lang w:val="en-GB"/>
              </w:rPr>
              <w:t xml:space="preserve">(.002) </w:t>
            </w:r>
          </w:p>
        </w:tc>
        <w:tc>
          <w:tcPr>
            <w:tcW w:w="993" w:type="dxa"/>
            <w:tcBorders>
              <w:top w:val="single" w:sz="4" w:space="0" w:color="auto"/>
              <w:left w:val="single" w:sz="4" w:space="0" w:color="auto"/>
              <w:bottom w:val="single" w:sz="4" w:space="0" w:color="auto"/>
              <w:right w:val="single" w:sz="4" w:space="0" w:color="auto"/>
            </w:tcBorders>
          </w:tcPr>
          <w:p w14:paraId="0737147C" w14:textId="77777777" w:rsidR="00436AB0" w:rsidRPr="00436AB0" w:rsidRDefault="00436AB0" w:rsidP="00E32591">
            <w:pPr>
              <w:spacing w:after="255" w:line="360" w:lineRule="auto"/>
              <w:contextualSpacing/>
              <w:rPr>
                <w:rFonts w:ascii="Cambria" w:hAnsi="Cambria" w:cs="Times New Roman"/>
                <w:sz w:val="24"/>
                <w:szCs w:val="24"/>
                <w:lang w:val="en-GB"/>
              </w:rPr>
            </w:pPr>
          </w:p>
        </w:tc>
        <w:tc>
          <w:tcPr>
            <w:tcW w:w="992" w:type="dxa"/>
            <w:tcBorders>
              <w:top w:val="single" w:sz="4" w:space="0" w:color="auto"/>
              <w:left w:val="single" w:sz="4" w:space="0" w:color="auto"/>
              <w:bottom w:val="single" w:sz="4" w:space="0" w:color="auto"/>
              <w:right w:val="single" w:sz="4" w:space="0" w:color="auto"/>
            </w:tcBorders>
          </w:tcPr>
          <w:p w14:paraId="671981CE" w14:textId="77777777" w:rsidR="00436AB0" w:rsidRPr="00436AB0" w:rsidRDefault="00436AB0" w:rsidP="00E32591">
            <w:pPr>
              <w:spacing w:after="255" w:line="360" w:lineRule="auto"/>
              <w:contextualSpacing/>
              <w:rPr>
                <w:rFonts w:ascii="Cambria" w:hAnsi="Cambria" w:cs="Times New Roman"/>
                <w:sz w:val="24"/>
                <w:szCs w:val="24"/>
                <w:lang w:val="en-GB"/>
              </w:rPr>
            </w:pPr>
          </w:p>
        </w:tc>
        <w:tc>
          <w:tcPr>
            <w:tcW w:w="992" w:type="dxa"/>
            <w:tcBorders>
              <w:top w:val="single" w:sz="4" w:space="0" w:color="auto"/>
              <w:left w:val="single" w:sz="4" w:space="0" w:color="auto"/>
              <w:bottom w:val="single" w:sz="4" w:space="0" w:color="auto"/>
              <w:right w:val="single" w:sz="4" w:space="0" w:color="auto"/>
            </w:tcBorders>
          </w:tcPr>
          <w:p w14:paraId="5895B4D8" w14:textId="77777777" w:rsidR="00436AB0" w:rsidRPr="00436AB0" w:rsidRDefault="00436AB0" w:rsidP="00E32591">
            <w:pPr>
              <w:spacing w:after="255" w:line="360" w:lineRule="auto"/>
              <w:contextualSpacing/>
              <w:rPr>
                <w:rFonts w:ascii="Cambria" w:hAnsi="Cambria" w:cs="Times New Roman"/>
                <w:sz w:val="24"/>
                <w:szCs w:val="24"/>
                <w:lang w:val="en-GB"/>
              </w:rPr>
            </w:pPr>
          </w:p>
        </w:tc>
        <w:tc>
          <w:tcPr>
            <w:tcW w:w="941" w:type="dxa"/>
            <w:tcBorders>
              <w:top w:val="single" w:sz="4" w:space="0" w:color="auto"/>
              <w:left w:val="single" w:sz="4" w:space="0" w:color="auto"/>
              <w:bottom w:val="single" w:sz="4" w:space="0" w:color="auto"/>
              <w:right w:val="single" w:sz="4" w:space="0" w:color="auto"/>
            </w:tcBorders>
          </w:tcPr>
          <w:p w14:paraId="0247A9B9" w14:textId="77777777" w:rsidR="00436AB0" w:rsidRPr="00436AB0" w:rsidRDefault="00436AB0" w:rsidP="00E32591">
            <w:pPr>
              <w:spacing w:after="255" w:line="360" w:lineRule="auto"/>
              <w:contextualSpacing/>
              <w:rPr>
                <w:rFonts w:ascii="Cambria" w:hAnsi="Cambria" w:cs="Times New Roman"/>
                <w:sz w:val="24"/>
                <w:szCs w:val="24"/>
                <w:lang w:val="en-GB"/>
              </w:rPr>
            </w:pPr>
          </w:p>
        </w:tc>
      </w:tr>
      <w:tr w:rsidR="00436AB0" w:rsidRPr="00436AB0" w14:paraId="79FCFFBA" w14:textId="77777777" w:rsidTr="006453C1">
        <w:tc>
          <w:tcPr>
            <w:tcW w:w="4106" w:type="dxa"/>
            <w:tcBorders>
              <w:top w:val="single" w:sz="4" w:space="0" w:color="auto"/>
              <w:left w:val="single" w:sz="4" w:space="0" w:color="auto"/>
              <w:bottom w:val="single" w:sz="4" w:space="0" w:color="auto"/>
              <w:right w:val="single" w:sz="4" w:space="0" w:color="auto"/>
            </w:tcBorders>
            <w:hideMark/>
          </w:tcPr>
          <w:p w14:paraId="43A1A455"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hAnsi="Cambria" w:cs="Times New Roman"/>
                <w:sz w:val="24"/>
                <w:szCs w:val="24"/>
                <w:lang w:val="en-GB"/>
              </w:rPr>
              <w:t xml:space="preserve">Part 3 (Argumentation hierarchies) </w:t>
            </w:r>
          </w:p>
        </w:tc>
        <w:tc>
          <w:tcPr>
            <w:tcW w:w="992" w:type="dxa"/>
            <w:tcBorders>
              <w:top w:val="single" w:sz="4" w:space="0" w:color="auto"/>
              <w:left w:val="single" w:sz="4" w:space="0" w:color="auto"/>
              <w:bottom w:val="single" w:sz="4" w:space="0" w:color="auto"/>
              <w:right w:val="single" w:sz="4" w:space="0" w:color="auto"/>
            </w:tcBorders>
            <w:hideMark/>
          </w:tcPr>
          <w:p w14:paraId="2B2A2C71"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hAnsi="Cambria" w:cs="Times New Roman"/>
                <w:sz w:val="24"/>
                <w:szCs w:val="24"/>
                <w:lang w:val="en-GB"/>
              </w:rPr>
              <w:t xml:space="preserve">0.25 </w:t>
            </w:r>
          </w:p>
          <w:p w14:paraId="0BF7C38B"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hAnsi="Cambria" w:cs="Times New Roman"/>
                <w:sz w:val="24"/>
                <w:szCs w:val="24"/>
                <w:lang w:val="en-GB"/>
              </w:rPr>
              <w:t xml:space="preserve">(&lt;.001) </w:t>
            </w:r>
          </w:p>
        </w:tc>
        <w:tc>
          <w:tcPr>
            <w:tcW w:w="993" w:type="dxa"/>
            <w:tcBorders>
              <w:top w:val="single" w:sz="4" w:space="0" w:color="auto"/>
              <w:left w:val="single" w:sz="4" w:space="0" w:color="auto"/>
              <w:bottom w:val="single" w:sz="4" w:space="0" w:color="auto"/>
              <w:right w:val="single" w:sz="4" w:space="0" w:color="auto"/>
            </w:tcBorders>
            <w:hideMark/>
          </w:tcPr>
          <w:p w14:paraId="3B1572D4"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hAnsi="Cambria" w:cs="Times New Roman"/>
                <w:sz w:val="24"/>
                <w:szCs w:val="24"/>
                <w:lang w:val="en-GB"/>
              </w:rPr>
              <w:t>0.20</w:t>
            </w:r>
          </w:p>
          <w:p w14:paraId="40E305DC"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hAnsi="Cambria" w:cs="Times New Roman"/>
                <w:sz w:val="24"/>
                <w:szCs w:val="24"/>
                <w:lang w:val="en-GB"/>
              </w:rPr>
              <w:t xml:space="preserve">(.002) </w:t>
            </w:r>
          </w:p>
        </w:tc>
        <w:tc>
          <w:tcPr>
            <w:tcW w:w="992" w:type="dxa"/>
            <w:tcBorders>
              <w:top w:val="single" w:sz="4" w:space="0" w:color="auto"/>
              <w:left w:val="single" w:sz="4" w:space="0" w:color="auto"/>
              <w:bottom w:val="single" w:sz="4" w:space="0" w:color="auto"/>
              <w:right w:val="single" w:sz="4" w:space="0" w:color="auto"/>
            </w:tcBorders>
          </w:tcPr>
          <w:p w14:paraId="60649067" w14:textId="77777777" w:rsidR="00436AB0" w:rsidRPr="00436AB0" w:rsidRDefault="00436AB0" w:rsidP="00E32591">
            <w:pPr>
              <w:spacing w:after="255" w:line="360" w:lineRule="auto"/>
              <w:contextualSpacing/>
              <w:rPr>
                <w:rFonts w:ascii="Cambria" w:hAnsi="Cambria" w:cs="Times New Roman"/>
                <w:sz w:val="24"/>
                <w:szCs w:val="24"/>
                <w:lang w:val="en-GB"/>
              </w:rPr>
            </w:pPr>
          </w:p>
        </w:tc>
        <w:tc>
          <w:tcPr>
            <w:tcW w:w="992" w:type="dxa"/>
            <w:tcBorders>
              <w:top w:val="single" w:sz="4" w:space="0" w:color="auto"/>
              <w:left w:val="single" w:sz="4" w:space="0" w:color="auto"/>
              <w:bottom w:val="single" w:sz="4" w:space="0" w:color="auto"/>
              <w:right w:val="single" w:sz="4" w:space="0" w:color="auto"/>
            </w:tcBorders>
          </w:tcPr>
          <w:p w14:paraId="0D04A433" w14:textId="77777777" w:rsidR="00436AB0" w:rsidRPr="00436AB0" w:rsidRDefault="00436AB0" w:rsidP="00E32591">
            <w:pPr>
              <w:spacing w:after="255" w:line="360" w:lineRule="auto"/>
              <w:contextualSpacing/>
              <w:rPr>
                <w:rFonts w:ascii="Cambria" w:hAnsi="Cambria" w:cs="Times New Roman"/>
                <w:sz w:val="24"/>
                <w:szCs w:val="24"/>
                <w:lang w:val="en-GB"/>
              </w:rPr>
            </w:pPr>
          </w:p>
        </w:tc>
        <w:tc>
          <w:tcPr>
            <w:tcW w:w="941" w:type="dxa"/>
            <w:tcBorders>
              <w:top w:val="single" w:sz="4" w:space="0" w:color="auto"/>
              <w:left w:val="single" w:sz="4" w:space="0" w:color="auto"/>
              <w:bottom w:val="single" w:sz="4" w:space="0" w:color="auto"/>
              <w:right w:val="single" w:sz="4" w:space="0" w:color="auto"/>
            </w:tcBorders>
          </w:tcPr>
          <w:p w14:paraId="061BF7C5" w14:textId="77777777" w:rsidR="00436AB0" w:rsidRPr="00436AB0" w:rsidRDefault="00436AB0" w:rsidP="00E32591">
            <w:pPr>
              <w:spacing w:after="255" w:line="360" w:lineRule="auto"/>
              <w:contextualSpacing/>
              <w:rPr>
                <w:rFonts w:ascii="Cambria" w:hAnsi="Cambria" w:cs="Times New Roman"/>
                <w:sz w:val="24"/>
                <w:szCs w:val="24"/>
                <w:lang w:val="en-GB"/>
              </w:rPr>
            </w:pPr>
          </w:p>
        </w:tc>
      </w:tr>
      <w:tr w:rsidR="00436AB0" w:rsidRPr="00436AB0" w14:paraId="1687D01C" w14:textId="77777777" w:rsidTr="006453C1">
        <w:tc>
          <w:tcPr>
            <w:tcW w:w="4106" w:type="dxa"/>
            <w:tcBorders>
              <w:top w:val="single" w:sz="4" w:space="0" w:color="auto"/>
              <w:left w:val="single" w:sz="4" w:space="0" w:color="auto"/>
              <w:bottom w:val="single" w:sz="4" w:space="0" w:color="auto"/>
              <w:right w:val="single" w:sz="4" w:space="0" w:color="auto"/>
            </w:tcBorders>
            <w:hideMark/>
          </w:tcPr>
          <w:p w14:paraId="79EB877D"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hAnsi="Cambria" w:cs="Times New Roman"/>
                <w:sz w:val="24"/>
                <w:szCs w:val="24"/>
                <w:lang w:val="en-GB"/>
              </w:rPr>
              <w:t xml:space="preserve">Part 4 (Fallacies) </w:t>
            </w:r>
          </w:p>
        </w:tc>
        <w:tc>
          <w:tcPr>
            <w:tcW w:w="992" w:type="dxa"/>
            <w:tcBorders>
              <w:top w:val="single" w:sz="4" w:space="0" w:color="auto"/>
              <w:left w:val="single" w:sz="4" w:space="0" w:color="auto"/>
              <w:bottom w:val="single" w:sz="4" w:space="0" w:color="auto"/>
              <w:right w:val="single" w:sz="4" w:space="0" w:color="auto"/>
            </w:tcBorders>
            <w:hideMark/>
          </w:tcPr>
          <w:p w14:paraId="5BB9CF9A"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hAnsi="Cambria" w:cs="Times New Roman"/>
                <w:sz w:val="24"/>
                <w:szCs w:val="24"/>
                <w:lang w:val="en-GB"/>
              </w:rPr>
              <w:t xml:space="preserve">0.03 </w:t>
            </w:r>
          </w:p>
          <w:p w14:paraId="025E3744"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hAnsi="Cambria" w:cs="Times New Roman"/>
                <w:sz w:val="24"/>
                <w:szCs w:val="24"/>
                <w:lang w:val="en-GB"/>
              </w:rPr>
              <w:t>(.660)</w:t>
            </w:r>
          </w:p>
        </w:tc>
        <w:tc>
          <w:tcPr>
            <w:tcW w:w="993" w:type="dxa"/>
            <w:tcBorders>
              <w:top w:val="single" w:sz="4" w:space="0" w:color="auto"/>
              <w:left w:val="single" w:sz="4" w:space="0" w:color="auto"/>
              <w:bottom w:val="single" w:sz="4" w:space="0" w:color="auto"/>
              <w:right w:val="single" w:sz="4" w:space="0" w:color="auto"/>
            </w:tcBorders>
            <w:hideMark/>
          </w:tcPr>
          <w:p w14:paraId="737AE9E4"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hAnsi="Cambria" w:cs="Times New Roman"/>
                <w:sz w:val="24"/>
                <w:szCs w:val="24"/>
                <w:lang w:val="en-GB"/>
              </w:rPr>
              <w:t xml:space="preserve">-0.01 </w:t>
            </w:r>
          </w:p>
          <w:p w14:paraId="4D6BC6E4"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hAnsi="Cambria" w:cs="Times New Roman"/>
                <w:sz w:val="24"/>
                <w:szCs w:val="24"/>
                <w:lang w:val="en-GB"/>
              </w:rPr>
              <w:t>(.879)</w:t>
            </w:r>
          </w:p>
        </w:tc>
        <w:tc>
          <w:tcPr>
            <w:tcW w:w="992" w:type="dxa"/>
            <w:tcBorders>
              <w:top w:val="single" w:sz="4" w:space="0" w:color="auto"/>
              <w:left w:val="single" w:sz="4" w:space="0" w:color="auto"/>
              <w:bottom w:val="single" w:sz="4" w:space="0" w:color="auto"/>
              <w:right w:val="single" w:sz="4" w:space="0" w:color="auto"/>
            </w:tcBorders>
            <w:hideMark/>
          </w:tcPr>
          <w:p w14:paraId="3AB9FB5C"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hAnsi="Cambria" w:cs="Times New Roman"/>
                <w:sz w:val="24"/>
                <w:szCs w:val="24"/>
                <w:lang w:val="en-GB"/>
              </w:rPr>
              <w:t xml:space="preserve">0.08 </w:t>
            </w:r>
          </w:p>
          <w:p w14:paraId="0BECCCCB"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hAnsi="Cambria" w:cs="Times New Roman"/>
                <w:sz w:val="24"/>
                <w:szCs w:val="24"/>
                <w:lang w:val="en-GB"/>
              </w:rPr>
              <w:t xml:space="preserve">(.212) </w:t>
            </w:r>
          </w:p>
        </w:tc>
        <w:tc>
          <w:tcPr>
            <w:tcW w:w="992" w:type="dxa"/>
            <w:tcBorders>
              <w:top w:val="single" w:sz="4" w:space="0" w:color="auto"/>
              <w:left w:val="single" w:sz="4" w:space="0" w:color="auto"/>
              <w:bottom w:val="single" w:sz="4" w:space="0" w:color="auto"/>
              <w:right w:val="single" w:sz="4" w:space="0" w:color="auto"/>
            </w:tcBorders>
          </w:tcPr>
          <w:p w14:paraId="16794F75" w14:textId="77777777" w:rsidR="00436AB0" w:rsidRPr="00436AB0" w:rsidRDefault="00436AB0" w:rsidP="00E32591">
            <w:pPr>
              <w:spacing w:after="255" w:line="360" w:lineRule="auto"/>
              <w:contextualSpacing/>
              <w:rPr>
                <w:rFonts w:ascii="Cambria" w:hAnsi="Cambria" w:cs="Times New Roman"/>
                <w:sz w:val="24"/>
                <w:szCs w:val="24"/>
                <w:lang w:val="en-GB"/>
              </w:rPr>
            </w:pPr>
          </w:p>
        </w:tc>
        <w:tc>
          <w:tcPr>
            <w:tcW w:w="941" w:type="dxa"/>
            <w:tcBorders>
              <w:top w:val="single" w:sz="4" w:space="0" w:color="auto"/>
              <w:left w:val="single" w:sz="4" w:space="0" w:color="auto"/>
              <w:bottom w:val="single" w:sz="4" w:space="0" w:color="auto"/>
              <w:right w:val="single" w:sz="4" w:space="0" w:color="auto"/>
            </w:tcBorders>
          </w:tcPr>
          <w:p w14:paraId="46E9E876" w14:textId="77777777" w:rsidR="00436AB0" w:rsidRPr="00436AB0" w:rsidRDefault="00436AB0" w:rsidP="00E32591">
            <w:pPr>
              <w:spacing w:after="255" w:line="360" w:lineRule="auto"/>
              <w:contextualSpacing/>
              <w:rPr>
                <w:rFonts w:ascii="Cambria" w:hAnsi="Cambria" w:cs="Times New Roman"/>
                <w:sz w:val="24"/>
                <w:szCs w:val="24"/>
                <w:lang w:val="en-GB"/>
              </w:rPr>
            </w:pPr>
          </w:p>
        </w:tc>
      </w:tr>
      <w:tr w:rsidR="00436AB0" w:rsidRPr="00436AB0" w14:paraId="531A2682" w14:textId="77777777" w:rsidTr="006453C1">
        <w:tc>
          <w:tcPr>
            <w:tcW w:w="4106" w:type="dxa"/>
            <w:tcBorders>
              <w:top w:val="single" w:sz="4" w:space="0" w:color="auto"/>
              <w:left w:val="single" w:sz="4" w:space="0" w:color="auto"/>
              <w:bottom w:val="single" w:sz="4" w:space="0" w:color="auto"/>
              <w:right w:val="single" w:sz="4" w:space="0" w:color="auto"/>
            </w:tcBorders>
            <w:hideMark/>
          </w:tcPr>
          <w:p w14:paraId="73478275"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hAnsi="Cambria" w:cs="Times New Roman"/>
                <w:sz w:val="24"/>
                <w:szCs w:val="24"/>
                <w:lang w:val="en-GB"/>
              </w:rPr>
              <w:t xml:space="preserve">Part 5 (Argument schemes) </w:t>
            </w:r>
          </w:p>
        </w:tc>
        <w:tc>
          <w:tcPr>
            <w:tcW w:w="992" w:type="dxa"/>
            <w:tcBorders>
              <w:top w:val="single" w:sz="4" w:space="0" w:color="auto"/>
              <w:left w:val="single" w:sz="4" w:space="0" w:color="auto"/>
              <w:bottom w:val="single" w:sz="4" w:space="0" w:color="auto"/>
              <w:right w:val="single" w:sz="4" w:space="0" w:color="auto"/>
            </w:tcBorders>
            <w:hideMark/>
          </w:tcPr>
          <w:p w14:paraId="1964BCDD"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hAnsi="Cambria" w:cs="Times New Roman"/>
                <w:sz w:val="24"/>
                <w:szCs w:val="24"/>
                <w:lang w:val="en-GB"/>
              </w:rPr>
              <w:t xml:space="preserve">0.17 </w:t>
            </w:r>
          </w:p>
          <w:p w14:paraId="48AE3596"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hAnsi="Cambria" w:cs="Times New Roman"/>
                <w:sz w:val="24"/>
                <w:szCs w:val="24"/>
                <w:lang w:val="en-GB"/>
              </w:rPr>
              <w:t xml:space="preserve">(.009) </w:t>
            </w:r>
          </w:p>
        </w:tc>
        <w:tc>
          <w:tcPr>
            <w:tcW w:w="993" w:type="dxa"/>
            <w:tcBorders>
              <w:top w:val="single" w:sz="4" w:space="0" w:color="auto"/>
              <w:left w:val="single" w:sz="4" w:space="0" w:color="auto"/>
              <w:bottom w:val="single" w:sz="4" w:space="0" w:color="auto"/>
              <w:right w:val="single" w:sz="4" w:space="0" w:color="auto"/>
            </w:tcBorders>
            <w:hideMark/>
          </w:tcPr>
          <w:p w14:paraId="5E4AAA62"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hAnsi="Cambria" w:cs="Times New Roman"/>
                <w:sz w:val="24"/>
                <w:szCs w:val="24"/>
                <w:lang w:val="en-GB"/>
              </w:rPr>
              <w:t xml:space="preserve">0.25 </w:t>
            </w:r>
          </w:p>
          <w:p w14:paraId="71776B35"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hAnsi="Cambria" w:cs="Times New Roman"/>
                <w:sz w:val="24"/>
                <w:szCs w:val="24"/>
                <w:lang w:val="en-GB"/>
              </w:rPr>
              <w:t>(&lt;.001)</w:t>
            </w:r>
          </w:p>
        </w:tc>
        <w:tc>
          <w:tcPr>
            <w:tcW w:w="992" w:type="dxa"/>
            <w:tcBorders>
              <w:top w:val="single" w:sz="4" w:space="0" w:color="auto"/>
              <w:left w:val="single" w:sz="4" w:space="0" w:color="auto"/>
              <w:bottom w:val="single" w:sz="4" w:space="0" w:color="auto"/>
              <w:right w:val="single" w:sz="4" w:space="0" w:color="auto"/>
            </w:tcBorders>
            <w:hideMark/>
          </w:tcPr>
          <w:p w14:paraId="0D58C8E4"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hAnsi="Cambria" w:cs="Times New Roman"/>
                <w:sz w:val="24"/>
                <w:szCs w:val="24"/>
                <w:lang w:val="en-GB"/>
              </w:rPr>
              <w:t xml:space="preserve">0.15 </w:t>
            </w:r>
          </w:p>
          <w:p w14:paraId="221F9764"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hAnsi="Cambria" w:cs="Times New Roman"/>
                <w:sz w:val="24"/>
                <w:szCs w:val="24"/>
                <w:lang w:val="en-GB"/>
              </w:rPr>
              <w:t>(.022)</w:t>
            </w:r>
          </w:p>
        </w:tc>
        <w:tc>
          <w:tcPr>
            <w:tcW w:w="992" w:type="dxa"/>
            <w:tcBorders>
              <w:top w:val="single" w:sz="4" w:space="0" w:color="auto"/>
              <w:left w:val="single" w:sz="4" w:space="0" w:color="auto"/>
              <w:bottom w:val="single" w:sz="4" w:space="0" w:color="auto"/>
              <w:right w:val="single" w:sz="4" w:space="0" w:color="auto"/>
            </w:tcBorders>
            <w:hideMark/>
          </w:tcPr>
          <w:p w14:paraId="30FF9286"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hAnsi="Cambria" w:cs="Times New Roman"/>
                <w:sz w:val="24"/>
                <w:szCs w:val="24"/>
                <w:lang w:val="en-GB"/>
              </w:rPr>
              <w:t xml:space="preserve">0.05 </w:t>
            </w:r>
          </w:p>
          <w:p w14:paraId="57A4E530"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hAnsi="Cambria" w:cs="Times New Roman"/>
                <w:sz w:val="24"/>
                <w:szCs w:val="24"/>
                <w:lang w:val="en-GB"/>
              </w:rPr>
              <w:t>(.414)</w:t>
            </w:r>
          </w:p>
        </w:tc>
        <w:tc>
          <w:tcPr>
            <w:tcW w:w="941" w:type="dxa"/>
            <w:tcBorders>
              <w:top w:val="single" w:sz="4" w:space="0" w:color="auto"/>
              <w:left w:val="single" w:sz="4" w:space="0" w:color="auto"/>
              <w:bottom w:val="single" w:sz="4" w:space="0" w:color="auto"/>
              <w:right w:val="single" w:sz="4" w:space="0" w:color="auto"/>
            </w:tcBorders>
          </w:tcPr>
          <w:p w14:paraId="6BF9395A" w14:textId="77777777" w:rsidR="00436AB0" w:rsidRPr="00436AB0" w:rsidRDefault="00436AB0" w:rsidP="00E32591">
            <w:pPr>
              <w:spacing w:after="255" w:line="360" w:lineRule="auto"/>
              <w:contextualSpacing/>
              <w:rPr>
                <w:rFonts w:ascii="Cambria" w:hAnsi="Cambria" w:cs="Times New Roman"/>
                <w:sz w:val="24"/>
                <w:szCs w:val="24"/>
                <w:lang w:val="en-GB"/>
              </w:rPr>
            </w:pPr>
          </w:p>
        </w:tc>
      </w:tr>
      <w:tr w:rsidR="00436AB0" w:rsidRPr="00436AB0" w14:paraId="7342531D" w14:textId="77777777" w:rsidTr="006453C1">
        <w:tc>
          <w:tcPr>
            <w:tcW w:w="4106" w:type="dxa"/>
            <w:tcBorders>
              <w:top w:val="single" w:sz="4" w:space="0" w:color="auto"/>
              <w:left w:val="single" w:sz="4" w:space="0" w:color="auto"/>
              <w:bottom w:val="single" w:sz="4" w:space="0" w:color="auto"/>
              <w:right w:val="single" w:sz="4" w:space="0" w:color="auto"/>
            </w:tcBorders>
            <w:hideMark/>
          </w:tcPr>
          <w:p w14:paraId="2D4429F6"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hAnsi="Cambria" w:cs="Times New Roman"/>
                <w:sz w:val="24"/>
                <w:szCs w:val="24"/>
                <w:lang w:val="en-GB"/>
              </w:rPr>
              <w:t>Mean</w:t>
            </w:r>
          </w:p>
        </w:tc>
        <w:tc>
          <w:tcPr>
            <w:tcW w:w="992" w:type="dxa"/>
            <w:tcBorders>
              <w:top w:val="single" w:sz="4" w:space="0" w:color="auto"/>
              <w:left w:val="single" w:sz="4" w:space="0" w:color="auto"/>
              <w:bottom w:val="single" w:sz="4" w:space="0" w:color="auto"/>
              <w:right w:val="single" w:sz="4" w:space="0" w:color="auto"/>
            </w:tcBorders>
            <w:hideMark/>
          </w:tcPr>
          <w:p w14:paraId="2B0A88F4"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eastAsia="Times New Roman" w:hAnsi="Cambria" w:cs="Times New Roman"/>
                <w:color w:val="000000"/>
                <w:kern w:val="0"/>
                <w:sz w:val="24"/>
                <w:szCs w:val="24"/>
                <w:bdr w:val="none" w:sz="0" w:space="0" w:color="auto" w:frame="1"/>
                <w:lang w:val="en-GB" w:eastAsia="fi-FI"/>
                <w14:ligatures w14:val="none"/>
              </w:rPr>
              <w:t xml:space="preserve">4.01 </w:t>
            </w:r>
          </w:p>
        </w:tc>
        <w:tc>
          <w:tcPr>
            <w:tcW w:w="993" w:type="dxa"/>
            <w:tcBorders>
              <w:top w:val="single" w:sz="4" w:space="0" w:color="auto"/>
              <w:left w:val="single" w:sz="4" w:space="0" w:color="auto"/>
              <w:bottom w:val="single" w:sz="4" w:space="0" w:color="auto"/>
              <w:right w:val="single" w:sz="4" w:space="0" w:color="auto"/>
            </w:tcBorders>
            <w:hideMark/>
          </w:tcPr>
          <w:p w14:paraId="4E34B029"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eastAsia="Times New Roman" w:hAnsi="Cambria" w:cs="Times New Roman"/>
                <w:color w:val="000000"/>
                <w:kern w:val="0"/>
                <w:sz w:val="24"/>
                <w:szCs w:val="24"/>
                <w:bdr w:val="none" w:sz="0" w:space="0" w:color="auto" w:frame="1"/>
                <w:lang w:val="en-GB" w:eastAsia="fi-FI"/>
                <w14:ligatures w14:val="none"/>
              </w:rPr>
              <w:t xml:space="preserve">3.52 </w:t>
            </w:r>
          </w:p>
        </w:tc>
        <w:tc>
          <w:tcPr>
            <w:tcW w:w="992" w:type="dxa"/>
            <w:tcBorders>
              <w:top w:val="single" w:sz="4" w:space="0" w:color="auto"/>
              <w:left w:val="single" w:sz="4" w:space="0" w:color="auto"/>
              <w:bottom w:val="single" w:sz="4" w:space="0" w:color="auto"/>
              <w:right w:val="single" w:sz="4" w:space="0" w:color="auto"/>
            </w:tcBorders>
            <w:hideMark/>
          </w:tcPr>
          <w:p w14:paraId="56570596"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eastAsia="Times New Roman" w:hAnsi="Cambria" w:cs="Times New Roman"/>
                <w:color w:val="000000"/>
                <w:kern w:val="0"/>
                <w:sz w:val="24"/>
                <w:szCs w:val="24"/>
                <w:bdr w:val="none" w:sz="0" w:space="0" w:color="auto" w:frame="1"/>
                <w:lang w:val="en-GB" w:eastAsia="fi-FI"/>
                <w14:ligatures w14:val="none"/>
              </w:rPr>
              <w:t xml:space="preserve">3.10 </w:t>
            </w:r>
          </w:p>
        </w:tc>
        <w:tc>
          <w:tcPr>
            <w:tcW w:w="992" w:type="dxa"/>
            <w:tcBorders>
              <w:top w:val="single" w:sz="4" w:space="0" w:color="auto"/>
              <w:left w:val="single" w:sz="4" w:space="0" w:color="auto"/>
              <w:bottom w:val="single" w:sz="4" w:space="0" w:color="auto"/>
              <w:right w:val="single" w:sz="4" w:space="0" w:color="auto"/>
            </w:tcBorders>
            <w:hideMark/>
          </w:tcPr>
          <w:p w14:paraId="637E2C86"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eastAsia="Times New Roman" w:hAnsi="Cambria" w:cs="Times New Roman"/>
                <w:color w:val="000000"/>
                <w:kern w:val="0"/>
                <w:sz w:val="24"/>
                <w:szCs w:val="24"/>
                <w:bdr w:val="none" w:sz="0" w:space="0" w:color="auto" w:frame="1"/>
                <w:lang w:val="en-GB" w:eastAsia="fi-FI"/>
                <w14:ligatures w14:val="none"/>
              </w:rPr>
              <w:t xml:space="preserve">1.63 </w:t>
            </w:r>
          </w:p>
        </w:tc>
        <w:tc>
          <w:tcPr>
            <w:tcW w:w="941" w:type="dxa"/>
            <w:tcBorders>
              <w:top w:val="single" w:sz="4" w:space="0" w:color="auto"/>
              <w:left w:val="single" w:sz="4" w:space="0" w:color="auto"/>
              <w:bottom w:val="single" w:sz="4" w:space="0" w:color="auto"/>
              <w:right w:val="single" w:sz="4" w:space="0" w:color="auto"/>
            </w:tcBorders>
            <w:hideMark/>
          </w:tcPr>
          <w:p w14:paraId="7A7EF322"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eastAsia="Times New Roman" w:hAnsi="Cambria" w:cs="Times New Roman"/>
                <w:color w:val="000000"/>
                <w:kern w:val="0"/>
                <w:sz w:val="24"/>
                <w:szCs w:val="24"/>
                <w:bdr w:val="none" w:sz="0" w:space="0" w:color="auto" w:frame="1"/>
                <w:lang w:val="en-GB" w:eastAsia="fi-FI"/>
                <w14:ligatures w14:val="none"/>
              </w:rPr>
              <w:t xml:space="preserve">3.82 </w:t>
            </w:r>
          </w:p>
        </w:tc>
      </w:tr>
      <w:tr w:rsidR="00436AB0" w:rsidRPr="00436AB0" w14:paraId="662FB7E1" w14:textId="77777777" w:rsidTr="006453C1">
        <w:tc>
          <w:tcPr>
            <w:tcW w:w="4106" w:type="dxa"/>
            <w:tcBorders>
              <w:top w:val="single" w:sz="4" w:space="0" w:color="auto"/>
              <w:left w:val="single" w:sz="4" w:space="0" w:color="auto"/>
              <w:bottom w:val="single" w:sz="4" w:space="0" w:color="auto"/>
              <w:right w:val="single" w:sz="4" w:space="0" w:color="auto"/>
            </w:tcBorders>
            <w:hideMark/>
          </w:tcPr>
          <w:p w14:paraId="527B71CD"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hAnsi="Cambria" w:cs="Times New Roman"/>
                <w:sz w:val="24"/>
                <w:szCs w:val="24"/>
                <w:lang w:val="en-GB"/>
              </w:rPr>
              <w:t>Number of items (max score)</w:t>
            </w:r>
          </w:p>
        </w:tc>
        <w:tc>
          <w:tcPr>
            <w:tcW w:w="992" w:type="dxa"/>
            <w:tcBorders>
              <w:top w:val="single" w:sz="4" w:space="0" w:color="auto"/>
              <w:left w:val="single" w:sz="4" w:space="0" w:color="auto"/>
              <w:bottom w:val="single" w:sz="4" w:space="0" w:color="auto"/>
              <w:right w:val="single" w:sz="4" w:space="0" w:color="auto"/>
            </w:tcBorders>
            <w:hideMark/>
          </w:tcPr>
          <w:p w14:paraId="64C99F76" w14:textId="77777777" w:rsidR="00436AB0" w:rsidRPr="00436AB0" w:rsidRDefault="00436AB0" w:rsidP="00E32591">
            <w:pPr>
              <w:spacing w:after="255"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8</w:t>
            </w:r>
          </w:p>
        </w:tc>
        <w:tc>
          <w:tcPr>
            <w:tcW w:w="993" w:type="dxa"/>
            <w:tcBorders>
              <w:top w:val="single" w:sz="4" w:space="0" w:color="auto"/>
              <w:left w:val="single" w:sz="4" w:space="0" w:color="auto"/>
              <w:bottom w:val="single" w:sz="4" w:space="0" w:color="auto"/>
              <w:right w:val="single" w:sz="4" w:space="0" w:color="auto"/>
            </w:tcBorders>
            <w:hideMark/>
          </w:tcPr>
          <w:p w14:paraId="25F7517A" w14:textId="77777777" w:rsidR="00436AB0" w:rsidRPr="00436AB0" w:rsidRDefault="00436AB0" w:rsidP="00E32591">
            <w:pPr>
              <w:spacing w:after="255"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7</w:t>
            </w:r>
          </w:p>
        </w:tc>
        <w:tc>
          <w:tcPr>
            <w:tcW w:w="992" w:type="dxa"/>
            <w:tcBorders>
              <w:top w:val="single" w:sz="4" w:space="0" w:color="auto"/>
              <w:left w:val="single" w:sz="4" w:space="0" w:color="auto"/>
              <w:bottom w:val="single" w:sz="4" w:space="0" w:color="auto"/>
              <w:right w:val="single" w:sz="4" w:space="0" w:color="auto"/>
            </w:tcBorders>
            <w:hideMark/>
          </w:tcPr>
          <w:p w14:paraId="1BFD8678" w14:textId="77777777" w:rsidR="00436AB0" w:rsidRPr="00436AB0" w:rsidRDefault="00436AB0" w:rsidP="00E32591">
            <w:pPr>
              <w:spacing w:after="255"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8</w:t>
            </w:r>
          </w:p>
        </w:tc>
        <w:tc>
          <w:tcPr>
            <w:tcW w:w="992" w:type="dxa"/>
            <w:tcBorders>
              <w:top w:val="single" w:sz="4" w:space="0" w:color="auto"/>
              <w:left w:val="single" w:sz="4" w:space="0" w:color="auto"/>
              <w:bottom w:val="single" w:sz="4" w:space="0" w:color="auto"/>
              <w:right w:val="single" w:sz="4" w:space="0" w:color="auto"/>
            </w:tcBorders>
            <w:hideMark/>
          </w:tcPr>
          <w:p w14:paraId="681C7891" w14:textId="77777777" w:rsidR="00436AB0" w:rsidRPr="00436AB0" w:rsidRDefault="00436AB0" w:rsidP="00E32591">
            <w:pPr>
              <w:spacing w:after="255"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5</w:t>
            </w:r>
          </w:p>
        </w:tc>
        <w:tc>
          <w:tcPr>
            <w:tcW w:w="941" w:type="dxa"/>
            <w:tcBorders>
              <w:top w:val="single" w:sz="4" w:space="0" w:color="auto"/>
              <w:left w:val="single" w:sz="4" w:space="0" w:color="auto"/>
              <w:bottom w:val="single" w:sz="4" w:space="0" w:color="auto"/>
              <w:right w:val="single" w:sz="4" w:space="0" w:color="auto"/>
            </w:tcBorders>
            <w:hideMark/>
          </w:tcPr>
          <w:p w14:paraId="274A3DC0" w14:textId="77777777" w:rsidR="00436AB0" w:rsidRPr="00436AB0" w:rsidRDefault="00436AB0" w:rsidP="00E32591">
            <w:pPr>
              <w:spacing w:after="255"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7</w:t>
            </w:r>
          </w:p>
        </w:tc>
      </w:tr>
      <w:tr w:rsidR="00436AB0" w:rsidRPr="00436AB0" w14:paraId="129A98F2" w14:textId="77777777" w:rsidTr="006453C1">
        <w:tc>
          <w:tcPr>
            <w:tcW w:w="4106" w:type="dxa"/>
            <w:tcBorders>
              <w:top w:val="single" w:sz="4" w:space="0" w:color="auto"/>
              <w:left w:val="single" w:sz="4" w:space="0" w:color="auto"/>
              <w:bottom w:val="single" w:sz="4" w:space="0" w:color="auto"/>
              <w:right w:val="single" w:sz="4" w:space="0" w:color="auto"/>
            </w:tcBorders>
            <w:hideMark/>
          </w:tcPr>
          <w:p w14:paraId="4FAE175E"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hAnsi="Cambria" w:cs="Times New Roman"/>
                <w:sz w:val="24"/>
                <w:szCs w:val="24"/>
                <w:lang w:val="en-GB"/>
              </w:rPr>
              <w:t>SD</w:t>
            </w:r>
          </w:p>
        </w:tc>
        <w:tc>
          <w:tcPr>
            <w:tcW w:w="992" w:type="dxa"/>
            <w:tcBorders>
              <w:top w:val="single" w:sz="4" w:space="0" w:color="auto"/>
              <w:left w:val="single" w:sz="4" w:space="0" w:color="auto"/>
              <w:bottom w:val="single" w:sz="4" w:space="0" w:color="auto"/>
              <w:right w:val="single" w:sz="4" w:space="0" w:color="auto"/>
            </w:tcBorders>
            <w:hideMark/>
          </w:tcPr>
          <w:p w14:paraId="64C348D0"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eastAsia="Times New Roman" w:hAnsi="Cambria" w:cs="Times New Roman"/>
                <w:color w:val="000000"/>
                <w:kern w:val="0"/>
                <w:sz w:val="24"/>
                <w:szCs w:val="24"/>
                <w:bdr w:val="none" w:sz="0" w:space="0" w:color="auto" w:frame="1"/>
                <w:lang w:val="en-GB" w:eastAsia="fi-FI"/>
                <w14:ligatures w14:val="none"/>
              </w:rPr>
              <w:t xml:space="preserve">1.43 </w:t>
            </w:r>
          </w:p>
        </w:tc>
        <w:tc>
          <w:tcPr>
            <w:tcW w:w="993" w:type="dxa"/>
            <w:tcBorders>
              <w:top w:val="single" w:sz="4" w:space="0" w:color="auto"/>
              <w:left w:val="single" w:sz="4" w:space="0" w:color="auto"/>
              <w:bottom w:val="single" w:sz="4" w:space="0" w:color="auto"/>
              <w:right w:val="single" w:sz="4" w:space="0" w:color="auto"/>
            </w:tcBorders>
            <w:hideMark/>
          </w:tcPr>
          <w:p w14:paraId="32CD4155"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eastAsia="Times New Roman" w:hAnsi="Cambria" w:cs="Times New Roman"/>
                <w:color w:val="000000"/>
                <w:kern w:val="0"/>
                <w:sz w:val="24"/>
                <w:szCs w:val="24"/>
                <w:bdr w:val="none" w:sz="0" w:space="0" w:color="auto" w:frame="1"/>
                <w:lang w:val="en-GB" w:eastAsia="fi-FI"/>
                <w14:ligatures w14:val="none"/>
              </w:rPr>
              <w:t xml:space="preserve">1.58 </w:t>
            </w:r>
          </w:p>
        </w:tc>
        <w:tc>
          <w:tcPr>
            <w:tcW w:w="992" w:type="dxa"/>
            <w:tcBorders>
              <w:top w:val="single" w:sz="4" w:space="0" w:color="auto"/>
              <w:left w:val="single" w:sz="4" w:space="0" w:color="auto"/>
              <w:bottom w:val="single" w:sz="4" w:space="0" w:color="auto"/>
              <w:right w:val="single" w:sz="4" w:space="0" w:color="auto"/>
            </w:tcBorders>
            <w:hideMark/>
          </w:tcPr>
          <w:p w14:paraId="075037B1"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eastAsia="Times New Roman" w:hAnsi="Cambria" w:cs="Times New Roman"/>
                <w:color w:val="000000"/>
                <w:kern w:val="0"/>
                <w:sz w:val="24"/>
                <w:szCs w:val="24"/>
                <w:bdr w:val="none" w:sz="0" w:space="0" w:color="auto" w:frame="1"/>
                <w:lang w:val="en-GB" w:eastAsia="fi-FI"/>
                <w14:ligatures w14:val="none"/>
              </w:rPr>
              <w:t xml:space="preserve">1.64 </w:t>
            </w:r>
          </w:p>
        </w:tc>
        <w:tc>
          <w:tcPr>
            <w:tcW w:w="992" w:type="dxa"/>
            <w:tcBorders>
              <w:top w:val="single" w:sz="4" w:space="0" w:color="auto"/>
              <w:left w:val="single" w:sz="4" w:space="0" w:color="auto"/>
              <w:bottom w:val="single" w:sz="4" w:space="0" w:color="auto"/>
              <w:right w:val="single" w:sz="4" w:space="0" w:color="auto"/>
            </w:tcBorders>
            <w:hideMark/>
          </w:tcPr>
          <w:p w14:paraId="2B7544AA"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eastAsia="Times New Roman" w:hAnsi="Cambria" w:cs="Times New Roman"/>
                <w:color w:val="000000"/>
                <w:kern w:val="0"/>
                <w:sz w:val="24"/>
                <w:szCs w:val="24"/>
                <w:bdr w:val="none" w:sz="0" w:space="0" w:color="auto" w:frame="1"/>
                <w:lang w:val="en-GB" w:eastAsia="fi-FI"/>
                <w14:ligatures w14:val="none"/>
              </w:rPr>
              <w:t xml:space="preserve">1.02 </w:t>
            </w:r>
          </w:p>
        </w:tc>
        <w:tc>
          <w:tcPr>
            <w:tcW w:w="941" w:type="dxa"/>
            <w:tcBorders>
              <w:top w:val="single" w:sz="4" w:space="0" w:color="auto"/>
              <w:left w:val="single" w:sz="4" w:space="0" w:color="auto"/>
              <w:bottom w:val="single" w:sz="4" w:space="0" w:color="auto"/>
              <w:right w:val="single" w:sz="4" w:space="0" w:color="auto"/>
            </w:tcBorders>
            <w:hideMark/>
          </w:tcPr>
          <w:p w14:paraId="4CD7EC8C"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eastAsia="Times New Roman" w:hAnsi="Cambria" w:cs="Times New Roman"/>
                <w:color w:val="000000"/>
                <w:kern w:val="0"/>
                <w:sz w:val="24"/>
                <w:szCs w:val="24"/>
                <w:bdr w:val="none" w:sz="0" w:space="0" w:color="auto" w:frame="1"/>
                <w:lang w:val="en-GB" w:eastAsia="fi-FI"/>
                <w14:ligatures w14:val="none"/>
              </w:rPr>
              <w:t xml:space="preserve">1.36 </w:t>
            </w:r>
          </w:p>
        </w:tc>
      </w:tr>
      <w:tr w:rsidR="00436AB0" w:rsidRPr="00436AB0" w14:paraId="588196A1" w14:textId="77777777" w:rsidTr="006453C1">
        <w:tc>
          <w:tcPr>
            <w:tcW w:w="4106" w:type="dxa"/>
            <w:tcBorders>
              <w:top w:val="single" w:sz="4" w:space="0" w:color="auto"/>
              <w:left w:val="single" w:sz="4" w:space="0" w:color="auto"/>
              <w:bottom w:val="single" w:sz="4" w:space="0" w:color="auto"/>
              <w:right w:val="single" w:sz="4" w:space="0" w:color="auto"/>
            </w:tcBorders>
            <w:hideMark/>
          </w:tcPr>
          <w:p w14:paraId="4FEA2679"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hAnsi="Cambria" w:cs="Times New Roman"/>
                <w:sz w:val="24"/>
                <w:szCs w:val="24"/>
                <w:lang w:val="en-GB"/>
              </w:rPr>
              <w:t>Omega total</w:t>
            </w:r>
          </w:p>
        </w:tc>
        <w:tc>
          <w:tcPr>
            <w:tcW w:w="992" w:type="dxa"/>
            <w:tcBorders>
              <w:top w:val="single" w:sz="4" w:space="0" w:color="auto"/>
              <w:left w:val="single" w:sz="4" w:space="0" w:color="auto"/>
              <w:bottom w:val="single" w:sz="4" w:space="0" w:color="auto"/>
              <w:right w:val="single" w:sz="4" w:space="0" w:color="auto"/>
            </w:tcBorders>
            <w:hideMark/>
          </w:tcPr>
          <w:p w14:paraId="64D2D063"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hAnsi="Cambria" w:cs="Times New Roman"/>
                <w:sz w:val="24"/>
                <w:szCs w:val="24"/>
                <w:lang w:val="en-GB"/>
              </w:rPr>
              <w:t xml:space="preserve">.56 </w:t>
            </w:r>
          </w:p>
        </w:tc>
        <w:tc>
          <w:tcPr>
            <w:tcW w:w="993" w:type="dxa"/>
            <w:tcBorders>
              <w:top w:val="single" w:sz="4" w:space="0" w:color="auto"/>
              <w:left w:val="single" w:sz="4" w:space="0" w:color="auto"/>
              <w:bottom w:val="single" w:sz="4" w:space="0" w:color="auto"/>
              <w:right w:val="single" w:sz="4" w:space="0" w:color="auto"/>
            </w:tcBorders>
            <w:hideMark/>
          </w:tcPr>
          <w:p w14:paraId="06915D68"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hAnsi="Cambria" w:cs="Times New Roman"/>
                <w:sz w:val="24"/>
                <w:szCs w:val="24"/>
                <w:lang w:val="en-GB"/>
              </w:rPr>
              <w:t xml:space="preserve">.60 </w:t>
            </w:r>
          </w:p>
        </w:tc>
        <w:tc>
          <w:tcPr>
            <w:tcW w:w="992" w:type="dxa"/>
            <w:tcBorders>
              <w:top w:val="single" w:sz="4" w:space="0" w:color="auto"/>
              <w:left w:val="single" w:sz="4" w:space="0" w:color="auto"/>
              <w:bottom w:val="single" w:sz="4" w:space="0" w:color="auto"/>
              <w:right w:val="single" w:sz="4" w:space="0" w:color="auto"/>
            </w:tcBorders>
            <w:hideMark/>
          </w:tcPr>
          <w:p w14:paraId="11B9006D"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hAnsi="Cambria" w:cs="Times New Roman"/>
                <w:sz w:val="24"/>
                <w:szCs w:val="24"/>
                <w:lang w:val="en-GB"/>
              </w:rPr>
              <w:t xml:space="preserve">.67 </w:t>
            </w:r>
          </w:p>
        </w:tc>
        <w:tc>
          <w:tcPr>
            <w:tcW w:w="992" w:type="dxa"/>
            <w:tcBorders>
              <w:top w:val="single" w:sz="4" w:space="0" w:color="auto"/>
              <w:left w:val="single" w:sz="4" w:space="0" w:color="auto"/>
              <w:bottom w:val="single" w:sz="4" w:space="0" w:color="auto"/>
              <w:right w:val="single" w:sz="4" w:space="0" w:color="auto"/>
            </w:tcBorders>
            <w:hideMark/>
          </w:tcPr>
          <w:p w14:paraId="01521E6F"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hAnsi="Cambria" w:cs="Times New Roman"/>
                <w:sz w:val="24"/>
                <w:szCs w:val="24"/>
                <w:lang w:val="en-GB"/>
              </w:rPr>
              <w:t xml:space="preserve">.46 </w:t>
            </w:r>
          </w:p>
        </w:tc>
        <w:tc>
          <w:tcPr>
            <w:tcW w:w="941" w:type="dxa"/>
            <w:tcBorders>
              <w:top w:val="single" w:sz="4" w:space="0" w:color="auto"/>
              <w:left w:val="single" w:sz="4" w:space="0" w:color="auto"/>
              <w:bottom w:val="single" w:sz="4" w:space="0" w:color="auto"/>
              <w:right w:val="single" w:sz="4" w:space="0" w:color="auto"/>
            </w:tcBorders>
            <w:hideMark/>
          </w:tcPr>
          <w:p w14:paraId="46662AB7" w14:textId="77777777" w:rsidR="00436AB0" w:rsidRPr="00436AB0" w:rsidRDefault="00436AB0" w:rsidP="00E32591">
            <w:pPr>
              <w:spacing w:after="255" w:line="360" w:lineRule="auto"/>
              <w:contextualSpacing/>
              <w:rPr>
                <w:rFonts w:ascii="Cambria" w:hAnsi="Cambria" w:cs="Times New Roman"/>
                <w:sz w:val="24"/>
                <w:szCs w:val="24"/>
                <w:lang w:val="en-GB"/>
              </w:rPr>
            </w:pPr>
            <w:r w:rsidRPr="00436AB0">
              <w:rPr>
                <w:rFonts w:ascii="Cambria" w:hAnsi="Cambria" w:cs="Times New Roman"/>
                <w:sz w:val="24"/>
                <w:szCs w:val="24"/>
                <w:lang w:val="en-GB"/>
              </w:rPr>
              <w:t xml:space="preserve">.51 </w:t>
            </w:r>
          </w:p>
        </w:tc>
      </w:tr>
    </w:tbl>
    <w:p w14:paraId="7E7C9638" w14:textId="77777777" w:rsidR="00436AB0" w:rsidRPr="00436AB0" w:rsidRDefault="00436AB0" w:rsidP="00E32591">
      <w:pPr>
        <w:spacing w:line="360" w:lineRule="auto"/>
        <w:contextualSpacing/>
        <w:rPr>
          <w:rFonts w:ascii="Cambria" w:hAnsi="Cambria" w:cs="Times New Roman"/>
          <w:b/>
          <w:bCs/>
          <w:i/>
          <w:iCs/>
          <w:sz w:val="24"/>
          <w:szCs w:val="24"/>
          <w:lang w:val="en-GB"/>
        </w:rPr>
      </w:pPr>
      <w:r w:rsidRPr="00436AB0">
        <w:rPr>
          <w:rFonts w:ascii="Cambria" w:hAnsi="Cambria" w:cs="Times New Roman"/>
          <w:i/>
          <w:iCs/>
          <w:sz w:val="24"/>
          <w:szCs w:val="24"/>
          <w:lang w:val="en-GB"/>
        </w:rPr>
        <w:t>Note.</w:t>
      </w:r>
      <w:r w:rsidRPr="00436AB0">
        <w:rPr>
          <w:rFonts w:ascii="Cambria" w:hAnsi="Cambria" w:cs="Times New Roman"/>
          <w:sz w:val="24"/>
          <w:szCs w:val="24"/>
          <w:lang w:val="en-GB"/>
        </w:rPr>
        <w:t xml:space="preserve"> N = 227. </w:t>
      </w:r>
    </w:p>
    <w:p w14:paraId="4FD26D65" w14:textId="6D1C3D2B" w:rsidR="00436AB0" w:rsidRPr="00436AB0" w:rsidRDefault="00436AB0" w:rsidP="00E32591">
      <w:pPr>
        <w:keepNext/>
        <w:spacing w:line="360" w:lineRule="auto"/>
        <w:contextualSpacing/>
        <w:rPr>
          <w:rFonts w:ascii="Cambria" w:hAnsi="Cambria" w:cs="Times New Roman"/>
          <w:i/>
          <w:iCs/>
          <w:sz w:val="24"/>
          <w:szCs w:val="24"/>
          <w:lang w:val="en-GB"/>
        </w:rPr>
      </w:pPr>
      <w:r w:rsidRPr="00436AB0">
        <w:rPr>
          <w:rFonts w:ascii="Cambria" w:hAnsi="Cambria" w:cs="Times New Roman"/>
          <w:b/>
          <w:bCs/>
          <w:sz w:val="24"/>
          <w:szCs w:val="24"/>
          <w:lang w:val="en-GB"/>
        </w:rPr>
        <w:lastRenderedPageBreak/>
        <w:t xml:space="preserve">Table S2 </w:t>
      </w:r>
      <w:r w:rsidRPr="00436AB0">
        <w:rPr>
          <w:rFonts w:ascii="Cambria" w:hAnsi="Cambria" w:cs="Times New Roman"/>
          <w:i/>
          <w:iCs/>
          <w:sz w:val="24"/>
          <w:szCs w:val="24"/>
          <w:lang w:val="en-GB"/>
        </w:rPr>
        <w:t>Correlations between variables in Study 1. Exact p-values in parentheses.</w:t>
      </w:r>
    </w:p>
    <w:tbl>
      <w:tblPr>
        <w:tblStyle w:val="TableGrid"/>
        <w:tblW w:w="9067" w:type="dxa"/>
        <w:tblInd w:w="0" w:type="dxa"/>
        <w:tblLook w:val="04A0" w:firstRow="1" w:lastRow="0" w:firstColumn="1" w:lastColumn="0" w:noHBand="0" w:noVBand="1"/>
      </w:tblPr>
      <w:tblGrid>
        <w:gridCol w:w="1843"/>
        <w:gridCol w:w="1718"/>
        <w:gridCol w:w="996"/>
        <w:gridCol w:w="937"/>
        <w:gridCol w:w="937"/>
        <w:gridCol w:w="850"/>
        <w:gridCol w:w="849"/>
        <w:gridCol w:w="937"/>
      </w:tblGrid>
      <w:tr w:rsidR="00436AB0" w:rsidRPr="00436AB0" w14:paraId="5C2A1581" w14:textId="77777777" w:rsidTr="00EB0791">
        <w:tc>
          <w:tcPr>
            <w:tcW w:w="1696" w:type="dxa"/>
          </w:tcPr>
          <w:p w14:paraId="56BBA2A4"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p>
        </w:tc>
        <w:tc>
          <w:tcPr>
            <w:tcW w:w="1603" w:type="dxa"/>
          </w:tcPr>
          <w:p w14:paraId="775B5D71"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 xml:space="preserve">Overall argument </w:t>
            </w:r>
          </w:p>
          <w:p w14:paraId="071CBF86"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soundness discrimination</w:t>
            </w:r>
          </w:p>
        </w:tc>
        <w:tc>
          <w:tcPr>
            <w:tcW w:w="1091" w:type="dxa"/>
          </w:tcPr>
          <w:p w14:paraId="74EC3ABD"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 xml:space="preserve">ACLT </w:t>
            </w:r>
          </w:p>
          <w:p w14:paraId="2596544E"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Total</w:t>
            </w:r>
          </w:p>
        </w:tc>
        <w:tc>
          <w:tcPr>
            <w:tcW w:w="992" w:type="dxa"/>
          </w:tcPr>
          <w:p w14:paraId="132D00B1"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 xml:space="preserve">Part 1 </w:t>
            </w:r>
          </w:p>
        </w:tc>
        <w:tc>
          <w:tcPr>
            <w:tcW w:w="992" w:type="dxa"/>
          </w:tcPr>
          <w:p w14:paraId="40803D4C"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Part 2</w:t>
            </w:r>
          </w:p>
        </w:tc>
        <w:tc>
          <w:tcPr>
            <w:tcW w:w="851" w:type="dxa"/>
          </w:tcPr>
          <w:p w14:paraId="12BC72E4"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Part 3</w:t>
            </w:r>
          </w:p>
        </w:tc>
        <w:tc>
          <w:tcPr>
            <w:tcW w:w="850" w:type="dxa"/>
          </w:tcPr>
          <w:p w14:paraId="629045FB"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Part 4</w:t>
            </w:r>
          </w:p>
        </w:tc>
        <w:tc>
          <w:tcPr>
            <w:tcW w:w="992" w:type="dxa"/>
          </w:tcPr>
          <w:p w14:paraId="53D98E04"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Part 5</w:t>
            </w:r>
          </w:p>
        </w:tc>
      </w:tr>
      <w:tr w:rsidR="00436AB0" w:rsidRPr="00436AB0" w14:paraId="350C8268" w14:textId="77777777" w:rsidTr="00EB0791">
        <w:tc>
          <w:tcPr>
            <w:tcW w:w="1696" w:type="dxa"/>
          </w:tcPr>
          <w:p w14:paraId="5587DED6"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AOT</w:t>
            </w:r>
          </w:p>
        </w:tc>
        <w:tc>
          <w:tcPr>
            <w:tcW w:w="1603" w:type="dxa"/>
          </w:tcPr>
          <w:p w14:paraId="587CA3F0"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0.43</w:t>
            </w:r>
          </w:p>
          <w:p w14:paraId="40AA131E"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(&lt; .001)</w:t>
            </w:r>
          </w:p>
        </w:tc>
        <w:tc>
          <w:tcPr>
            <w:tcW w:w="1091" w:type="dxa"/>
          </w:tcPr>
          <w:p w14:paraId="57AC3313"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0.31</w:t>
            </w:r>
          </w:p>
          <w:p w14:paraId="04303D31"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(&lt; .001)</w:t>
            </w:r>
          </w:p>
        </w:tc>
        <w:tc>
          <w:tcPr>
            <w:tcW w:w="992" w:type="dxa"/>
          </w:tcPr>
          <w:p w14:paraId="49A839BF"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0.16</w:t>
            </w:r>
          </w:p>
          <w:p w14:paraId="55BC3006"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(.014)</w:t>
            </w:r>
          </w:p>
        </w:tc>
        <w:tc>
          <w:tcPr>
            <w:tcW w:w="992" w:type="dxa"/>
          </w:tcPr>
          <w:p w14:paraId="2F8B35A4"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0.26</w:t>
            </w:r>
          </w:p>
          <w:p w14:paraId="0A9597CB"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(&lt; .001)</w:t>
            </w:r>
          </w:p>
        </w:tc>
        <w:tc>
          <w:tcPr>
            <w:tcW w:w="851" w:type="dxa"/>
          </w:tcPr>
          <w:p w14:paraId="27ECF79A"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0.13</w:t>
            </w:r>
          </w:p>
          <w:p w14:paraId="48E392E8"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(.058)</w:t>
            </w:r>
          </w:p>
        </w:tc>
        <w:tc>
          <w:tcPr>
            <w:tcW w:w="850" w:type="dxa"/>
          </w:tcPr>
          <w:p w14:paraId="5D879E74"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-0.03</w:t>
            </w:r>
          </w:p>
          <w:p w14:paraId="36D6AF9E"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(.679)</w:t>
            </w:r>
          </w:p>
        </w:tc>
        <w:tc>
          <w:tcPr>
            <w:tcW w:w="992" w:type="dxa"/>
          </w:tcPr>
          <w:p w14:paraId="651C1451"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0.32</w:t>
            </w:r>
          </w:p>
          <w:p w14:paraId="0144520E"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(&lt; .001)</w:t>
            </w:r>
          </w:p>
        </w:tc>
      </w:tr>
      <w:tr w:rsidR="00436AB0" w:rsidRPr="00436AB0" w14:paraId="331ECC0A" w14:textId="77777777" w:rsidTr="00EB0791">
        <w:tc>
          <w:tcPr>
            <w:tcW w:w="1696" w:type="dxa"/>
          </w:tcPr>
          <w:p w14:paraId="3BF3A6C6"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NFC</w:t>
            </w:r>
          </w:p>
        </w:tc>
        <w:tc>
          <w:tcPr>
            <w:tcW w:w="1603" w:type="dxa"/>
          </w:tcPr>
          <w:p w14:paraId="0D51DADA"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0.22</w:t>
            </w:r>
          </w:p>
          <w:p w14:paraId="1845A1FB"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(.001)</w:t>
            </w:r>
          </w:p>
        </w:tc>
        <w:tc>
          <w:tcPr>
            <w:tcW w:w="1091" w:type="dxa"/>
          </w:tcPr>
          <w:p w14:paraId="4263EA48"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0.23</w:t>
            </w:r>
          </w:p>
          <w:p w14:paraId="0E1FACAB"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(&lt; .001)</w:t>
            </w:r>
          </w:p>
        </w:tc>
        <w:tc>
          <w:tcPr>
            <w:tcW w:w="992" w:type="dxa"/>
          </w:tcPr>
          <w:p w14:paraId="702FCDCC"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0.20</w:t>
            </w:r>
          </w:p>
          <w:p w14:paraId="74F6F55B"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(.003)</w:t>
            </w:r>
          </w:p>
        </w:tc>
        <w:tc>
          <w:tcPr>
            <w:tcW w:w="992" w:type="dxa"/>
          </w:tcPr>
          <w:p w14:paraId="412F93C7"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0.14</w:t>
            </w:r>
          </w:p>
          <w:p w14:paraId="59450C89"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(.033)</w:t>
            </w:r>
          </w:p>
        </w:tc>
        <w:tc>
          <w:tcPr>
            <w:tcW w:w="851" w:type="dxa"/>
          </w:tcPr>
          <w:p w14:paraId="48FEDC67"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0.21</w:t>
            </w:r>
          </w:p>
          <w:p w14:paraId="745A4630"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(.002)</w:t>
            </w:r>
          </w:p>
        </w:tc>
        <w:tc>
          <w:tcPr>
            <w:tcW w:w="850" w:type="dxa"/>
          </w:tcPr>
          <w:p w14:paraId="4643996C"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-0.02</w:t>
            </w:r>
          </w:p>
          <w:p w14:paraId="2A6192FC"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(.708)</w:t>
            </w:r>
          </w:p>
        </w:tc>
        <w:tc>
          <w:tcPr>
            <w:tcW w:w="992" w:type="dxa"/>
          </w:tcPr>
          <w:p w14:paraId="7C50A3B6"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0.09</w:t>
            </w:r>
          </w:p>
          <w:p w14:paraId="3CA578F9"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(.175)</w:t>
            </w:r>
          </w:p>
        </w:tc>
      </w:tr>
      <w:tr w:rsidR="00436AB0" w:rsidRPr="00436AB0" w14:paraId="5F4792FC" w14:textId="77777777" w:rsidTr="00EB0791">
        <w:tc>
          <w:tcPr>
            <w:tcW w:w="1696" w:type="dxa"/>
          </w:tcPr>
          <w:p w14:paraId="3F865E78"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CRT</w:t>
            </w:r>
          </w:p>
        </w:tc>
        <w:tc>
          <w:tcPr>
            <w:tcW w:w="1603" w:type="dxa"/>
          </w:tcPr>
          <w:p w14:paraId="20E2FC56"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0.13</w:t>
            </w:r>
          </w:p>
          <w:p w14:paraId="3EF72172"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(.044)</w:t>
            </w:r>
          </w:p>
        </w:tc>
        <w:tc>
          <w:tcPr>
            <w:tcW w:w="1091" w:type="dxa"/>
          </w:tcPr>
          <w:p w14:paraId="29CAE0B7"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0.33</w:t>
            </w:r>
          </w:p>
          <w:p w14:paraId="671B9F33"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(&lt; .001)</w:t>
            </w:r>
          </w:p>
        </w:tc>
        <w:tc>
          <w:tcPr>
            <w:tcW w:w="992" w:type="dxa"/>
          </w:tcPr>
          <w:p w14:paraId="29B755C0"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0.23</w:t>
            </w:r>
          </w:p>
          <w:p w14:paraId="796161A4"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(&lt; .001)</w:t>
            </w:r>
          </w:p>
        </w:tc>
        <w:tc>
          <w:tcPr>
            <w:tcW w:w="992" w:type="dxa"/>
          </w:tcPr>
          <w:p w14:paraId="27EBC7F1"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0.23</w:t>
            </w:r>
          </w:p>
          <w:p w14:paraId="1B6229AB"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(.001)</w:t>
            </w:r>
          </w:p>
        </w:tc>
        <w:tc>
          <w:tcPr>
            <w:tcW w:w="851" w:type="dxa"/>
          </w:tcPr>
          <w:p w14:paraId="1FE532AE"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0.16</w:t>
            </w:r>
          </w:p>
          <w:p w14:paraId="36D60179"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(.015)</w:t>
            </w:r>
          </w:p>
        </w:tc>
        <w:tc>
          <w:tcPr>
            <w:tcW w:w="850" w:type="dxa"/>
          </w:tcPr>
          <w:p w14:paraId="4B0344A4"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0.04</w:t>
            </w:r>
          </w:p>
          <w:p w14:paraId="576D1E92"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(.572)</w:t>
            </w:r>
          </w:p>
        </w:tc>
        <w:tc>
          <w:tcPr>
            <w:tcW w:w="992" w:type="dxa"/>
          </w:tcPr>
          <w:p w14:paraId="103A9C76"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0.26</w:t>
            </w:r>
          </w:p>
          <w:p w14:paraId="3391110B"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(&lt; .001)</w:t>
            </w:r>
          </w:p>
        </w:tc>
      </w:tr>
      <w:tr w:rsidR="00436AB0" w:rsidRPr="00436AB0" w14:paraId="3D4F23FB" w14:textId="77777777" w:rsidTr="00EB0791">
        <w:tc>
          <w:tcPr>
            <w:tcW w:w="1696" w:type="dxa"/>
          </w:tcPr>
          <w:p w14:paraId="57DEAC08"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CRT Trick</w:t>
            </w:r>
          </w:p>
        </w:tc>
        <w:tc>
          <w:tcPr>
            <w:tcW w:w="1603" w:type="dxa"/>
          </w:tcPr>
          <w:p w14:paraId="147A8A9F"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0.10</w:t>
            </w:r>
          </w:p>
          <w:p w14:paraId="3C24B5D3"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(.136)</w:t>
            </w:r>
          </w:p>
        </w:tc>
        <w:tc>
          <w:tcPr>
            <w:tcW w:w="1091" w:type="dxa"/>
          </w:tcPr>
          <w:p w14:paraId="6760451A"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0.16</w:t>
            </w:r>
          </w:p>
          <w:p w14:paraId="7347F466"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(.016)</w:t>
            </w:r>
          </w:p>
        </w:tc>
        <w:tc>
          <w:tcPr>
            <w:tcW w:w="992" w:type="dxa"/>
          </w:tcPr>
          <w:p w14:paraId="2A77D3DC"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0.14</w:t>
            </w:r>
          </w:p>
          <w:p w14:paraId="52075A7D"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(.034)</w:t>
            </w:r>
          </w:p>
        </w:tc>
        <w:tc>
          <w:tcPr>
            <w:tcW w:w="992" w:type="dxa"/>
          </w:tcPr>
          <w:p w14:paraId="7F2756C1"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0.08</w:t>
            </w:r>
          </w:p>
          <w:p w14:paraId="23383927"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(.257)</w:t>
            </w:r>
          </w:p>
        </w:tc>
        <w:tc>
          <w:tcPr>
            <w:tcW w:w="851" w:type="dxa"/>
          </w:tcPr>
          <w:p w14:paraId="3EF55D91"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0.10</w:t>
            </w:r>
          </w:p>
          <w:p w14:paraId="661359B1"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(.143)</w:t>
            </w:r>
          </w:p>
        </w:tc>
        <w:tc>
          <w:tcPr>
            <w:tcW w:w="850" w:type="dxa"/>
          </w:tcPr>
          <w:p w14:paraId="0F64C939"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0.01</w:t>
            </w:r>
          </w:p>
          <w:p w14:paraId="28885518"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(.911)</w:t>
            </w:r>
          </w:p>
        </w:tc>
        <w:tc>
          <w:tcPr>
            <w:tcW w:w="992" w:type="dxa"/>
          </w:tcPr>
          <w:p w14:paraId="113534D7"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0.11</w:t>
            </w:r>
          </w:p>
          <w:p w14:paraId="4138DBA5"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(.085)</w:t>
            </w:r>
          </w:p>
        </w:tc>
      </w:tr>
      <w:tr w:rsidR="00436AB0" w:rsidRPr="00436AB0" w14:paraId="09E4BA4B" w14:textId="77777777" w:rsidTr="00EB0791">
        <w:tc>
          <w:tcPr>
            <w:tcW w:w="1696" w:type="dxa"/>
          </w:tcPr>
          <w:p w14:paraId="20242243"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CRT Math</w:t>
            </w:r>
          </w:p>
        </w:tc>
        <w:tc>
          <w:tcPr>
            <w:tcW w:w="1603" w:type="dxa"/>
          </w:tcPr>
          <w:p w14:paraId="25432228"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0.11</w:t>
            </w:r>
          </w:p>
          <w:p w14:paraId="1B822CC1"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(.087)</w:t>
            </w:r>
          </w:p>
        </w:tc>
        <w:tc>
          <w:tcPr>
            <w:tcW w:w="1091" w:type="dxa"/>
          </w:tcPr>
          <w:p w14:paraId="6BFBA1E1"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0.36</w:t>
            </w:r>
          </w:p>
          <w:p w14:paraId="2F7E36AA"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(&lt; .001)</w:t>
            </w:r>
          </w:p>
        </w:tc>
        <w:tc>
          <w:tcPr>
            <w:tcW w:w="992" w:type="dxa"/>
          </w:tcPr>
          <w:p w14:paraId="1803F067"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0.22</w:t>
            </w:r>
          </w:p>
          <w:p w14:paraId="6A2A4E52"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(.001)</w:t>
            </w:r>
          </w:p>
        </w:tc>
        <w:tc>
          <w:tcPr>
            <w:tcW w:w="992" w:type="dxa"/>
          </w:tcPr>
          <w:p w14:paraId="740B94C0"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0.27</w:t>
            </w:r>
          </w:p>
          <w:p w14:paraId="7B567857"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(&lt; .001)</w:t>
            </w:r>
          </w:p>
        </w:tc>
        <w:tc>
          <w:tcPr>
            <w:tcW w:w="851" w:type="dxa"/>
          </w:tcPr>
          <w:p w14:paraId="3F53A5B4"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0.15</w:t>
            </w:r>
          </w:p>
          <w:p w14:paraId="0708CD3A"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(.020)</w:t>
            </w:r>
          </w:p>
        </w:tc>
        <w:tc>
          <w:tcPr>
            <w:tcW w:w="850" w:type="dxa"/>
          </w:tcPr>
          <w:p w14:paraId="77B5CD95"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0.05</w:t>
            </w:r>
          </w:p>
          <w:p w14:paraId="149CD115"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(.462)</w:t>
            </w:r>
          </w:p>
        </w:tc>
        <w:tc>
          <w:tcPr>
            <w:tcW w:w="992" w:type="dxa"/>
          </w:tcPr>
          <w:p w14:paraId="5F0DC128"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0.28</w:t>
            </w:r>
          </w:p>
          <w:p w14:paraId="2DB81404"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(&lt; .001)</w:t>
            </w:r>
          </w:p>
        </w:tc>
      </w:tr>
      <w:tr w:rsidR="00436AB0" w:rsidRPr="00436AB0" w14:paraId="6E044C64" w14:textId="77777777" w:rsidTr="00EB0791">
        <w:tc>
          <w:tcPr>
            <w:tcW w:w="1696" w:type="dxa"/>
          </w:tcPr>
          <w:p w14:paraId="26CB84BF"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Reading Comprehension</w:t>
            </w:r>
          </w:p>
        </w:tc>
        <w:tc>
          <w:tcPr>
            <w:tcW w:w="1603" w:type="dxa"/>
          </w:tcPr>
          <w:p w14:paraId="68B06163"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0.19</w:t>
            </w:r>
          </w:p>
          <w:p w14:paraId="5194F02D"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(.004)</w:t>
            </w:r>
          </w:p>
        </w:tc>
        <w:tc>
          <w:tcPr>
            <w:tcW w:w="1091" w:type="dxa"/>
          </w:tcPr>
          <w:p w14:paraId="59CEC6B0"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0.10</w:t>
            </w:r>
          </w:p>
          <w:p w14:paraId="6CA92DB2"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(.136)</w:t>
            </w:r>
          </w:p>
        </w:tc>
        <w:tc>
          <w:tcPr>
            <w:tcW w:w="992" w:type="dxa"/>
          </w:tcPr>
          <w:p w14:paraId="314AE4C0"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0.07</w:t>
            </w:r>
          </w:p>
          <w:p w14:paraId="2136608F"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(.265)</w:t>
            </w:r>
          </w:p>
        </w:tc>
        <w:tc>
          <w:tcPr>
            <w:tcW w:w="992" w:type="dxa"/>
          </w:tcPr>
          <w:p w14:paraId="3E231A60"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0.09</w:t>
            </w:r>
          </w:p>
          <w:p w14:paraId="63B7B934"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(.166)</w:t>
            </w:r>
          </w:p>
        </w:tc>
        <w:tc>
          <w:tcPr>
            <w:tcW w:w="851" w:type="dxa"/>
          </w:tcPr>
          <w:p w14:paraId="1A48E20D"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0.04</w:t>
            </w:r>
          </w:p>
          <w:p w14:paraId="7914BE3F"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(.522)</w:t>
            </w:r>
          </w:p>
        </w:tc>
        <w:tc>
          <w:tcPr>
            <w:tcW w:w="850" w:type="dxa"/>
          </w:tcPr>
          <w:p w14:paraId="2BD37990"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0.01</w:t>
            </w:r>
          </w:p>
          <w:p w14:paraId="6AEB5AC2"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(.928)</w:t>
            </w:r>
          </w:p>
        </w:tc>
        <w:tc>
          <w:tcPr>
            <w:tcW w:w="992" w:type="dxa"/>
          </w:tcPr>
          <w:p w14:paraId="6205AF53"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0.05</w:t>
            </w:r>
          </w:p>
          <w:p w14:paraId="0F23DDE5"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(.435)</w:t>
            </w:r>
          </w:p>
        </w:tc>
      </w:tr>
      <w:tr w:rsidR="00436AB0" w:rsidRPr="00436AB0" w14:paraId="06280FC0" w14:textId="77777777" w:rsidTr="00EB0791">
        <w:tc>
          <w:tcPr>
            <w:tcW w:w="1696" w:type="dxa"/>
          </w:tcPr>
          <w:p w14:paraId="35F38CFE"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FI</w:t>
            </w:r>
          </w:p>
        </w:tc>
        <w:tc>
          <w:tcPr>
            <w:tcW w:w="1603" w:type="dxa"/>
          </w:tcPr>
          <w:p w14:paraId="5B74BF11"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-0.02</w:t>
            </w:r>
          </w:p>
          <w:p w14:paraId="28D2E45E"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(.811)</w:t>
            </w:r>
          </w:p>
        </w:tc>
        <w:tc>
          <w:tcPr>
            <w:tcW w:w="1091" w:type="dxa"/>
          </w:tcPr>
          <w:p w14:paraId="3D8FA0EC"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-0.31</w:t>
            </w:r>
          </w:p>
          <w:p w14:paraId="4A1D4F1B"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(&lt; .001)</w:t>
            </w:r>
          </w:p>
        </w:tc>
        <w:tc>
          <w:tcPr>
            <w:tcW w:w="992" w:type="dxa"/>
          </w:tcPr>
          <w:p w14:paraId="6170A2B0"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-0.17</w:t>
            </w:r>
          </w:p>
          <w:p w14:paraId="391E18A6"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(.011)</w:t>
            </w:r>
          </w:p>
        </w:tc>
        <w:tc>
          <w:tcPr>
            <w:tcW w:w="992" w:type="dxa"/>
          </w:tcPr>
          <w:p w14:paraId="52A4628F"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-0.15</w:t>
            </w:r>
          </w:p>
          <w:p w14:paraId="0765E204"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(.020)</w:t>
            </w:r>
          </w:p>
        </w:tc>
        <w:tc>
          <w:tcPr>
            <w:tcW w:w="851" w:type="dxa"/>
          </w:tcPr>
          <w:p w14:paraId="6A9C73AA"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-0.21</w:t>
            </w:r>
          </w:p>
          <w:p w14:paraId="0F0E3427"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(.001)</w:t>
            </w:r>
          </w:p>
        </w:tc>
        <w:tc>
          <w:tcPr>
            <w:tcW w:w="850" w:type="dxa"/>
          </w:tcPr>
          <w:p w14:paraId="2EF36528"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-0.07</w:t>
            </w:r>
          </w:p>
          <w:p w14:paraId="4A7C70B8"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(.327)</w:t>
            </w:r>
          </w:p>
        </w:tc>
        <w:tc>
          <w:tcPr>
            <w:tcW w:w="992" w:type="dxa"/>
          </w:tcPr>
          <w:p w14:paraId="22FD1DBC"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-0.26</w:t>
            </w:r>
          </w:p>
          <w:p w14:paraId="636A756F"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(&lt; .001)</w:t>
            </w:r>
          </w:p>
        </w:tc>
      </w:tr>
      <w:tr w:rsidR="00436AB0" w:rsidRPr="00436AB0" w14:paraId="43C1973C" w14:textId="77777777" w:rsidTr="00EB0791">
        <w:tc>
          <w:tcPr>
            <w:tcW w:w="1696" w:type="dxa"/>
          </w:tcPr>
          <w:p w14:paraId="49F0E5DB"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Age</w:t>
            </w:r>
          </w:p>
        </w:tc>
        <w:tc>
          <w:tcPr>
            <w:tcW w:w="1603" w:type="dxa"/>
          </w:tcPr>
          <w:p w14:paraId="39AEE9BC"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0.09</w:t>
            </w:r>
          </w:p>
          <w:p w14:paraId="0649AFB6"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(.177)</w:t>
            </w:r>
          </w:p>
        </w:tc>
        <w:tc>
          <w:tcPr>
            <w:tcW w:w="1091" w:type="dxa"/>
          </w:tcPr>
          <w:p w14:paraId="53E6877F"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-0.11</w:t>
            </w:r>
          </w:p>
          <w:p w14:paraId="4DE8FDAF"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(.095)</w:t>
            </w:r>
          </w:p>
        </w:tc>
        <w:tc>
          <w:tcPr>
            <w:tcW w:w="992" w:type="dxa"/>
          </w:tcPr>
          <w:p w14:paraId="7E5907A6"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-0.07</w:t>
            </w:r>
          </w:p>
          <w:p w14:paraId="38876CC8"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(.273)</w:t>
            </w:r>
          </w:p>
        </w:tc>
        <w:tc>
          <w:tcPr>
            <w:tcW w:w="992" w:type="dxa"/>
          </w:tcPr>
          <w:p w14:paraId="3E6509B3"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-0.15</w:t>
            </w:r>
          </w:p>
          <w:p w14:paraId="4531F816"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(.029)</w:t>
            </w:r>
          </w:p>
        </w:tc>
        <w:tc>
          <w:tcPr>
            <w:tcW w:w="851" w:type="dxa"/>
          </w:tcPr>
          <w:p w14:paraId="29073897"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&lt;.01</w:t>
            </w:r>
          </w:p>
          <w:p w14:paraId="1512AF1B"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(.953)</w:t>
            </w:r>
          </w:p>
        </w:tc>
        <w:tc>
          <w:tcPr>
            <w:tcW w:w="850" w:type="dxa"/>
          </w:tcPr>
          <w:p w14:paraId="08D465C5"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-0.12</w:t>
            </w:r>
          </w:p>
          <w:p w14:paraId="5750EA91"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(.327)</w:t>
            </w:r>
          </w:p>
        </w:tc>
        <w:tc>
          <w:tcPr>
            <w:tcW w:w="992" w:type="dxa"/>
          </w:tcPr>
          <w:p w14:paraId="564398C3"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&lt;.01</w:t>
            </w:r>
          </w:p>
          <w:p w14:paraId="7A4853BE"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(.979)</w:t>
            </w:r>
          </w:p>
        </w:tc>
      </w:tr>
      <w:tr w:rsidR="00436AB0" w:rsidRPr="00436AB0" w14:paraId="636170E1" w14:textId="77777777" w:rsidTr="00EB0791">
        <w:tc>
          <w:tcPr>
            <w:tcW w:w="1696" w:type="dxa"/>
          </w:tcPr>
          <w:p w14:paraId="74D3B255"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 xml:space="preserve">Male Gender </w:t>
            </w:r>
          </w:p>
        </w:tc>
        <w:tc>
          <w:tcPr>
            <w:tcW w:w="1603" w:type="dxa"/>
          </w:tcPr>
          <w:p w14:paraId="786D6967"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&lt;0.01</w:t>
            </w:r>
          </w:p>
          <w:p w14:paraId="18717E72"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(.994)</w:t>
            </w:r>
          </w:p>
        </w:tc>
        <w:tc>
          <w:tcPr>
            <w:tcW w:w="1091" w:type="dxa"/>
          </w:tcPr>
          <w:p w14:paraId="550C8FCA"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0.08</w:t>
            </w:r>
          </w:p>
          <w:p w14:paraId="5DF510F2"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(.205)</w:t>
            </w:r>
          </w:p>
        </w:tc>
        <w:tc>
          <w:tcPr>
            <w:tcW w:w="992" w:type="dxa"/>
          </w:tcPr>
          <w:p w14:paraId="1D980894"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0.05</w:t>
            </w:r>
          </w:p>
          <w:p w14:paraId="6C8DE87C"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(.489)</w:t>
            </w:r>
          </w:p>
        </w:tc>
        <w:tc>
          <w:tcPr>
            <w:tcW w:w="992" w:type="dxa"/>
          </w:tcPr>
          <w:p w14:paraId="1B1CCB45"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0.10</w:t>
            </w:r>
          </w:p>
          <w:p w14:paraId="3AAED109"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(.115)</w:t>
            </w:r>
          </w:p>
        </w:tc>
        <w:tc>
          <w:tcPr>
            <w:tcW w:w="851" w:type="dxa"/>
          </w:tcPr>
          <w:p w14:paraId="5F961E3C"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0.10</w:t>
            </w:r>
          </w:p>
          <w:p w14:paraId="1D12C714"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(.146)</w:t>
            </w:r>
          </w:p>
        </w:tc>
        <w:tc>
          <w:tcPr>
            <w:tcW w:w="850" w:type="dxa"/>
          </w:tcPr>
          <w:p w14:paraId="746C1797"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&lt;.01</w:t>
            </w:r>
          </w:p>
          <w:p w14:paraId="71D1E713"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(.942)</w:t>
            </w:r>
          </w:p>
        </w:tc>
        <w:tc>
          <w:tcPr>
            <w:tcW w:w="992" w:type="dxa"/>
          </w:tcPr>
          <w:p w14:paraId="1C9AC169"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-0.03</w:t>
            </w:r>
          </w:p>
          <w:p w14:paraId="77FA9635"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(.615)</w:t>
            </w:r>
          </w:p>
        </w:tc>
      </w:tr>
      <w:tr w:rsidR="00436AB0" w:rsidRPr="00436AB0" w14:paraId="096C5D70" w14:textId="77777777" w:rsidTr="00EB0791">
        <w:tc>
          <w:tcPr>
            <w:tcW w:w="1696" w:type="dxa"/>
          </w:tcPr>
          <w:p w14:paraId="2C344ADF"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Education</w:t>
            </w:r>
          </w:p>
        </w:tc>
        <w:tc>
          <w:tcPr>
            <w:tcW w:w="1603" w:type="dxa"/>
          </w:tcPr>
          <w:p w14:paraId="6D290C66"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0.10</w:t>
            </w:r>
          </w:p>
          <w:p w14:paraId="5ACD9885"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(.149)</w:t>
            </w:r>
          </w:p>
        </w:tc>
        <w:tc>
          <w:tcPr>
            <w:tcW w:w="1091" w:type="dxa"/>
          </w:tcPr>
          <w:p w14:paraId="1C60FCB6"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0.35</w:t>
            </w:r>
          </w:p>
          <w:p w14:paraId="4FCB9627"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(&lt; .001)</w:t>
            </w:r>
          </w:p>
        </w:tc>
        <w:tc>
          <w:tcPr>
            <w:tcW w:w="992" w:type="dxa"/>
          </w:tcPr>
          <w:p w14:paraId="504C2D4F"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0.20</w:t>
            </w:r>
          </w:p>
          <w:p w14:paraId="1573130F"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(.003)</w:t>
            </w:r>
          </w:p>
        </w:tc>
        <w:tc>
          <w:tcPr>
            <w:tcW w:w="992" w:type="dxa"/>
          </w:tcPr>
          <w:p w14:paraId="7AAED461"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0.24</w:t>
            </w:r>
          </w:p>
          <w:p w14:paraId="20167458"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(&lt; .001)</w:t>
            </w:r>
          </w:p>
        </w:tc>
        <w:tc>
          <w:tcPr>
            <w:tcW w:w="851" w:type="dxa"/>
          </w:tcPr>
          <w:p w14:paraId="187A050D"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0.19</w:t>
            </w:r>
          </w:p>
          <w:p w14:paraId="1C20763A"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(.003)</w:t>
            </w:r>
          </w:p>
        </w:tc>
        <w:tc>
          <w:tcPr>
            <w:tcW w:w="850" w:type="dxa"/>
          </w:tcPr>
          <w:p w14:paraId="246452E2"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0.11</w:t>
            </w:r>
          </w:p>
          <w:p w14:paraId="37CC6A57"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(.106)</w:t>
            </w:r>
          </w:p>
        </w:tc>
        <w:tc>
          <w:tcPr>
            <w:tcW w:w="992" w:type="dxa"/>
          </w:tcPr>
          <w:p w14:paraId="381854F6"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0.24</w:t>
            </w:r>
          </w:p>
          <w:p w14:paraId="1880348A" w14:textId="77777777" w:rsidR="00436AB0" w:rsidRPr="00436AB0" w:rsidRDefault="00436AB0" w:rsidP="00E32591">
            <w:pPr>
              <w:spacing w:line="360" w:lineRule="auto"/>
              <w:contextualSpacing/>
              <w:rPr>
                <w:rFonts w:ascii="Cambria" w:eastAsia="Times New Roman" w:hAnsi="Cambria" w:cs="Times New Roman"/>
                <w:color w:val="000000"/>
                <w:kern w:val="0"/>
                <w:sz w:val="24"/>
                <w:szCs w:val="24"/>
                <w:bdr w:val="none" w:sz="0" w:space="0" w:color="auto" w:frame="1"/>
                <w:lang w:val="en-GB" w:eastAsia="fi-FI"/>
                <w14:ligatures w14:val="none"/>
              </w:rPr>
            </w:pPr>
            <w:r w:rsidRPr="00436AB0">
              <w:rPr>
                <w:rFonts w:ascii="Cambria" w:eastAsia="Times New Roman" w:hAnsi="Cambria" w:cs="Times New Roman"/>
                <w:color w:val="000000"/>
                <w:kern w:val="0"/>
                <w:sz w:val="24"/>
                <w:szCs w:val="24"/>
                <w:bdr w:val="none" w:sz="0" w:space="0" w:color="auto" w:frame="1"/>
                <w:lang w:val="en-GB" w:eastAsia="fi-FI"/>
                <w14:ligatures w14:val="none"/>
              </w:rPr>
              <w:t>(&lt; .001)</w:t>
            </w:r>
          </w:p>
        </w:tc>
      </w:tr>
    </w:tbl>
    <w:p w14:paraId="1D495A38" w14:textId="77777777" w:rsidR="00436AB0" w:rsidRPr="00436AB0" w:rsidRDefault="00436AB0" w:rsidP="00E3259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rPr>
          <w:rFonts w:ascii="Cambria" w:hAnsi="Cambria" w:cs="Times New Roman"/>
          <w:sz w:val="24"/>
          <w:szCs w:val="24"/>
          <w:lang w:val="en-GB"/>
        </w:rPr>
      </w:pPr>
      <w:r w:rsidRPr="00436AB0">
        <w:rPr>
          <w:rFonts w:ascii="Cambria" w:eastAsia="Times New Roman" w:hAnsi="Cambria" w:cs="Times New Roman"/>
          <w:i/>
          <w:iCs/>
          <w:color w:val="000000"/>
          <w:kern w:val="0"/>
          <w:sz w:val="24"/>
          <w:szCs w:val="24"/>
          <w:bdr w:val="none" w:sz="0" w:space="0" w:color="auto" w:frame="1"/>
          <w:lang w:val="en-GB" w:eastAsia="fi-FI"/>
          <w14:ligatures w14:val="none"/>
        </w:rPr>
        <w:t xml:space="preserve">Note. </w:t>
      </w:r>
      <w:r w:rsidRPr="00436AB0">
        <w:rPr>
          <w:rFonts w:ascii="Cambria" w:hAnsi="Cambria" w:cs="Times New Roman"/>
          <w:i/>
          <w:iCs/>
          <w:sz w:val="24"/>
          <w:szCs w:val="24"/>
          <w:lang w:val="en-GB"/>
        </w:rPr>
        <w:t>N</w:t>
      </w:r>
      <w:r w:rsidRPr="00436AB0">
        <w:rPr>
          <w:rFonts w:ascii="Cambria" w:hAnsi="Cambria" w:cs="Times New Roman"/>
          <w:sz w:val="24"/>
          <w:szCs w:val="24"/>
          <w:lang w:val="en-GB"/>
        </w:rPr>
        <w:t xml:space="preserve"> = 227. AOT = Actively Open-Minded Thinking; NFC = Need for Cognition; CRT = Cognitive Reflection Test, FI = Faith in Intuition. </w:t>
      </w:r>
    </w:p>
    <w:p w14:paraId="2216E997" w14:textId="77777777" w:rsidR="00436AB0" w:rsidRPr="00436AB0" w:rsidRDefault="00436AB0" w:rsidP="00E32591">
      <w:pPr>
        <w:spacing w:line="360" w:lineRule="auto"/>
        <w:contextualSpacing/>
        <w:jc w:val="center"/>
        <w:rPr>
          <w:rFonts w:ascii="Cambria" w:hAnsi="Cambria" w:cs="Times New Roman"/>
          <w:color w:val="000000" w:themeColor="text1"/>
          <w:sz w:val="24"/>
          <w:szCs w:val="24"/>
          <w:lang w:val="en-GB"/>
        </w:rPr>
      </w:pPr>
      <w:r w:rsidRPr="00436AB0">
        <w:rPr>
          <w:rFonts w:ascii="Cambria" w:hAnsi="Cambria" w:cs="Times New Roman"/>
          <w:b/>
          <w:bCs/>
          <w:color w:val="000000" w:themeColor="text1"/>
          <w:sz w:val="24"/>
          <w:szCs w:val="24"/>
          <w:lang w:val="en-GB"/>
        </w:rPr>
        <w:lastRenderedPageBreak/>
        <w:t>Study 2, Supplemental Methods and Results</w:t>
      </w:r>
    </w:p>
    <w:p w14:paraId="640C1820" w14:textId="77777777" w:rsidR="00436AB0" w:rsidRPr="00436AB0" w:rsidRDefault="00436AB0" w:rsidP="00E32591">
      <w:pPr>
        <w:spacing w:line="360" w:lineRule="auto"/>
        <w:contextualSpacing/>
        <w:rPr>
          <w:rFonts w:ascii="Cambria" w:hAnsi="Cambria" w:cs="Times New Roman"/>
          <w:b/>
          <w:bCs/>
          <w:i/>
          <w:iCs/>
          <w:color w:val="000000" w:themeColor="text1"/>
          <w:sz w:val="24"/>
          <w:szCs w:val="24"/>
          <w:lang w:val="en-GB"/>
        </w:rPr>
      </w:pPr>
      <w:r w:rsidRPr="00436AB0">
        <w:rPr>
          <w:rFonts w:ascii="Cambria" w:hAnsi="Cambria" w:cs="Times New Roman"/>
          <w:b/>
          <w:bCs/>
          <w:i/>
          <w:iCs/>
          <w:color w:val="000000" w:themeColor="text1"/>
          <w:sz w:val="24"/>
          <w:szCs w:val="24"/>
          <w:lang w:val="en-GB"/>
        </w:rPr>
        <w:t>Participants and Procedure</w:t>
      </w:r>
    </w:p>
    <w:p w14:paraId="3F066E66" w14:textId="77777777" w:rsidR="00436AB0" w:rsidRPr="00436AB0" w:rsidRDefault="00436AB0" w:rsidP="00E32591">
      <w:pPr>
        <w:spacing w:line="360" w:lineRule="auto"/>
        <w:ind w:firstLine="624"/>
        <w:contextualSpacing/>
        <w:rPr>
          <w:rFonts w:ascii="Cambria" w:hAnsi="Cambria" w:cs="Times New Roman"/>
          <w:sz w:val="24"/>
          <w:szCs w:val="24"/>
          <w:lang w:val="en-GB"/>
        </w:rPr>
      </w:pPr>
      <w:r w:rsidRPr="00436AB0">
        <w:rPr>
          <w:rFonts w:ascii="Cambria" w:hAnsi="Cambria" w:cs="Times New Roman"/>
          <w:color w:val="000000" w:themeColor="text1"/>
          <w:sz w:val="24"/>
          <w:szCs w:val="24"/>
          <w:lang w:val="en-GB"/>
        </w:rPr>
        <w:t>The data were collected on four instantiations of the same course during three consecutive years at a large university in Sweden. Data were collected twice for each course: during the first (Time 1) and the last (Time 2) lectures. Thus, the study had a before–after design</w:t>
      </w:r>
      <w:r w:rsidRPr="00436AB0">
        <w:rPr>
          <w:rFonts w:ascii="Cambria" w:hAnsi="Cambria" w:cs="Times New Roman"/>
          <w:sz w:val="24"/>
          <w:szCs w:val="24"/>
          <w:lang w:val="en-GB"/>
        </w:rPr>
        <w:t xml:space="preserve">. The syllabus of the course included textbooks, research articles, and lectures on rhetorical argumentation, including standpoints, the enthymeme, fallacies, argument schemes, and argumentation structures; the learning aims specifically included the analysis of argumentation. Thus, students were expected to improve on all the argument analysis skills covered by the ACLT during the course. At Time 1, 126 students participated. </w:t>
      </w:r>
    </w:p>
    <w:p w14:paraId="74C612AC" w14:textId="77777777" w:rsidR="00436AB0" w:rsidRPr="00436AB0" w:rsidRDefault="00436AB0" w:rsidP="00E32591">
      <w:pPr>
        <w:spacing w:line="360" w:lineRule="auto"/>
        <w:ind w:firstLine="720"/>
        <w:contextualSpacing/>
        <w:rPr>
          <w:rFonts w:ascii="Cambria" w:hAnsi="Cambria" w:cs="Times New Roman"/>
          <w:color w:val="000000" w:themeColor="text1"/>
          <w:sz w:val="24"/>
          <w:szCs w:val="24"/>
          <w:lang w:val="en-GB"/>
        </w:rPr>
      </w:pPr>
      <w:r w:rsidRPr="00436AB0">
        <w:rPr>
          <w:rFonts w:ascii="Cambria" w:hAnsi="Cambria" w:cs="Times New Roman"/>
          <w:color w:val="000000" w:themeColor="text1"/>
          <w:sz w:val="24"/>
          <w:szCs w:val="24"/>
          <w:lang w:val="en-GB"/>
        </w:rPr>
        <w:t xml:space="preserve">The mean age was 23 years, median 22, and age range 18 to 63. The gender distribution was even (50% female, 50% male, 0% other or prefer not to say). A third (33%) of the participants were in their first semester of university studies, 16% had completed one semester, 13% had completed 2 semesters, and 39% had completed more. The majority (81%) reported that they were unfamiliar with the terms ‘syllogism’, ‘enthymeme’, and ‘fallacy’, while 13% reported being familiar with them and knowing what they mean, and the rest saying they did not remember. The mean interest in argumentation and debate was 3.44 (SD = 0.85) on a scale from 1 to 5, indicating high self-reported interest by the sample. </w:t>
      </w:r>
    </w:p>
    <w:p w14:paraId="6DC74598" w14:textId="77777777" w:rsidR="00436AB0" w:rsidRPr="00436AB0" w:rsidRDefault="00436AB0" w:rsidP="00E32591">
      <w:pPr>
        <w:spacing w:line="360" w:lineRule="auto"/>
        <w:contextualSpacing/>
        <w:rPr>
          <w:rFonts w:ascii="Cambria" w:hAnsi="Cambria" w:cs="Times New Roman"/>
          <w:b/>
          <w:bCs/>
          <w:color w:val="000000" w:themeColor="text1"/>
          <w:sz w:val="24"/>
          <w:szCs w:val="24"/>
          <w:lang w:val="en-GB"/>
        </w:rPr>
      </w:pPr>
      <w:r w:rsidRPr="00436AB0">
        <w:rPr>
          <w:rFonts w:ascii="Cambria" w:hAnsi="Cambria" w:cs="Times New Roman"/>
          <w:color w:val="000000" w:themeColor="text1"/>
          <w:sz w:val="24"/>
          <w:szCs w:val="24"/>
          <w:lang w:val="en-GB"/>
        </w:rPr>
        <w:t>The median time to complete the test was 30 minutes.</w:t>
      </w:r>
    </w:p>
    <w:p w14:paraId="10C5D4D4" w14:textId="77777777" w:rsidR="00436AB0" w:rsidRPr="00436AB0" w:rsidRDefault="00436AB0" w:rsidP="00E32591">
      <w:pPr>
        <w:spacing w:line="360" w:lineRule="auto"/>
        <w:ind w:firstLine="720"/>
        <w:contextualSpacing/>
        <w:rPr>
          <w:rFonts w:ascii="Cambria" w:hAnsi="Cambria" w:cs="Times New Roman"/>
          <w:color w:val="000000" w:themeColor="text1"/>
          <w:sz w:val="24"/>
          <w:szCs w:val="24"/>
          <w:lang w:val="en-GB"/>
        </w:rPr>
      </w:pPr>
      <w:r w:rsidRPr="00436AB0">
        <w:rPr>
          <w:rFonts w:ascii="Cambria" w:hAnsi="Cambria" w:cs="Times New Roman"/>
          <w:color w:val="000000" w:themeColor="text1"/>
          <w:sz w:val="24"/>
          <w:szCs w:val="24"/>
          <w:lang w:val="en-GB"/>
        </w:rPr>
        <w:t>Table S3 shows the number of participants on each occasion. Students responded to the test during lecture hours. The study was carried out in accordance with national guidelines (Görman &amp; Swedish Ethical Review Authority, 2023). In Sweden, no formal ethical approval was needed as the study did not involve physical intervention, did not involve obvious risk of harm, we did not collect sensitive personal data, and informed consent was required for participation. Participants were informed (a) about their voluntary and anonymous contribution, (b) that they could end or withdraw their participation without stating a reason why, (c) that the results would be presented on aggregated levels only and (d) only used for research purposes. After providing this information, participants gave their informed consent by ticking a box confirming that they had understood and agreed with the information. Only data from those who gave written consent to their data being used in research were used.</w:t>
      </w:r>
    </w:p>
    <w:p w14:paraId="10827F31" w14:textId="77777777" w:rsidR="00436AB0" w:rsidRPr="00436AB0" w:rsidRDefault="00436AB0" w:rsidP="00E32591">
      <w:pPr>
        <w:spacing w:line="360" w:lineRule="auto"/>
        <w:ind w:firstLine="720"/>
        <w:contextualSpacing/>
        <w:rPr>
          <w:rFonts w:ascii="Cambria" w:hAnsi="Cambria" w:cs="Times New Roman"/>
          <w:color w:val="000000" w:themeColor="text1"/>
          <w:sz w:val="24"/>
          <w:szCs w:val="24"/>
          <w:lang w:val="en-GB"/>
        </w:rPr>
      </w:pPr>
      <w:r w:rsidRPr="00436AB0">
        <w:rPr>
          <w:rFonts w:ascii="Cambria" w:hAnsi="Cambria" w:cs="Times New Roman"/>
          <w:color w:val="000000" w:themeColor="text1"/>
          <w:sz w:val="24"/>
          <w:szCs w:val="24"/>
          <w:lang w:val="en-GB"/>
        </w:rPr>
        <w:lastRenderedPageBreak/>
        <w:t xml:space="preserve">Data from Time 1 and Time 2 were matched with the help of a code that the students were asked to create at Time 2. They were instructed to construct the code using the first name of one of their parents and the last three digits of their personal identity number. At Time 2, they were reminded of this instruction and asked to type in the same code. Because of a technical error (the wrong link used by mistake) Time 2 data collection failed on the first occasion. On the second occasion, only 13 students provided a code that could be matched. From the third occasion, we used improved instructions, which helped raise the proportion of matched codes to the extent that the majority could be matched. Eight students did not consent to their data being used and they are not included in the numbers in Table S3. </w:t>
      </w:r>
    </w:p>
    <w:p w14:paraId="79563AC9" w14:textId="77777777" w:rsidR="00436AB0" w:rsidRPr="00436AB0" w:rsidRDefault="00436AB0" w:rsidP="00E32591">
      <w:pPr>
        <w:spacing w:line="360" w:lineRule="auto"/>
        <w:contextualSpacing/>
        <w:rPr>
          <w:rFonts w:ascii="Cambria" w:hAnsi="Cambria" w:cs="Times New Roman"/>
          <w:color w:val="000000" w:themeColor="text1"/>
          <w:sz w:val="24"/>
          <w:szCs w:val="24"/>
          <w:lang w:val="en-GB"/>
        </w:rPr>
      </w:pPr>
    </w:p>
    <w:p w14:paraId="7C1A35DD" w14:textId="77777777" w:rsidR="00436AB0" w:rsidRPr="00436AB0" w:rsidRDefault="00436AB0" w:rsidP="00E32591">
      <w:pPr>
        <w:spacing w:line="360" w:lineRule="auto"/>
        <w:contextualSpacing/>
        <w:rPr>
          <w:rFonts w:ascii="Cambria" w:hAnsi="Cambria" w:cs="Times New Roman"/>
          <w:color w:val="000000" w:themeColor="text1"/>
          <w:sz w:val="24"/>
          <w:szCs w:val="24"/>
          <w:lang w:val="en-GB"/>
        </w:rPr>
      </w:pPr>
      <w:r w:rsidRPr="00436AB0">
        <w:rPr>
          <w:rFonts w:ascii="Cambria" w:hAnsi="Cambria" w:cs="Times New Roman"/>
          <w:b/>
          <w:bCs/>
          <w:color w:val="000000" w:themeColor="text1"/>
          <w:sz w:val="24"/>
          <w:szCs w:val="24"/>
          <w:lang w:val="en-GB"/>
        </w:rPr>
        <w:t>Table S3.</w:t>
      </w:r>
      <w:r w:rsidRPr="00436AB0">
        <w:rPr>
          <w:rFonts w:ascii="Cambria" w:hAnsi="Cambria" w:cs="Times New Roman"/>
          <w:color w:val="000000" w:themeColor="text1"/>
          <w:sz w:val="24"/>
          <w:szCs w:val="24"/>
          <w:lang w:val="en-GB"/>
        </w:rPr>
        <w:t xml:space="preserve"> </w:t>
      </w:r>
      <w:r w:rsidRPr="00436AB0">
        <w:rPr>
          <w:rFonts w:ascii="Cambria" w:hAnsi="Cambria" w:cs="Times New Roman"/>
          <w:i/>
          <w:iCs/>
          <w:color w:val="000000" w:themeColor="text1"/>
          <w:sz w:val="24"/>
          <w:szCs w:val="24"/>
          <w:lang w:val="en-GB"/>
        </w:rPr>
        <w:t>Number of participants at Time 1 and Time 2.</w:t>
      </w:r>
    </w:p>
    <w:tbl>
      <w:tblPr>
        <w:tblStyle w:val="TableGrid"/>
        <w:tblW w:w="0" w:type="auto"/>
        <w:tblInd w:w="0" w:type="dxa"/>
        <w:tblLook w:val="04A0" w:firstRow="1" w:lastRow="0" w:firstColumn="1" w:lastColumn="0" w:noHBand="0" w:noVBand="1"/>
      </w:tblPr>
      <w:tblGrid>
        <w:gridCol w:w="1133"/>
        <w:gridCol w:w="1134"/>
        <w:gridCol w:w="1134"/>
        <w:gridCol w:w="1843"/>
      </w:tblGrid>
      <w:tr w:rsidR="00436AB0" w:rsidRPr="00436AB0" w14:paraId="7E30BE8B" w14:textId="77777777" w:rsidTr="005B2DD5">
        <w:tc>
          <w:tcPr>
            <w:tcW w:w="1129" w:type="dxa"/>
          </w:tcPr>
          <w:p w14:paraId="14916170" w14:textId="77777777" w:rsidR="00436AB0" w:rsidRPr="00436AB0" w:rsidRDefault="00436AB0" w:rsidP="00E32591">
            <w:pPr>
              <w:spacing w:line="360" w:lineRule="auto"/>
              <w:contextualSpacing/>
              <w:rPr>
                <w:rFonts w:ascii="Cambria" w:hAnsi="Cambria" w:cs="Times New Roman"/>
                <w:color w:val="000000" w:themeColor="text1"/>
                <w:sz w:val="24"/>
                <w:szCs w:val="24"/>
                <w:lang w:val="en-GB"/>
              </w:rPr>
            </w:pPr>
            <w:r w:rsidRPr="00436AB0">
              <w:rPr>
                <w:rFonts w:ascii="Cambria" w:hAnsi="Cambria" w:cs="Times New Roman"/>
                <w:color w:val="000000" w:themeColor="text1"/>
                <w:sz w:val="24"/>
                <w:szCs w:val="24"/>
                <w:lang w:val="en-GB"/>
              </w:rPr>
              <w:t xml:space="preserve"> Occasion </w:t>
            </w:r>
          </w:p>
        </w:tc>
        <w:tc>
          <w:tcPr>
            <w:tcW w:w="1134" w:type="dxa"/>
          </w:tcPr>
          <w:p w14:paraId="2853CCCC" w14:textId="77777777" w:rsidR="00436AB0" w:rsidRPr="00436AB0" w:rsidRDefault="00436AB0" w:rsidP="00E32591">
            <w:pPr>
              <w:spacing w:line="360" w:lineRule="auto"/>
              <w:contextualSpacing/>
              <w:rPr>
                <w:rFonts w:ascii="Cambria" w:hAnsi="Cambria" w:cs="Times New Roman"/>
                <w:color w:val="000000" w:themeColor="text1"/>
                <w:sz w:val="24"/>
                <w:szCs w:val="24"/>
                <w:lang w:val="en-GB"/>
              </w:rPr>
            </w:pPr>
            <w:r w:rsidRPr="00436AB0">
              <w:rPr>
                <w:rFonts w:ascii="Cambria" w:hAnsi="Cambria" w:cs="Times New Roman"/>
                <w:color w:val="000000" w:themeColor="text1"/>
                <w:sz w:val="24"/>
                <w:szCs w:val="24"/>
                <w:lang w:val="en-GB"/>
              </w:rPr>
              <w:t>Time 1</w:t>
            </w:r>
          </w:p>
        </w:tc>
        <w:tc>
          <w:tcPr>
            <w:tcW w:w="1134" w:type="dxa"/>
          </w:tcPr>
          <w:p w14:paraId="31E4700C" w14:textId="77777777" w:rsidR="00436AB0" w:rsidRPr="00436AB0" w:rsidRDefault="00436AB0" w:rsidP="00E32591">
            <w:pPr>
              <w:spacing w:line="360" w:lineRule="auto"/>
              <w:contextualSpacing/>
              <w:rPr>
                <w:rFonts w:ascii="Cambria" w:hAnsi="Cambria" w:cs="Times New Roman"/>
                <w:color w:val="000000" w:themeColor="text1"/>
                <w:sz w:val="24"/>
                <w:szCs w:val="24"/>
                <w:lang w:val="en-GB"/>
              </w:rPr>
            </w:pPr>
            <w:r w:rsidRPr="00436AB0">
              <w:rPr>
                <w:rFonts w:ascii="Cambria" w:hAnsi="Cambria" w:cs="Times New Roman"/>
                <w:color w:val="000000" w:themeColor="text1"/>
                <w:sz w:val="24"/>
                <w:szCs w:val="24"/>
                <w:lang w:val="en-GB"/>
              </w:rPr>
              <w:t>Time 2</w:t>
            </w:r>
          </w:p>
        </w:tc>
        <w:tc>
          <w:tcPr>
            <w:tcW w:w="1843" w:type="dxa"/>
          </w:tcPr>
          <w:p w14:paraId="23AB5035" w14:textId="77777777" w:rsidR="00436AB0" w:rsidRPr="00436AB0" w:rsidRDefault="00436AB0" w:rsidP="00E32591">
            <w:pPr>
              <w:spacing w:line="360" w:lineRule="auto"/>
              <w:contextualSpacing/>
              <w:rPr>
                <w:rFonts w:ascii="Cambria" w:hAnsi="Cambria" w:cs="Times New Roman"/>
                <w:color w:val="000000" w:themeColor="text1"/>
                <w:sz w:val="24"/>
                <w:szCs w:val="24"/>
                <w:lang w:val="en-GB"/>
              </w:rPr>
            </w:pPr>
            <w:r w:rsidRPr="00436AB0">
              <w:rPr>
                <w:rFonts w:ascii="Cambria" w:hAnsi="Cambria" w:cs="Times New Roman"/>
                <w:color w:val="000000" w:themeColor="text1"/>
                <w:sz w:val="24"/>
                <w:szCs w:val="24"/>
                <w:lang w:val="en-GB"/>
              </w:rPr>
              <w:t xml:space="preserve">Complete data </w:t>
            </w:r>
          </w:p>
        </w:tc>
      </w:tr>
      <w:tr w:rsidR="00436AB0" w:rsidRPr="00436AB0" w14:paraId="56E72712" w14:textId="77777777" w:rsidTr="005B2DD5">
        <w:tc>
          <w:tcPr>
            <w:tcW w:w="1129" w:type="dxa"/>
          </w:tcPr>
          <w:p w14:paraId="2F0ACAAA" w14:textId="77777777" w:rsidR="00436AB0" w:rsidRPr="00436AB0" w:rsidRDefault="00436AB0" w:rsidP="00E32591">
            <w:pPr>
              <w:spacing w:line="360" w:lineRule="auto"/>
              <w:contextualSpacing/>
              <w:rPr>
                <w:rFonts w:ascii="Cambria" w:hAnsi="Cambria" w:cs="Times New Roman"/>
                <w:color w:val="000000" w:themeColor="text1"/>
                <w:sz w:val="24"/>
                <w:szCs w:val="24"/>
                <w:lang w:val="en-GB"/>
              </w:rPr>
            </w:pPr>
            <w:r w:rsidRPr="00436AB0">
              <w:rPr>
                <w:rFonts w:ascii="Cambria" w:hAnsi="Cambria" w:cs="Times New Roman"/>
                <w:color w:val="000000" w:themeColor="text1"/>
                <w:sz w:val="24"/>
                <w:szCs w:val="24"/>
                <w:lang w:val="en-GB"/>
              </w:rPr>
              <w:t xml:space="preserve">1 </w:t>
            </w:r>
          </w:p>
        </w:tc>
        <w:tc>
          <w:tcPr>
            <w:tcW w:w="1134" w:type="dxa"/>
          </w:tcPr>
          <w:p w14:paraId="4C0DB273" w14:textId="77777777" w:rsidR="00436AB0" w:rsidRPr="00436AB0" w:rsidRDefault="00436AB0" w:rsidP="00E32591">
            <w:pPr>
              <w:spacing w:line="360" w:lineRule="auto"/>
              <w:contextualSpacing/>
              <w:rPr>
                <w:rFonts w:ascii="Cambria" w:hAnsi="Cambria" w:cs="Times New Roman"/>
                <w:color w:val="000000" w:themeColor="text1"/>
                <w:sz w:val="24"/>
                <w:szCs w:val="24"/>
                <w:lang w:val="en-GB"/>
              </w:rPr>
            </w:pPr>
            <w:r w:rsidRPr="00436AB0">
              <w:rPr>
                <w:rFonts w:ascii="Cambria" w:hAnsi="Cambria" w:cs="Times New Roman"/>
                <w:color w:val="000000" w:themeColor="text1"/>
                <w:sz w:val="24"/>
                <w:szCs w:val="24"/>
                <w:lang w:val="en-GB"/>
              </w:rPr>
              <w:t>28</w:t>
            </w:r>
          </w:p>
        </w:tc>
        <w:tc>
          <w:tcPr>
            <w:tcW w:w="1134" w:type="dxa"/>
          </w:tcPr>
          <w:p w14:paraId="4483C5B0" w14:textId="77777777" w:rsidR="00436AB0" w:rsidRPr="00436AB0" w:rsidRDefault="00436AB0" w:rsidP="00E32591">
            <w:pPr>
              <w:spacing w:line="360" w:lineRule="auto"/>
              <w:contextualSpacing/>
              <w:rPr>
                <w:rFonts w:ascii="Cambria" w:hAnsi="Cambria" w:cs="Times New Roman"/>
                <w:color w:val="000000" w:themeColor="text1"/>
                <w:sz w:val="24"/>
                <w:szCs w:val="24"/>
                <w:lang w:val="en-GB"/>
              </w:rPr>
            </w:pPr>
            <w:r w:rsidRPr="00436AB0">
              <w:rPr>
                <w:rFonts w:ascii="Cambria" w:hAnsi="Cambria" w:cs="Times New Roman"/>
                <w:color w:val="000000" w:themeColor="text1"/>
                <w:sz w:val="24"/>
                <w:szCs w:val="24"/>
                <w:lang w:val="en-GB"/>
              </w:rPr>
              <w:t>-</w:t>
            </w:r>
          </w:p>
        </w:tc>
        <w:tc>
          <w:tcPr>
            <w:tcW w:w="1843" w:type="dxa"/>
          </w:tcPr>
          <w:p w14:paraId="0E43B799" w14:textId="77777777" w:rsidR="00436AB0" w:rsidRPr="00436AB0" w:rsidRDefault="00436AB0" w:rsidP="00E32591">
            <w:pPr>
              <w:spacing w:line="360" w:lineRule="auto"/>
              <w:contextualSpacing/>
              <w:rPr>
                <w:rFonts w:ascii="Cambria" w:hAnsi="Cambria" w:cs="Times New Roman"/>
                <w:color w:val="000000" w:themeColor="text1"/>
                <w:sz w:val="24"/>
                <w:szCs w:val="24"/>
                <w:lang w:val="en-GB"/>
              </w:rPr>
            </w:pPr>
            <w:r w:rsidRPr="00436AB0">
              <w:rPr>
                <w:rFonts w:ascii="Cambria" w:hAnsi="Cambria" w:cs="Times New Roman"/>
                <w:color w:val="000000" w:themeColor="text1"/>
                <w:sz w:val="24"/>
                <w:szCs w:val="24"/>
                <w:lang w:val="en-GB"/>
              </w:rPr>
              <w:t>-</w:t>
            </w:r>
          </w:p>
        </w:tc>
      </w:tr>
      <w:tr w:rsidR="00436AB0" w:rsidRPr="00436AB0" w14:paraId="7DD65E22" w14:textId="77777777" w:rsidTr="005B2DD5">
        <w:tc>
          <w:tcPr>
            <w:tcW w:w="1129" w:type="dxa"/>
          </w:tcPr>
          <w:p w14:paraId="7CD2CA1B" w14:textId="77777777" w:rsidR="00436AB0" w:rsidRPr="00436AB0" w:rsidRDefault="00436AB0" w:rsidP="00E32591">
            <w:pPr>
              <w:spacing w:line="360" w:lineRule="auto"/>
              <w:contextualSpacing/>
              <w:rPr>
                <w:rFonts w:ascii="Cambria" w:hAnsi="Cambria" w:cs="Times New Roman"/>
                <w:color w:val="000000" w:themeColor="text1"/>
                <w:sz w:val="24"/>
                <w:szCs w:val="24"/>
                <w:lang w:val="en-GB"/>
              </w:rPr>
            </w:pPr>
            <w:r w:rsidRPr="00436AB0">
              <w:rPr>
                <w:rFonts w:ascii="Cambria" w:hAnsi="Cambria" w:cs="Times New Roman"/>
                <w:color w:val="000000" w:themeColor="text1"/>
                <w:sz w:val="24"/>
                <w:szCs w:val="24"/>
                <w:lang w:val="en-GB"/>
              </w:rPr>
              <w:t xml:space="preserve">2 </w:t>
            </w:r>
          </w:p>
        </w:tc>
        <w:tc>
          <w:tcPr>
            <w:tcW w:w="1134" w:type="dxa"/>
          </w:tcPr>
          <w:p w14:paraId="3DA07594" w14:textId="77777777" w:rsidR="00436AB0" w:rsidRPr="00436AB0" w:rsidRDefault="00436AB0" w:rsidP="00E32591">
            <w:pPr>
              <w:spacing w:line="360" w:lineRule="auto"/>
              <w:contextualSpacing/>
              <w:rPr>
                <w:rFonts w:ascii="Cambria" w:hAnsi="Cambria" w:cs="Times New Roman"/>
                <w:color w:val="000000" w:themeColor="text1"/>
                <w:sz w:val="24"/>
                <w:szCs w:val="24"/>
                <w:lang w:val="en-GB"/>
              </w:rPr>
            </w:pPr>
            <w:r w:rsidRPr="00436AB0">
              <w:rPr>
                <w:rFonts w:ascii="Cambria" w:hAnsi="Cambria" w:cs="Times New Roman"/>
                <w:color w:val="000000" w:themeColor="text1"/>
                <w:sz w:val="24"/>
                <w:szCs w:val="24"/>
                <w:lang w:val="en-GB"/>
              </w:rPr>
              <w:t>43</w:t>
            </w:r>
          </w:p>
        </w:tc>
        <w:tc>
          <w:tcPr>
            <w:tcW w:w="1134" w:type="dxa"/>
          </w:tcPr>
          <w:p w14:paraId="4FCB8DB3" w14:textId="77777777" w:rsidR="00436AB0" w:rsidRPr="00436AB0" w:rsidRDefault="00436AB0" w:rsidP="00E32591">
            <w:pPr>
              <w:spacing w:line="360" w:lineRule="auto"/>
              <w:contextualSpacing/>
              <w:rPr>
                <w:rFonts w:ascii="Cambria" w:hAnsi="Cambria" w:cs="Times New Roman"/>
                <w:color w:val="000000" w:themeColor="text1"/>
                <w:sz w:val="24"/>
                <w:szCs w:val="24"/>
                <w:lang w:val="en-GB"/>
              </w:rPr>
            </w:pPr>
            <w:r w:rsidRPr="00436AB0">
              <w:rPr>
                <w:rFonts w:ascii="Cambria" w:hAnsi="Cambria" w:cs="Times New Roman"/>
                <w:color w:val="000000" w:themeColor="text1"/>
                <w:sz w:val="24"/>
                <w:szCs w:val="24"/>
                <w:lang w:val="en-GB"/>
              </w:rPr>
              <w:t>23</w:t>
            </w:r>
          </w:p>
        </w:tc>
        <w:tc>
          <w:tcPr>
            <w:tcW w:w="1843" w:type="dxa"/>
          </w:tcPr>
          <w:p w14:paraId="4F07EB30" w14:textId="77777777" w:rsidR="00436AB0" w:rsidRPr="00436AB0" w:rsidRDefault="00436AB0" w:rsidP="00E32591">
            <w:pPr>
              <w:spacing w:line="360" w:lineRule="auto"/>
              <w:contextualSpacing/>
              <w:rPr>
                <w:rFonts w:ascii="Cambria" w:hAnsi="Cambria" w:cs="Times New Roman"/>
                <w:color w:val="000000" w:themeColor="text1"/>
                <w:sz w:val="24"/>
                <w:szCs w:val="24"/>
                <w:lang w:val="en-GB"/>
              </w:rPr>
            </w:pPr>
            <w:r w:rsidRPr="00436AB0">
              <w:rPr>
                <w:rFonts w:ascii="Cambria" w:hAnsi="Cambria" w:cs="Times New Roman"/>
                <w:color w:val="000000" w:themeColor="text1"/>
                <w:sz w:val="24"/>
                <w:szCs w:val="24"/>
                <w:lang w:val="en-GB"/>
              </w:rPr>
              <w:t>13</w:t>
            </w:r>
          </w:p>
        </w:tc>
      </w:tr>
      <w:tr w:rsidR="00436AB0" w:rsidRPr="00436AB0" w14:paraId="457425E4" w14:textId="77777777" w:rsidTr="005B2DD5">
        <w:tc>
          <w:tcPr>
            <w:tcW w:w="1129" w:type="dxa"/>
          </w:tcPr>
          <w:p w14:paraId="23E64C6B" w14:textId="77777777" w:rsidR="00436AB0" w:rsidRPr="00436AB0" w:rsidRDefault="00436AB0" w:rsidP="00E32591">
            <w:pPr>
              <w:spacing w:line="360" w:lineRule="auto"/>
              <w:contextualSpacing/>
              <w:rPr>
                <w:rFonts w:ascii="Cambria" w:hAnsi="Cambria" w:cs="Times New Roman"/>
                <w:color w:val="000000" w:themeColor="text1"/>
                <w:sz w:val="24"/>
                <w:szCs w:val="24"/>
                <w:lang w:val="en-GB"/>
              </w:rPr>
            </w:pPr>
            <w:r w:rsidRPr="00436AB0">
              <w:rPr>
                <w:rFonts w:ascii="Cambria" w:hAnsi="Cambria" w:cs="Times New Roman"/>
                <w:color w:val="000000" w:themeColor="text1"/>
                <w:sz w:val="24"/>
                <w:szCs w:val="24"/>
                <w:lang w:val="en-GB"/>
              </w:rPr>
              <w:t xml:space="preserve">3 </w:t>
            </w:r>
          </w:p>
        </w:tc>
        <w:tc>
          <w:tcPr>
            <w:tcW w:w="1134" w:type="dxa"/>
          </w:tcPr>
          <w:p w14:paraId="550E6755" w14:textId="77777777" w:rsidR="00436AB0" w:rsidRPr="00436AB0" w:rsidRDefault="00436AB0" w:rsidP="00E32591">
            <w:pPr>
              <w:spacing w:line="360" w:lineRule="auto"/>
              <w:contextualSpacing/>
              <w:rPr>
                <w:rFonts w:ascii="Cambria" w:hAnsi="Cambria" w:cs="Times New Roman"/>
                <w:color w:val="000000" w:themeColor="text1"/>
                <w:sz w:val="24"/>
                <w:szCs w:val="24"/>
                <w:lang w:val="en-GB"/>
              </w:rPr>
            </w:pPr>
            <w:r w:rsidRPr="00436AB0">
              <w:rPr>
                <w:rFonts w:ascii="Cambria" w:hAnsi="Cambria" w:cs="Times New Roman"/>
                <w:color w:val="000000" w:themeColor="text1"/>
                <w:sz w:val="24"/>
                <w:szCs w:val="24"/>
                <w:lang w:val="en-GB"/>
              </w:rPr>
              <w:t>28</w:t>
            </w:r>
          </w:p>
        </w:tc>
        <w:tc>
          <w:tcPr>
            <w:tcW w:w="1134" w:type="dxa"/>
          </w:tcPr>
          <w:p w14:paraId="249F0624" w14:textId="77777777" w:rsidR="00436AB0" w:rsidRPr="00436AB0" w:rsidRDefault="00436AB0" w:rsidP="00E32591">
            <w:pPr>
              <w:spacing w:line="360" w:lineRule="auto"/>
              <w:contextualSpacing/>
              <w:rPr>
                <w:rFonts w:ascii="Cambria" w:hAnsi="Cambria" w:cs="Times New Roman"/>
                <w:color w:val="000000" w:themeColor="text1"/>
                <w:sz w:val="24"/>
                <w:szCs w:val="24"/>
                <w:lang w:val="en-GB"/>
              </w:rPr>
            </w:pPr>
            <w:r w:rsidRPr="00436AB0">
              <w:rPr>
                <w:rFonts w:ascii="Cambria" w:hAnsi="Cambria" w:cs="Times New Roman"/>
                <w:color w:val="000000" w:themeColor="text1"/>
                <w:sz w:val="24"/>
                <w:szCs w:val="24"/>
                <w:lang w:val="en-GB"/>
              </w:rPr>
              <w:t>25</w:t>
            </w:r>
          </w:p>
        </w:tc>
        <w:tc>
          <w:tcPr>
            <w:tcW w:w="1843" w:type="dxa"/>
          </w:tcPr>
          <w:p w14:paraId="03BB59E4" w14:textId="77777777" w:rsidR="00436AB0" w:rsidRPr="00436AB0" w:rsidRDefault="00436AB0" w:rsidP="00E32591">
            <w:pPr>
              <w:spacing w:line="360" w:lineRule="auto"/>
              <w:contextualSpacing/>
              <w:rPr>
                <w:rFonts w:ascii="Cambria" w:hAnsi="Cambria" w:cs="Times New Roman"/>
                <w:color w:val="000000" w:themeColor="text1"/>
                <w:sz w:val="24"/>
                <w:szCs w:val="24"/>
                <w:lang w:val="en-GB"/>
              </w:rPr>
            </w:pPr>
            <w:r w:rsidRPr="00436AB0">
              <w:rPr>
                <w:rFonts w:ascii="Cambria" w:hAnsi="Cambria" w:cs="Times New Roman"/>
                <w:color w:val="000000" w:themeColor="text1"/>
                <w:sz w:val="24"/>
                <w:szCs w:val="24"/>
                <w:lang w:val="en-GB"/>
              </w:rPr>
              <w:t>20</w:t>
            </w:r>
          </w:p>
        </w:tc>
      </w:tr>
      <w:tr w:rsidR="00436AB0" w:rsidRPr="00436AB0" w14:paraId="0D1FF3F7" w14:textId="77777777" w:rsidTr="005B2DD5">
        <w:tc>
          <w:tcPr>
            <w:tcW w:w="1129" w:type="dxa"/>
          </w:tcPr>
          <w:p w14:paraId="13DE8029" w14:textId="77777777" w:rsidR="00436AB0" w:rsidRPr="00436AB0" w:rsidRDefault="00436AB0" w:rsidP="00E32591">
            <w:pPr>
              <w:spacing w:line="360" w:lineRule="auto"/>
              <w:contextualSpacing/>
              <w:rPr>
                <w:rFonts w:ascii="Cambria" w:hAnsi="Cambria" w:cs="Times New Roman"/>
                <w:color w:val="000000" w:themeColor="text1"/>
                <w:sz w:val="24"/>
                <w:szCs w:val="24"/>
                <w:lang w:val="en-GB"/>
              </w:rPr>
            </w:pPr>
            <w:r w:rsidRPr="00436AB0">
              <w:rPr>
                <w:rFonts w:ascii="Cambria" w:hAnsi="Cambria" w:cs="Times New Roman"/>
                <w:color w:val="000000" w:themeColor="text1"/>
                <w:sz w:val="24"/>
                <w:szCs w:val="24"/>
                <w:lang w:val="en-GB"/>
              </w:rPr>
              <w:t xml:space="preserve">4 </w:t>
            </w:r>
          </w:p>
        </w:tc>
        <w:tc>
          <w:tcPr>
            <w:tcW w:w="1134" w:type="dxa"/>
          </w:tcPr>
          <w:p w14:paraId="59E760B0" w14:textId="77777777" w:rsidR="00436AB0" w:rsidRPr="00436AB0" w:rsidRDefault="00436AB0" w:rsidP="00E32591">
            <w:pPr>
              <w:spacing w:line="360" w:lineRule="auto"/>
              <w:contextualSpacing/>
              <w:rPr>
                <w:rFonts w:ascii="Cambria" w:hAnsi="Cambria" w:cs="Times New Roman"/>
                <w:color w:val="000000" w:themeColor="text1"/>
                <w:sz w:val="24"/>
                <w:szCs w:val="24"/>
                <w:lang w:val="en-GB"/>
              </w:rPr>
            </w:pPr>
            <w:r w:rsidRPr="00436AB0">
              <w:rPr>
                <w:rFonts w:ascii="Cambria" w:hAnsi="Cambria" w:cs="Times New Roman"/>
                <w:color w:val="000000" w:themeColor="text1"/>
                <w:sz w:val="24"/>
                <w:szCs w:val="24"/>
                <w:lang w:val="en-GB"/>
              </w:rPr>
              <w:t>27</w:t>
            </w:r>
          </w:p>
        </w:tc>
        <w:tc>
          <w:tcPr>
            <w:tcW w:w="1134" w:type="dxa"/>
          </w:tcPr>
          <w:p w14:paraId="1C7517D5" w14:textId="77777777" w:rsidR="00436AB0" w:rsidRPr="00436AB0" w:rsidRDefault="00436AB0" w:rsidP="00E32591">
            <w:pPr>
              <w:spacing w:line="360" w:lineRule="auto"/>
              <w:contextualSpacing/>
              <w:rPr>
                <w:rFonts w:ascii="Cambria" w:hAnsi="Cambria" w:cs="Times New Roman"/>
                <w:color w:val="000000" w:themeColor="text1"/>
                <w:sz w:val="24"/>
                <w:szCs w:val="24"/>
                <w:lang w:val="en-GB"/>
              </w:rPr>
            </w:pPr>
            <w:r w:rsidRPr="00436AB0">
              <w:rPr>
                <w:rFonts w:ascii="Cambria" w:hAnsi="Cambria" w:cs="Times New Roman"/>
                <w:color w:val="000000" w:themeColor="text1"/>
                <w:sz w:val="24"/>
                <w:szCs w:val="24"/>
                <w:lang w:val="en-GB"/>
              </w:rPr>
              <w:t>22</w:t>
            </w:r>
          </w:p>
        </w:tc>
        <w:tc>
          <w:tcPr>
            <w:tcW w:w="1843" w:type="dxa"/>
          </w:tcPr>
          <w:p w14:paraId="531FFC54" w14:textId="77777777" w:rsidR="00436AB0" w:rsidRPr="00436AB0" w:rsidRDefault="00436AB0" w:rsidP="00E32591">
            <w:pPr>
              <w:spacing w:line="360" w:lineRule="auto"/>
              <w:contextualSpacing/>
              <w:rPr>
                <w:rFonts w:ascii="Cambria" w:hAnsi="Cambria" w:cs="Times New Roman"/>
                <w:color w:val="000000" w:themeColor="text1"/>
                <w:sz w:val="24"/>
                <w:szCs w:val="24"/>
                <w:lang w:val="en-GB"/>
              </w:rPr>
            </w:pPr>
            <w:r w:rsidRPr="00436AB0">
              <w:rPr>
                <w:rFonts w:ascii="Cambria" w:hAnsi="Cambria" w:cs="Times New Roman"/>
                <w:color w:val="000000" w:themeColor="text1"/>
                <w:sz w:val="24"/>
                <w:szCs w:val="24"/>
                <w:lang w:val="en-GB"/>
              </w:rPr>
              <w:t>21</w:t>
            </w:r>
          </w:p>
        </w:tc>
      </w:tr>
      <w:tr w:rsidR="00436AB0" w:rsidRPr="00436AB0" w14:paraId="756823BA" w14:textId="77777777" w:rsidTr="005B2DD5">
        <w:tc>
          <w:tcPr>
            <w:tcW w:w="1129" w:type="dxa"/>
          </w:tcPr>
          <w:p w14:paraId="1DDF0F38" w14:textId="77777777" w:rsidR="00436AB0" w:rsidRPr="00436AB0" w:rsidRDefault="00436AB0" w:rsidP="00E32591">
            <w:pPr>
              <w:spacing w:line="360" w:lineRule="auto"/>
              <w:contextualSpacing/>
              <w:rPr>
                <w:rFonts w:ascii="Cambria" w:hAnsi="Cambria" w:cs="Times New Roman"/>
                <w:color w:val="000000" w:themeColor="text1"/>
                <w:sz w:val="24"/>
                <w:szCs w:val="24"/>
                <w:lang w:val="en-GB"/>
              </w:rPr>
            </w:pPr>
            <w:r w:rsidRPr="00436AB0">
              <w:rPr>
                <w:rFonts w:ascii="Cambria" w:hAnsi="Cambria" w:cs="Times New Roman"/>
                <w:color w:val="000000" w:themeColor="text1"/>
                <w:sz w:val="24"/>
                <w:szCs w:val="24"/>
                <w:lang w:val="en-GB"/>
              </w:rPr>
              <w:t>Total</w:t>
            </w:r>
          </w:p>
        </w:tc>
        <w:tc>
          <w:tcPr>
            <w:tcW w:w="1134" w:type="dxa"/>
          </w:tcPr>
          <w:p w14:paraId="11578B92" w14:textId="77777777" w:rsidR="00436AB0" w:rsidRPr="00436AB0" w:rsidRDefault="00436AB0" w:rsidP="00E32591">
            <w:pPr>
              <w:spacing w:line="360" w:lineRule="auto"/>
              <w:contextualSpacing/>
              <w:rPr>
                <w:rFonts w:ascii="Cambria" w:hAnsi="Cambria" w:cs="Times New Roman"/>
                <w:color w:val="000000" w:themeColor="text1"/>
                <w:sz w:val="24"/>
                <w:szCs w:val="24"/>
                <w:lang w:val="en-GB"/>
              </w:rPr>
            </w:pPr>
            <w:r w:rsidRPr="00436AB0">
              <w:rPr>
                <w:rFonts w:ascii="Cambria" w:hAnsi="Cambria" w:cs="Times New Roman"/>
                <w:color w:val="000000" w:themeColor="text1"/>
                <w:sz w:val="24"/>
                <w:szCs w:val="24"/>
                <w:lang w:val="en-GB"/>
              </w:rPr>
              <w:t>126</w:t>
            </w:r>
          </w:p>
        </w:tc>
        <w:tc>
          <w:tcPr>
            <w:tcW w:w="1134" w:type="dxa"/>
          </w:tcPr>
          <w:p w14:paraId="66922AAA" w14:textId="77777777" w:rsidR="00436AB0" w:rsidRPr="00436AB0" w:rsidRDefault="00436AB0" w:rsidP="00E32591">
            <w:pPr>
              <w:spacing w:line="360" w:lineRule="auto"/>
              <w:contextualSpacing/>
              <w:rPr>
                <w:rFonts w:ascii="Cambria" w:hAnsi="Cambria" w:cs="Times New Roman"/>
                <w:color w:val="000000" w:themeColor="text1"/>
                <w:sz w:val="24"/>
                <w:szCs w:val="24"/>
                <w:lang w:val="en-GB"/>
              </w:rPr>
            </w:pPr>
            <w:r w:rsidRPr="00436AB0">
              <w:rPr>
                <w:rFonts w:ascii="Cambria" w:hAnsi="Cambria" w:cs="Times New Roman"/>
                <w:color w:val="000000" w:themeColor="text1"/>
                <w:sz w:val="24"/>
                <w:szCs w:val="24"/>
                <w:lang w:val="en-GB"/>
              </w:rPr>
              <w:t>70</w:t>
            </w:r>
          </w:p>
        </w:tc>
        <w:tc>
          <w:tcPr>
            <w:tcW w:w="1843" w:type="dxa"/>
          </w:tcPr>
          <w:p w14:paraId="107BB8AB" w14:textId="77777777" w:rsidR="00436AB0" w:rsidRPr="00436AB0" w:rsidRDefault="00436AB0" w:rsidP="00E32591">
            <w:pPr>
              <w:spacing w:line="360" w:lineRule="auto"/>
              <w:contextualSpacing/>
              <w:rPr>
                <w:rFonts w:ascii="Cambria" w:hAnsi="Cambria" w:cs="Times New Roman"/>
                <w:color w:val="000000" w:themeColor="text1"/>
                <w:sz w:val="24"/>
                <w:szCs w:val="24"/>
                <w:lang w:val="en-GB"/>
              </w:rPr>
            </w:pPr>
            <w:r w:rsidRPr="00436AB0">
              <w:rPr>
                <w:rFonts w:ascii="Cambria" w:hAnsi="Cambria" w:cs="Times New Roman"/>
                <w:color w:val="000000" w:themeColor="text1"/>
                <w:sz w:val="24"/>
                <w:szCs w:val="24"/>
                <w:lang w:val="en-GB"/>
              </w:rPr>
              <w:t>54</w:t>
            </w:r>
          </w:p>
        </w:tc>
      </w:tr>
    </w:tbl>
    <w:p w14:paraId="372F8BD5" w14:textId="77777777" w:rsidR="00436AB0" w:rsidRPr="00436AB0" w:rsidRDefault="00436AB0" w:rsidP="00E32591">
      <w:pPr>
        <w:spacing w:line="360" w:lineRule="auto"/>
        <w:contextualSpacing/>
        <w:rPr>
          <w:rFonts w:ascii="Cambria" w:hAnsi="Cambria" w:cs="Times New Roman"/>
          <w:color w:val="000000" w:themeColor="text1"/>
          <w:sz w:val="24"/>
          <w:szCs w:val="24"/>
          <w:lang w:val="en-GB"/>
        </w:rPr>
      </w:pPr>
      <w:r w:rsidRPr="00436AB0">
        <w:rPr>
          <w:rFonts w:ascii="Cambria" w:hAnsi="Cambria" w:cs="Times New Roman"/>
          <w:i/>
          <w:iCs/>
          <w:color w:val="000000" w:themeColor="text1"/>
          <w:sz w:val="24"/>
          <w:szCs w:val="24"/>
          <w:lang w:val="en-GB"/>
        </w:rPr>
        <w:t>Note.</w:t>
      </w:r>
      <w:r w:rsidRPr="00436AB0">
        <w:rPr>
          <w:rFonts w:ascii="Cambria" w:hAnsi="Cambria" w:cs="Times New Roman"/>
          <w:color w:val="000000" w:themeColor="text1"/>
          <w:sz w:val="24"/>
          <w:szCs w:val="24"/>
          <w:lang w:val="en-GB"/>
        </w:rPr>
        <w:t xml:space="preserve"> Complete data = number of participants whose data could be matched across Time 1 and Time 2.</w:t>
      </w:r>
    </w:p>
    <w:p w14:paraId="36144E8F" w14:textId="77777777" w:rsidR="00436AB0" w:rsidRPr="00436AB0" w:rsidRDefault="00436AB0" w:rsidP="00E32591">
      <w:pPr>
        <w:spacing w:line="360" w:lineRule="auto"/>
        <w:ind w:firstLine="624"/>
        <w:contextualSpacing/>
        <w:rPr>
          <w:rFonts w:ascii="Cambria" w:hAnsi="Cambria" w:cs="Times New Roman"/>
          <w:sz w:val="24"/>
          <w:szCs w:val="24"/>
          <w:lang w:val="en-GB"/>
        </w:rPr>
      </w:pPr>
    </w:p>
    <w:p w14:paraId="4416982B" w14:textId="77777777" w:rsidR="00436AB0" w:rsidRPr="00436AB0" w:rsidRDefault="00436AB0" w:rsidP="00E32591">
      <w:pPr>
        <w:spacing w:line="360" w:lineRule="auto"/>
        <w:contextualSpacing/>
        <w:rPr>
          <w:rFonts w:ascii="Cambria" w:hAnsi="Cambria" w:cs="Times New Roman"/>
          <w:b/>
          <w:bCs/>
          <w:i/>
          <w:iCs/>
          <w:color w:val="000000" w:themeColor="text1"/>
          <w:sz w:val="24"/>
          <w:szCs w:val="24"/>
          <w:lang w:val="en-GB"/>
        </w:rPr>
      </w:pPr>
      <w:r w:rsidRPr="00436AB0">
        <w:rPr>
          <w:rFonts w:ascii="Cambria" w:hAnsi="Cambria" w:cs="Times New Roman"/>
          <w:b/>
          <w:bCs/>
          <w:i/>
          <w:iCs/>
          <w:color w:val="000000" w:themeColor="text1"/>
          <w:sz w:val="24"/>
          <w:szCs w:val="24"/>
          <w:lang w:val="en-GB"/>
        </w:rPr>
        <w:t>Measures</w:t>
      </w:r>
      <w:r w:rsidRPr="00436AB0">
        <w:rPr>
          <w:rFonts w:ascii="Cambria" w:hAnsi="Cambria" w:cs="Times New Roman"/>
          <w:b/>
          <w:bCs/>
          <w:i/>
          <w:iCs/>
          <w:color w:val="000000" w:themeColor="text1"/>
          <w:sz w:val="24"/>
          <w:szCs w:val="24"/>
          <w:lang w:val="en-GB"/>
        </w:rPr>
        <w:tab/>
      </w:r>
    </w:p>
    <w:p w14:paraId="31D889C1" w14:textId="77777777" w:rsidR="00436AB0" w:rsidRPr="00436AB0" w:rsidRDefault="00436AB0" w:rsidP="00E32591">
      <w:pPr>
        <w:spacing w:line="360" w:lineRule="auto"/>
        <w:ind w:firstLine="624"/>
        <w:contextualSpacing/>
        <w:rPr>
          <w:rFonts w:ascii="Cambria" w:hAnsi="Cambria" w:cs="Times New Roman"/>
          <w:color w:val="000000" w:themeColor="text1"/>
          <w:sz w:val="24"/>
          <w:szCs w:val="24"/>
          <w:lang w:val="en-GB"/>
        </w:rPr>
      </w:pPr>
      <w:r w:rsidRPr="00436AB0">
        <w:rPr>
          <w:rFonts w:ascii="Cambria" w:hAnsi="Cambria" w:cs="Times New Roman"/>
          <w:color w:val="000000" w:themeColor="text1"/>
          <w:sz w:val="24"/>
          <w:szCs w:val="24"/>
          <w:lang w:val="en-GB"/>
        </w:rPr>
        <w:t xml:space="preserve">Argument analysis skills were assessed using ACLT presented in Swedish. The test was identical to the version used in Study 1, with very minor changes in wording to sound more natural in Swedish. In addition, the participants filled in a background questionnaire and rated their level of interest in argumentation and debate on issues such as politics, society, organisations, climate, lifestyle, hobbies, or sports. </w:t>
      </w:r>
    </w:p>
    <w:p w14:paraId="5B298CAD" w14:textId="77777777" w:rsidR="00436AB0" w:rsidRPr="00436AB0" w:rsidRDefault="00436AB0" w:rsidP="00E32591">
      <w:pPr>
        <w:spacing w:line="360" w:lineRule="auto"/>
        <w:contextualSpacing/>
        <w:rPr>
          <w:rFonts w:ascii="Cambria" w:hAnsi="Cambria" w:cs="Times New Roman"/>
          <w:b/>
          <w:bCs/>
          <w:color w:val="000000" w:themeColor="text1"/>
          <w:sz w:val="24"/>
          <w:szCs w:val="24"/>
          <w:lang w:val="en-GB"/>
        </w:rPr>
      </w:pPr>
    </w:p>
    <w:p w14:paraId="6406A156" w14:textId="77777777" w:rsidR="00436AB0" w:rsidRPr="00436AB0" w:rsidRDefault="00436AB0" w:rsidP="00E32591">
      <w:pPr>
        <w:keepNext/>
        <w:spacing w:line="360" w:lineRule="auto"/>
        <w:contextualSpacing/>
        <w:rPr>
          <w:rFonts w:ascii="Cambria" w:hAnsi="Cambria" w:cs="Times New Roman"/>
          <w:b/>
          <w:bCs/>
          <w:color w:val="000000" w:themeColor="text1"/>
          <w:sz w:val="24"/>
          <w:szCs w:val="24"/>
          <w:lang w:val="en-GB"/>
        </w:rPr>
      </w:pPr>
      <w:r w:rsidRPr="00436AB0">
        <w:rPr>
          <w:rFonts w:ascii="Cambria" w:hAnsi="Cambria" w:cs="Times New Roman"/>
          <w:b/>
          <w:bCs/>
          <w:color w:val="000000" w:themeColor="text1"/>
          <w:sz w:val="24"/>
          <w:szCs w:val="24"/>
          <w:lang w:val="en-GB"/>
        </w:rPr>
        <w:t>Results</w:t>
      </w:r>
    </w:p>
    <w:p w14:paraId="6D684DEF" w14:textId="77777777" w:rsidR="00436AB0" w:rsidRPr="00436AB0" w:rsidRDefault="00436AB0" w:rsidP="00E32591">
      <w:pPr>
        <w:spacing w:line="360" w:lineRule="auto"/>
        <w:ind w:firstLine="720"/>
        <w:contextualSpacing/>
        <w:rPr>
          <w:rFonts w:ascii="Cambria" w:hAnsi="Cambria" w:cs="Times New Roman"/>
          <w:sz w:val="24"/>
          <w:szCs w:val="24"/>
          <w:lang w:val="en-GB" w:eastAsia="fi-FI"/>
        </w:rPr>
      </w:pPr>
      <w:r w:rsidRPr="00436AB0">
        <w:rPr>
          <w:rFonts w:ascii="Cambria" w:hAnsi="Cambria" w:cs="Times New Roman"/>
          <w:color w:val="000000" w:themeColor="text1"/>
          <w:sz w:val="24"/>
          <w:szCs w:val="24"/>
          <w:lang w:val="en-GB"/>
        </w:rPr>
        <w:t xml:space="preserve">We first examined the data from Time 1. As in Study 1, some of the arguments in Part 3 were not correctly identified by any of the participants. These items were left outside further analyses. As in Study 1, we examined the </w:t>
      </w:r>
      <w:r w:rsidRPr="00436AB0">
        <w:rPr>
          <w:rFonts w:ascii="Cambria" w:hAnsi="Cambria" w:cs="Times New Roman"/>
          <w:sz w:val="24"/>
          <w:szCs w:val="24"/>
          <w:lang w:val="en-GB" w:eastAsia="fi-FI"/>
        </w:rPr>
        <w:t xml:space="preserve">dimensionality of the argument </w:t>
      </w:r>
      <w:r w:rsidRPr="00436AB0">
        <w:rPr>
          <w:rFonts w:ascii="Cambria" w:hAnsi="Cambria" w:cs="Times New Roman"/>
          <w:sz w:val="24"/>
          <w:szCs w:val="24"/>
          <w:lang w:val="en-GB" w:eastAsia="fi-FI"/>
        </w:rPr>
        <w:lastRenderedPageBreak/>
        <w:t xml:space="preserve">analysis skills by running reliability analyses on the data from Time 1. As in the English-language version in Study 1, the internal coherence of a one-dimensional scale was good, </w:t>
      </w:r>
      <w:bookmarkStart w:id="1" w:name="_Hlk216948319"/>
      <w:r w:rsidRPr="00436AB0">
        <w:rPr>
          <w:rFonts w:ascii="Cambria" w:hAnsi="Cambria" w:cs="Times New Roman"/>
          <w:sz w:val="24"/>
          <w:szCs w:val="24"/>
          <w:lang w:val="en-GB" w:eastAsia="fi-FI"/>
        </w:rPr>
        <w:t>ω = .80</w:t>
      </w:r>
      <w:bookmarkEnd w:id="1"/>
      <w:r w:rsidRPr="00436AB0">
        <w:rPr>
          <w:rFonts w:ascii="Cambria" w:hAnsi="Cambria" w:cs="Times New Roman"/>
          <w:sz w:val="24"/>
          <w:szCs w:val="24"/>
          <w:lang w:val="en-GB" w:eastAsia="fi-FI"/>
        </w:rPr>
        <w:t xml:space="preserve">. The mean score on the total scale was 18.33 out of 35, SD = 3.51, ranging from 11 to 25. </w:t>
      </w:r>
    </w:p>
    <w:p w14:paraId="5582C707" w14:textId="77777777" w:rsidR="00436AB0" w:rsidRPr="00436AB0" w:rsidRDefault="00436AB0" w:rsidP="00E32591">
      <w:pPr>
        <w:spacing w:line="360" w:lineRule="auto"/>
        <w:ind w:firstLine="720"/>
        <w:contextualSpacing/>
        <w:rPr>
          <w:rFonts w:ascii="Cambria" w:hAnsi="Cambria" w:cs="Times New Roman"/>
          <w:sz w:val="24"/>
          <w:szCs w:val="24"/>
          <w:lang w:val="en-GB" w:eastAsia="fi-FI"/>
        </w:rPr>
      </w:pPr>
      <w:r w:rsidRPr="00436AB0">
        <w:rPr>
          <w:rFonts w:ascii="Cambria" w:hAnsi="Cambria" w:cs="Times New Roman"/>
          <w:sz w:val="24"/>
          <w:szCs w:val="24"/>
          <w:lang w:val="en-GB" w:eastAsia="fi-FI"/>
        </w:rPr>
        <w:t xml:space="preserve">The total score did not differ by self-reported familiarity with argument analysis, </w:t>
      </w:r>
      <w:r w:rsidRPr="00436AB0">
        <w:rPr>
          <w:rFonts w:ascii="Cambria" w:hAnsi="Cambria" w:cs="Times New Roman"/>
          <w:i/>
          <w:iCs/>
          <w:sz w:val="24"/>
          <w:szCs w:val="24"/>
          <w:lang w:val="en-GB" w:eastAsia="fi-FI"/>
        </w:rPr>
        <w:t>F</w:t>
      </w:r>
      <w:r w:rsidRPr="00436AB0">
        <w:rPr>
          <w:rFonts w:ascii="Cambria" w:hAnsi="Cambria" w:cs="Times New Roman"/>
          <w:sz w:val="24"/>
          <w:szCs w:val="24"/>
          <w:lang w:val="en-GB" w:eastAsia="fi-FI"/>
        </w:rPr>
        <w:t xml:space="preserve">(1, 124) = 3.236, </w:t>
      </w:r>
      <w:r w:rsidRPr="00436AB0">
        <w:rPr>
          <w:rFonts w:ascii="Cambria" w:hAnsi="Cambria" w:cs="Times New Roman"/>
          <w:i/>
          <w:iCs/>
          <w:sz w:val="24"/>
          <w:szCs w:val="24"/>
          <w:lang w:val="en-GB" w:eastAsia="fi-FI"/>
        </w:rPr>
        <w:t xml:space="preserve">p </w:t>
      </w:r>
      <w:r w:rsidRPr="00436AB0">
        <w:rPr>
          <w:rFonts w:ascii="Cambria" w:hAnsi="Cambria" w:cs="Times New Roman"/>
          <w:sz w:val="24"/>
          <w:szCs w:val="24"/>
          <w:lang w:val="en-GB" w:eastAsia="fi-FI"/>
        </w:rPr>
        <w:t>= .075, η</w:t>
      </w:r>
      <w:r w:rsidRPr="00436AB0">
        <w:rPr>
          <w:rFonts w:ascii="Cambria" w:hAnsi="Cambria" w:cs="Times New Roman"/>
          <w:sz w:val="24"/>
          <w:szCs w:val="24"/>
          <w:vertAlign w:val="superscript"/>
          <w:lang w:val="en-GB" w:eastAsia="fi-FI"/>
        </w:rPr>
        <w:t>2</w:t>
      </w:r>
      <w:r w:rsidRPr="00436AB0">
        <w:rPr>
          <w:rFonts w:ascii="Cambria" w:hAnsi="Cambria" w:cs="Times New Roman"/>
          <w:sz w:val="24"/>
          <w:szCs w:val="24"/>
          <w:lang w:val="en-GB" w:eastAsia="fi-FI"/>
        </w:rPr>
        <w:t xml:space="preserve"> = .03, 95% CI of η</w:t>
      </w:r>
      <w:r w:rsidRPr="00436AB0">
        <w:rPr>
          <w:rFonts w:ascii="Cambria" w:hAnsi="Cambria" w:cs="Times New Roman"/>
          <w:sz w:val="24"/>
          <w:szCs w:val="24"/>
          <w:vertAlign w:val="superscript"/>
          <w:lang w:val="en-GB" w:eastAsia="fi-FI"/>
        </w:rPr>
        <w:t xml:space="preserve">2 </w:t>
      </w:r>
      <w:r w:rsidRPr="00436AB0">
        <w:rPr>
          <w:rFonts w:ascii="Cambria" w:hAnsi="Cambria" w:cs="Times New Roman"/>
          <w:sz w:val="24"/>
          <w:szCs w:val="24"/>
          <w:lang w:val="en-GB" w:eastAsia="fi-FI"/>
        </w:rPr>
        <w:t xml:space="preserve">= [0.00, 1.00], nor did it correlate with interest in argument and debate, </w:t>
      </w:r>
      <w:r w:rsidRPr="00436AB0">
        <w:rPr>
          <w:rFonts w:ascii="Cambria" w:hAnsi="Cambria" w:cs="Times New Roman"/>
          <w:i/>
          <w:iCs/>
          <w:sz w:val="24"/>
          <w:szCs w:val="24"/>
          <w:lang w:val="en-GB" w:eastAsia="fi-FI"/>
        </w:rPr>
        <w:t>r</w:t>
      </w:r>
      <w:r w:rsidRPr="00436AB0">
        <w:rPr>
          <w:rFonts w:ascii="Cambria" w:hAnsi="Cambria" w:cs="Times New Roman"/>
          <w:sz w:val="24"/>
          <w:szCs w:val="24"/>
          <w:lang w:val="en-GB" w:eastAsia="fi-FI"/>
        </w:rPr>
        <w:t xml:space="preserve"> = -.03, </w:t>
      </w:r>
      <w:r w:rsidRPr="00436AB0">
        <w:rPr>
          <w:rFonts w:ascii="Cambria" w:hAnsi="Cambria" w:cs="Times New Roman"/>
          <w:i/>
          <w:iCs/>
          <w:sz w:val="24"/>
          <w:szCs w:val="24"/>
          <w:lang w:val="en-GB" w:eastAsia="fi-FI"/>
        </w:rPr>
        <w:t>p</w:t>
      </w:r>
      <w:r w:rsidRPr="00436AB0">
        <w:rPr>
          <w:rFonts w:ascii="Cambria" w:hAnsi="Cambria" w:cs="Times New Roman"/>
          <w:sz w:val="24"/>
          <w:szCs w:val="24"/>
          <w:lang w:val="en-GB" w:eastAsia="fi-FI"/>
        </w:rPr>
        <w:t xml:space="preserve"> = .729.</w:t>
      </w:r>
    </w:p>
    <w:p w14:paraId="151A4577" w14:textId="77777777" w:rsidR="00436AB0" w:rsidRPr="00436AB0" w:rsidRDefault="00436AB0" w:rsidP="00E32591">
      <w:pPr>
        <w:spacing w:line="360" w:lineRule="auto"/>
        <w:ind w:firstLine="720"/>
        <w:contextualSpacing/>
        <w:rPr>
          <w:rFonts w:ascii="Cambria" w:hAnsi="Cambria" w:cs="Times New Roman"/>
          <w:sz w:val="24"/>
          <w:szCs w:val="24"/>
          <w:lang w:val="en-GB" w:eastAsia="fi-FI"/>
        </w:rPr>
      </w:pPr>
      <w:r w:rsidRPr="00436AB0">
        <w:rPr>
          <w:rFonts w:ascii="Cambria" w:hAnsi="Cambria" w:cs="Times New Roman"/>
          <w:color w:val="000000" w:themeColor="text1"/>
          <w:sz w:val="24"/>
          <w:szCs w:val="24"/>
          <w:lang w:val="en-GB"/>
        </w:rPr>
        <w:t xml:space="preserve">As in Study 1, the reliabilities of the separate parts of the test were mostly low (Table S4) The only </w:t>
      </w:r>
      <w:r w:rsidRPr="00436AB0">
        <w:rPr>
          <w:rFonts w:ascii="Cambria" w:hAnsi="Cambria" w:cs="Times New Roman"/>
          <w:sz w:val="24"/>
          <w:szCs w:val="24"/>
          <w:lang w:val="en-GB"/>
        </w:rPr>
        <w:t xml:space="preserve">exception was the argumentation hierarchies task (Part 3), which in this sample had acceptable reliability (.78). </w:t>
      </w:r>
      <w:r w:rsidRPr="00436AB0">
        <w:rPr>
          <w:rFonts w:ascii="Cambria" w:hAnsi="Cambria" w:cs="Times New Roman"/>
          <w:sz w:val="24"/>
          <w:szCs w:val="24"/>
          <w:lang w:val="en-GB" w:eastAsia="fi-FI"/>
        </w:rPr>
        <w:t xml:space="preserve">As Table S4 shows, sum scores for the separate parts of the test did not correlate with each other, which is unsurprising given their low reliabilities. These results indicate that the separate parts of the test did not reliably measure different subskills. </w:t>
      </w:r>
    </w:p>
    <w:p w14:paraId="2BE7AB9E" w14:textId="77777777" w:rsidR="00436AB0" w:rsidRPr="00436AB0" w:rsidRDefault="00436AB0" w:rsidP="00E32591">
      <w:pPr>
        <w:spacing w:line="360" w:lineRule="auto"/>
        <w:contextualSpacing/>
        <w:rPr>
          <w:rFonts w:ascii="Cambria" w:hAnsi="Cambria" w:cs="Times New Roman"/>
          <w:strike/>
          <w:color w:val="FF0000"/>
          <w:sz w:val="24"/>
          <w:szCs w:val="24"/>
          <w:lang w:val="en-GB" w:eastAsia="fi-FI"/>
        </w:rPr>
      </w:pPr>
    </w:p>
    <w:p w14:paraId="71AF8784" w14:textId="77777777" w:rsidR="00436AB0" w:rsidRPr="00436AB0" w:rsidRDefault="00436AB0" w:rsidP="00E32591">
      <w:pPr>
        <w:spacing w:line="360" w:lineRule="auto"/>
        <w:contextualSpacing/>
        <w:rPr>
          <w:rFonts w:ascii="Cambria" w:hAnsi="Cambria" w:cs="Times New Roman"/>
          <w:sz w:val="24"/>
          <w:szCs w:val="24"/>
          <w:lang w:val="en-GB" w:eastAsia="fi-FI"/>
        </w:rPr>
      </w:pPr>
    </w:p>
    <w:p w14:paraId="75EEB8DA" w14:textId="77777777" w:rsidR="00436AB0" w:rsidRPr="00436AB0" w:rsidRDefault="00436AB0" w:rsidP="00E32591">
      <w:pPr>
        <w:spacing w:line="360" w:lineRule="auto"/>
        <w:contextualSpacing/>
        <w:rPr>
          <w:rFonts w:ascii="Cambria" w:hAnsi="Cambria" w:cs="Times New Roman"/>
          <w:i/>
          <w:iCs/>
          <w:color w:val="000000" w:themeColor="text1"/>
          <w:sz w:val="24"/>
          <w:szCs w:val="24"/>
          <w:lang w:val="en-GB"/>
        </w:rPr>
      </w:pPr>
      <w:r w:rsidRPr="00436AB0">
        <w:rPr>
          <w:rFonts w:ascii="Cambria" w:hAnsi="Cambria" w:cs="Times New Roman"/>
          <w:b/>
          <w:bCs/>
          <w:sz w:val="24"/>
          <w:szCs w:val="24"/>
          <w:lang w:val="en-GB" w:eastAsia="fi-FI"/>
        </w:rPr>
        <w:t>Table S4.</w:t>
      </w:r>
      <w:r w:rsidRPr="00436AB0">
        <w:rPr>
          <w:rFonts w:ascii="Cambria" w:hAnsi="Cambria" w:cs="Times New Roman"/>
          <w:sz w:val="24"/>
          <w:szCs w:val="24"/>
          <w:lang w:val="en-GB" w:eastAsia="fi-FI"/>
        </w:rPr>
        <w:t xml:space="preserve"> </w:t>
      </w:r>
      <w:r w:rsidRPr="00436AB0">
        <w:rPr>
          <w:rFonts w:ascii="Cambria" w:hAnsi="Cambria" w:cs="Times New Roman"/>
          <w:i/>
          <w:iCs/>
          <w:sz w:val="24"/>
          <w:szCs w:val="24"/>
          <w:lang w:val="en-GB" w:eastAsia="fi-FI"/>
        </w:rPr>
        <w:t>Descriptive statistics and correlations of variables in Study 2, Time 1 (N = 126).</w:t>
      </w:r>
    </w:p>
    <w:tbl>
      <w:tblPr>
        <w:tblStyle w:val="TableGrid"/>
        <w:tblW w:w="0" w:type="auto"/>
        <w:tblInd w:w="-8" w:type="dxa"/>
        <w:tblLook w:val="04A0" w:firstRow="1" w:lastRow="0" w:firstColumn="1" w:lastColumn="0" w:noHBand="0" w:noVBand="1"/>
      </w:tblPr>
      <w:tblGrid>
        <w:gridCol w:w="3405"/>
        <w:gridCol w:w="851"/>
        <w:gridCol w:w="850"/>
        <w:gridCol w:w="851"/>
        <w:gridCol w:w="850"/>
        <w:gridCol w:w="851"/>
      </w:tblGrid>
      <w:tr w:rsidR="00436AB0" w:rsidRPr="00436AB0" w14:paraId="13990296" w14:textId="77777777" w:rsidTr="002F2A25">
        <w:tc>
          <w:tcPr>
            <w:tcW w:w="3405" w:type="dxa"/>
          </w:tcPr>
          <w:p w14:paraId="62368498" w14:textId="77777777" w:rsidR="00436AB0" w:rsidRPr="00436AB0" w:rsidRDefault="00436AB0" w:rsidP="00E32591">
            <w:pPr>
              <w:spacing w:line="360" w:lineRule="auto"/>
              <w:contextualSpacing/>
              <w:rPr>
                <w:rFonts w:ascii="Cambria" w:hAnsi="Cambria" w:cs="Times New Roman"/>
                <w:color w:val="000000" w:themeColor="text1"/>
                <w:sz w:val="24"/>
                <w:szCs w:val="24"/>
                <w:lang w:val="en-GB"/>
              </w:rPr>
            </w:pPr>
          </w:p>
        </w:tc>
        <w:tc>
          <w:tcPr>
            <w:tcW w:w="851" w:type="dxa"/>
          </w:tcPr>
          <w:p w14:paraId="6089AFBB" w14:textId="77777777" w:rsidR="00436AB0" w:rsidRPr="00436AB0" w:rsidRDefault="00436AB0" w:rsidP="00E32591">
            <w:pPr>
              <w:spacing w:line="360" w:lineRule="auto"/>
              <w:contextualSpacing/>
              <w:rPr>
                <w:rFonts w:ascii="Cambria" w:hAnsi="Cambria" w:cs="Times New Roman"/>
                <w:color w:val="000000" w:themeColor="text1"/>
                <w:sz w:val="24"/>
                <w:szCs w:val="24"/>
                <w:lang w:val="en-GB"/>
              </w:rPr>
            </w:pPr>
            <w:r w:rsidRPr="00436AB0">
              <w:rPr>
                <w:rFonts w:ascii="Cambria" w:hAnsi="Cambria" w:cs="Times New Roman"/>
                <w:color w:val="000000" w:themeColor="text1"/>
                <w:sz w:val="24"/>
                <w:szCs w:val="24"/>
                <w:lang w:val="en-GB"/>
              </w:rPr>
              <w:t xml:space="preserve">1 </w:t>
            </w:r>
          </w:p>
        </w:tc>
        <w:tc>
          <w:tcPr>
            <w:tcW w:w="850" w:type="dxa"/>
          </w:tcPr>
          <w:p w14:paraId="1D278415" w14:textId="77777777" w:rsidR="00436AB0" w:rsidRPr="00436AB0" w:rsidRDefault="00436AB0" w:rsidP="00E32591">
            <w:pPr>
              <w:spacing w:line="360" w:lineRule="auto"/>
              <w:contextualSpacing/>
              <w:rPr>
                <w:rFonts w:ascii="Cambria" w:hAnsi="Cambria" w:cs="Times New Roman"/>
                <w:color w:val="000000" w:themeColor="text1"/>
                <w:sz w:val="24"/>
                <w:szCs w:val="24"/>
                <w:lang w:val="en-GB"/>
              </w:rPr>
            </w:pPr>
            <w:r w:rsidRPr="00436AB0">
              <w:rPr>
                <w:rFonts w:ascii="Cambria" w:hAnsi="Cambria" w:cs="Times New Roman"/>
                <w:color w:val="000000" w:themeColor="text1"/>
                <w:sz w:val="24"/>
                <w:szCs w:val="24"/>
                <w:lang w:val="en-GB"/>
              </w:rPr>
              <w:t>2</w:t>
            </w:r>
          </w:p>
        </w:tc>
        <w:tc>
          <w:tcPr>
            <w:tcW w:w="851" w:type="dxa"/>
          </w:tcPr>
          <w:p w14:paraId="1002E9BB" w14:textId="77777777" w:rsidR="00436AB0" w:rsidRPr="00436AB0" w:rsidRDefault="00436AB0" w:rsidP="00E32591">
            <w:pPr>
              <w:spacing w:line="360" w:lineRule="auto"/>
              <w:contextualSpacing/>
              <w:rPr>
                <w:rFonts w:ascii="Cambria" w:hAnsi="Cambria" w:cs="Times New Roman"/>
                <w:color w:val="000000" w:themeColor="text1"/>
                <w:sz w:val="24"/>
                <w:szCs w:val="24"/>
                <w:lang w:val="en-GB"/>
              </w:rPr>
            </w:pPr>
            <w:r w:rsidRPr="00436AB0">
              <w:rPr>
                <w:rFonts w:ascii="Cambria" w:hAnsi="Cambria" w:cs="Times New Roman"/>
                <w:color w:val="000000" w:themeColor="text1"/>
                <w:sz w:val="24"/>
                <w:szCs w:val="24"/>
                <w:lang w:val="en-GB"/>
              </w:rPr>
              <w:t>3</w:t>
            </w:r>
          </w:p>
        </w:tc>
        <w:tc>
          <w:tcPr>
            <w:tcW w:w="850" w:type="dxa"/>
          </w:tcPr>
          <w:p w14:paraId="5ACD6514" w14:textId="77777777" w:rsidR="00436AB0" w:rsidRPr="00436AB0" w:rsidRDefault="00436AB0" w:rsidP="00E32591">
            <w:pPr>
              <w:spacing w:line="360" w:lineRule="auto"/>
              <w:contextualSpacing/>
              <w:rPr>
                <w:rFonts w:ascii="Cambria" w:hAnsi="Cambria" w:cs="Times New Roman"/>
                <w:color w:val="000000" w:themeColor="text1"/>
                <w:sz w:val="24"/>
                <w:szCs w:val="24"/>
                <w:lang w:val="en-GB"/>
              </w:rPr>
            </w:pPr>
            <w:r w:rsidRPr="00436AB0">
              <w:rPr>
                <w:rFonts w:ascii="Cambria" w:hAnsi="Cambria" w:cs="Times New Roman"/>
                <w:color w:val="000000" w:themeColor="text1"/>
                <w:sz w:val="24"/>
                <w:szCs w:val="24"/>
                <w:lang w:val="en-GB"/>
              </w:rPr>
              <w:t>4</w:t>
            </w:r>
          </w:p>
        </w:tc>
        <w:tc>
          <w:tcPr>
            <w:tcW w:w="851" w:type="dxa"/>
          </w:tcPr>
          <w:p w14:paraId="14AB884F" w14:textId="77777777" w:rsidR="00436AB0" w:rsidRPr="00436AB0" w:rsidRDefault="00436AB0" w:rsidP="00E32591">
            <w:pPr>
              <w:spacing w:line="360" w:lineRule="auto"/>
              <w:contextualSpacing/>
              <w:rPr>
                <w:rFonts w:ascii="Cambria" w:hAnsi="Cambria" w:cs="Times New Roman"/>
                <w:color w:val="000000" w:themeColor="text1"/>
                <w:sz w:val="24"/>
                <w:szCs w:val="24"/>
                <w:lang w:val="en-GB"/>
              </w:rPr>
            </w:pPr>
            <w:r w:rsidRPr="00436AB0">
              <w:rPr>
                <w:rFonts w:ascii="Cambria" w:hAnsi="Cambria" w:cs="Times New Roman"/>
                <w:color w:val="000000" w:themeColor="text1"/>
                <w:sz w:val="24"/>
                <w:szCs w:val="24"/>
                <w:lang w:val="en-GB"/>
              </w:rPr>
              <w:t>5</w:t>
            </w:r>
          </w:p>
        </w:tc>
      </w:tr>
      <w:tr w:rsidR="00436AB0" w:rsidRPr="00436AB0" w14:paraId="2A20DC42" w14:textId="77777777" w:rsidTr="002F2A25">
        <w:tc>
          <w:tcPr>
            <w:tcW w:w="3405" w:type="dxa"/>
          </w:tcPr>
          <w:p w14:paraId="7004FDB2" w14:textId="77777777" w:rsidR="00436AB0" w:rsidRPr="00436AB0" w:rsidRDefault="00436AB0" w:rsidP="00E32591">
            <w:pPr>
              <w:spacing w:line="360" w:lineRule="auto"/>
              <w:contextualSpacing/>
              <w:rPr>
                <w:rFonts w:ascii="Cambria" w:hAnsi="Cambria" w:cs="Times New Roman"/>
                <w:color w:val="000000" w:themeColor="text1"/>
                <w:sz w:val="24"/>
                <w:szCs w:val="24"/>
                <w:lang w:val="en-GB"/>
              </w:rPr>
            </w:pPr>
            <w:r w:rsidRPr="00436AB0">
              <w:rPr>
                <w:rFonts w:ascii="Cambria" w:hAnsi="Cambria" w:cs="Times New Roman"/>
                <w:color w:val="000000" w:themeColor="text1"/>
                <w:sz w:val="24"/>
                <w:szCs w:val="24"/>
                <w:lang w:val="en-GB"/>
              </w:rPr>
              <w:t xml:space="preserve">1 Standpoints and arguments </w:t>
            </w:r>
          </w:p>
        </w:tc>
        <w:tc>
          <w:tcPr>
            <w:tcW w:w="851" w:type="dxa"/>
          </w:tcPr>
          <w:p w14:paraId="0A858144" w14:textId="77777777" w:rsidR="00436AB0" w:rsidRPr="00436AB0" w:rsidRDefault="00436AB0" w:rsidP="00E32591">
            <w:pPr>
              <w:spacing w:line="360" w:lineRule="auto"/>
              <w:contextualSpacing/>
              <w:rPr>
                <w:rFonts w:ascii="Cambria" w:hAnsi="Cambria" w:cs="Times New Roman"/>
                <w:color w:val="000000" w:themeColor="text1"/>
                <w:sz w:val="24"/>
                <w:szCs w:val="24"/>
                <w:lang w:val="en-GB"/>
              </w:rPr>
            </w:pPr>
          </w:p>
        </w:tc>
        <w:tc>
          <w:tcPr>
            <w:tcW w:w="850" w:type="dxa"/>
          </w:tcPr>
          <w:p w14:paraId="3EBCBAE3" w14:textId="77777777" w:rsidR="00436AB0" w:rsidRPr="00436AB0" w:rsidRDefault="00436AB0" w:rsidP="00E32591">
            <w:pPr>
              <w:spacing w:line="360" w:lineRule="auto"/>
              <w:contextualSpacing/>
              <w:rPr>
                <w:rFonts w:ascii="Cambria" w:hAnsi="Cambria" w:cs="Times New Roman"/>
                <w:color w:val="000000" w:themeColor="text1"/>
                <w:sz w:val="24"/>
                <w:szCs w:val="24"/>
                <w:lang w:val="en-GB"/>
              </w:rPr>
            </w:pPr>
          </w:p>
        </w:tc>
        <w:tc>
          <w:tcPr>
            <w:tcW w:w="851" w:type="dxa"/>
          </w:tcPr>
          <w:p w14:paraId="695A5E3E" w14:textId="77777777" w:rsidR="00436AB0" w:rsidRPr="00436AB0" w:rsidRDefault="00436AB0" w:rsidP="00E32591">
            <w:pPr>
              <w:spacing w:line="360" w:lineRule="auto"/>
              <w:contextualSpacing/>
              <w:rPr>
                <w:rFonts w:ascii="Cambria" w:hAnsi="Cambria" w:cs="Times New Roman"/>
                <w:color w:val="000000" w:themeColor="text1"/>
                <w:sz w:val="24"/>
                <w:szCs w:val="24"/>
                <w:lang w:val="en-GB"/>
              </w:rPr>
            </w:pPr>
          </w:p>
        </w:tc>
        <w:tc>
          <w:tcPr>
            <w:tcW w:w="850" w:type="dxa"/>
          </w:tcPr>
          <w:p w14:paraId="4ADE712D" w14:textId="77777777" w:rsidR="00436AB0" w:rsidRPr="00436AB0" w:rsidRDefault="00436AB0" w:rsidP="00E32591">
            <w:pPr>
              <w:spacing w:line="360" w:lineRule="auto"/>
              <w:contextualSpacing/>
              <w:rPr>
                <w:rFonts w:ascii="Cambria" w:hAnsi="Cambria" w:cs="Times New Roman"/>
                <w:color w:val="000000" w:themeColor="text1"/>
                <w:sz w:val="24"/>
                <w:szCs w:val="24"/>
                <w:lang w:val="en-GB"/>
              </w:rPr>
            </w:pPr>
          </w:p>
        </w:tc>
        <w:tc>
          <w:tcPr>
            <w:tcW w:w="851" w:type="dxa"/>
          </w:tcPr>
          <w:p w14:paraId="52A8A077" w14:textId="77777777" w:rsidR="00436AB0" w:rsidRPr="00436AB0" w:rsidRDefault="00436AB0" w:rsidP="00E32591">
            <w:pPr>
              <w:spacing w:line="360" w:lineRule="auto"/>
              <w:contextualSpacing/>
              <w:rPr>
                <w:rFonts w:ascii="Cambria" w:hAnsi="Cambria" w:cs="Times New Roman"/>
                <w:color w:val="000000" w:themeColor="text1"/>
                <w:sz w:val="24"/>
                <w:szCs w:val="24"/>
                <w:lang w:val="en-GB"/>
              </w:rPr>
            </w:pPr>
          </w:p>
        </w:tc>
      </w:tr>
      <w:tr w:rsidR="00436AB0" w:rsidRPr="00436AB0" w14:paraId="744E9A59" w14:textId="77777777" w:rsidTr="002F2A25">
        <w:tc>
          <w:tcPr>
            <w:tcW w:w="3405" w:type="dxa"/>
          </w:tcPr>
          <w:p w14:paraId="49AEA073" w14:textId="77777777" w:rsidR="00436AB0" w:rsidRPr="00436AB0" w:rsidRDefault="00436AB0" w:rsidP="00E32591">
            <w:pPr>
              <w:spacing w:line="360" w:lineRule="auto"/>
              <w:contextualSpacing/>
              <w:rPr>
                <w:rFonts w:ascii="Cambria" w:hAnsi="Cambria" w:cs="Times New Roman"/>
                <w:color w:val="000000" w:themeColor="text1"/>
                <w:sz w:val="24"/>
                <w:szCs w:val="24"/>
                <w:lang w:val="en-GB"/>
              </w:rPr>
            </w:pPr>
            <w:r w:rsidRPr="00436AB0">
              <w:rPr>
                <w:rFonts w:ascii="Cambria" w:hAnsi="Cambria" w:cs="Times New Roman"/>
                <w:color w:val="000000" w:themeColor="text1"/>
                <w:sz w:val="24"/>
                <w:szCs w:val="24"/>
                <w:lang w:val="en-GB"/>
              </w:rPr>
              <w:t>2 Enthymeme analysis</w:t>
            </w:r>
          </w:p>
        </w:tc>
        <w:tc>
          <w:tcPr>
            <w:tcW w:w="851" w:type="dxa"/>
          </w:tcPr>
          <w:p w14:paraId="4B4E38C3" w14:textId="77777777" w:rsidR="00436AB0" w:rsidRPr="00436AB0" w:rsidRDefault="00436AB0" w:rsidP="00E32591">
            <w:pPr>
              <w:spacing w:line="360" w:lineRule="auto"/>
              <w:contextualSpacing/>
              <w:rPr>
                <w:rFonts w:ascii="Cambria" w:hAnsi="Cambria" w:cs="Times New Roman"/>
                <w:color w:val="000000" w:themeColor="text1"/>
                <w:sz w:val="24"/>
                <w:szCs w:val="24"/>
                <w:lang w:val="en-GB"/>
              </w:rPr>
            </w:pPr>
            <w:r w:rsidRPr="00436AB0">
              <w:rPr>
                <w:rFonts w:ascii="Cambria" w:hAnsi="Cambria" w:cs="Times New Roman"/>
                <w:color w:val="000000" w:themeColor="text1"/>
                <w:sz w:val="24"/>
                <w:szCs w:val="24"/>
                <w:lang w:val="en-GB"/>
              </w:rPr>
              <w:t xml:space="preserve">0.10 </w:t>
            </w:r>
          </w:p>
        </w:tc>
        <w:tc>
          <w:tcPr>
            <w:tcW w:w="850" w:type="dxa"/>
          </w:tcPr>
          <w:p w14:paraId="12E47AA4" w14:textId="77777777" w:rsidR="00436AB0" w:rsidRPr="00436AB0" w:rsidRDefault="00436AB0" w:rsidP="00E32591">
            <w:pPr>
              <w:spacing w:line="360" w:lineRule="auto"/>
              <w:contextualSpacing/>
              <w:rPr>
                <w:rFonts w:ascii="Cambria" w:hAnsi="Cambria" w:cs="Times New Roman"/>
                <w:color w:val="000000" w:themeColor="text1"/>
                <w:sz w:val="24"/>
                <w:szCs w:val="24"/>
                <w:lang w:val="en-GB"/>
              </w:rPr>
            </w:pPr>
          </w:p>
        </w:tc>
        <w:tc>
          <w:tcPr>
            <w:tcW w:w="851" w:type="dxa"/>
          </w:tcPr>
          <w:p w14:paraId="6241AB56" w14:textId="77777777" w:rsidR="00436AB0" w:rsidRPr="00436AB0" w:rsidRDefault="00436AB0" w:rsidP="00E32591">
            <w:pPr>
              <w:spacing w:line="360" w:lineRule="auto"/>
              <w:contextualSpacing/>
              <w:rPr>
                <w:rFonts w:ascii="Cambria" w:hAnsi="Cambria" w:cs="Times New Roman"/>
                <w:color w:val="000000" w:themeColor="text1"/>
                <w:sz w:val="24"/>
                <w:szCs w:val="24"/>
                <w:lang w:val="en-GB"/>
              </w:rPr>
            </w:pPr>
          </w:p>
        </w:tc>
        <w:tc>
          <w:tcPr>
            <w:tcW w:w="850" w:type="dxa"/>
          </w:tcPr>
          <w:p w14:paraId="0C56E035" w14:textId="77777777" w:rsidR="00436AB0" w:rsidRPr="00436AB0" w:rsidRDefault="00436AB0" w:rsidP="00E32591">
            <w:pPr>
              <w:spacing w:line="360" w:lineRule="auto"/>
              <w:contextualSpacing/>
              <w:rPr>
                <w:rFonts w:ascii="Cambria" w:hAnsi="Cambria" w:cs="Times New Roman"/>
                <w:color w:val="000000" w:themeColor="text1"/>
                <w:sz w:val="24"/>
                <w:szCs w:val="24"/>
                <w:lang w:val="en-GB"/>
              </w:rPr>
            </w:pPr>
          </w:p>
        </w:tc>
        <w:tc>
          <w:tcPr>
            <w:tcW w:w="851" w:type="dxa"/>
          </w:tcPr>
          <w:p w14:paraId="7BE3FC2F" w14:textId="77777777" w:rsidR="00436AB0" w:rsidRPr="00436AB0" w:rsidRDefault="00436AB0" w:rsidP="00E32591">
            <w:pPr>
              <w:spacing w:line="360" w:lineRule="auto"/>
              <w:contextualSpacing/>
              <w:rPr>
                <w:rFonts w:ascii="Cambria" w:hAnsi="Cambria" w:cs="Times New Roman"/>
                <w:color w:val="000000" w:themeColor="text1"/>
                <w:sz w:val="24"/>
                <w:szCs w:val="24"/>
                <w:lang w:val="en-GB"/>
              </w:rPr>
            </w:pPr>
          </w:p>
        </w:tc>
      </w:tr>
      <w:tr w:rsidR="00436AB0" w:rsidRPr="00436AB0" w14:paraId="757A73FB" w14:textId="77777777" w:rsidTr="002F2A25">
        <w:tc>
          <w:tcPr>
            <w:tcW w:w="3405" w:type="dxa"/>
          </w:tcPr>
          <w:p w14:paraId="06842B2B"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3 Argumentation hierarchies</w:t>
            </w:r>
          </w:p>
        </w:tc>
        <w:tc>
          <w:tcPr>
            <w:tcW w:w="851" w:type="dxa"/>
          </w:tcPr>
          <w:p w14:paraId="1778B437"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 xml:space="preserve">-0.06 </w:t>
            </w:r>
          </w:p>
        </w:tc>
        <w:tc>
          <w:tcPr>
            <w:tcW w:w="850" w:type="dxa"/>
          </w:tcPr>
          <w:p w14:paraId="0CA6602D"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0.06</w:t>
            </w:r>
          </w:p>
        </w:tc>
        <w:tc>
          <w:tcPr>
            <w:tcW w:w="851" w:type="dxa"/>
          </w:tcPr>
          <w:p w14:paraId="65C448AE" w14:textId="77777777" w:rsidR="00436AB0" w:rsidRPr="00436AB0" w:rsidRDefault="00436AB0" w:rsidP="00E32591">
            <w:pPr>
              <w:spacing w:line="360" w:lineRule="auto"/>
              <w:contextualSpacing/>
              <w:rPr>
                <w:rFonts w:ascii="Cambria" w:hAnsi="Cambria" w:cs="Times New Roman"/>
                <w:sz w:val="24"/>
                <w:szCs w:val="24"/>
                <w:lang w:val="en-GB"/>
              </w:rPr>
            </w:pPr>
          </w:p>
        </w:tc>
        <w:tc>
          <w:tcPr>
            <w:tcW w:w="850" w:type="dxa"/>
          </w:tcPr>
          <w:p w14:paraId="36252D1A" w14:textId="77777777" w:rsidR="00436AB0" w:rsidRPr="00436AB0" w:rsidRDefault="00436AB0" w:rsidP="00E32591">
            <w:pPr>
              <w:spacing w:line="360" w:lineRule="auto"/>
              <w:contextualSpacing/>
              <w:rPr>
                <w:rFonts w:ascii="Cambria" w:hAnsi="Cambria" w:cs="Times New Roman"/>
                <w:sz w:val="24"/>
                <w:szCs w:val="24"/>
                <w:lang w:val="en-GB"/>
              </w:rPr>
            </w:pPr>
          </w:p>
        </w:tc>
        <w:tc>
          <w:tcPr>
            <w:tcW w:w="851" w:type="dxa"/>
          </w:tcPr>
          <w:p w14:paraId="4B401BE1" w14:textId="77777777" w:rsidR="00436AB0" w:rsidRPr="00436AB0" w:rsidRDefault="00436AB0" w:rsidP="00E32591">
            <w:pPr>
              <w:spacing w:line="360" w:lineRule="auto"/>
              <w:contextualSpacing/>
              <w:rPr>
                <w:rFonts w:ascii="Cambria" w:hAnsi="Cambria" w:cs="Times New Roman"/>
                <w:sz w:val="24"/>
                <w:szCs w:val="24"/>
                <w:lang w:val="en-GB"/>
              </w:rPr>
            </w:pPr>
          </w:p>
        </w:tc>
      </w:tr>
      <w:tr w:rsidR="00436AB0" w:rsidRPr="00436AB0" w14:paraId="01F7231D" w14:textId="77777777" w:rsidTr="002F2A25">
        <w:tc>
          <w:tcPr>
            <w:tcW w:w="3405" w:type="dxa"/>
          </w:tcPr>
          <w:p w14:paraId="75C05DF0"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4 Fallacies</w:t>
            </w:r>
          </w:p>
        </w:tc>
        <w:tc>
          <w:tcPr>
            <w:tcW w:w="851" w:type="dxa"/>
          </w:tcPr>
          <w:p w14:paraId="6FE0C6D5"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 xml:space="preserve">0.07 </w:t>
            </w:r>
          </w:p>
        </w:tc>
        <w:tc>
          <w:tcPr>
            <w:tcW w:w="850" w:type="dxa"/>
          </w:tcPr>
          <w:p w14:paraId="1D38C2F5"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0.06</w:t>
            </w:r>
          </w:p>
        </w:tc>
        <w:tc>
          <w:tcPr>
            <w:tcW w:w="851" w:type="dxa"/>
          </w:tcPr>
          <w:p w14:paraId="259BE1EF"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 xml:space="preserve">0.06 </w:t>
            </w:r>
          </w:p>
        </w:tc>
        <w:tc>
          <w:tcPr>
            <w:tcW w:w="850" w:type="dxa"/>
          </w:tcPr>
          <w:p w14:paraId="683758C0" w14:textId="77777777" w:rsidR="00436AB0" w:rsidRPr="00436AB0" w:rsidRDefault="00436AB0" w:rsidP="00E32591">
            <w:pPr>
              <w:spacing w:line="360" w:lineRule="auto"/>
              <w:contextualSpacing/>
              <w:rPr>
                <w:rFonts w:ascii="Cambria" w:hAnsi="Cambria" w:cs="Times New Roman"/>
                <w:sz w:val="24"/>
                <w:szCs w:val="24"/>
                <w:lang w:val="en-GB"/>
              </w:rPr>
            </w:pPr>
          </w:p>
        </w:tc>
        <w:tc>
          <w:tcPr>
            <w:tcW w:w="851" w:type="dxa"/>
          </w:tcPr>
          <w:p w14:paraId="2E54B02B" w14:textId="77777777" w:rsidR="00436AB0" w:rsidRPr="00436AB0" w:rsidRDefault="00436AB0" w:rsidP="00E32591">
            <w:pPr>
              <w:spacing w:line="360" w:lineRule="auto"/>
              <w:contextualSpacing/>
              <w:rPr>
                <w:rFonts w:ascii="Cambria" w:hAnsi="Cambria" w:cs="Times New Roman"/>
                <w:sz w:val="24"/>
                <w:szCs w:val="24"/>
                <w:lang w:val="en-GB"/>
              </w:rPr>
            </w:pPr>
          </w:p>
        </w:tc>
      </w:tr>
      <w:tr w:rsidR="00436AB0" w:rsidRPr="00436AB0" w14:paraId="30A77156" w14:textId="77777777" w:rsidTr="002F2A25">
        <w:tc>
          <w:tcPr>
            <w:tcW w:w="3405" w:type="dxa"/>
          </w:tcPr>
          <w:p w14:paraId="010AB993"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5 Argument schemes</w:t>
            </w:r>
          </w:p>
        </w:tc>
        <w:tc>
          <w:tcPr>
            <w:tcW w:w="851" w:type="dxa"/>
          </w:tcPr>
          <w:p w14:paraId="137DEC10"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 xml:space="preserve">0.03 </w:t>
            </w:r>
          </w:p>
        </w:tc>
        <w:tc>
          <w:tcPr>
            <w:tcW w:w="850" w:type="dxa"/>
          </w:tcPr>
          <w:p w14:paraId="60D5DA00"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0.11</w:t>
            </w:r>
          </w:p>
        </w:tc>
        <w:tc>
          <w:tcPr>
            <w:tcW w:w="851" w:type="dxa"/>
          </w:tcPr>
          <w:p w14:paraId="071927EC"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 xml:space="preserve">0.19 </w:t>
            </w:r>
          </w:p>
        </w:tc>
        <w:tc>
          <w:tcPr>
            <w:tcW w:w="850" w:type="dxa"/>
          </w:tcPr>
          <w:p w14:paraId="6B1D4054"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 xml:space="preserve">0.03 </w:t>
            </w:r>
          </w:p>
        </w:tc>
        <w:tc>
          <w:tcPr>
            <w:tcW w:w="851" w:type="dxa"/>
          </w:tcPr>
          <w:p w14:paraId="5C39CE2D" w14:textId="77777777" w:rsidR="00436AB0" w:rsidRPr="00436AB0" w:rsidRDefault="00436AB0" w:rsidP="00E32591">
            <w:pPr>
              <w:spacing w:line="360" w:lineRule="auto"/>
              <w:contextualSpacing/>
              <w:rPr>
                <w:rFonts w:ascii="Cambria" w:hAnsi="Cambria" w:cs="Times New Roman"/>
                <w:sz w:val="24"/>
                <w:szCs w:val="24"/>
                <w:lang w:val="en-GB"/>
              </w:rPr>
            </w:pPr>
          </w:p>
        </w:tc>
      </w:tr>
      <w:tr w:rsidR="00436AB0" w:rsidRPr="00436AB0" w14:paraId="1B3F661E" w14:textId="77777777" w:rsidTr="002F2A25">
        <w:tc>
          <w:tcPr>
            <w:tcW w:w="3405" w:type="dxa"/>
          </w:tcPr>
          <w:p w14:paraId="22B3B3AE"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Mean</w:t>
            </w:r>
          </w:p>
        </w:tc>
        <w:tc>
          <w:tcPr>
            <w:tcW w:w="851" w:type="dxa"/>
          </w:tcPr>
          <w:p w14:paraId="6300DFF8"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3.32</w:t>
            </w:r>
          </w:p>
        </w:tc>
        <w:tc>
          <w:tcPr>
            <w:tcW w:w="850" w:type="dxa"/>
          </w:tcPr>
          <w:p w14:paraId="339D0B0E"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3.85</w:t>
            </w:r>
          </w:p>
        </w:tc>
        <w:tc>
          <w:tcPr>
            <w:tcW w:w="851" w:type="dxa"/>
          </w:tcPr>
          <w:p w14:paraId="2ABDE962"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2.01</w:t>
            </w:r>
          </w:p>
        </w:tc>
        <w:tc>
          <w:tcPr>
            <w:tcW w:w="850" w:type="dxa"/>
          </w:tcPr>
          <w:p w14:paraId="52AF3183"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1.70</w:t>
            </w:r>
          </w:p>
        </w:tc>
        <w:tc>
          <w:tcPr>
            <w:tcW w:w="851" w:type="dxa"/>
          </w:tcPr>
          <w:p w14:paraId="260B516C"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3.37</w:t>
            </w:r>
          </w:p>
        </w:tc>
      </w:tr>
      <w:tr w:rsidR="00436AB0" w:rsidRPr="00436AB0" w14:paraId="4C0CB937" w14:textId="77777777" w:rsidTr="002F2A25">
        <w:tc>
          <w:tcPr>
            <w:tcW w:w="3405" w:type="dxa"/>
          </w:tcPr>
          <w:p w14:paraId="6A3D441E"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SD</w:t>
            </w:r>
          </w:p>
        </w:tc>
        <w:tc>
          <w:tcPr>
            <w:tcW w:w="851" w:type="dxa"/>
          </w:tcPr>
          <w:p w14:paraId="4B6B2E15"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 xml:space="preserve">1.11 </w:t>
            </w:r>
          </w:p>
        </w:tc>
        <w:tc>
          <w:tcPr>
            <w:tcW w:w="850" w:type="dxa"/>
          </w:tcPr>
          <w:p w14:paraId="69D3A6C8"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 xml:space="preserve">1.31 </w:t>
            </w:r>
          </w:p>
        </w:tc>
        <w:tc>
          <w:tcPr>
            <w:tcW w:w="851" w:type="dxa"/>
          </w:tcPr>
          <w:p w14:paraId="77B2279C"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 xml:space="preserve">1.99 </w:t>
            </w:r>
          </w:p>
        </w:tc>
        <w:tc>
          <w:tcPr>
            <w:tcW w:w="850" w:type="dxa"/>
          </w:tcPr>
          <w:p w14:paraId="08A68D87"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 xml:space="preserve">0.97 </w:t>
            </w:r>
          </w:p>
        </w:tc>
        <w:tc>
          <w:tcPr>
            <w:tcW w:w="851" w:type="dxa"/>
          </w:tcPr>
          <w:p w14:paraId="78901F46"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 xml:space="preserve">1.39 </w:t>
            </w:r>
          </w:p>
        </w:tc>
      </w:tr>
      <w:tr w:rsidR="00436AB0" w:rsidRPr="00436AB0" w14:paraId="425E194F" w14:textId="77777777" w:rsidTr="002F2A25">
        <w:tc>
          <w:tcPr>
            <w:tcW w:w="3405" w:type="dxa"/>
          </w:tcPr>
          <w:p w14:paraId="1F2A4554"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Observed range</w:t>
            </w:r>
          </w:p>
        </w:tc>
        <w:tc>
          <w:tcPr>
            <w:tcW w:w="851" w:type="dxa"/>
          </w:tcPr>
          <w:p w14:paraId="33B272E5"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1–5</w:t>
            </w:r>
          </w:p>
        </w:tc>
        <w:tc>
          <w:tcPr>
            <w:tcW w:w="850" w:type="dxa"/>
          </w:tcPr>
          <w:p w14:paraId="5FEE8AB0"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1–6</w:t>
            </w:r>
          </w:p>
        </w:tc>
        <w:tc>
          <w:tcPr>
            <w:tcW w:w="851" w:type="dxa"/>
          </w:tcPr>
          <w:p w14:paraId="5D4B776C"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-4–8</w:t>
            </w:r>
          </w:p>
        </w:tc>
        <w:tc>
          <w:tcPr>
            <w:tcW w:w="850" w:type="dxa"/>
          </w:tcPr>
          <w:p w14:paraId="3331633F"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0–4</w:t>
            </w:r>
          </w:p>
        </w:tc>
        <w:tc>
          <w:tcPr>
            <w:tcW w:w="851" w:type="dxa"/>
          </w:tcPr>
          <w:p w14:paraId="08B928C7"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0–5</w:t>
            </w:r>
          </w:p>
        </w:tc>
      </w:tr>
      <w:tr w:rsidR="00436AB0" w:rsidRPr="00436AB0" w14:paraId="68D51FB9" w14:textId="77777777" w:rsidTr="002F2A25">
        <w:tc>
          <w:tcPr>
            <w:tcW w:w="3405" w:type="dxa"/>
          </w:tcPr>
          <w:p w14:paraId="2EFDBC53"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Scale maximum</w:t>
            </w:r>
          </w:p>
        </w:tc>
        <w:tc>
          <w:tcPr>
            <w:tcW w:w="851" w:type="dxa"/>
          </w:tcPr>
          <w:p w14:paraId="572E80B6"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8</w:t>
            </w:r>
          </w:p>
        </w:tc>
        <w:tc>
          <w:tcPr>
            <w:tcW w:w="850" w:type="dxa"/>
          </w:tcPr>
          <w:p w14:paraId="2E0CA7AD"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7</w:t>
            </w:r>
          </w:p>
        </w:tc>
        <w:tc>
          <w:tcPr>
            <w:tcW w:w="851" w:type="dxa"/>
          </w:tcPr>
          <w:p w14:paraId="36895E5B"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9</w:t>
            </w:r>
          </w:p>
        </w:tc>
        <w:tc>
          <w:tcPr>
            <w:tcW w:w="850" w:type="dxa"/>
          </w:tcPr>
          <w:p w14:paraId="4EF59FFA"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5</w:t>
            </w:r>
          </w:p>
        </w:tc>
        <w:tc>
          <w:tcPr>
            <w:tcW w:w="851" w:type="dxa"/>
          </w:tcPr>
          <w:p w14:paraId="40070845"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6</w:t>
            </w:r>
          </w:p>
        </w:tc>
      </w:tr>
      <w:tr w:rsidR="00436AB0" w:rsidRPr="00436AB0" w14:paraId="5D3A1C5F" w14:textId="77777777" w:rsidTr="002F2A25">
        <w:tc>
          <w:tcPr>
            <w:tcW w:w="3405" w:type="dxa"/>
          </w:tcPr>
          <w:p w14:paraId="532EE22F"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Omega total</w:t>
            </w:r>
          </w:p>
        </w:tc>
        <w:tc>
          <w:tcPr>
            <w:tcW w:w="851" w:type="dxa"/>
          </w:tcPr>
          <w:p w14:paraId="48A80715"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.69</w:t>
            </w:r>
          </w:p>
        </w:tc>
        <w:tc>
          <w:tcPr>
            <w:tcW w:w="850" w:type="dxa"/>
          </w:tcPr>
          <w:p w14:paraId="71247A95"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.46</w:t>
            </w:r>
          </w:p>
        </w:tc>
        <w:tc>
          <w:tcPr>
            <w:tcW w:w="851" w:type="dxa"/>
          </w:tcPr>
          <w:p w14:paraId="1F7F8AAF"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.78</w:t>
            </w:r>
          </w:p>
        </w:tc>
        <w:tc>
          <w:tcPr>
            <w:tcW w:w="850" w:type="dxa"/>
          </w:tcPr>
          <w:p w14:paraId="7AF82C6B"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.44</w:t>
            </w:r>
          </w:p>
        </w:tc>
        <w:tc>
          <w:tcPr>
            <w:tcW w:w="851" w:type="dxa"/>
          </w:tcPr>
          <w:p w14:paraId="1DCD04B4"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.69</w:t>
            </w:r>
          </w:p>
        </w:tc>
      </w:tr>
    </w:tbl>
    <w:p w14:paraId="195F3E15" w14:textId="77777777" w:rsidR="00436AB0" w:rsidRPr="00436AB0" w:rsidRDefault="00436AB0" w:rsidP="00E32591">
      <w:pPr>
        <w:spacing w:line="360" w:lineRule="auto"/>
        <w:contextualSpacing/>
        <w:rPr>
          <w:rFonts w:ascii="Cambria" w:hAnsi="Cambria" w:cs="Times New Roman"/>
          <w:sz w:val="24"/>
          <w:szCs w:val="24"/>
          <w:lang w:val="en-GB"/>
        </w:rPr>
      </w:pPr>
    </w:p>
    <w:p w14:paraId="75DD6FBC" w14:textId="77777777" w:rsidR="00436AB0" w:rsidRPr="00436AB0" w:rsidRDefault="00436AB0" w:rsidP="00E32591">
      <w:pPr>
        <w:spacing w:line="360" w:lineRule="auto"/>
        <w:ind w:firstLine="720"/>
        <w:contextualSpacing/>
        <w:rPr>
          <w:rFonts w:ascii="Cambria" w:hAnsi="Cambria" w:cs="Times New Roman"/>
          <w:sz w:val="24"/>
          <w:szCs w:val="24"/>
          <w:lang w:val="en-GB" w:eastAsia="fi-FI"/>
        </w:rPr>
      </w:pPr>
      <w:r w:rsidRPr="00436AB0">
        <w:rPr>
          <w:rFonts w:ascii="Cambria" w:hAnsi="Cambria" w:cs="Times New Roman"/>
          <w:sz w:val="24"/>
          <w:szCs w:val="24"/>
          <w:lang w:val="en-GB"/>
        </w:rPr>
        <w:t xml:space="preserve">At Time 2, data were available from 70 participants. Reliability of the total scale was </w:t>
      </w:r>
      <w:r w:rsidRPr="00436AB0">
        <w:rPr>
          <w:rFonts w:ascii="Cambria" w:hAnsi="Cambria" w:cs="Times New Roman"/>
          <w:sz w:val="24"/>
          <w:szCs w:val="24"/>
          <w:lang w:val="en-GB" w:eastAsia="fi-FI"/>
        </w:rPr>
        <w:t xml:space="preserve">ω = .74. The total score was on average 19.77, SD = 3.43, ranging from 10 to 26. Compared to Time 1, the reliabilities of Parts 1–4 were improved, and Part 5 worsened, as shown in Table S5. Correlations between the parts were not statistically significant. </w:t>
      </w:r>
    </w:p>
    <w:p w14:paraId="4B1483C5" w14:textId="77777777" w:rsidR="00436AB0" w:rsidRPr="00436AB0" w:rsidRDefault="00436AB0" w:rsidP="00E32591">
      <w:pPr>
        <w:spacing w:line="360" w:lineRule="auto"/>
        <w:contextualSpacing/>
        <w:rPr>
          <w:rFonts w:ascii="Cambria" w:hAnsi="Cambria" w:cs="Times New Roman"/>
          <w:sz w:val="24"/>
          <w:szCs w:val="24"/>
          <w:lang w:val="en-GB"/>
        </w:rPr>
      </w:pPr>
    </w:p>
    <w:p w14:paraId="193BBC25" w14:textId="77777777" w:rsidR="00436AB0" w:rsidRPr="00436AB0" w:rsidRDefault="00436AB0" w:rsidP="00E32591">
      <w:pPr>
        <w:spacing w:line="360" w:lineRule="auto"/>
        <w:contextualSpacing/>
        <w:rPr>
          <w:rFonts w:ascii="Cambria" w:hAnsi="Cambria" w:cs="Times New Roman"/>
          <w:i/>
          <w:iCs/>
          <w:sz w:val="24"/>
          <w:szCs w:val="24"/>
          <w:lang w:val="en-GB"/>
        </w:rPr>
      </w:pPr>
      <w:r w:rsidRPr="00436AB0">
        <w:rPr>
          <w:rFonts w:ascii="Cambria" w:hAnsi="Cambria" w:cs="Times New Roman"/>
          <w:b/>
          <w:bCs/>
          <w:sz w:val="24"/>
          <w:szCs w:val="24"/>
          <w:lang w:val="en-GB"/>
        </w:rPr>
        <w:lastRenderedPageBreak/>
        <w:t>Table S5</w:t>
      </w:r>
      <w:r w:rsidRPr="00436AB0">
        <w:rPr>
          <w:rFonts w:ascii="Cambria" w:hAnsi="Cambria" w:cs="Times New Roman"/>
          <w:sz w:val="24"/>
          <w:szCs w:val="24"/>
          <w:lang w:val="en-GB"/>
        </w:rPr>
        <w:t xml:space="preserve">. </w:t>
      </w:r>
      <w:r w:rsidRPr="00436AB0">
        <w:rPr>
          <w:rFonts w:ascii="Cambria" w:hAnsi="Cambria" w:cs="Times New Roman"/>
          <w:i/>
          <w:iCs/>
          <w:sz w:val="24"/>
          <w:szCs w:val="24"/>
          <w:lang w:val="en-GB"/>
        </w:rPr>
        <w:t xml:space="preserve">Descriptive statistics </w:t>
      </w:r>
      <w:r w:rsidRPr="00436AB0">
        <w:rPr>
          <w:rFonts w:ascii="Cambria" w:hAnsi="Cambria" w:cs="Times New Roman"/>
          <w:i/>
          <w:iCs/>
          <w:sz w:val="24"/>
          <w:szCs w:val="24"/>
          <w:lang w:val="en-GB" w:eastAsia="fi-FI"/>
        </w:rPr>
        <w:t xml:space="preserve">and correlations of variables </w:t>
      </w:r>
      <w:r w:rsidRPr="00436AB0">
        <w:rPr>
          <w:rFonts w:ascii="Cambria" w:hAnsi="Cambria" w:cs="Times New Roman"/>
          <w:i/>
          <w:iCs/>
          <w:sz w:val="24"/>
          <w:szCs w:val="24"/>
          <w:lang w:val="en-GB"/>
        </w:rPr>
        <w:t xml:space="preserve">at Time 2 (N = 70). </w:t>
      </w:r>
    </w:p>
    <w:tbl>
      <w:tblPr>
        <w:tblStyle w:val="TableGrid"/>
        <w:tblW w:w="0" w:type="auto"/>
        <w:tblInd w:w="-8" w:type="dxa"/>
        <w:tblLook w:val="04A0" w:firstRow="1" w:lastRow="0" w:firstColumn="1" w:lastColumn="0" w:noHBand="0" w:noVBand="1"/>
      </w:tblPr>
      <w:tblGrid>
        <w:gridCol w:w="3405"/>
        <w:gridCol w:w="851"/>
        <w:gridCol w:w="850"/>
        <w:gridCol w:w="851"/>
        <w:gridCol w:w="850"/>
        <w:gridCol w:w="851"/>
      </w:tblGrid>
      <w:tr w:rsidR="00436AB0" w:rsidRPr="00436AB0" w14:paraId="0F6E9D96" w14:textId="77777777" w:rsidTr="00115EEB">
        <w:tc>
          <w:tcPr>
            <w:tcW w:w="3405" w:type="dxa"/>
          </w:tcPr>
          <w:p w14:paraId="23AD94CF" w14:textId="77777777" w:rsidR="00436AB0" w:rsidRPr="00436AB0" w:rsidRDefault="00436AB0" w:rsidP="00E32591">
            <w:pPr>
              <w:spacing w:line="360" w:lineRule="auto"/>
              <w:contextualSpacing/>
              <w:rPr>
                <w:rFonts w:ascii="Cambria" w:hAnsi="Cambria" w:cs="Times New Roman"/>
                <w:sz w:val="24"/>
                <w:szCs w:val="24"/>
                <w:lang w:val="en-GB"/>
              </w:rPr>
            </w:pPr>
          </w:p>
        </w:tc>
        <w:tc>
          <w:tcPr>
            <w:tcW w:w="851" w:type="dxa"/>
          </w:tcPr>
          <w:p w14:paraId="553299F9"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 xml:space="preserve">1 </w:t>
            </w:r>
          </w:p>
        </w:tc>
        <w:tc>
          <w:tcPr>
            <w:tcW w:w="850" w:type="dxa"/>
          </w:tcPr>
          <w:p w14:paraId="1149B7F5"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2</w:t>
            </w:r>
          </w:p>
        </w:tc>
        <w:tc>
          <w:tcPr>
            <w:tcW w:w="851" w:type="dxa"/>
          </w:tcPr>
          <w:p w14:paraId="5422E4F4"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3</w:t>
            </w:r>
          </w:p>
        </w:tc>
        <w:tc>
          <w:tcPr>
            <w:tcW w:w="850" w:type="dxa"/>
          </w:tcPr>
          <w:p w14:paraId="59B65242"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4</w:t>
            </w:r>
          </w:p>
        </w:tc>
        <w:tc>
          <w:tcPr>
            <w:tcW w:w="851" w:type="dxa"/>
          </w:tcPr>
          <w:p w14:paraId="427EA437"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5</w:t>
            </w:r>
          </w:p>
        </w:tc>
      </w:tr>
      <w:tr w:rsidR="00436AB0" w:rsidRPr="00436AB0" w14:paraId="1A67BC3F" w14:textId="77777777" w:rsidTr="00115EEB">
        <w:tc>
          <w:tcPr>
            <w:tcW w:w="3405" w:type="dxa"/>
          </w:tcPr>
          <w:p w14:paraId="21A04189"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 xml:space="preserve">1 Standpoints and arguments </w:t>
            </w:r>
          </w:p>
        </w:tc>
        <w:tc>
          <w:tcPr>
            <w:tcW w:w="851" w:type="dxa"/>
          </w:tcPr>
          <w:p w14:paraId="1BFEE788" w14:textId="77777777" w:rsidR="00436AB0" w:rsidRPr="00436AB0" w:rsidRDefault="00436AB0" w:rsidP="00E32591">
            <w:pPr>
              <w:spacing w:line="360" w:lineRule="auto"/>
              <w:contextualSpacing/>
              <w:rPr>
                <w:rFonts w:ascii="Cambria" w:hAnsi="Cambria" w:cs="Times New Roman"/>
                <w:sz w:val="24"/>
                <w:szCs w:val="24"/>
                <w:lang w:val="en-GB"/>
              </w:rPr>
            </w:pPr>
          </w:p>
        </w:tc>
        <w:tc>
          <w:tcPr>
            <w:tcW w:w="850" w:type="dxa"/>
          </w:tcPr>
          <w:p w14:paraId="1D05202E" w14:textId="77777777" w:rsidR="00436AB0" w:rsidRPr="00436AB0" w:rsidRDefault="00436AB0" w:rsidP="00E32591">
            <w:pPr>
              <w:spacing w:line="360" w:lineRule="auto"/>
              <w:contextualSpacing/>
              <w:rPr>
                <w:rFonts w:ascii="Cambria" w:hAnsi="Cambria" w:cs="Times New Roman"/>
                <w:sz w:val="24"/>
                <w:szCs w:val="24"/>
                <w:lang w:val="en-GB"/>
              </w:rPr>
            </w:pPr>
          </w:p>
        </w:tc>
        <w:tc>
          <w:tcPr>
            <w:tcW w:w="851" w:type="dxa"/>
          </w:tcPr>
          <w:p w14:paraId="68B03B08" w14:textId="77777777" w:rsidR="00436AB0" w:rsidRPr="00436AB0" w:rsidRDefault="00436AB0" w:rsidP="00E32591">
            <w:pPr>
              <w:spacing w:line="360" w:lineRule="auto"/>
              <w:contextualSpacing/>
              <w:rPr>
                <w:rFonts w:ascii="Cambria" w:hAnsi="Cambria" w:cs="Times New Roman"/>
                <w:sz w:val="24"/>
                <w:szCs w:val="24"/>
                <w:lang w:val="en-GB"/>
              </w:rPr>
            </w:pPr>
          </w:p>
        </w:tc>
        <w:tc>
          <w:tcPr>
            <w:tcW w:w="850" w:type="dxa"/>
          </w:tcPr>
          <w:p w14:paraId="4BD59632" w14:textId="77777777" w:rsidR="00436AB0" w:rsidRPr="00436AB0" w:rsidRDefault="00436AB0" w:rsidP="00E32591">
            <w:pPr>
              <w:spacing w:line="360" w:lineRule="auto"/>
              <w:contextualSpacing/>
              <w:rPr>
                <w:rFonts w:ascii="Cambria" w:hAnsi="Cambria" w:cs="Times New Roman"/>
                <w:sz w:val="24"/>
                <w:szCs w:val="24"/>
                <w:lang w:val="en-GB"/>
              </w:rPr>
            </w:pPr>
          </w:p>
        </w:tc>
        <w:tc>
          <w:tcPr>
            <w:tcW w:w="851" w:type="dxa"/>
          </w:tcPr>
          <w:p w14:paraId="5BEFD268" w14:textId="77777777" w:rsidR="00436AB0" w:rsidRPr="00436AB0" w:rsidRDefault="00436AB0" w:rsidP="00E32591">
            <w:pPr>
              <w:spacing w:line="360" w:lineRule="auto"/>
              <w:contextualSpacing/>
              <w:rPr>
                <w:rFonts w:ascii="Cambria" w:hAnsi="Cambria" w:cs="Times New Roman"/>
                <w:sz w:val="24"/>
                <w:szCs w:val="24"/>
                <w:lang w:val="en-GB"/>
              </w:rPr>
            </w:pPr>
          </w:p>
        </w:tc>
      </w:tr>
      <w:tr w:rsidR="00436AB0" w:rsidRPr="00436AB0" w14:paraId="105F1CC3" w14:textId="77777777" w:rsidTr="00115EEB">
        <w:tc>
          <w:tcPr>
            <w:tcW w:w="3405" w:type="dxa"/>
          </w:tcPr>
          <w:p w14:paraId="18AD75E9"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2 Enthymeme analysis</w:t>
            </w:r>
          </w:p>
        </w:tc>
        <w:tc>
          <w:tcPr>
            <w:tcW w:w="851" w:type="dxa"/>
          </w:tcPr>
          <w:p w14:paraId="519127E3"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eastAsia="Times New Roman" w:hAnsi="Cambria" w:cs="Times New Roman"/>
                <w:kern w:val="0"/>
                <w:sz w:val="24"/>
                <w:szCs w:val="24"/>
                <w:bdr w:val="none" w:sz="0" w:space="0" w:color="auto" w:frame="1"/>
                <w:lang w:val="en-GB"/>
                <w14:ligatures w14:val="none"/>
              </w:rPr>
              <w:t xml:space="preserve">0.23 </w:t>
            </w:r>
          </w:p>
        </w:tc>
        <w:tc>
          <w:tcPr>
            <w:tcW w:w="850" w:type="dxa"/>
          </w:tcPr>
          <w:p w14:paraId="48B40ACD" w14:textId="77777777" w:rsidR="00436AB0" w:rsidRPr="00436AB0" w:rsidRDefault="00436AB0" w:rsidP="00E32591">
            <w:pPr>
              <w:spacing w:line="360" w:lineRule="auto"/>
              <w:contextualSpacing/>
              <w:rPr>
                <w:rFonts w:ascii="Cambria" w:hAnsi="Cambria" w:cs="Times New Roman"/>
                <w:sz w:val="24"/>
                <w:szCs w:val="24"/>
                <w:lang w:val="en-GB"/>
              </w:rPr>
            </w:pPr>
          </w:p>
        </w:tc>
        <w:tc>
          <w:tcPr>
            <w:tcW w:w="851" w:type="dxa"/>
          </w:tcPr>
          <w:p w14:paraId="3E0F446C" w14:textId="77777777" w:rsidR="00436AB0" w:rsidRPr="00436AB0" w:rsidRDefault="00436AB0" w:rsidP="00E32591">
            <w:pPr>
              <w:spacing w:line="360" w:lineRule="auto"/>
              <w:contextualSpacing/>
              <w:rPr>
                <w:rFonts w:ascii="Cambria" w:hAnsi="Cambria" w:cs="Times New Roman"/>
                <w:sz w:val="24"/>
                <w:szCs w:val="24"/>
                <w:lang w:val="en-GB"/>
              </w:rPr>
            </w:pPr>
          </w:p>
        </w:tc>
        <w:tc>
          <w:tcPr>
            <w:tcW w:w="850" w:type="dxa"/>
          </w:tcPr>
          <w:p w14:paraId="6AC0B6ED" w14:textId="77777777" w:rsidR="00436AB0" w:rsidRPr="00436AB0" w:rsidRDefault="00436AB0" w:rsidP="00E32591">
            <w:pPr>
              <w:spacing w:line="360" w:lineRule="auto"/>
              <w:contextualSpacing/>
              <w:rPr>
                <w:rFonts w:ascii="Cambria" w:hAnsi="Cambria" w:cs="Times New Roman"/>
                <w:sz w:val="24"/>
                <w:szCs w:val="24"/>
                <w:lang w:val="en-GB"/>
              </w:rPr>
            </w:pPr>
          </w:p>
        </w:tc>
        <w:tc>
          <w:tcPr>
            <w:tcW w:w="851" w:type="dxa"/>
          </w:tcPr>
          <w:p w14:paraId="7E369E2D" w14:textId="77777777" w:rsidR="00436AB0" w:rsidRPr="00436AB0" w:rsidRDefault="00436AB0" w:rsidP="00E32591">
            <w:pPr>
              <w:spacing w:line="360" w:lineRule="auto"/>
              <w:contextualSpacing/>
              <w:rPr>
                <w:rFonts w:ascii="Cambria" w:hAnsi="Cambria" w:cs="Times New Roman"/>
                <w:sz w:val="24"/>
                <w:szCs w:val="24"/>
                <w:lang w:val="en-GB"/>
              </w:rPr>
            </w:pPr>
          </w:p>
        </w:tc>
      </w:tr>
      <w:tr w:rsidR="00436AB0" w:rsidRPr="00436AB0" w14:paraId="663C301F" w14:textId="77777777" w:rsidTr="00115EEB">
        <w:tc>
          <w:tcPr>
            <w:tcW w:w="3405" w:type="dxa"/>
          </w:tcPr>
          <w:p w14:paraId="2BDF146C"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3 Argumentation hierarchies</w:t>
            </w:r>
          </w:p>
        </w:tc>
        <w:tc>
          <w:tcPr>
            <w:tcW w:w="851" w:type="dxa"/>
          </w:tcPr>
          <w:p w14:paraId="281F33D3"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eastAsia="Times New Roman" w:hAnsi="Cambria" w:cs="Times New Roman"/>
                <w:kern w:val="0"/>
                <w:sz w:val="24"/>
                <w:szCs w:val="24"/>
                <w:bdr w:val="none" w:sz="0" w:space="0" w:color="auto" w:frame="1"/>
                <w:lang w:val="en-GB"/>
                <w14:ligatures w14:val="none"/>
              </w:rPr>
              <w:t xml:space="preserve">0.01 </w:t>
            </w:r>
          </w:p>
        </w:tc>
        <w:tc>
          <w:tcPr>
            <w:tcW w:w="850" w:type="dxa"/>
          </w:tcPr>
          <w:p w14:paraId="5013EF28"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eastAsia="Times New Roman" w:hAnsi="Cambria" w:cs="Times New Roman"/>
                <w:kern w:val="0"/>
                <w:sz w:val="24"/>
                <w:szCs w:val="24"/>
                <w:bdr w:val="none" w:sz="0" w:space="0" w:color="auto" w:frame="1"/>
                <w:lang w:val="en-GB"/>
                <w14:ligatures w14:val="none"/>
              </w:rPr>
              <w:t>0.30</w:t>
            </w:r>
          </w:p>
        </w:tc>
        <w:tc>
          <w:tcPr>
            <w:tcW w:w="851" w:type="dxa"/>
          </w:tcPr>
          <w:p w14:paraId="27CAB2A4" w14:textId="77777777" w:rsidR="00436AB0" w:rsidRPr="00436AB0" w:rsidRDefault="00436AB0" w:rsidP="00E32591">
            <w:pPr>
              <w:spacing w:line="360" w:lineRule="auto"/>
              <w:contextualSpacing/>
              <w:rPr>
                <w:rFonts w:ascii="Cambria" w:hAnsi="Cambria" w:cs="Times New Roman"/>
                <w:sz w:val="24"/>
                <w:szCs w:val="24"/>
                <w:lang w:val="en-GB"/>
              </w:rPr>
            </w:pPr>
          </w:p>
        </w:tc>
        <w:tc>
          <w:tcPr>
            <w:tcW w:w="850" w:type="dxa"/>
          </w:tcPr>
          <w:p w14:paraId="263400A4" w14:textId="77777777" w:rsidR="00436AB0" w:rsidRPr="00436AB0" w:rsidRDefault="00436AB0" w:rsidP="00E32591">
            <w:pPr>
              <w:spacing w:line="360" w:lineRule="auto"/>
              <w:contextualSpacing/>
              <w:rPr>
                <w:rFonts w:ascii="Cambria" w:hAnsi="Cambria" w:cs="Times New Roman"/>
                <w:sz w:val="24"/>
                <w:szCs w:val="24"/>
                <w:lang w:val="en-GB"/>
              </w:rPr>
            </w:pPr>
          </w:p>
        </w:tc>
        <w:tc>
          <w:tcPr>
            <w:tcW w:w="851" w:type="dxa"/>
          </w:tcPr>
          <w:p w14:paraId="34095CDC" w14:textId="77777777" w:rsidR="00436AB0" w:rsidRPr="00436AB0" w:rsidRDefault="00436AB0" w:rsidP="00E32591">
            <w:pPr>
              <w:spacing w:line="360" w:lineRule="auto"/>
              <w:contextualSpacing/>
              <w:rPr>
                <w:rFonts w:ascii="Cambria" w:hAnsi="Cambria" w:cs="Times New Roman"/>
                <w:sz w:val="24"/>
                <w:szCs w:val="24"/>
                <w:lang w:val="en-GB"/>
              </w:rPr>
            </w:pPr>
          </w:p>
        </w:tc>
      </w:tr>
      <w:tr w:rsidR="00436AB0" w:rsidRPr="00436AB0" w14:paraId="134B7B66" w14:textId="77777777" w:rsidTr="00115EEB">
        <w:tc>
          <w:tcPr>
            <w:tcW w:w="3405" w:type="dxa"/>
          </w:tcPr>
          <w:p w14:paraId="2E0F0B0D"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4 Fallacies</w:t>
            </w:r>
          </w:p>
        </w:tc>
        <w:tc>
          <w:tcPr>
            <w:tcW w:w="851" w:type="dxa"/>
          </w:tcPr>
          <w:p w14:paraId="1227B9E2"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eastAsia="Times New Roman" w:hAnsi="Cambria" w:cs="Times New Roman"/>
                <w:kern w:val="0"/>
                <w:sz w:val="24"/>
                <w:szCs w:val="24"/>
                <w:bdr w:val="none" w:sz="0" w:space="0" w:color="auto" w:frame="1"/>
                <w:lang w:val="en-GB"/>
                <w14:ligatures w14:val="none"/>
              </w:rPr>
              <w:t xml:space="preserve">-0.05 </w:t>
            </w:r>
          </w:p>
        </w:tc>
        <w:tc>
          <w:tcPr>
            <w:tcW w:w="850" w:type="dxa"/>
          </w:tcPr>
          <w:p w14:paraId="1912C382"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eastAsia="Times New Roman" w:hAnsi="Cambria" w:cs="Times New Roman"/>
                <w:kern w:val="0"/>
                <w:sz w:val="24"/>
                <w:szCs w:val="24"/>
                <w:bdr w:val="none" w:sz="0" w:space="0" w:color="auto" w:frame="1"/>
                <w:lang w:val="en-GB"/>
                <w14:ligatures w14:val="none"/>
              </w:rPr>
              <w:t>-0.08</w:t>
            </w:r>
          </w:p>
        </w:tc>
        <w:tc>
          <w:tcPr>
            <w:tcW w:w="851" w:type="dxa"/>
          </w:tcPr>
          <w:p w14:paraId="7FE312BC"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eastAsia="Times New Roman" w:hAnsi="Cambria" w:cs="Times New Roman"/>
                <w:kern w:val="0"/>
                <w:sz w:val="24"/>
                <w:szCs w:val="24"/>
                <w:bdr w:val="none" w:sz="0" w:space="0" w:color="auto" w:frame="1"/>
                <w:lang w:val="en-GB"/>
                <w14:ligatures w14:val="none"/>
              </w:rPr>
              <w:t xml:space="preserve">0.12 </w:t>
            </w:r>
          </w:p>
        </w:tc>
        <w:tc>
          <w:tcPr>
            <w:tcW w:w="850" w:type="dxa"/>
          </w:tcPr>
          <w:p w14:paraId="4552C58F" w14:textId="77777777" w:rsidR="00436AB0" w:rsidRPr="00436AB0" w:rsidRDefault="00436AB0" w:rsidP="00E32591">
            <w:pPr>
              <w:spacing w:line="360" w:lineRule="auto"/>
              <w:contextualSpacing/>
              <w:rPr>
                <w:rFonts w:ascii="Cambria" w:hAnsi="Cambria" w:cs="Times New Roman"/>
                <w:sz w:val="24"/>
                <w:szCs w:val="24"/>
                <w:lang w:val="en-GB"/>
              </w:rPr>
            </w:pPr>
          </w:p>
        </w:tc>
        <w:tc>
          <w:tcPr>
            <w:tcW w:w="851" w:type="dxa"/>
          </w:tcPr>
          <w:p w14:paraId="1371E42E" w14:textId="77777777" w:rsidR="00436AB0" w:rsidRPr="00436AB0" w:rsidRDefault="00436AB0" w:rsidP="00E32591">
            <w:pPr>
              <w:spacing w:line="360" w:lineRule="auto"/>
              <w:contextualSpacing/>
              <w:rPr>
                <w:rFonts w:ascii="Cambria" w:hAnsi="Cambria" w:cs="Times New Roman"/>
                <w:sz w:val="24"/>
                <w:szCs w:val="24"/>
                <w:lang w:val="en-GB"/>
              </w:rPr>
            </w:pPr>
          </w:p>
        </w:tc>
      </w:tr>
      <w:tr w:rsidR="00436AB0" w:rsidRPr="00436AB0" w14:paraId="02F0FCBD" w14:textId="77777777" w:rsidTr="00115EEB">
        <w:tc>
          <w:tcPr>
            <w:tcW w:w="3405" w:type="dxa"/>
          </w:tcPr>
          <w:p w14:paraId="51C9C4DB"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5 Argument schemes</w:t>
            </w:r>
          </w:p>
        </w:tc>
        <w:tc>
          <w:tcPr>
            <w:tcW w:w="851" w:type="dxa"/>
          </w:tcPr>
          <w:p w14:paraId="4491E65E"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eastAsia="Times New Roman" w:hAnsi="Cambria" w:cs="Times New Roman"/>
                <w:kern w:val="0"/>
                <w:sz w:val="24"/>
                <w:szCs w:val="24"/>
                <w:bdr w:val="none" w:sz="0" w:space="0" w:color="auto" w:frame="1"/>
                <w:lang w:val="en-GB"/>
                <w14:ligatures w14:val="none"/>
              </w:rPr>
              <w:t xml:space="preserve">0.11 </w:t>
            </w:r>
          </w:p>
        </w:tc>
        <w:tc>
          <w:tcPr>
            <w:tcW w:w="850" w:type="dxa"/>
          </w:tcPr>
          <w:p w14:paraId="2C3F71B3"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eastAsia="Times New Roman" w:hAnsi="Cambria" w:cs="Times New Roman"/>
                <w:kern w:val="0"/>
                <w:sz w:val="24"/>
                <w:szCs w:val="24"/>
                <w:bdr w:val="none" w:sz="0" w:space="0" w:color="auto" w:frame="1"/>
                <w:lang w:val="en-GB"/>
                <w14:ligatures w14:val="none"/>
              </w:rPr>
              <w:t>0.07</w:t>
            </w:r>
          </w:p>
        </w:tc>
        <w:tc>
          <w:tcPr>
            <w:tcW w:w="851" w:type="dxa"/>
          </w:tcPr>
          <w:p w14:paraId="18F9B9CB"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eastAsia="Times New Roman" w:hAnsi="Cambria" w:cs="Times New Roman"/>
                <w:kern w:val="0"/>
                <w:sz w:val="24"/>
                <w:szCs w:val="24"/>
                <w:bdr w:val="none" w:sz="0" w:space="0" w:color="auto" w:frame="1"/>
                <w:lang w:val="en-GB"/>
                <w14:ligatures w14:val="none"/>
              </w:rPr>
              <w:t xml:space="preserve">0.19 </w:t>
            </w:r>
          </w:p>
        </w:tc>
        <w:tc>
          <w:tcPr>
            <w:tcW w:w="850" w:type="dxa"/>
          </w:tcPr>
          <w:p w14:paraId="3F596B73"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eastAsia="Times New Roman" w:hAnsi="Cambria" w:cs="Times New Roman"/>
                <w:kern w:val="0"/>
                <w:sz w:val="24"/>
                <w:szCs w:val="24"/>
                <w:bdr w:val="none" w:sz="0" w:space="0" w:color="auto" w:frame="1"/>
                <w:lang w:val="en-GB"/>
                <w14:ligatures w14:val="none"/>
              </w:rPr>
              <w:t xml:space="preserve">0.14 </w:t>
            </w:r>
          </w:p>
        </w:tc>
        <w:tc>
          <w:tcPr>
            <w:tcW w:w="851" w:type="dxa"/>
          </w:tcPr>
          <w:p w14:paraId="647BF849" w14:textId="77777777" w:rsidR="00436AB0" w:rsidRPr="00436AB0" w:rsidRDefault="00436AB0" w:rsidP="00E32591">
            <w:pPr>
              <w:spacing w:line="360" w:lineRule="auto"/>
              <w:contextualSpacing/>
              <w:rPr>
                <w:rFonts w:ascii="Cambria" w:hAnsi="Cambria" w:cs="Times New Roman"/>
                <w:sz w:val="24"/>
                <w:szCs w:val="24"/>
                <w:lang w:val="en-GB"/>
              </w:rPr>
            </w:pPr>
          </w:p>
        </w:tc>
      </w:tr>
      <w:tr w:rsidR="00436AB0" w:rsidRPr="00436AB0" w14:paraId="01B66A5B" w14:textId="77777777" w:rsidTr="00115EEB">
        <w:tc>
          <w:tcPr>
            <w:tcW w:w="3405" w:type="dxa"/>
          </w:tcPr>
          <w:p w14:paraId="721C8791"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Mean</w:t>
            </w:r>
          </w:p>
        </w:tc>
        <w:tc>
          <w:tcPr>
            <w:tcW w:w="851" w:type="dxa"/>
          </w:tcPr>
          <w:p w14:paraId="4B89CCA0"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eastAsia="Times New Roman" w:hAnsi="Cambria" w:cs="Times New Roman"/>
                <w:kern w:val="0"/>
                <w:sz w:val="24"/>
                <w:szCs w:val="24"/>
                <w:bdr w:val="none" w:sz="0" w:space="0" w:color="auto" w:frame="1"/>
                <w:lang w:val="en-GB"/>
                <w14:ligatures w14:val="none"/>
              </w:rPr>
              <w:t>4.84</w:t>
            </w:r>
          </w:p>
        </w:tc>
        <w:tc>
          <w:tcPr>
            <w:tcW w:w="850" w:type="dxa"/>
          </w:tcPr>
          <w:p w14:paraId="007BE5C7"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eastAsia="Times New Roman" w:hAnsi="Cambria" w:cs="Times New Roman"/>
                <w:kern w:val="0"/>
                <w:sz w:val="24"/>
                <w:szCs w:val="24"/>
                <w:bdr w:val="none" w:sz="0" w:space="0" w:color="auto" w:frame="1"/>
                <w:lang w:val="en-GB"/>
                <w14:ligatures w14:val="none"/>
              </w:rPr>
              <w:t>5.47</w:t>
            </w:r>
          </w:p>
        </w:tc>
        <w:tc>
          <w:tcPr>
            <w:tcW w:w="851" w:type="dxa"/>
          </w:tcPr>
          <w:p w14:paraId="2C2AB9FE"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eastAsia="Times New Roman" w:hAnsi="Cambria" w:cs="Times New Roman"/>
                <w:kern w:val="0"/>
                <w:sz w:val="24"/>
                <w:szCs w:val="24"/>
                <w:bdr w:val="none" w:sz="0" w:space="0" w:color="auto" w:frame="1"/>
                <w:lang w:val="en-GB"/>
                <w14:ligatures w14:val="none"/>
              </w:rPr>
              <w:t>3.54</w:t>
            </w:r>
          </w:p>
        </w:tc>
        <w:tc>
          <w:tcPr>
            <w:tcW w:w="850" w:type="dxa"/>
          </w:tcPr>
          <w:p w14:paraId="7E2E0FAD"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eastAsia="Times New Roman" w:hAnsi="Cambria" w:cs="Times New Roman"/>
                <w:kern w:val="0"/>
                <w:sz w:val="24"/>
                <w:szCs w:val="24"/>
                <w:bdr w:val="none" w:sz="0" w:space="0" w:color="auto" w:frame="1"/>
                <w:lang w:val="en-GB"/>
                <w14:ligatures w14:val="none"/>
              </w:rPr>
              <w:t>2.30</w:t>
            </w:r>
          </w:p>
        </w:tc>
        <w:tc>
          <w:tcPr>
            <w:tcW w:w="851" w:type="dxa"/>
          </w:tcPr>
          <w:p w14:paraId="481C5359"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eastAsia="Times New Roman" w:hAnsi="Cambria" w:cs="Times New Roman"/>
                <w:kern w:val="0"/>
                <w:sz w:val="24"/>
                <w:szCs w:val="24"/>
                <w:bdr w:val="none" w:sz="0" w:space="0" w:color="auto" w:frame="1"/>
                <w:lang w:val="en-GB"/>
                <w14:ligatures w14:val="none"/>
              </w:rPr>
              <w:t>3.61</w:t>
            </w:r>
          </w:p>
        </w:tc>
      </w:tr>
      <w:tr w:rsidR="00436AB0" w:rsidRPr="00436AB0" w14:paraId="6AA76AE3" w14:textId="77777777" w:rsidTr="00115EEB">
        <w:tc>
          <w:tcPr>
            <w:tcW w:w="3405" w:type="dxa"/>
          </w:tcPr>
          <w:p w14:paraId="4E1AE38C"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SD</w:t>
            </w:r>
          </w:p>
        </w:tc>
        <w:tc>
          <w:tcPr>
            <w:tcW w:w="851" w:type="dxa"/>
          </w:tcPr>
          <w:p w14:paraId="78985E6E"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eastAsia="Times New Roman" w:hAnsi="Cambria" w:cs="Times New Roman"/>
                <w:kern w:val="0"/>
                <w:sz w:val="24"/>
                <w:szCs w:val="24"/>
                <w:bdr w:val="none" w:sz="0" w:space="0" w:color="auto" w:frame="1"/>
                <w:lang w:val="en-GB"/>
                <w14:ligatures w14:val="none"/>
              </w:rPr>
              <w:t xml:space="preserve">1.37 </w:t>
            </w:r>
          </w:p>
        </w:tc>
        <w:tc>
          <w:tcPr>
            <w:tcW w:w="850" w:type="dxa"/>
          </w:tcPr>
          <w:p w14:paraId="086B9A60"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eastAsia="Times New Roman" w:hAnsi="Cambria" w:cs="Times New Roman"/>
                <w:kern w:val="0"/>
                <w:sz w:val="24"/>
                <w:szCs w:val="24"/>
                <w:bdr w:val="none" w:sz="0" w:space="0" w:color="auto" w:frame="1"/>
                <w:lang w:val="en-GB"/>
                <w14:ligatures w14:val="none"/>
              </w:rPr>
              <w:t xml:space="preserve">0.99 </w:t>
            </w:r>
          </w:p>
        </w:tc>
        <w:tc>
          <w:tcPr>
            <w:tcW w:w="851" w:type="dxa"/>
          </w:tcPr>
          <w:p w14:paraId="230E0475"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eastAsia="Times New Roman" w:hAnsi="Cambria" w:cs="Times New Roman"/>
                <w:kern w:val="0"/>
                <w:sz w:val="24"/>
                <w:szCs w:val="24"/>
                <w:bdr w:val="none" w:sz="0" w:space="0" w:color="auto" w:frame="1"/>
                <w:lang w:val="en-GB"/>
                <w14:ligatures w14:val="none"/>
              </w:rPr>
              <w:t xml:space="preserve">1.69 </w:t>
            </w:r>
          </w:p>
        </w:tc>
        <w:tc>
          <w:tcPr>
            <w:tcW w:w="850" w:type="dxa"/>
          </w:tcPr>
          <w:p w14:paraId="6BCDBD17"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eastAsia="Times New Roman" w:hAnsi="Cambria" w:cs="Times New Roman"/>
                <w:kern w:val="0"/>
                <w:sz w:val="24"/>
                <w:szCs w:val="24"/>
                <w:bdr w:val="none" w:sz="0" w:space="0" w:color="auto" w:frame="1"/>
                <w:lang w:val="en-GB"/>
                <w14:ligatures w14:val="none"/>
              </w:rPr>
              <w:t xml:space="preserve">1.08 </w:t>
            </w:r>
          </w:p>
        </w:tc>
        <w:tc>
          <w:tcPr>
            <w:tcW w:w="851" w:type="dxa"/>
          </w:tcPr>
          <w:p w14:paraId="4EDC0B39"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eastAsia="Times New Roman" w:hAnsi="Cambria" w:cs="Times New Roman"/>
                <w:kern w:val="0"/>
                <w:sz w:val="24"/>
                <w:szCs w:val="24"/>
                <w:bdr w:val="none" w:sz="0" w:space="0" w:color="auto" w:frame="1"/>
                <w:lang w:val="en-GB"/>
                <w14:ligatures w14:val="none"/>
              </w:rPr>
              <w:t>1.18</w:t>
            </w:r>
          </w:p>
        </w:tc>
      </w:tr>
      <w:tr w:rsidR="00436AB0" w:rsidRPr="00436AB0" w14:paraId="2F63BE6E" w14:textId="77777777" w:rsidTr="00115EEB">
        <w:tc>
          <w:tcPr>
            <w:tcW w:w="3405" w:type="dxa"/>
          </w:tcPr>
          <w:p w14:paraId="33BC76DC"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Observed range</w:t>
            </w:r>
          </w:p>
        </w:tc>
        <w:tc>
          <w:tcPr>
            <w:tcW w:w="851" w:type="dxa"/>
          </w:tcPr>
          <w:p w14:paraId="60289B14"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 xml:space="preserve">1–8 </w:t>
            </w:r>
          </w:p>
        </w:tc>
        <w:tc>
          <w:tcPr>
            <w:tcW w:w="850" w:type="dxa"/>
          </w:tcPr>
          <w:p w14:paraId="10D24135"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 xml:space="preserve">2–7 </w:t>
            </w:r>
          </w:p>
        </w:tc>
        <w:tc>
          <w:tcPr>
            <w:tcW w:w="851" w:type="dxa"/>
          </w:tcPr>
          <w:p w14:paraId="6D1C5A27"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0–7</w:t>
            </w:r>
          </w:p>
        </w:tc>
        <w:tc>
          <w:tcPr>
            <w:tcW w:w="850" w:type="dxa"/>
          </w:tcPr>
          <w:p w14:paraId="73BB8A71"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0–5</w:t>
            </w:r>
          </w:p>
        </w:tc>
        <w:tc>
          <w:tcPr>
            <w:tcW w:w="851" w:type="dxa"/>
          </w:tcPr>
          <w:p w14:paraId="7CBB100D"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 xml:space="preserve">0–6 </w:t>
            </w:r>
          </w:p>
        </w:tc>
      </w:tr>
      <w:tr w:rsidR="00436AB0" w:rsidRPr="00436AB0" w14:paraId="5531667C" w14:textId="77777777" w:rsidTr="00115EEB">
        <w:tc>
          <w:tcPr>
            <w:tcW w:w="3405" w:type="dxa"/>
          </w:tcPr>
          <w:p w14:paraId="208D579B"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Scale maximum</w:t>
            </w:r>
          </w:p>
        </w:tc>
        <w:tc>
          <w:tcPr>
            <w:tcW w:w="851" w:type="dxa"/>
          </w:tcPr>
          <w:p w14:paraId="6966A062"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8</w:t>
            </w:r>
          </w:p>
        </w:tc>
        <w:tc>
          <w:tcPr>
            <w:tcW w:w="850" w:type="dxa"/>
          </w:tcPr>
          <w:p w14:paraId="2123CFF5"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7</w:t>
            </w:r>
          </w:p>
        </w:tc>
        <w:tc>
          <w:tcPr>
            <w:tcW w:w="851" w:type="dxa"/>
          </w:tcPr>
          <w:p w14:paraId="75EDA33F"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9</w:t>
            </w:r>
          </w:p>
        </w:tc>
        <w:tc>
          <w:tcPr>
            <w:tcW w:w="850" w:type="dxa"/>
          </w:tcPr>
          <w:p w14:paraId="389C9F66"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5</w:t>
            </w:r>
          </w:p>
        </w:tc>
        <w:tc>
          <w:tcPr>
            <w:tcW w:w="851" w:type="dxa"/>
          </w:tcPr>
          <w:p w14:paraId="6B9BDB1A"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6</w:t>
            </w:r>
          </w:p>
        </w:tc>
      </w:tr>
      <w:tr w:rsidR="00436AB0" w:rsidRPr="00436AB0" w14:paraId="0E94CEDE" w14:textId="77777777" w:rsidTr="00115EEB">
        <w:tc>
          <w:tcPr>
            <w:tcW w:w="3405" w:type="dxa"/>
          </w:tcPr>
          <w:p w14:paraId="63358E91"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Omega total</w:t>
            </w:r>
          </w:p>
        </w:tc>
        <w:tc>
          <w:tcPr>
            <w:tcW w:w="851" w:type="dxa"/>
          </w:tcPr>
          <w:p w14:paraId="18AB439E"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.75</w:t>
            </w:r>
          </w:p>
        </w:tc>
        <w:tc>
          <w:tcPr>
            <w:tcW w:w="850" w:type="dxa"/>
          </w:tcPr>
          <w:p w14:paraId="7D4DD04C"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.73</w:t>
            </w:r>
          </w:p>
        </w:tc>
        <w:tc>
          <w:tcPr>
            <w:tcW w:w="851" w:type="dxa"/>
          </w:tcPr>
          <w:p w14:paraId="2D3CF3E3"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.86</w:t>
            </w:r>
          </w:p>
        </w:tc>
        <w:tc>
          <w:tcPr>
            <w:tcW w:w="850" w:type="dxa"/>
          </w:tcPr>
          <w:p w14:paraId="1665241C"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.62</w:t>
            </w:r>
          </w:p>
        </w:tc>
        <w:tc>
          <w:tcPr>
            <w:tcW w:w="851" w:type="dxa"/>
          </w:tcPr>
          <w:p w14:paraId="4126F514" w14:textId="77777777" w:rsidR="00436AB0" w:rsidRPr="00436AB0" w:rsidRDefault="00436AB0" w:rsidP="00E32591">
            <w:pPr>
              <w:spacing w:line="360" w:lineRule="auto"/>
              <w:contextualSpacing/>
              <w:rPr>
                <w:rFonts w:ascii="Cambria" w:hAnsi="Cambria" w:cs="Times New Roman"/>
                <w:sz w:val="24"/>
                <w:szCs w:val="24"/>
                <w:lang w:val="en-GB"/>
              </w:rPr>
            </w:pPr>
            <w:r w:rsidRPr="00436AB0">
              <w:rPr>
                <w:rFonts w:ascii="Cambria" w:hAnsi="Cambria" w:cs="Times New Roman"/>
                <w:sz w:val="24"/>
                <w:szCs w:val="24"/>
                <w:lang w:val="en-GB"/>
              </w:rPr>
              <w:t>.50</w:t>
            </w:r>
          </w:p>
        </w:tc>
      </w:tr>
    </w:tbl>
    <w:p w14:paraId="7DD0E2E0" w14:textId="77777777" w:rsidR="00436AB0" w:rsidRPr="00436AB0" w:rsidRDefault="00436AB0" w:rsidP="00E32591">
      <w:pPr>
        <w:spacing w:line="360" w:lineRule="auto"/>
        <w:contextualSpacing/>
        <w:rPr>
          <w:rFonts w:ascii="Cambria" w:hAnsi="Cambria" w:cs="Times New Roman"/>
          <w:sz w:val="24"/>
          <w:szCs w:val="24"/>
          <w:lang w:val="en-GB"/>
        </w:rPr>
      </w:pPr>
    </w:p>
    <w:p w14:paraId="519CAF79" w14:textId="77777777" w:rsidR="00436AB0" w:rsidRPr="00436AB0" w:rsidRDefault="00436AB0" w:rsidP="00E32591">
      <w:pPr>
        <w:spacing w:line="360" w:lineRule="auto"/>
        <w:contextualSpacing/>
        <w:rPr>
          <w:rFonts w:ascii="Cambria" w:hAnsi="Cambria" w:cs="Times New Roman"/>
          <w:sz w:val="24"/>
          <w:szCs w:val="24"/>
          <w:lang w:val="en-GB"/>
        </w:rPr>
      </w:pPr>
    </w:p>
    <w:p w14:paraId="030497CB" w14:textId="77777777" w:rsidR="00436AB0" w:rsidRPr="00436AB0" w:rsidRDefault="00436AB0" w:rsidP="00E32591">
      <w:pPr>
        <w:keepNext/>
        <w:spacing w:line="360" w:lineRule="auto"/>
        <w:contextualSpacing/>
        <w:rPr>
          <w:rFonts w:ascii="Cambria" w:hAnsi="Cambria" w:cs="Times New Roman"/>
          <w:b/>
          <w:bCs/>
          <w:i/>
          <w:iCs/>
          <w:color w:val="000000" w:themeColor="text1"/>
          <w:sz w:val="24"/>
          <w:szCs w:val="24"/>
          <w:lang w:val="en-GB"/>
        </w:rPr>
      </w:pPr>
      <w:r w:rsidRPr="00436AB0">
        <w:rPr>
          <w:rFonts w:ascii="Cambria" w:hAnsi="Cambria" w:cs="Times New Roman"/>
          <w:b/>
          <w:bCs/>
          <w:i/>
          <w:iCs/>
          <w:color w:val="000000" w:themeColor="text1"/>
          <w:sz w:val="24"/>
          <w:szCs w:val="24"/>
          <w:lang w:val="en-GB"/>
        </w:rPr>
        <w:t>Change Over Time</w:t>
      </w:r>
    </w:p>
    <w:p w14:paraId="623FEA43" w14:textId="77777777" w:rsidR="00436AB0" w:rsidRPr="00436AB0" w:rsidRDefault="00436AB0" w:rsidP="00E32591">
      <w:pPr>
        <w:spacing w:line="360" w:lineRule="auto"/>
        <w:ind w:firstLine="624"/>
        <w:contextualSpacing/>
        <w:rPr>
          <w:rFonts w:ascii="Cambria" w:hAnsi="Cambria" w:cs="Times New Roman"/>
          <w:color w:val="000000" w:themeColor="text1"/>
          <w:sz w:val="24"/>
          <w:szCs w:val="24"/>
          <w:lang w:val="en-GB"/>
        </w:rPr>
      </w:pPr>
      <w:r w:rsidRPr="00436AB0">
        <w:rPr>
          <w:rFonts w:ascii="Cambria" w:hAnsi="Cambria" w:cs="Times New Roman"/>
          <w:sz w:val="24"/>
          <w:szCs w:val="24"/>
          <w:lang w:val="en-GB"/>
        </w:rPr>
        <w:t xml:space="preserve">As Table S3 shows, complete datasets were available from 54 students. </w:t>
      </w:r>
      <w:r w:rsidRPr="00436AB0">
        <w:rPr>
          <w:rFonts w:ascii="Cambria" w:hAnsi="Cambria" w:cs="Times New Roman"/>
          <w:color w:val="000000" w:themeColor="text1"/>
          <w:sz w:val="24"/>
          <w:szCs w:val="24"/>
          <w:lang w:val="en-GB"/>
        </w:rPr>
        <w:t xml:space="preserve">Among the 54 students with complete datasets, the total ACLT score improved from Time 1 to Time 2, </w:t>
      </w:r>
      <w:r w:rsidRPr="00436AB0">
        <w:rPr>
          <w:rFonts w:ascii="Cambria" w:hAnsi="Cambria" w:cs="Times New Roman"/>
          <w:i/>
          <w:iCs/>
          <w:color w:val="000000" w:themeColor="text1"/>
          <w:sz w:val="24"/>
          <w:szCs w:val="24"/>
          <w:lang w:val="en-GB"/>
        </w:rPr>
        <w:t>t</w:t>
      </w:r>
      <w:r w:rsidRPr="00436AB0">
        <w:rPr>
          <w:rFonts w:ascii="Cambria" w:hAnsi="Cambria" w:cs="Times New Roman"/>
          <w:color w:val="000000" w:themeColor="text1"/>
          <w:sz w:val="24"/>
          <w:szCs w:val="24"/>
          <w:lang w:val="en-GB"/>
        </w:rPr>
        <w:t xml:space="preserve">(53) = -2.54, </w:t>
      </w:r>
      <w:r w:rsidRPr="00436AB0">
        <w:rPr>
          <w:rFonts w:ascii="Cambria" w:hAnsi="Cambria" w:cs="Times New Roman"/>
          <w:i/>
          <w:iCs/>
          <w:color w:val="000000" w:themeColor="text1"/>
          <w:sz w:val="24"/>
          <w:szCs w:val="24"/>
          <w:lang w:val="en-GB"/>
        </w:rPr>
        <w:t>p</w:t>
      </w:r>
      <w:r w:rsidRPr="00436AB0">
        <w:rPr>
          <w:rFonts w:ascii="Cambria" w:hAnsi="Cambria" w:cs="Times New Roman"/>
          <w:color w:val="000000" w:themeColor="text1"/>
          <w:sz w:val="24"/>
          <w:szCs w:val="24"/>
          <w:lang w:val="en-GB"/>
        </w:rPr>
        <w:t xml:space="preserve"> = .014, with a small-to-medium effect size, Cohen’s </w:t>
      </w:r>
      <w:r w:rsidRPr="00436AB0">
        <w:rPr>
          <w:rFonts w:ascii="Cambria" w:hAnsi="Cambria" w:cs="Times New Roman"/>
          <w:i/>
          <w:iCs/>
          <w:color w:val="000000" w:themeColor="text1"/>
          <w:sz w:val="24"/>
          <w:szCs w:val="24"/>
          <w:lang w:val="en-GB"/>
        </w:rPr>
        <w:t>d</w:t>
      </w:r>
      <w:r w:rsidRPr="00436AB0">
        <w:rPr>
          <w:rFonts w:ascii="Cambria" w:hAnsi="Cambria" w:cs="Times New Roman"/>
          <w:color w:val="000000" w:themeColor="text1"/>
          <w:sz w:val="24"/>
          <w:szCs w:val="24"/>
          <w:lang w:val="en-GB"/>
        </w:rPr>
        <w:t xml:space="preserve"> = 0.40, 95% CI of </w:t>
      </w:r>
      <w:r w:rsidRPr="00436AB0">
        <w:rPr>
          <w:rFonts w:ascii="Cambria" w:hAnsi="Cambria" w:cs="Times New Roman"/>
          <w:i/>
          <w:iCs/>
          <w:color w:val="000000" w:themeColor="text1"/>
          <w:sz w:val="24"/>
          <w:szCs w:val="24"/>
          <w:lang w:val="en-GB"/>
        </w:rPr>
        <w:t>d</w:t>
      </w:r>
      <w:r w:rsidRPr="00436AB0">
        <w:rPr>
          <w:rFonts w:ascii="Cambria" w:hAnsi="Cambria" w:cs="Times New Roman"/>
          <w:color w:val="000000" w:themeColor="text1"/>
          <w:sz w:val="24"/>
          <w:szCs w:val="24"/>
          <w:lang w:val="en-GB"/>
        </w:rPr>
        <w:t xml:space="preserve"> = [-0.78, -0.01]. To investigate what proportion of students improved, we calculated a difference score for each participant by subtracting the Time 1 score from the Time 2 score. The distribution of these difference scores showed that 56% of participants improved, while the scores of 28% decreased, and 17% of participants showed no change. Improvement was larger among students who performed worse at Time 1, with change scores strongly positively related to Time 1 scores, </w:t>
      </w:r>
      <w:r w:rsidRPr="00436AB0">
        <w:rPr>
          <w:rFonts w:ascii="Cambria" w:hAnsi="Cambria" w:cs="Times New Roman"/>
          <w:i/>
          <w:iCs/>
          <w:color w:val="000000" w:themeColor="text1"/>
          <w:sz w:val="24"/>
          <w:szCs w:val="24"/>
          <w:lang w:val="en-GB"/>
        </w:rPr>
        <w:t>r</w:t>
      </w:r>
      <w:r w:rsidRPr="00436AB0">
        <w:rPr>
          <w:rFonts w:ascii="Cambria" w:hAnsi="Cambria" w:cs="Times New Roman"/>
          <w:color w:val="000000" w:themeColor="text1"/>
          <w:sz w:val="24"/>
          <w:szCs w:val="24"/>
          <w:lang w:val="en-GB"/>
        </w:rPr>
        <w:t xml:space="preserve"> = .46, </w:t>
      </w:r>
      <w:r w:rsidRPr="00436AB0">
        <w:rPr>
          <w:rFonts w:ascii="Cambria" w:hAnsi="Cambria" w:cs="Times New Roman"/>
          <w:i/>
          <w:iCs/>
          <w:color w:val="000000" w:themeColor="text1"/>
          <w:sz w:val="24"/>
          <w:szCs w:val="24"/>
          <w:lang w:val="en-GB"/>
        </w:rPr>
        <w:t>p</w:t>
      </w:r>
      <w:r w:rsidRPr="00436AB0">
        <w:rPr>
          <w:rFonts w:ascii="Cambria" w:hAnsi="Cambria" w:cs="Times New Roman"/>
          <w:color w:val="000000" w:themeColor="text1"/>
          <w:sz w:val="24"/>
          <w:szCs w:val="24"/>
          <w:lang w:val="en-GB"/>
        </w:rPr>
        <w:t xml:space="preserve"> &lt; .001. Improvement was unrelated to interest in argumentation and debate. The correlation of the total scores at Times 1 and 2 (which can be interpreted as test-retest reliability) was </w:t>
      </w:r>
      <w:r w:rsidRPr="00436AB0">
        <w:rPr>
          <w:rFonts w:ascii="Cambria" w:hAnsi="Cambria" w:cs="Times New Roman"/>
          <w:i/>
          <w:iCs/>
          <w:color w:val="000000" w:themeColor="text1"/>
          <w:sz w:val="24"/>
          <w:szCs w:val="24"/>
          <w:lang w:val="en-GB"/>
        </w:rPr>
        <w:t>r</w:t>
      </w:r>
      <w:r w:rsidRPr="00436AB0">
        <w:rPr>
          <w:rFonts w:ascii="Cambria" w:hAnsi="Cambria" w:cs="Times New Roman"/>
          <w:color w:val="000000" w:themeColor="text1"/>
          <w:sz w:val="24"/>
          <w:szCs w:val="24"/>
          <w:lang w:val="en-GB"/>
        </w:rPr>
        <w:t xml:space="preserve"> = .35, </w:t>
      </w:r>
      <w:r w:rsidRPr="00436AB0">
        <w:rPr>
          <w:rFonts w:ascii="Cambria" w:hAnsi="Cambria" w:cs="Times New Roman"/>
          <w:i/>
          <w:iCs/>
          <w:color w:val="000000" w:themeColor="text1"/>
          <w:sz w:val="24"/>
          <w:szCs w:val="24"/>
          <w:lang w:val="en-GB"/>
        </w:rPr>
        <w:t>p</w:t>
      </w:r>
      <w:r w:rsidRPr="00436AB0">
        <w:rPr>
          <w:rFonts w:ascii="Cambria" w:hAnsi="Cambria" w:cs="Times New Roman"/>
          <w:color w:val="000000" w:themeColor="text1"/>
          <w:sz w:val="24"/>
          <w:szCs w:val="24"/>
          <w:lang w:val="en-GB"/>
        </w:rPr>
        <w:t xml:space="preserve"> = .009. </w:t>
      </w:r>
    </w:p>
    <w:p w14:paraId="490AE9ED" w14:textId="77777777" w:rsidR="00436AB0" w:rsidRPr="00436AB0" w:rsidRDefault="00436AB0" w:rsidP="00E32591">
      <w:pPr>
        <w:spacing w:line="360" w:lineRule="auto"/>
        <w:ind w:firstLine="624"/>
        <w:contextualSpacing/>
        <w:rPr>
          <w:rFonts w:ascii="Cambria" w:hAnsi="Cambria" w:cs="Times New Roman"/>
          <w:sz w:val="24"/>
          <w:szCs w:val="24"/>
          <w:lang w:val="en-GB"/>
        </w:rPr>
      </w:pPr>
    </w:p>
    <w:p w14:paraId="42BD14EB" w14:textId="77777777" w:rsidR="00436AB0" w:rsidRPr="00436AB0" w:rsidRDefault="00436AB0" w:rsidP="00E32591">
      <w:pPr>
        <w:spacing w:line="360" w:lineRule="auto"/>
        <w:ind w:firstLine="624"/>
        <w:contextualSpacing/>
        <w:rPr>
          <w:rFonts w:ascii="Cambria" w:hAnsi="Cambria" w:cs="Times New Roman"/>
          <w:sz w:val="24"/>
          <w:szCs w:val="24"/>
          <w:lang w:val="en-GB"/>
        </w:rPr>
      </w:pPr>
    </w:p>
    <w:p w14:paraId="6AD863D2" w14:textId="77777777" w:rsidR="00436AB0" w:rsidRPr="00436AB0" w:rsidRDefault="00436AB0" w:rsidP="00E32591">
      <w:pPr>
        <w:spacing w:line="360" w:lineRule="auto"/>
        <w:contextualSpacing/>
        <w:rPr>
          <w:rFonts w:ascii="Cambria" w:hAnsi="Cambria" w:cs="Times New Roman"/>
          <w:b/>
          <w:bCs/>
          <w:kern w:val="0"/>
          <w:sz w:val="24"/>
          <w:szCs w:val="24"/>
          <w:lang w:val="en-GB"/>
          <w14:ligatures w14:val="none"/>
        </w:rPr>
      </w:pPr>
      <w:r w:rsidRPr="00436AB0">
        <w:rPr>
          <w:rFonts w:ascii="Cambria" w:hAnsi="Cambria" w:cs="Times New Roman"/>
          <w:b/>
          <w:bCs/>
          <w:kern w:val="0"/>
          <w:sz w:val="24"/>
          <w:szCs w:val="24"/>
          <w:lang w:val="en-GB"/>
          <w14:ligatures w14:val="none"/>
        </w:rPr>
        <w:br w:type="page"/>
      </w:r>
    </w:p>
    <w:p w14:paraId="0A7A5113" w14:textId="77777777" w:rsidR="00436AB0" w:rsidRPr="00436AB0" w:rsidRDefault="00436AB0" w:rsidP="00E32591">
      <w:pPr>
        <w:spacing w:line="360" w:lineRule="auto"/>
        <w:contextualSpacing/>
        <w:jc w:val="center"/>
        <w:rPr>
          <w:rFonts w:ascii="Cambria" w:hAnsi="Cambria" w:cs="Times New Roman"/>
          <w:b/>
          <w:bCs/>
          <w:kern w:val="0"/>
          <w:sz w:val="24"/>
          <w:szCs w:val="24"/>
          <w:lang w:val="en-GB"/>
          <w14:ligatures w14:val="none"/>
        </w:rPr>
      </w:pPr>
      <w:r w:rsidRPr="00436AB0">
        <w:rPr>
          <w:rFonts w:ascii="Cambria" w:hAnsi="Cambria" w:cs="Times New Roman"/>
          <w:b/>
          <w:bCs/>
          <w:kern w:val="0"/>
          <w:sz w:val="24"/>
          <w:szCs w:val="24"/>
          <w:lang w:val="en-GB"/>
          <w14:ligatures w14:val="none"/>
        </w:rPr>
        <w:lastRenderedPageBreak/>
        <w:t xml:space="preserve">Study 3, Supplemental Materials </w:t>
      </w:r>
    </w:p>
    <w:p w14:paraId="1184FB08" w14:textId="77777777" w:rsidR="00436AB0" w:rsidRPr="00436AB0" w:rsidRDefault="00436AB0" w:rsidP="00E32591">
      <w:pPr>
        <w:keepNext/>
        <w:spacing w:line="360" w:lineRule="auto"/>
        <w:contextualSpacing/>
        <w:rPr>
          <w:rFonts w:ascii="Cambria" w:hAnsi="Cambria" w:cs="Times New Roman"/>
          <w:b/>
          <w:bCs/>
          <w:i/>
          <w:iCs/>
          <w:kern w:val="0"/>
          <w:sz w:val="24"/>
          <w:szCs w:val="24"/>
          <w:lang w:val="en-GB"/>
          <w14:ligatures w14:val="none"/>
        </w:rPr>
      </w:pPr>
      <w:r w:rsidRPr="00436AB0">
        <w:rPr>
          <w:rFonts w:ascii="Cambria" w:hAnsi="Cambria" w:cs="Times New Roman"/>
          <w:b/>
          <w:bCs/>
          <w:i/>
          <w:iCs/>
          <w:kern w:val="0"/>
          <w:sz w:val="24"/>
          <w:szCs w:val="24"/>
          <w:lang w:val="en-GB"/>
          <w14:ligatures w14:val="none"/>
        </w:rPr>
        <w:t>Measures</w:t>
      </w:r>
    </w:p>
    <w:p w14:paraId="359F0D11" w14:textId="77777777" w:rsidR="00436AB0" w:rsidRPr="00436AB0" w:rsidRDefault="00436AB0" w:rsidP="00E32591">
      <w:pPr>
        <w:spacing w:line="360" w:lineRule="auto"/>
        <w:ind w:firstLine="624"/>
        <w:contextualSpacing/>
        <w:rPr>
          <w:rFonts w:ascii="Cambria" w:hAnsi="Cambria" w:cs="Times New Roman"/>
          <w:kern w:val="0"/>
          <w:sz w:val="24"/>
          <w:szCs w:val="24"/>
          <w:lang w:val="en-GB"/>
          <w14:ligatures w14:val="none"/>
        </w:rPr>
      </w:pPr>
      <w:r w:rsidRPr="00436AB0">
        <w:rPr>
          <w:rFonts w:ascii="Cambria" w:hAnsi="Cambria" w:cs="Times New Roman"/>
          <w:kern w:val="0"/>
          <w:sz w:val="24"/>
          <w:szCs w:val="24"/>
          <w:lang w:val="en-GB"/>
          <w14:ligatures w14:val="none"/>
        </w:rPr>
        <w:t xml:space="preserve">Part 1 (Claims and Reasons) included four sentences, each consisting of two numbered clauses, and the task was to indicate which clause represented the claim and which clause represented the reason. </w:t>
      </w:r>
    </w:p>
    <w:p w14:paraId="31C510A1" w14:textId="77777777" w:rsidR="00436AB0" w:rsidRPr="00436AB0" w:rsidRDefault="00436AB0" w:rsidP="00E32591">
      <w:pPr>
        <w:spacing w:line="360" w:lineRule="auto"/>
        <w:ind w:firstLine="624"/>
        <w:contextualSpacing/>
        <w:rPr>
          <w:rFonts w:ascii="Cambria" w:hAnsi="Cambria" w:cs="Times New Roman"/>
          <w:kern w:val="0"/>
          <w:sz w:val="24"/>
          <w:szCs w:val="24"/>
          <w:lang w:val="en-GB"/>
          <w14:ligatures w14:val="none"/>
        </w:rPr>
      </w:pPr>
      <w:r w:rsidRPr="00436AB0">
        <w:rPr>
          <w:rFonts w:ascii="Cambria" w:hAnsi="Cambria" w:cs="Times New Roman"/>
          <w:kern w:val="0"/>
          <w:sz w:val="24"/>
          <w:szCs w:val="24"/>
          <w:lang w:val="en-GB"/>
          <w14:ligatures w14:val="none"/>
        </w:rPr>
        <w:t xml:space="preserve">Part 2 (Identifying the Main Claim) included three text passages, each consisting of six numbered clauses, and the task was to identify which clauses represented the main claim. </w:t>
      </w:r>
    </w:p>
    <w:p w14:paraId="701BC6F4" w14:textId="77777777" w:rsidR="00436AB0" w:rsidRPr="00436AB0" w:rsidRDefault="00436AB0" w:rsidP="00E32591">
      <w:pPr>
        <w:spacing w:line="360" w:lineRule="auto"/>
        <w:ind w:firstLine="624"/>
        <w:contextualSpacing/>
        <w:rPr>
          <w:rFonts w:ascii="Cambria" w:hAnsi="Cambria" w:cs="Times New Roman"/>
          <w:kern w:val="0"/>
          <w:sz w:val="24"/>
          <w:szCs w:val="24"/>
          <w:lang w:val="en-GB"/>
          <w14:ligatures w14:val="none"/>
        </w:rPr>
      </w:pPr>
      <w:r w:rsidRPr="00436AB0">
        <w:rPr>
          <w:rFonts w:ascii="Cambria" w:hAnsi="Cambria" w:cs="Times New Roman"/>
          <w:kern w:val="0"/>
          <w:sz w:val="24"/>
          <w:szCs w:val="24"/>
          <w:lang w:val="en-GB"/>
          <w14:ligatures w14:val="none"/>
        </w:rPr>
        <w:t xml:space="preserve">Part 3 (Reasons) included three text passages, each seven sentences long, in which the main claim was highlighted, and the task was to identify which two of the numbered clauses provided reasons that supported this claim. </w:t>
      </w:r>
    </w:p>
    <w:p w14:paraId="74AC7001" w14:textId="77777777" w:rsidR="00436AB0" w:rsidRPr="00436AB0" w:rsidRDefault="00436AB0" w:rsidP="00E32591">
      <w:pPr>
        <w:spacing w:line="360" w:lineRule="auto"/>
        <w:ind w:firstLine="624"/>
        <w:contextualSpacing/>
        <w:rPr>
          <w:rFonts w:ascii="Cambria" w:hAnsi="Cambria" w:cs="Times New Roman"/>
          <w:kern w:val="0"/>
          <w:sz w:val="24"/>
          <w:szCs w:val="24"/>
          <w:lang w:val="en-GB"/>
          <w14:ligatures w14:val="none"/>
        </w:rPr>
      </w:pPr>
      <w:r w:rsidRPr="00436AB0">
        <w:rPr>
          <w:rFonts w:ascii="Cambria" w:hAnsi="Cambria" w:cs="Times New Roman"/>
          <w:kern w:val="0"/>
          <w:sz w:val="24"/>
          <w:szCs w:val="24"/>
          <w:lang w:val="en-GB"/>
          <w14:ligatures w14:val="none"/>
        </w:rPr>
        <w:t xml:space="preserve">Part 4 (Rhetorical Aspects) included three text passages, each consisting of seven numbered sentences. For each text, the participants were asked to select from four options the best counterargument that may be given in response to this text as well as the rhetorical strategy (whether an argument primarily appeals to credibility or emotions) used in one of the numbered sentences. </w:t>
      </w:r>
    </w:p>
    <w:p w14:paraId="1651CFD3" w14:textId="77777777" w:rsidR="00436AB0" w:rsidRPr="00436AB0" w:rsidRDefault="00436AB0" w:rsidP="00E32591">
      <w:pPr>
        <w:spacing w:line="360" w:lineRule="auto"/>
        <w:ind w:firstLine="624"/>
        <w:contextualSpacing/>
        <w:rPr>
          <w:rFonts w:ascii="Cambria" w:hAnsi="Cambria" w:cs="Times New Roman"/>
          <w:kern w:val="0"/>
          <w:sz w:val="24"/>
          <w:szCs w:val="24"/>
          <w:lang w:val="en-GB"/>
          <w14:ligatures w14:val="none"/>
        </w:rPr>
      </w:pPr>
      <w:r w:rsidRPr="00436AB0">
        <w:rPr>
          <w:rFonts w:ascii="Cambria" w:hAnsi="Cambria" w:cs="Times New Roman"/>
          <w:kern w:val="0"/>
          <w:sz w:val="24"/>
          <w:szCs w:val="24"/>
          <w:lang w:val="en-GB"/>
          <w14:ligatures w14:val="none"/>
        </w:rPr>
        <w:t xml:space="preserve">Part 5 (Implicit Reasons) assessed the ability to identify implicit or missing premises (corresponding to the enthymeme analysis task of Studies 1 and 2). The task included five sentences and asked participants to select, for each sentence, which of four options best completed the argumentation. </w:t>
      </w:r>
    </w:p>
    <w:p w14:paraId="5B9E960F" w14:textId="77777777" w:rsidR="00436AB0" w:rsidRPr="00436AB0" w:rsidRDefault="00436AB0" w:rsidP="00E32591">
      <w:pPr>
        <w:spacing w:line="360" w:lineRule="auto"/>
        <w:ind w:firstLine="624"/>
        <w:contextualSpacing/>
        <w:rPr>
          <w:rFonts w:ascii="Cambria" w:hAnsi="Cambria" w:cs="Times New Roman"/>
          <w:kern w:val="0"/>
          <w:sz w:val="24"/>
          <w:szCs w:val="24"/>
          <w:lang w:val="en-GB"/>
          <w14:ligatures w14:val="none"/>
        </w:rPr>
      </w:pPr>
      <w:r w:rsidRPr="00436AB0">
        <w:rPr>
          <w:rFonts w:ascii="Cambria" w:hAnsi="Cambria" w:cs="Times New Roman"/>
          <w:kern w:val="0"/>
          <w:sz w:val="24"/>
          <w:szCs w:val="24"/>
          <w:lang w:val="en-GB"/>
          <w14:ligatures w14:val="none"/>
        </w:rPr>
        <w:t xml:space="preserve">Part 6 (Argument Structures) assessed the ability to analyse more complex argumentation structures. This task included three texts, each consisting of three numbered sentences, and participants were asked to indicate which sentence was the claim, which was the main argument, and which was a subordinate argument (supporting reason). In each text, one point was given if the claim was correctly identified, and another point if the two arguments were in the correct order. </w:t>
      </w:r>
    </w:p>
    <w:p w14:paraId="6DEFB76E" w14:textId="77777777" w:rsidR="00436AB0" w:rsidRPr="00436AB0" w:rsidRDefault="00436AB0" w:rsidP="00E32591">
      <w:pPr>
        <w:spacing w:line="360" w:lineRule="auto"/>
        <w:ind w:firstLine="624"/>
        <w:contextualSpacing/>
        <w:rPr>
          <w:rFonts w:ascii="Cambria" w:hAnsi="Cambria" w:cs="Times New Roman"/>
          <w:kern w:val="0"/>
          <w:sz w:val="24"/>
          <w:szCs w:val="24"/>
          <w:lang w:val="en-GB"/>
          <w14:ligatures w14:val="none"/>
        </w:rPr>
      </w:pPr>
      <w:r w:rsidRPr="00436AB0">
        <w:rPr>
          <w:rFonts w:ascii="Cambria" w:hAnsi="Cambria" w:cs="Times New Roman"/>
          <w:kern w:val="0"/>
          <w:sz w:val="24"/>
          <w:szCs w:val="24"/>
          <w:lang w:val="en-GB"/>
          <w14:ligatures w14:val="none"/>
        </w:rPr>
        <w:t xml:space="preserve">Part 7 (Problematic Argumentation) included six fallacies, and for each fallacy, the task was to select from four options the flaw in the argument. </w:t>
      </w:r>
    </w:p>
    <w:p w14:paraId="205CEC13" w14:textId="77777777" w:rsidR="00436AB0" w:rsidRPr="00436AB0" w:rsidRDefault="00436AB0" w:rsidP="00E32591">
      <w:pPr>
        <w:spacing w:line="360" w:lineRule="auto"/>
        <w:ind w:firstLine="624"/>
        <w:contextualSpacing/>
        <w:rPr>
          <w:rFonts w:ascii="Cambria" w:hAnsi="Cambria" w:cs="Times New Roman"/>
          <w:kern w:val="0"/>
          <w:sz w:val="24"/>
          <w:szCs w:val="24"/>
          <w:lang w:val="en-GB"/>
          <w14:ligatures w14:val="none"/>
        </w:rPr>
      </w:pPr>
      <w:r w:rsidRPr="00436AB0">
        <w:rPr>
          <w:rFonts w:ascii="Cambria" w:hAnsi="Cambria" w:cs="Times New Roman"/>
          <w:kern w:val="0"/>
          <w:sz w:val="24"/>
          <w:szCs w:val="24"/>
          <w:lang w:val="en-GB"/>
          <w14:ligatures w14:val="none"/>
        </w:rPr>
        <w:t>Part 8 (Argument Types) included four sentences, and the task was to indicate whether each sentence represented a causal, analogous, or symptomatic argument. In the revised CALT used in Study 3, the symptomatic category was dropped and the task became a binary causal/analogous classification.</w:t>
      </w:r>
    </w:p>
    <w:p w14:paraId="27D96B26" w14:textId="77777777" w:rsidR="00436AB0" w:rsidRPr="00436AB0" w:rsidRDefault="00436AB0" w:rsidP="00E32591">
      <w:pPr>
        <w:spacing w:line="360" w:lineRule="auto"/>
        <w:ind w:firstLine="624"/>
        <w:contextualSpacing/>
        <w:rPr>
          <w:rFonts w:ascii="Cambria" w:hAnsi="Cambria" w:cs="Times New Roman"/>
          <w:kern w:val="0"/>
          <w:sz w:val="24"/>
          <w:szCs w:val="24"/>
          <w:lang w:val="en-GB"/>
          <w14:ligatures w14:val="none"/>
        </w:rPr>
      </w:pPr>
      <w:r w:rsidRPr="00436AB0">
        <w:rPr>
          <w:rFonts w:ascii="Cambria" w:hAnsi="Cambria" w:cs="Times New Roman"/>
          <w:kern w:val="0"/>
          <w:sz w:val="24"/>
          <w:szCs w:val="24"/>
          <w:lang w:val="en-GB"/>
          <w14:ligatures w14:val="none"/>
        </w:rPr>
        <w:lastRenderedPageBreak/>
        <w:t xml:space="preserve">Part 9 (Visual Argument Interpretation) assessed the ability to interpret the message that an image is intended to convey. The task included a campaign-poster used by the World Wildlife Fund, with four questions about the claim, rhetorical strategy, target audience, and type of argumentation involved. Each question had four response options. </w:t>
      </w:r>
    </w:p>
    <w:p w14:paraId="5AF046E7" w14:textId="77777777" w:rsidR="00436AB0" w:rsidRPr="00436AB0" w:rsidRDefault="00436AB0" w:rsidP="003B75BF">
      <w:pPr>
        <w:spacing w:line="360" w:lineRule="auto"/>
        <w:ind w:firstLine="624"/>
        <w:contextualSpacing/>
        <w:rPr>
          <w:rFonts w:ascii="Cambria" w:hAnsi="Cambria" w:cs="Times New Roman"/>
          <w:kern w:val="0"/>
          <w:sz w:val="24"/>
          <w:szCs w:val="24"/>
          <w:lang w:val="en-GB"/>
          <w14:ligatures w14:val="none"/>
        </w:rPr>
      </w:pPr>
      <w:r w:rsidRPr="00436AB0">
        <w:rPr>
          <w:rFonts w:ascii="Cambria" w:hAnsi="Cambria" w:cs="Times New Roman"/>
          <w:kern w:val="0"/>
          <w:sz w:val="24"/>
          <w:szCs w:val="24"/>
          <w:lang w:val="en-GB"/>
          <w14:ligatures w14:val="none"/>
        </w:rPr>
        <w:t xml:space="preserve">Part 10 (Argument Strength) assessed the ability to evaluate the overall soundness of an argument. This part consisted of four arguments. The participants were asked to indicate how weakly or strongly the reasons supported the claim. The response scale was an ordinal scale with the options -2 </w:t>
      </w:r>
      <w:r w:rsidRPr="00436AB0">
        <w:rPr>
          <w:rFonts w:ascii="Cambria" w:hAnsi="Cambria" w:cs="Times New Roman"/>
          <w:i/>
          <w:iCs/>
          <w:kern w:val="0"/>
          <w:sz w:val="24"/>
          <w:szCs w:val="24"/>
          <w:lang w:val="en-GB"/>
          <w14:ligatures w14:val="none"/>
        </w:rPr>
        <w:t>(does not support</w:t>
      </w:r>
      <w:r w:rsidRPr="00436AB0">
        <w:rPr>
          <w:rFonts w:ascii="Cambria" w:hAnsi="Cambria" w:cs="Times New Roman"/>
          <w:kern w:val="0"/>
          <w:sz w:val="24"/>
          <w:szCs w:val="24"/>
          <w:lang w:val="en-GB"/>
          <w14:ligatures w14:val="none"/>
        </w:rPr>
        <w:t>), -1 (</w:t>
      </w:r>
      <w:r w:rsidRPr="00436AB0">
        <w:rPr>
          <w:rFonts w:ascii="Cambria" w:hAnsi="Cambria" w:cs="Times New Roman"/>
          <w:i/>
          <w:iCs/>
          <w:kern w:val="0"/>
          <w:sz w:val="24"/>
          <w:szCs w:val="24"/>
          <w:lang w:val="en-GB"/>
          <w14:ligatures w14:val="none"/>
        </w:rPr>
        <w:t>weakly supports</w:t>
      </w:r>
      <w:r w:rsidRPr="00436AB0">
        <w:rPr>
          <w:rFonts w:ascii="Cambria" w:hAnsi="Cambria" w:cs="Times New Roman"/>
          <w:kern w:val="0"/>
          <w:sz w:val="24"/>
          <w:szCs w:val="24"/>
          <w:lang w:val="en-GB"/>
          <w14:ligatures w14:val="none"/>
        </w:rPr>
        <w:t>), +1 (</w:t>
      </w:r>
      <w:r w:rsidRPr="00436AB0">
        <w:rPr>
          <w:rFonts w:ascii="Cambria" w:hAnsi="Cambria" w:cs="Times New Roman"/>
          <w:i/>
          <w:iCs/>
          <w:kern w:val="0"/>
          <w:sz w:val="24"/>
          <w:szCs w:val="24"/>
          <w:lang w:val="en-GB"/>
          <w14:ligatures w14:val="none"/>
        </w:rPr>
        <w:t>moderately supports</w:t>
      </w:r>
      <w:r w:rsidRPr="00436AB0">
        <w:rPr>
          <w:rFonts w:ascii="Cambria" w:hAnsi="Cambria" w:cs="Times New Roman"/>
          <w:kern w:val="0"/>
          <w:sz w:val="24"/>
          <w:szCs w:val="24"/>
          <w:lang w:val="en-GB"/>
          <w14:ligatures w14:val="none"/>
        </w:rPr>
        <w:t>), +2 (</w:t>
      </w:r>
      <w:r w:rsidRPr="00436AB0">
        <w:rPr>
          <w:rFonts w:ascii="Cambria" w:hAnsi="Cambria" w:cs="Times New Roman"/>
          <w:i/>
          <w:iCs/>
          <w:kern w:val="0"/>
          <w:sz w:val="24"/>
          <w:szCs w:val="24"/>
          <w:lang w:val="en-GB"/>
          <w14:ligatures w14:val="none"/>
        </w:rPr>
        <w:t>strongly supports</w:t>
      </w:r>
      <w:r w:rsidRPr="00436AB0">
        <w:rPr>
          <w:rFonts w:ascii="Cambria" w:hAnsi="Cambria" w:cs="Times New Roman"/>
          <w:kern w:val="0"/>
          <w:sz w:val="24"/>
          <w:szCs w:val="24"/>
          <w:lang w:val="en-GB"/>
          <w14:ligatures w14:val="none"/>
        </w:rPr>
        <w:t xml:space="preserve">). </w:t>
      </w:r>
    </w:p>
    <w:p w14:paraId="4EDCEB4D" w14:textId="77777777" w:rsidR="00436AB0" w:rsidRPr="00436AB0" w:rsidRDefault="00436AB0" w:rsidP="003B75BF">
      <w:pPr>
        <w:spacing w:line="360" w:lineRule="auto"/>
        <w:contextualSpacing/>
        <w:rPr>
          <w:rFonts w:ascii="Cambria" w:hAnsi="Cambria"/>
          <w:b/>
          <w:i/>
          <w:sz w:val="24"/>
          <w:szCs w:val="24"/>
          <w:lang w:val="en-GB"/>
        </w:rPr>
      </w:pPr>
      <w:r w:rsidRPr="00436AB0">
        <w:rPr>
          <w:rFonts w:ascii="Cambria" w:hAnsi="Cambria"/>
          <w:b/>
          <w:i/>
          <w:sz w:val="24"/>
          <w:szCs w:val="24"/>
          <w:lang w:val="en-GB"/>
        </w:rPr>
        <w:t>Data screening and exclusions</w:t>
      </w:r>
    </w:p>
    <w:p w14:paraId="0C3BCB95" w14:textId="77777777" w:rsidR="00436AB0" w:rsidRPr="00436AB0" w:rsidRDefault="00436AB0" w:rsidP="003B75BF">
      <w:pPr>
        <w:spacing w:line="360" w:lineRule="auto"/>
        <w:ind w:firstLine="624"/>
        <w:contextualSpacing/>
        <w:rPr>
          <w:rFonts w:ascii="Cambria" w:hAnsi="Cambria"/>
          <w:bCs/>
          <w:sz w:val="24"/>
          <w:szCs w:val="24"/>
          <w:lang w:val="en-GB"/>
        </w:rPr>
      </w:pPr>
      <w:r w:rsidRPr="00436AB0">
        <w:rPr>
          <w:rFonts w:ascii="Cambria" w:hAnsi="Cambria"/>
          <w:bCs/>
          <w:sz w:val="24"/>
          <w:szCs w:val="24"/>
          <w:lang w:val="en-GB"/>
        </w:rPr>
        <w:t>In total, 186 persons completed the study. The target sample size was determined through a power analysis conducted using the G*Power program. Our goal was to obtain .80 power to detect medium-sized effects (</w:t>
      </w:r>
      <w:r w:rsidRPr="00436AB0">
        <w:rPr>
          <w:rFonts w:ascii="Cambria" w:hAnsi="Cambria"/>
          <w:bCs/>
          <w:i/>
          <w:sz w:val="24"/>
          <w:szCs w:val="24"/>
          <w:lang w:val="en-GB"/>
        </w:rPr>
        <w:t>r</w:t>
      </w:r>
      <w:r w:rsidRPr="00436AB0">
        <w:rPr>
          <w:rFonts w:ascii="Cambria" w:hAnsi="Cambria"/>
          <w:bCs/>
          <w:sz w:val="24"/>
          <w:szCs w:val="24"/>
          <w:lang w:val="en-GB"/>
        </w:rPr>
        <w:t xml:space="preserve"> ≥ .20) at the .05 alpha error probability level. For bivariate correlations, this requires a minimum of 183 participants. One person failed multiple attention checks and was excluded from analyses. In addition, seven participants were multivariate outliers on their CALT scores (Mahalanobis distance, </w:t>
      </w:r>
      <w:r w:rsidRPr="00436AB0">
        <w:rPr>
          <w:rFonts w:ascii="Cambria" w:hAnsi="Cambria"/>
          <w:bCs/>
          <w:i/>
          <w:sz w:val="24"/>
          <w:szCs w:val="24"/>
          <w:lang w:val="en-GB"/>
        </w:rPr>
        <w:t>p</w:t>
      </w:r>
      <w:r w:rsidRPr="00436AB0">
        <w:rPr>
          <w:rFonts w:ascii="Cambria" w:hAnsi="Cambria"/>
          <w:bCs/>
          <w:sz w:val="24"/>
          <w:szCs w:val="24"/>
          <w:lang w:val="en-GB"/>
        </w:rPr>
        <w:t xml:space="preserve"> &lt; .01) and were excluded from analyses. The final sample size was thus 178 – marginally below the 183 indicated by the power analysis.</w:t>
      </w:r>
    </w:p>
    <w:p w14:paraId="6CFDC81A" w14:textId="77777777" w:rsidR="00436AB0" w:rsidRPr="00436AB0" w:rsidRDefault="00436AB0" w:rsidP="003B75BF">
      <w:pPr>
        <w:spacing w:line="360" w:lineRule="auto"/>
        <w:ind w:firstLine="624"/>
        <w:contextualSpacing/>
        <w:rPr>
          <w:rFonts w:ascii="Cambria" w:hAnsi="Cambria"/>
          <w:bCs/>
          <w:sz w:val="24"/>
          <w:szCs w:val="24"/>
          <w:lang w:val="en-GB"/>
        </w:rPr>
      </w:pPr>
      <w:r w:rsidRPr="00436AB0">
        <w:rPr>
          <w:rFonts w:ascii="Cambria" w:hAnsi="Cambria"/>
          <w:bCs/>
          <w:sz w:val="24"/>
          <w:szCs w:val="24"/>
          <w:lang w:val="en-GB"/>
        </w:rPr>
        <w:t>We examined performance on each item. One item in Part 5 was not correctly identified by any of the participants; therefore, it was excluded from further analysis (reducing the analysed scale from 49 to 48 items).</w:t>
      </w:r>
    </w:p>
    <w:p w14:paraId="5EF27764" w14:textId="77777777" w:rsidR="00436AB0" w:rsidRPr="00436AB0" w:rsidRDefault="00436AB0" w:rsidP="00E32591">
      <w:pPr>
        <w:keepNext/>
        <w:spacing w:line="360" w:lineRule="auto"/>
        <w:contextualSpacing/>
        <w:rPr>
          <w:rFonts w:ascii="Cambria" w:hAnsi="Cambria" w:cs="Times New Roman"/>
          <w:b/>
          <w:bCs/>
          <w:sz w:val="24"/>
          <w:szCs w:val="24"/>
          <w:lang w:val="en-GB"/>
        </w:rPr>
      </w:pPr>
    </w:p>
    <w:bookmarkEnd w:id="0"/>
    <w:p w14:paraId="16DB318A" w14:textId="77777777" w:rsidR="00436AB0" w:rsidRPr="00436AB0" w:rsidRDefault="00436AB0" w:rsidP="00E32591">
      <w:pPr>
        <w:spacing w:line="360" w:lineRule="auto"/>
        <w:contextualSpacing/>
        <w:rPr>
          <w:rFonts w:ascii="Cambria" w:hAnsi="Cambria" w:cs="Times New Roman"/>
          <w:b/>
          <w:bCs/>
          <w:sz w:val="24"/>
          <w:szCs w:val="24"/>
          <w:lang w:val="en-GB"/>
        </w:rPr>
      </w:pPr>
      <w:r w:rsidRPr="00436AB0">
        <w:rPr>
          <w:rFonts w:ascii="Cambria" w:hAnsi="Cambria" w:cs="Times New Roman"/>
          <w:b/>
          <w:bCs/>
          <w:sz w:val="24"/>
          <w:szCs w:val="24"/>
          <w:lang w:val="en-GB"/>
        </w:rPr>
        <w:t>References</w:t>
      </w:r>
    </w:p>
    <w:p w14:paraId="40697767" w14:textId="77777777" w:rsidR="00436AB0" w:rsidRPr="00436AB0" w:rsidRDefault="00436AB0" w:rsidP="00436AB0">
      <w:pPr>
        <w:spacing w:line="360" w:lineRule="auto"/>
        <w:ind w:left="567" w:hanging="567"/>
        <w:contextualSpacing/>
        <w:rPr>
          <w:rFonts w:ascii="Cambria" w:hAnsi="Cambria" w:cs="Times New Roman"/>
          <w:sz w:val="24"/>
          <w:szCs w:val="24"/>
          <w:lang w:val="en-GB"/>
        </w:rPr>
      </w:pPr>
      <w:r w:rsidRPr="001429F4">
        <w:rPr>
          <w:rFonts w:ascii="Cambria" w:hAnsi="Cambria" w:cs="Times New Roman"/>
          <w:sz w:val="24"/>
          <w:szCs w:val="24"/>
          <w:lang w:val="en-GB"/>
        </w:rPr>
        <w:t xml:space="preserve">Baron, J., Isler, O., &amp; Yilmaz, O. (2023). </w:t>
      </w:r>
      <w:r w:rsidRPr="00436AB0">
        <w:rPr>
          <w:rFonts w:ascii="Cambria" w:hAnsi="Cambria" w:cs="Times New Roman"/>
          <w:sz w:val="24"/>
          <w:szCs w:val="24"/>
          <w:lang w:val="en-GB"/>
        </w:rPr>
        <w:t xml:space="preserve">Actively open-minded thinking and the political effects of its absence. In V. Ottati &amp; C. Stern (Eds.), </w:t>
      </w:r>
      <w:r w:rsidRPr="00436AB0">
        <w:rPr>
          <w:rFonts w:ascii="Cambria" w:hAnsi="Cambria" w:cs="Times New Roman"/>
          <w:i/>
          <w:iCs/>
          <w:sz w:val="24"/>
          <w:szCs w:val="24"/>
          <w:lang w:val="en-GB"/>
        </w:rPr>
        <w:t>Divided: Open-mindedness and dogmatism in a polarized world.</w:t>
      </w:r>
      <w:r w:rsidRPr="00436AB0">
        <w:rPr>
          <w:rFonts w:ascii="Cambria" w:hAnsi="Cambria" w:cs="Times New Roman"/>
          <w:sz w:val="24"/>
          <w:szCs w:val="24"/>
          <w:lang w:val="en-GB"/>
        </w:rPr>
        <w:t xml:space="preserve"> Oxford University Press. </w:t>
      </w:r>
    </w:p>
    <w:p w14:paraId="2916811D" w14:textId="77777777" w:rsidR="00436AB0" w:rsidRPr="001429F4" w:rsidRDefault="00436AB0" w:rsidP="00436AB0">
      <w:pPr>
        <w:spacing w:line="360" w:lineRule="auto"/>
        <w:ind w:left="567" w:hanging="567"/>
        <w:contextualSpacing/>
        <w:rPr>
          <w:rFonts w:ascii="Cambria" w:hAnsi="Cambria" w:cs="Times New Roman"/>
          <w:sz w:val="24"/>
          <w:szCs w:val="24"/>
        </w:rPr>
      </w:pPr>
      <w:r w:rsidRPr="00436AB0">
        <w:rPr>
          <w:rFonts w:ascii="Cambria" w:hAnsi="Cambria" w:cs="Times New Roman"/>
          <w:sz w:val="24"/>
          <w:szCs w:val="24"/>
          <w:lang w:val="en-GB"/>
        </w:rPr>
        <w:t>Görman, U., &amp; Swedish Ethical Review Authority. (2023)</w:t>
      </w:r>
      <w:r w:rsidRPr="00436AB0">
        <w:rPr>
          <w:rFonts w:ascii="Cambria" w:hAnsi="Cambria" w:cs="Times New Roman"/>
          <w:i/>
          <w:iCs/>
          <w:sz w:val="24"/>
          <w:szCs w:val="24"/>
          <w:lang w:val="en-GB"/>
        </w:rPr>
        <w:t xml:space="preserve">. Guide to the Ethical Review of Research on Humans. </w:t>
      </w:r>
      <w:hyperlink r:id="rId9" w:history="1">
        <w:r w:rsidRPr="001429F4">
          <w:rPr>
            <w:rStyle w:val="Hyperlink"/>
            <w:rFonts w:ascii="Cambria" w:hAnsi="Cambria" w:cs="Times New Roman"/>
            <w:sz w:val="24"/>
            <w:szCs w:val="24"/>
          </w:rPr>
          <w:t>https://etikprovningsmyndigheten.se/wp-content/uploads/2024/05/Guide-to-the-ethical-review_webb.pdf</w:t>
        </w:r>
      </w:hyperlink>
      <w:r w:rsidRPr="001429F4">
        <w:rPr>
          <w:rFonts w:ascii="Cambria" w:hAnsi="Cambria" w:cs="Times New Roman"/>
          <w:sz w:val="24"/>
          <w:szCs w:val="24"/>
        </w:rPr>
        <w:t xml:space="preserve"> </w:t>
      </w:r>
    </w:p>
    <w:p w14:paraId="5F63EF14" w14:textId="77777777" w:rsidR="00436AB0" w:rsidRPr="00436AB0" w:rsidRDefault="00436AB0" w:rsidP="00436AB0">
      <w:pPr>
        <w:spacing w:line="360" w:lineRule="auto"/>
        <w:ind w:left="567" w:hanging="567"/>
        <w:contextualSpacing/>
        <w:rPr>
          <w:rFonts w:ascii="Cambria" w:hAnsi="Cambria" w:cs="Times New Roman"/>
          <w:sz w:val="24"/>
          <w:szCs w:val="24"/>
          <w:lang w:val="en-GB"/>
        </w:rPr>
      </w:pPr>
      <w:r w:rsidRPr="00436AB0">
        <w:rPr>
          <w:rFonts w:ascii="Cambria" w:hAnsi="Cambria" w:cs="Times New Roman"/>
          <w:sz w:val="24"/>
          <w:szCs w:val="24"/>
          <w:lang w:val="sv-SE"/>
        </w:rPr>
        <w:t xml:space="preserve">Lyskov Jensen, K., &amp; Elbro, C. (2022). </w:t>
      </w:r>
      <w:r w:rsidRPr="00436AB0">
        <w:rPr>
          <w:rFonts w:ascii="Cambria" w:hAnsi="Cambria" w:cs="Times New Roman"/>
          <w:sz w:val="24"/>
          <w:szCs w:val="24"/>
          <w:lang w:val="en-GB"/>
        </w:rPr>
        <w:t xml:space="preserve">Clozing in on reading comprehension: a deep cloze test of global inference making. </w:t>
      </w:r>
      <w:r w:rsidRPr="00436AB0">
        <w:rPr>
          <w:rFonts w:ascii="Cambria" w:hAnsi="Cambria" w:cs="Times New Roman"/>
          <w:i/>
          <w:iCs/>
          <w:sz w:val="24"/>
          <w:szCs w:val="24"/>
          <w:lang w:val="en-GB"/>
        </w:rPr>
        <w:t>Reading and Writing, 35,</w:t>
      </w:r>
      <w:r w:rsidRPr="00436AB0">
        <w:rPr>
          <w:rFonts w:ascii="Cambria" w:hAnsi="Cambria" w:cs="Times New Roman"/>
          <w:sz w:val="24"/>
          <w:szCs w:val="24"/>
          <w:lang w:val="en-GB"/>
        </w:rPr>
        <w:t xml:space="preserve"> 1221–1237. </w:t>
      </w:r>
      <w:hyperlink r:id="rId10" w:history="1">
        <w:r w:rsidRPr="00436AB0">
          <w:rPr>
            <w:rStyle w:val="Hyperlink"/>
            <w:rFonts w:ascii="Cambria" w:hAnsi="Cambria" w:cs="Times New Roman"/>
            <w:sz w:val="24"/>
            <w:szCs w:val="24"/>
            <w:lang w:val="en-GB"/>
          </w:rPr>
          <w:t>https://doi.org/10.1007/s11145-021-10230-w</w:t>
        </w:r>
      </w:hyperlink>
      <w:r w:rsidRPr="00436AB0">
        <w:rPr>
          <w:rFonts w:ascii="Cambria" w:hAnsi="Cambria" w:cs="Times New Roman"/>
          <w:sz w:val="24"/>
          <w:szCs w:val="24"/>
          <w:lang w:val="en-GB"/>
        </w:rPr>
        <w:t xml:space="preserve"> </w:t>
      </w:r>
    </w:p>
    <w:p w14:paraId="0BBA99FF" w14:textId="77777777" w:rsidR="00436AB0" w:rsidRPr="00436AB0" w:rsidRDefault="00436AB0" w:rsidP="00436AB0">
      <w:pPr>
        <w:pStyle w:val="EndNoteBibliography"/>
        <w:spacing w:after="0" w:line="360" w:lineRule="auto"/>
        <w:ind w:left="720" w:hanging="720"/>
        <w:contextualSpacing/>
        <w:rPr>
          <w:rFonts w:ascii="Cambria" w:hAnsi="Cambria" w:cs="Times New Roman"/>
          <w:sz w:val="24"/>
          <w:lang w:val="en-GB"/>
        </w:rPr>
      </w:pPr>
      <w:r w:rsidRPr="00436AB0">
        <w:rPr>
          <w:rFonts w:ascii="Cambria" w:hAnsi="Cambria" w:cs="Times New Roman"/>
          <w:sz w:val="24"/>
          <w:lang w:val="en-GB"/>
        </w:rPr>
        <w:lastRenderedPageBreak/>
        <w:t xml:space="preserve">Norris, P., &amp; Epstein, S. (2011). An experiential thinking style: Its facets and relations with objective and subjective criterion measures. </w:t>
      </w:r>
      <w:r w:rsidRPr="00436AB0">
        <w:rPr>
          <w:rFonts w:ascii="Cambria" w:hAnsi="Cambria" w:cs="Times New Roman"/>
          <w:i/>
          <w:iCs/>
          <w:sz w:val="24"/>
          <w:lang w:val="en-GB"/>
        </w:rPr>
        <w:t>Journal of Personality, 79,</w:t>
      </w:r>
      <w:r w:rsidRPr="00436AB0">
        <w:rPr>
          <w:rFonts w:ascii="Cambria" w:hAnsi="Cambria" w:cs="Times New Roman"/>
          <w:sz w:val="24"/>
          <w:lang w:val="en-GB"/>
        </w:rPr>
        <w:t xml:space="preserve"> 1043–1079. </w:t>
      </w:r>
      <w:hyperlink r:id="rId11" w:history="1">
        <w:r w:rsidRPr="00436AB0">
          <w:rPr>
            <w:rStyle w:val="Hyperlink"/>
            <w:rFonts w:ascii="Cambria" w:hAnsi="Cambria" w:cs="Times New Roman"/>
            <w:sz w:val="24"/>
            <w:lang w:val="en-GB"/>
          </w:rPr>
          <w:t>https://doi.org/10.1111/j.1467-6494.2011.00718.x</w:t>
        </w:r>
      </w:hyperlink>
      <w:r w:rsidRPr="00436AB0">
        <w:rPr>
          <w:rFonts w:ascii="Cambria" w:hAnsi="Cambria" w:cs="Times New Roman"/>
          <w:sz w:val="24"/>
          <w:lang w:val="en-GB"/>
        </w:rPr>
        <w:t xml:space="preserve"> </w:t>
      </w:r>
    </w:p>
    <w:p w14:paraId="17D7BF4A" w14:textId="079A2011" w:rsidR="00436AB0" w:rsidRPr="001429F4" w:rsidRDefault="00436AB0" w:rsidP="00436AB0">
      <w:pPr>
        <w:pStyle w:val="EndNoteBibliography"/>
        <w:spacing w:after="0" w:line="360" w:lineRule="auto"/>
        <w:ind w:left="720" w:hanging="720"/>
        <w:contextualSpacing/>
        <w:rPr>
          <w:rFonts w:ascii="Cambria" w:hAnsi="Cambria"/>
          <w:sz w:val="24"/>
          <w:lang w:val="sv-SE"/>
        </w:rPr>
      </w:pPr>
      <w:r w:rsidRPr="00436AB0">
        <w:rPr>
          <w:rFonts w:ascii="Cambria" w:hAnsi="Cambria"/>
          <w:sz w:val="24"/>
        </w:rPr>
        <w:t xml:space="preserve">Svedholm-Häkkinen, A. M. (2026). Types of analytic thinkers. </w:t>
      </w:r>
      <w:r w:rsidRPr="00436AB0">
        <w:rPr>
          <w:rFonts w:ascii="Cambria" w:hAnsi="Cambria"/>
          <w:i/>
          <w:sz w:val="24"/>
        </w:rPr>
        <w:t>Journal of Personality</w:t>
      </w:r>
      <w:r w:rsidRPr="00436AB0">
        <w:rPr>
          <w:rFonts w:ascii="Cambria" w:hAnsi="Cambria"/>
          <w:sz w:val="24"/>
        </w:rPr>
        <w:t>,</w:t>
      </w:r>
      <w:r w:rsidRPr="00436AB0">
        <w:rPr>
          <w:rFonts w:ascii="Cambria" w:hAnsi="Cambria"/>
          <w:i/>
          <w:sz w:val="24"/>
        </w:rPr>
        <w:t xml:space="preserve"> 94</w:t>
      </w:r>
      <w:r w:rsidRPr="00436AB0">
        <w:rPr>
          <w:rFonts w:ascii="Cambria" w:hAnsi="Cambria"/>
          <w:sz w:val="24"/>
        </w:rPr>
        <w:t xml:space="preserve">, 207-225. </w:t>
      </w:r>
      <w:hyperlink r:id="rId12" w:history="1">
        <w:r w:rsidRPr="001429F4">
          <w:rPr>
            <w:rStyle w:val="Hyperlink"/>
            <w:rFonts w:ascii="Cambria" w:hAnsi="Cambria"/>
            <w:sz w:val="24"/>
            <w:lang w:val="sv-SE"/>
          </w:rPr>
          <w:t>https://doi.org/10.1111/jopy.13025</w:t>
        </w:r>
      </w:hyperlink>
      <w:r w:rsidRPr="001429F4">
        <w:rPr>
          <w:rFonts w:ascii="Cambria" w:hAnsi="Cambria"/>
          <w:sz w:val="24"/>
          <w:lang w:val="sv-SE"/>
        </w:rPr>
        <w:t xml:space="preserve"> </w:t>
      </w:r>
    </w:p>
    <w:p w14:paraId="4AD2385F" w14:textId="77777777" w:rsidR="00436AB0" w:rsidRPr="00436AB0" w:rsidRDefault="00436AB0" w:rsidP="00436AB0">
      <w:pPr>
        <w:spacing w:line="360" w:lineRule="auto"/>
        <w:ind w:left="567" w:hanging="567"/>
        <w:contextualSpacing/>
        <w:rPr>
          <w:rFonts w:ascii="Cambria" w:hAnsi="Cambria" w:cs="Times New Roman"/>
          <w:sz w:val="24"/>
          <w:szCs w:val="24"/>
          <w:lang w:val="en-GB"/>
        </w:rPr>
      </w:pPr>
      <w:r w:rsidRPr="001429F4">
        <w:rPr>
          <w:rFonts w:ascii="Cambria" w:hAnsi="Cambria" w:cs="Times New Roman"/>
          <w:sz w:val="24"/>
          <w:szCs w:val="24"/>
          <w:lang w:val="sv-SE"/>
        </w:rPr>
        <w:t xml:space="preserve">Thomson, K. S., &amp; Oppenheimer, D. M. (2016). </w:t>
      </w:r>
      <w:r w:rsidRPr="00436AB0">
        <w:rPr>
          <w:rFonts w:ascii="Cambria" w:hAnsi="Cambria" w:cs="Times New Roman"/>
          <w:sz w:val="24"/>
          <w:szCs w:val="24"/>
          <w:lang w:val="en-GB"/>
        </w:rPr>
        <w:t xml:space="preserve">Investigating an alternate form of the cognitive reflection test. </w:t>
      </w:r>
      <w:r w:rsidRPr="00436AB0">
        <w:rPr>
          <w:rFonts w:ascii="Cambria" w:hAnsi="Cambria" w:cs="Times New Roman"/>
          <w:i/>
          <w:iCs/>
          <w:sz w:val="24"/>
          <w:szCs w:val="24"/>
          <w:lang w:val="en-GB"/>
        </w:rPr>
        <w:t>Judgment and Decision Making, 11,</w:t>
      </w:r>
      <w:r w:rsidRPr="00436AB0">
        <w:rPr>
          <w:rFonts w:ascii="Cambria" w:hAnsi="Cambria" w:cs="Times New Roman"/>
          <w:sz w:val="24"/>
          <w:szCs w:val="24"/>
          <w:lang w:val="en-GB"/>
        </w:rPr>
        <w:t xml:space="preserve"> 99–113. </w:t>
      </w:r>
      <w:hyperlink r:id="rId13" w:history="1">
        <w:r w:rsidRPr="00436AB0">
          <w:rPr>
            <w:rStyle w:val="Hyperlink"/>
            <w:rFonts w:ascii="Cambria" w:hAnsi="Cambria" w:cs="Times New Roman"/>
            <w:sz w:val="24"/>
            <w:szCs w:val="24"/>
            <w:lang w:val="en-GB"/>
          </w:rPr>
          <w:t>https://doi.org/10.1017/S1930297500007622</w:t>
        </w:r>
      </w:hyperlink>
      <w:r w:rsidRPr="00436AB0">
        <w:rPr>
          <w:rFonts w:ascii="Cambria" w:hAnsi="Cambria" w:cs="Times New Roman"/>
          <w:sz w:val="24"/>
          <w:szCs w:val="24"/>
          <w:lang w:val="en-GB"/>
        </w:rPr>
        <w:t xml:space="preserve"> </w:t>
      </w:r>
    </w:p>
    <w:p w14:paraId="7DC98114" w14:textId="77777777" w:rsidR="00436AB0" w:rsidRPr="00436AB0" w:rsidRDefault="00436AB0" w:rsidP="00E32591">
      <w:pPr>
        <w:spacing w:line="360" w:lineRule="auto"/>
        <w:ind w:left="567" w:hanging="567"/>
        <w:contextualSpacing/>
        <w:rPr>
          <w:rFonts w:ascii="Cambria" w:hAnsi="Cambria" w:cs="Times New Roman"/>
          <w:sz w:val="24"/>
          <w:szCs w:val="24"/>
          <w:lang w:val="en-GB"/>
        </w:rPr>
      </w:pPr>
      <w:r w:rsidRPr="00436AB0">
        <w:rPr>
          <w:rFonts w:ascii="Cambria" w:hAnsi="Cambria" w:cs="Times New Roman"/>
          <w:sz w:val="24"/>
          <w:szCs w:val="24"/>
          <w:lang w:val="en-GB"/>
        </w:rPr>
        <w:t xml:space="preserve">Toplak, M. E., West, R. F., &amp; Stanovich, K. E. (2014). Assessing miserly information processing: An expansion of the Cognitive Reflection Test. </w:t>
      </w:r>
      <w:r w:rsidRPr="00436AB0">
        <w:rPr>
          <w:rFonts w:ascii="Cambria" w:hAnsi="Cambria" w:cs="Times New Roman"/>
          <w:i/>
          <w:iCs/>
          <w:sz w:val="24"/>
          <w:szCs w:val="24"/>
          <w:lang w:val="en-GB"/>
        </w:rPr>
        <w:t>Thinking &amp; Reasoning, 20,</w:t>
      </w:r>
      <w:r w:rsidRPr="00436AB0">
        <w:rPr>
          <w:rFonts w:ascii="Cambria" w:hAnsi="Cambria" w:cs="Times New Roman"/>
          <w:sz w:val="24"/>
          <w:szCs w:val="24"/>
          <w:lang w:val="en-GB"/>
        </w:rPr>
        <w:t xml:space="preserve"> 147–168. </w:t>
      </w:r>
      <w:hyperlink r:id="rId14" w:history="1">
        <w:r w:rsidRPr="00436AB0">
          <w:rPr>
            <w:rStyle w:val="Hyperlink"/>
            <w:rFonts w:ascii="Cambria" w:hAnsi="Cambria" w:cs="Times New Roman"/>
            <w:sz w:val="24"/>
            <w:szCs w:val="24"/>
            <w:lang w:val="en-GB"/>
          </w:rPr>
          <w:t>https://doi.org/10.1080/13546783.2013.844729</w:t>
        </w:r>
      </w:hyperlink>
      <w:r w:rsidRPr="00436AB0">
        <w:rPr>
          <w:rFonts w:ascii="Cambria" w:hAnsi="Cambria" w:cs="Times New Roman"/>
          <w:sz w:val="24"/>
          <w:szCs w:val="24"/>
          <w:lang w:val="en-GB"/>
        </w:rPr>
        <w:t xml:space="preserve"> </w:t>
      </w:r>
    </w:p>
    <w:p w14:paraId="0CD7847D" w14:textId="77777777" w:rsidR="00436AB0" w:rsidRPr="00436AB0" w:rsidRDefault="00436AB0" w:rsidP="00E32591">
      <w:pPr>
        <w:spacing w:line="360" w:lineRule="auto"/>
        <w:ind w:left="567" w:hanging="567"/>
        <w:contextualSpacing/>
        <w:rPr>
          <w:rFonts w:ascii="Cambria" w:hAnsi="Cambria"/>
          <w:sz w:val="24"/>
          <w:szCs w:val="24"/>
          <w:lang w:val="en-GB"/>
        </w:rPr>
      </w:pPr>
    </w:p>
    <w:p w14:paraId="43025579" w14:textId="77777777" w:rsidR="00182EB2" w:rsidRPr="00436AB0" w:rsidRDefault="00182EB2">
      <w:pPr>
        <w:rPr>
          <w:rFonts w:ascii="Cambria" w:hAnsi="Cambria"/>
          <w:sz w:val="24"/>
          <w:szCs w:val="24"/>
        </w:rPr>
      </w:pPr>
    </w:p>
    <w:sectPr w:rsidR="00182EB2" w:rsidRPr="00436AB0" w:rsidSect="00436AB0">
      <w:footerReference w:type="even"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C3A69" w14:textId="77777777" w:rsidR="001429F4" w:rsidRDefault="001429F4">
      <w:pPr>
        <w:spacing w:after="0" w:line="240" w:lineRule="auto"/>
      </w:pPr>
      <w:r>
        <w:separator/>
      </w:r>
    </w:p>
  </w:endnote>
  <w:endnote w:type="continuationSeparator" w:id="0">
    <w:p w14:paraId="336477AB" w14:textId="77777777" w:rsidR="001429F4" w:rsidRDefault="001429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445811"/>
      <w:docPartObj>
        <w:docPartGallery w:val="Page Numbers (Bottom of Page)"/>
        <w:docPartUnique/>
      </w:docPartObj>
    </w:sdtPr>
    <w:sdtEndPr>
      <w:rPr>
        <w:rStyle w:val="PageNumber"/>
      </w:rPr>
    </w:sdtEndPr>
    <w:sdtContent>
      <w:p w14:paraId="10552544" w14:textId="77777777" w:rsidR="00436AB0" w:rsidRDefault="00436AB0" w:rsidP="00525CE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D836BCF" w14:textId="77777777" w:rsidR="00436AB0" w:rsidRDefault="00436A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70585362"/>
      <w:docPartObj>
        <w:docPartGallery w:val="Page Numbers (Bottom of Page)"/>
        <w:docPartUnique/>
      </w:docPartObj>
    </w:sdtPr>
    <w:sdtEndPr>
      <w:rPr>
        <w:rStyle w:val="PageNumber"/>
      </w:rPr>
    </w:sdtEndPr>
    <w:sdtContent>
      <w:p w14:paraId="12384EF9" w14:textId="77777777" w:rsidR="00436AB0" w:rsidRDefault="00436AB0" w:rsidP="00525CE1">
        <w:pPr>
          <w:pStyle w:val="Footer"/>
          <w:framePr w:wrap="none" w:vAnchor="text" w:hAnchor="margin" w:xAlign="center" w:y="1"/>
          <w:rPr>
            <w:rStyle w:val="PageNumber"/>
          </w:rPr>
        </w:pPr>
        <w:r w:rsidRPr="00611A7D">
          <w:rPr>
            <w:rStyle w:val="PageNumber"/>
            <w:rFonts w:ascii="Times New Roman" w:hAnsi="Times New Roman" w:cs="Times New Roman"/>
            <w:sz w:val="24"/>
            <w:szCs w:val="24"/>
          </w:rPr>
          <w:fldChar w:fldCharType="begin"/>
        </w:r>
        <w:r w:rsidRPr="00611A7D">
          <w:rPr>
            <w:rStyle w:val="PageNumber"/>
            <w:rFonts w:ascii="Times New Roman" w:hAnsi="Times New Roman" w:cs="Times New Roman"/>
            <w:sz w:val="24"/>
            <w:szCs w:val="24"/>
          </w:rPr>
          <w:instrText xml:space="preserve"> PAGE </w:instrText>
        </w:r>
        <w:r w:rsidRPr="00611A7D">
          <w:rPr>
            <w:rStyle w:val="PageNumber"/>
            <w:rFonts w:ascii="Times New Roman" w:hAnsi="Times New Roman" w:cs="Times New Roman"/>
            <w:sz w:val="24"/>
            <w:szCs w:val="24"/>
          </w:rPr>
          <w:fldChar w:fldCharType="separate"/>
        </w:r>
        <w:r w:rsidRPr="00611A7D">
          <w:rPr>
            <w:rStyle w:val="PageNumber"/>
            <w:rFonts w:ascii="Times New Roman" w:hAnsi="Times New Roman" w:cs="Times New Roman"/>
            <w:noProof/>
            <w:sz w:val="24"/>
            <w:szCs w:val="24"/>
          </w:rPr>
          <w:t>1</w:t>
        </w:r>
        <w:r w:rsidRPr="00611A7D">
          <w:rPr>
            <w:rStyle w:val="PageNumber"/>
            <w:rFonts w:ascii="Times New Roman" w:hAnsi="Times New Roman" w:cs="Times New Roman"/>
            <w:sz w:val="24"/>
            <w:szCs w:val="24"/>
          </w:rPr>
          <w:fldChar w:fldCharType="end"/>
        </w:r>
      </w:p>
    </w:sdtContent>
  </w:sdt>
  <w:p w14:paraId="153A72BD" w14:textId="77777777" w:rsidR="00436AB0" w:rsidRDefault="00436A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482CB" w14:textId="77777777" w:rsidR="001429F4" w:rsidRDefault="001429F4">
      <w:pPr>
        <w:spacing w:after="0" w:line="240" w:lineRule="auto"/>
      </w:pPr>
      <w:r>
        <w:separator/>
      </w:r>
    </w:p>
  </w:footnote>
  <w:footnote w:type="continuationSeparator" w:id="0">
    <w:p w14:paraId="08E2F757" w14:textId="77777777" w:rsidR="001429F4" w:rsidRDefault="001429F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436AB0"/>
    <w:rsid w:val="001429F4"/>
    <w:rsid w:val="00182EB2"/>
    <w:rsid w:val="00436AB0"/>
    <w:rsid w:val="00804CF8"/>
    <w:rsid w:val="00AB72F8"/>
    <w:rsid w:val="00C46BAC"/>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A1D3E"/>
  <w15:chartTrackingRefBased/>
  <w15:docId w15:val="{7A1CE1E4-8A25-4675-8F39-12F2FFFC3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AB0"/>
    <w:pPr>
      <w:spacing w:line="256" w:lineRule="auto"/>
    </w:pPr>
    <w:rPr>
      <w:sz w:val="22"/>
      <w:szCs w:val="22"/>
    </w:rPr>
  </w:style>
  <w:style w:type="paragraph" w:styleId="Heading1">
    <w:name w:val="heading 1"/>
    <w:basedOn w:val="Normal"/>
    <w:next w:val="Normal"/>
    <w:link w:val="Heading1Char"/>
    <w:uiPriority w:val="9"/>
    <w:qFormat/>
    <w:rsid w:val="00436AB0"/>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6AB0"/>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6AB0"/>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6AB0"/>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436AB0"/>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436AB0"/>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436AB0"/>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436AB0"/>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436AB0"/>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6A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6A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6A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6A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6A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6A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6A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6A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6AB0"/>
    <w:rPr>
      <w:rFonts w:eastAsiaTheme="majorEastAsia" w:cstheme="majorBidi"/>
      <w:color w:val="272727" w:themeColor="text1" w:themeTint="D8"/>
    </w:rPr>
  </w:style>
  <w:style w:type="paragraph" w:styleId="Title">
    <w:name w:val="Title"/>
    <w:basedOn w:val="Normal"/>
    <w:next w:val="Normal"/>
    <w:link w:val="TitleChar"/>
    <w:uiPriority w:val="10"/>
    <w:qFormat/>
    <w:rsid w:val="00436A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6A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6AB0"/>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6A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6AB0"/>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436AB0"/>
    <w:rPr>
      <w:i/>
      <w:iCs/>
      <w:color w:val="404040" w:themeColor="text1" w:themeTint="BF"/>
    </w:rPr>
  </w:style>
  <w:style w:type="paragraph" w:styleId="ListParagraph">
    <w:name w:val="List Paragraph"/>
    <w:basedOn w:val="Normal"/>
    <w:uiPriority w:val="34"/>
    <w:qFormat/>
    <w:rsid w:val="00436AB0"/>
    <w:pPr>
      <w:spacing w:line="278" w:lineRule="auto"/>
      <w:ind w:left="720"/>
      <w:contextualSpacing/>
    </w:pPr>
    <w:rPr>
      <w:sz w:val="24"/>
      <w:szCs w:val="24"/>
    </w:rPr>
  </w:style>
  <w:style w:type="character" w:styleId="IntenseEmphasis">
    <w:name w:val="Intense Emphasis"/>
    <w:basedOn w:val="DefaultParagraphFont"/>
    <w:uiPriority w:val="21"/>
    <w:qFormat/>
    <w:rsid w:val="00436AB0"/>
    <w:rPr>
      <w:i/>
      <w:iCs/>
      <w:color w:val="0F4761" w:themeColor="accent1" w:themeShade="BF"/>
    </w:rPr>
  </w:style>
  <w:style w:type="paragraph" w:styleId="IntenseQuote">
    <w:name w:val="Intense Quote"/>
    <w:basedOn w:val="Normal"/>
    <w:next w:val="Normal"/>
    <w:link w:val="IntenseQuoteChar"/>
    <w:uiPriority w:val="30"/>
    <w:qFormat/>
    <w:rsid w:val="00436AB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436AB0"/>
    <w:rPr>
      <w:i/>
      <w:iCs/>
      <w:color w:val="0F4761" w:themeColor="accent1" w:themeShade="BF"/>
    </w:rPr>
  </w:style>
  <w:style w:type="character" w:styleId="IntenseReference">
    <w:name w:val="Intense Reference"/>
    <w:basedOn w:val="DefaultParagraphFont"/>
    <w:uiPriority w:val="32"/>
    <w:qFormat/>
    <w:rsid w:val="00436AB0"/>
    <w:rPr>
      <w:b/>
      <w:bCs/>
      <w:smallCaps/>
      <w:color w:val="0F4761" w:themeColor="accent1" w:themeShade="BF"/>
      <w:spacing w:val="5"/>
    </w:rPr>
  </w:style>
  <w:style w:type="character" w:styleId="Hyperlink">
    <w:name w:val="Hyperlink"/>
    <w:basedOn w:val="DefaultParagraphFont"/>
    <w:uiPriority w:val="99"/>
    <w:unhideWhenUsed/>
    <w:rsid w:val="00436AB0"/>
    <w:rPr>
      <w:color w:val="467886" w:themeColor="hyperlink"/>
      <w:u w:val="single"/>
    </w:rPr>
  </w:style>
  <w:style w:type="character" w:styleId="FollowedHyperlink">
    <w:name w:val="FollowedHyperlink"/>
    <w:basedOn w:val="DefaultParagraphFont"/>
    <w:uiPriority w:val="99"/>
    <w:semiHidden/>
    <w:unhideWhenUsed/>
    <w:rsid w:val="00436AB0"/>
    <w:rPr>
      <w:color w:val="96607D" w:themeColor="followedHyperlink"/>
      <w:u w:val="single"/>
    </w:rPr>
  </w:style>
  <w:style w:type="paragraph" w:styleId="HTMLPreformatted">
    <w:name w:val="HTML Preformatted"/>
    <w:basedOn w:val="Normal"/>
    <w:link w:val="HTMLPreformattedChar"/>
    <w:uiPriority w:val="99"/>
    <w:semiHidden/>
    <w:unhideWhenUsed/>
    <w:rsid w:val="00436A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436AB0"/>
    <w:rPr>
      <w:rFonts w:ascii="Courier New" w:eastAsia="Times New Roman" w:hAnsi="Courier New" w:cs="Courier New"/>
      <w:kern w:val="0"/>
      <w:sz w:val="20"/>
      <w:szCs w:val="20"/>
      <w14:ligatures w14:val="none"/>
    </w:rPr>
  </w:style>
  <w:style w:type="paragraph" w:customStyle="1" w:styleId="msonormal0">
    <w:name w:val="msonormal"/>
    <w:basedOn w:val="Normal"/>
    <w:uiPriority w:val="99"/>
    <w:semiHidden/>
    <w:rsid w:val="00436AB0"/>
    <w:pPr>
      <w:spacing w:before="100" w:beforeAutospacing="1" w:after="100" w:afterAutospacing="1" w:line="240" w:lineRule="auto"/>
    </w:pPr>
    <w:rPr>
      <w:rFonts w:ascii="Calibri" w:eastAsiaTheme="minorEastAsia" w:hAnsi="Calibri" w:cs="Calibri"/>
      <w:kern w:val="0"/>
      <w:lang w:eastAsia="fi-FI"/>
      <w14:ligatures w14:val="none"/>
    </w:rPr>
  </w:style>
  <w:style w:type="paragraph" w:styleId="NormalWeb">
    <w:name w:val="Normal (Web)"/>
    <w:basedOn w:val="Normal"/>
    <w:uiPriority w:val="99"/>
    <w:semiHidden/>
    <w:unhideWhenUsed/>
    <w:rsid w:val="00436AB0"/>
    <w:pPr>
      <w:spacing w:before="100" w:beforeAutospacing="1" w:after="100" w:afterAutospacing="1" w:line="240" w:lineRule="auto"/>
    </w:pPr>
    <w:rPr>
      <w:rFonts w:ascii="Calibri" w:eastAsiaTheme="minorEastAsia" w:hAnsi="Calibri" w:cs="Calibri"/>
      <w:kern w:val="0"/>
      <w:lang w:eastAsia="fi-FI"/>
      <w14:ligatures w14:val="none"/>
    </w:rPr>
  </w:style>
  <w:style w:type="paragraph" w:styleId="CommentText">
    <w:name w:val="annotation text"/>
    <w:basedOn w:val="Normal"/>
    <w:link w:val="CommentTextChar"/>
    <w:uiPriority w:val="99"/>
    <w:unhideWhenUsed/>
    <w:rsid w:val="00436AB0"/>
    <w:pPr>
      <w:spacing w:line="240" w:lineRule="auto"/>
    </w:pPr>
    <w:rPr>
      <w:sz w:val="20"/>
      <w:szCs w:val="20"/>
    </w:rPr>
  </w:style>
  <w:style w:type="character" w:customStyle="1" w:styleId="CommentTextChar">
    <w:name w:val="Comment Text Char"/>
    <w:basedOn w:val="DefaultParagraphFont"/>
    <w:link w:val="CommentText"/>
    <w:uiPriority w:val="99"/>
    <w:rsid w:val="00436AB0"/>
    <w:rPr>
      <w:sz w:val="20"/>
      <w:szCs w:val="20"/>
    </w:rPr>
  </w:style>
  <w:style w:type="paragraph" w:styleId="Header">
    <w:name w:val="header"/>
    <w:basedOn w:val="Normal"/>
    <w:link w:val="HeaderChar"/>
    <w:uiPriority w:val="99"/>
    <w:unhideWhenUsed/>
    <w:rsid w:val="00436A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6AB0"/>
    <w:rPr>
      <w:sz w:val="22"/>
      <w:szCs w:val="22"/>
    </w:rPr>
  </w:style>
  <w:style w:type="paragraph" w:styleId="Footer">
    <w:name w:val="footer"/>
    <w:basedOn w:val="Normal"/>
    <w:link w:val="FooterChar"/>
    <w:uiPriority w:val="99"/>
    <w:unhideWhenUsed/>
    <w:rsid w:val="00436A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6AB0"/>
    <w:rPr>
      <w:sz w:val="22"/>
      <w:szCs w:val="22"/>
    </w:rPr>
  </w:style>
  <w:style w:type="paragraph" w:styleId="CommentSubject">
    <w:name w:val="annotation subject"/>
    <w:basedOn w:val="CommentText"/>
    <w:next w:val="CommentText"/>
    <w:link w:val="CommentSubjectChar"/>
    <w:uiPriority w:val="99"/>
    <w:semiHidden/>
    <w:unhideWhenUsed/>
    <w:rsid w:val="00436AB0"/>
    <w:rPr>
      <w:b/>
      <w:bCs/>
    </w:rPr>
  </w:style>
  <w:style w:type="character" w:customStyle="1" w:styleId="CommentSubjectChar">
    <w:name w:val="Comment Subject Char"/>
    <w:basedOn w:val="CommentTextChar"/>
    <w:link w:val="CommentSubject"/>
    <w:uiPriority w:val="99"/>
    <w:semiHidden/>
    <w:rsid w:val="00436AB0"/>
    <w:rPr>
      <w:b/>
      <w:bCs/>
      <w:sz w:val="20"/>
      <w:szCs w:val="20"/>
    </w:rPr>
  </w:style>
  <w:style w:type="paragraph" w:styleId="Revision">
    <w:name w:val="Revision"/>
    <w:uiPriority w:val="99"/>
    <w:semiHidden/>
    <w:rsid w:val="00436AB0"/>
    <w:pPr>
      <w:spacing w:after="0" w:line="240" w:lineRule="auto"/>
    </w:pPr>
    <w:rPr>
      <w:sz w:val="22"/>
      <w:szCs w:val="22"/>
    </w:rPr>
  </w:style>
  <w:style w:type="character" w:customStyle="1" w:styleId="EndNoteBibliographyTitleChar">
    <w:name w:val="EndNote Bibliography Title Char"/>
    <w:basedOn w:val="DefaultParagraphFont"/>
    <w:link w:val="EndNoteBibliographyTitle"/>
    <w:semiHidden/>
    <w:locked/>
    <w:rsid w:val="00436AB0"/>
    <w:rPr>
      <w:rFonts w:ascii="Aptos" w:hAnsi="Aptos" w:cs="Calibri"/>
      <w:noProof/>
      <w:sz w:val="22"/>
      <w:lang w:val="en-US"/>
    </w:rPr>
  </w:style>
  <w:style w:type="paragraph" w:customStyle="1" w:styleId="EndNoteBibliographyTitle">
    <w:name w:val="EndNote Bibliography Title"/>
    <w:basedOn w:val="Normal"/>
    <w:link w:val="EndNoteBibliographyTitleChar"/>
    <w:semiHidden/>
    <w:rsid w:val="00436AB0"/>
    <w:pPr>
      <w:spacing w:after="0"/>
      <w:jc w:val="center"/>
    </w:pPr>
    <w:rPr>
      <w:rFonts w:ascii="Aptos" w:hAnsi="Aptos" w:cs="Calibri"/>
      <w:noProof/>
      <w:szCs w:val="24"/>
      <w:lang w:val="en-US"/>
    </w:rPr>
  </w:style>
  <w:style w:type="character" w:customStyle="1" w:styleId="EndNoteBibliographyChar">
    <w:name w:val="EndNote Bibliography Char"/>
    <w:basedOn w:val="DefaultParagraphFont"/>
    <w:link w:val="EndNoteBibliography"/>
    <w:locked/>
    <w:rsid w:val="00436AB0"/>
    <w:rPr>
      <w:rFonts w:ascii="Aptos" w:hAnsi="Aptos" w:cs="Calibri"/>
      <w:noProof/>
      <w:sz w:val="22"/>
      <w:lang w:val="en-US"/>
    </w:rPr>
  </w:style>
  <w:style w:type="paragraph" w:customStyle="1" w:styleId="EndNoteBibliography">
    <w:name w:val="EndNote Bibliography"/>
    <w:basedOn w:val="Normal"/>
    <w:link w:val="EndNoteBibliographyChar"/>
    <w:rsid w:val="00436AB0"/>
    <w:pPr>
      <w:spacing w:line="240" w:lineRule="auto"/>
    </w:pPr>
    <w:rPr>
      <w:rFonts w:ascii="Aptos" w:hAnsi="Aptos" w:cs="Calibri"/>
      <w:noProof/>
      <w:szCs w:val="24"/>
      <w:lang w:val="en-US"/>
    </w:rPr>
  </w:style>
  <w:style w:type="paragraph" w:customStyle="1" w:styleId="xmsonormal">
    <w:name w:val="x_msonormal"/>
    <w:basedOn w:val="Normal"/>
    <w:uiPriority w:val="99"/>
    <w:semiHidden/>
    <w:rsid w:val="00436AB0"/>
    <w:pPr>
      <w:spacing w:after="0" w:line="240" w:lineRule="auto"/>
    </w:pPr>
    <w:rPr>
      <w:rFonts w:ascii="Aptos" w:hAnsi="Aptos" w:cs="Aptos"/>
      <w:kern w:val="0"/>
      <w:lang w:eastAsia="fi-FI"/>
      <w14:ligatures w14:val="none"/>
    </w:rPr>
  </w:style>
  <w:style w:type="paragraph" w:customStyle="1" w:styleId="xmsolistparagraph">
    <w:name w:val="x_msolistparagraph"/>
    <w:basedOn w:val="Normal"/>
    <w:uiPriority w:val="99"/>
    <w:semiHidden/>
    <w:rsid w:val="00436AB0"/>
    <w:pPr>
      <w:spacing w:after="0" w:line="240" w:lineRule="auto"/>
      <w:ind w:left="720"/>
    </w:pPr>
    <w:rPr>
      <w:rFonts w:ascii="Aptos" w:hAnsi="Aptos" w:cs="Aptos"/>
      <w:kern w:val="0"/>
      <w:lang w:eastAsia="fi-FI"/>
      <w14:ligatures w14:val="none"/>
    </w:rPr>
  </w:style>
  <w:style w:type="paragraph" w:customStyle="1" w:styleId="pf0">
    <w:name w:val="pf0"/>
    <w:basedOn w:val="Normal"/>
    <w:uiPriority w:val="99"/>
    <w:semiHidden/>
    <w:rsid w:val="00436AB0"/>
    <w:pPr>
      <w:spacing w:before="100" w:beforeAutospacing="1" w:after="100" w:afterAutospacing="1" w:line="240" w:lineRule="auto"/>
    </w:pPr>
    <w:rPr>
      <w:rFonts w:ascii="Times New Roman" w:eastAsia="Times New Roman" w:hAnsi="Times New Roman" w:cs="Times New Roman"/>
      <w:kern w:val="0"/>
      <w:sz w:val="24"/>
      <w:szCs w:val="24"/>
      <w:lang w:eastAsia="fi-FI"/>
      <w14:ligatures w14:val="none"/>
    </w:rPr>
  </w:style>
  <w:style w:type="character" w:styleId="CommentReference">
    <w:name w:val="annotation reference"/>
    <w:basedOn w:val="DefaultParagraphFont"/>
    <w:uiPriority w:val="99"/>
    <w:semiHidden/>
    <w:unhideWhenUsed/>
    <w:rsid w:val="00436AB0"/>
    <w:rPr>
      <w:sz w:val="16"/>
      <w:szCs w:val="16"/>
    </w:rPr>
  </w:style>
  <w:style w:type="character" w:customStyle="1" w:styleId="gnd-iwgdh3b">
    <w:name w:val="gnd-iwgdh3b"/>
    <w:basedOn w:val="DefaultParagraphFont"/>
    <w:rsid w:val="00436AB0"/>
  </w:style>
  <w:style w:type="character" w:customStyle="1" w:styleId="anchor-text">
    <w:name w:val="anchor-text"/>
    <w:basedOn w:val="DefaultParagraphFont"/>
    <w:rsid w:val="00436AB0"/>
  </w:style>
  <w:style w:type="character" w:customStyle="1" w:styleId="cf01">
    <w:name w:val="cf01"/>
    <w:basedOn w:val="DefaultParagraphFont"/>
    <w:rsid w:val="00436AB0"/>
    <w:rPr>
      <w:rFonts w:ascii="Segoe UI" w:hAnsi="Segoe UI" w:cs="Segoe UI" w:hint="default"/>
      <w:sz w:val="18"/>
      <w:szCs w:val="18"/>
    </w:rPr>
  </w:style>
  <w:style w:type="table" w:styleId="TableGrid">
    <w:name w:val="Table Grid"/>
    <w:basedOn w:val="TableNormal"/>
    <w:uiPriority w:val="39"/>
    <w:rsid w:val="00436AB0"/>
    <w:pPr>
      <w:spacing w:after="0" w:line="240" w:lineRule="auto"/>
    </w:pPr>
    <w:rPr>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36AB0"/>
    <w:rPr>
      <w:color w:val="605E5C"/>
      <w:shd w:val="clear" w:color="auto" w:fill="E1DFDD"/>
    </w:rPr>
  </w:style>
  <w:style w:type="character" w:styleId="PageNumber">
    <w:name w:val="page number"/>
    <w:basedOn w:val="DefaultParagraphFont"/>
    <w:uiPriority w:val="99"/>
    <w:semiHidden/>
    <w:unhideWhenUsed/>
    <w:rsid w:val="00436A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1017/S1930297500007622"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doi.org/10.1111/jopy.13025"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1111/j.1467-6494.2011.00718.x"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doi.org/10.1007/s11145-021-10230-w" TargetMode="External"/><Relationship Id="rId4" Type="http://schemas.openxmlformats.org/officeDocument/2006/relationships/styles" Target="styles.xml"/><Relationship Id="rId9" Type="http://schemas.openxmlformats.org/officeDocument/2006/relationships/hyperlink" Target="https://etikprovningsmyndigheten.se/wp-content/uploads/2024/05/Guide-to-the-ethical-review_webb.pdf" TargetMode="External"/><Relationship Id="rId14" Type="http://schemas.openxmlformats.org/officeDocument/2006/relationships/hyperlink" Target="https://doi.org/10.1080/13546783.2013.8447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b0683d1-dd49-4838-9284-20360810c9e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D9C640B2A61A4FB46DBFD0C51F0AAA" ma:contentTypeVersion="13" ma:contentTypeDescription="Create a new document." ma:contentTypeScope="" ma:versionID="f43d8f72fc0a73fb7c6b4988e57867f4">
  <xsd:schema xmlns:xsd="http://www.w3.org/2001/XMLSchema" xmlns:xs="http://www.w3.org/2001/XMLSchema" xmlns:p="http://schemas.microsoft.com/office/2006/metadata/properties" xmlns:ns3="cb0683d1-dd49-4838-9284-20360810c9ef" targetNamespace="http://schemas.microsoft.com/office/2006/metadata/properties" ma:root="true" ma:fieldsID="0b7f058ff871618343f09de498f3fc4b" ns3:_="">
    <xsd:import namespace="cb0683d1-dd49-4838-9284-20360810c9e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LengthInSeconds" minOccurs="0"/>
                <xsd:element ref="ns3:MediaServiceGenerationTime" minOccurs="0"/>
                <xsd:element ref="ns3:MediaServiceEventHashCode" minOccurs="0"/>
                <xsd:element ref="ns3:MediaServiceOCR" minOccurs="0"/>
                <xsd:element ref="ns3:MediaServiceLocation"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0683d1-dd49-4838-9284-20360810c9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description="" ma:indexed="true" ma:internalName="MediaServiceLocation"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SystemTags" ma:index="20"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AC8C5B-0250-4896-93AA-F158D5E67436}">
  <ds:schemaRefs>
    <ds:schemaRef ds:uri="cb0683d1-dd49-4838-9284-20360810c9ef"/>
    <ds:schemaRef ds:uri="http://purl.org/dc/elements/1.1/"/>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schemas.microsoft.com/office/2006/metadata/properties"/>
    <ds:schemaRef ds:uri="http://www.w3.org/XML/1998/namespace"/>
    <ds:schemaRef ds:uri="http://purl.org/dc/terms/"/>
  </ds:schemaRefs>
</ds:datastoreItem>
</file>

<file path=customXml/itemProps2.xml><?xml version="1.0" encoding="utf-8"?>
<ds:datastoreItem xmlns:ds="http://schemas.openxmlformats.org/officeDocument/2006/customXml" ds:itemID="{D501F96A-4416-4BCD-9CD1-FB44A4F94F3B}">
  <ds:schemaRefs>
    <ds:schemaRef ds:uri="http://schemas.microsoft.com/sharepoint/v3/contenttype/forms"/>
  </ds:schemaRefs>
</ds:datastoreItem>
</file>

<file path=customXml/itemProps3.xml><?xml version="1.0" encoding="utf-8"?>
<ds:datastoreItem xmlns:ds="http://schemas.openxmlformats.org/officeDocument/2006/customXml" ds:itemID="{3AFB88DC-E2A3-46F3-88C0-B33DF6DFA9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0683d1-dd49-4838-9284-20360810c9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8ae7559-10dc-4288-8e2e-4593e62fe3ee}" enabled="0" method="" siteId="{98ae7559-10dc-4288-8e2e-4593e62fe3ee}"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13</Pages>
  <Words>2869</Words>
  <Characters>23240</Characters>
  <Application>Microsoft Office Word</Application>
  <DocSecurity>0</DocSecurity>
  <Lines>193</Lines>
  <Paragraphs>52</Paragraphs>
  <ScaleCrop>false</ScaleCrop>
  <Company/>
  <LinksUpToDate>false</LinksUpToDate>
  <CharactersWithSpaces>26057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Svedholm-Häkkinen, Annika M</dc:creator>
  <cp:keywords/>
  <dc:description/>
  <cp:lastModifiedBy>Svedholm-Häkkinen, Annika M</cp:lastModifiedBy>
  <cp:revision>2</cp:revision>
  <dcterms:created xsi:type="dcterms:W3CDTF">2026-06-16T11:52:00Z</dcterms:created>
  <dcterms:modified xsi:type="dcterms:W3CDTF">2026-06-16T11:52:00Z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0x0101009CD9C640B2A61A4FB46DBFD0C51F0AAA</vt:lpwstr>
  </property>
</Properties>
</file>