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01122696" w:displacedByCustomXml="next"/>
    <w:sdt>
      <w:sdtPr>
        <w:rPr>
          <w:rFonts w:ascii="Times New Roman" w:hAnsi="Times New Roman" w:cs="Times New Roman"/>
          <w:b w:val="0"/>
          <w:bCs w:val="0"/>
          <w:kern w:val="2"/>
          <w:sz w:val="22"/>
          <w:szCs w:val="22"/>
          <w:lang w:val="zh-CN"/>
        </w:rPr>
        <w:id w:val="-1435669549"/>
        <w:docPartObj>
          <w:docPartGallery w:val="Table of Contents"/>
          <w:docPartUnique/>
        </w:docPartObj>
      </w:sdtPr>
      <w:sdtContent>
        <w:p w14:paraId="6D35EF5E" w14:textId="77777777" w:rsidR="0081030B" w:rsidRPr="00775C2E" w:rsidRDefault="0067683D">
          <w:pPr>
            <w:pStyle w:val="Heading1"/>
            <w:rPr>
              <w:rFonts w:ascii="Times New Roman" w:hAnsi="Times New Roman" w:cs="Times New Roman"/>
              <w:sz w:val="22"/>
              <w:szCs w:val="22"/>
              <w:lang w:val="zh-CN"/>
            </w:rPr>
          </w:pPr>
          <w:r w:rsidRPr="00775C2E">
            <w:rPr>
              <w:rFonts w:ascii="Times New Roman" w:hAnsi="Times New Roman" w:cs="Times New Roman"/>
              <w:sz w:val="22"/>
              <w:szCs w:val="22"/>
              <w:lang w:val="zh-CN"/>
            </w:rPr>
            <w:t>Appendix</w:t>
          </w:r>
          <w:bookmarkEnd w:id="0"/>
        </w:p>
        <w:p w14:paraId="64937B73" w14:textId="7D6CA16C" w:rsidR="00BE452F" w:rsidRDefault="0067683D">
          <w:pPr>
            <w:pStyle w:val="TOC1"/>
            <w:tabs>
              <w:tab w:val="right" w:leader="dot" w:pos="8289"/>
            </w:tabs>
            <w:rPr>
              <w:noProof/>
            </w:rPr>
          </w:pPr>
          <w:r w:rsidRPr="00775C2E">
            <w:rPr>
              <w:rFonts w:ascii="Times New Roman" w:hAnsi="Times New Roman" w:cs="Times New Roman"/>
            </w:rPr>
            <w:fldChar w:fldCharType="begin"/>
          </w:r>
          <w:r w:rsidRPr="00775C2E">
            <w:rPr>
              <w:rFonts w:ascii="Times New Roman" w:hAnsi="Times New Roman" w:cs="Times New Roman"/>
            </w:rPr>
            <w:instrText xml:space="preserve"> TOC \o "1-3" \h \z \u </w:instrText>
          </w:r>
          <w:r w:rsidRPr="00775C2E">
            <w:rPr>
              <w:rFonts w:ascii="Times New Roman" w:hAnsi="Times New Roman" w:cs="Times New Roman"/>
            </w:rPr>
            <w:fldChar w:fldCharType="separate"/>
          </w:r>
          <w:hyperlink w:anchor="_Toc101122696" w:history="1">
            <w:r w:rsidR="00BE452F" w:rsidRPr="0071549D">
              <w:rPr>
                <w:rStyle w:val="Hyperlink"/>
                <w:rFonts w:ascii="Times New Roman" w:hAnsi="Times New Roman" w:cs="Times New Roman"/>
                <w:noProof/>
                <w:lang w:val="zh-CN"/>
              </w:rPr>
              <w:t>Appendix</w:t>
            </w:r>
            <w:r w:rsidR="00BE452F">
              <w:rPr>
                <w:noProof/>
                <w:webHidden/>
              </w:rPr>
              <w:tab/>
            </w:r>
            <w:r w:rsidR="00BE452F">
              <w:rPr>
                <w:noProof/>
                <w:webHidden/>
              </w:rPr>
              <w:fldChar w:fldCharType="begin"/>
            </w:r>
            <w:r w:rsidR="00BE452F">
              <w:rPr>
                <w:noProof/>
                <w:webHidden/>
              </w:rPr>
              <w:instrText xml:space="preserve"> PAGEREF _Toc101122696 \h </w:instrText>
            </w:r>
            <w:r w:rsidR="00BE452F">
              <w:rPr>
                <w:noProof/>
                <w:webHidden/>
              </w:rPr>
            </w:r>
            <w:r w:rsidR="00BE452F">
              <w:rPr>
                <w:noProof/>
                <w:webHidden/>
              </w:rPr>
              <w:fldChar w:fldCharType="separate"/>
            </w:r>
            <w:r w:rsidR="005F13C2">
              <w:rPr>
                <w:noProof/>
                <w:webHidden/>
              </w:rPr>
              <w:t>1</w:t>
            </w:r>
            <w:r w:rsidR="00BE452F">
              <w:rPr>
                <w:noProof/>
                <w:webHidden/>
              </w:rPr>
              <w:fldChar w:fldCharType="end"/>
            </w:r>
          </w:hyperlink>
        </w:p>
        <w:p w14:paraId="08F3C705" w14:textId="535C93D0" w:rsidR="00BE452F" w:rsidRDefault="00000000">
          <w:pPr>
            <w:pStyle w:val="TOC1"/>
            <w:tabs>
              <w:tab w:val="right" w:leader="dot" w:pos="8289"/>
            </w:tabs>
            <w:rPr>
              <w:noProof/>
            </w:rPr>
          </w:pPr>
          <w:hyperlink w:anchor="_Toc101122697" w:history="1">
            <w:r w:rsidR="00BE452F" w:rsidRPr="0071549D">
              <w:rPr>
                <w:rStyle w:val="Hyperlink"/>
                <w:rFonts w:ascii="Times New Roman" w:hAnsi="Times New Roman" w:cs="Times New Roman"/>
                <w:noProof/>
              </w:rPr>
              <w:t>Table S1. Available syphilis self-test kits sold on e-commerce platforms in China</w:t>
            </w:r>
            <w:r w:rsidR="00BE452F" w:rsidRPr="0071549D">
              <w:rPr>
                <w:rStyle w:val="Hyperlink"/>
                <w:rFonts w:ascii="Times New Roman" w:hAnsi="Times New Roman" w:cs="Times New Roman"/>
                <w:noProof/>
                <w:vertAlign w:val="superscript"/>
              </w:rPr>
              <w:t>a</w:t>
            </w:r>
            <w:r w:rsidR="00BE452F">
              <w:rPr>
                <w:noProof/>
                <w:webHidden/>
              </w:rPr>
              <w:tab/>
            </w:r>
            <w:r w:rsidR="00BE452F">
              <w:rPr>
                <w:noProof/>
                <w:webHidden/>
              </w:rPr>
              <w:fldChar w:fldCharType="begin"/>
            </w:r>
            <w:r w:rsidR="00BE452F">
              <w:rPr>
                <w:noProof/>
                <w:webHidden/>
              </w:rPr>
              <w:instrText xml:space="preserve"> PAGEREF _Toc101122697 \h </w:instrText>
            </w:r>
            <w:r w:rsidR="00BE452F">
              <w:rPr>
                <w:noProof/>
                <w:webHidden/>
              </w:rPr>
            </w:r>
            <w:r w:rsidR="00BE452F">
              <w:rPr>
                <w:noProof/>
                <w:webHidden/>
              </w:rPr>
              <w:fldChar w:fldCharType="separate"/>
            </w:r>
            <w:r w:rsidR="005F13C2">
              <w:rPr>
                <w:noProof/>
                <w:webHidden/>
              </w:rPr>
              <w:t>2</w:t>
            </w:r>
            <w:r w:rsidR="00BE452F">
              <w:rPr>
                <w:noProof/>
                <w:webHidden/>
              </w:rPr>
              <w:fldChar w:fldCharType="end"/>
            </w:r>
          </w:hyperlink>
        </w:p>
        <w:p w14:paraId="0B26AEEF" w14:textId="7CBDD533" w:rsidR="00BE452F" w:rsidRDefault="00000000">
          <w:pPr>
            <w:pStyle w:val="TOC1"/>
            <w:tabs>
              <w:tab w:val="right" w:leader="dot" w:pos="8289"/>
            </w:tabs>
            <w:rPr>
              <w:noProof/>
            </w:rPr>
          </w:pPr>
          <w:hyperlink w:anchor="_Toc101122698" w:history="1">
            <w:r w:rsidR="00BE452F" w:rsidRPr="0071549D">
              <w:rPr>
                <w:rStyle w:val="Hyperlink"/>
                <w:rFonts w:ascii="Times New Roman" w:hAnsi="Times New Roman" w:cs="Times New Roman"/>
                <w:noProof/>
              </w:rPr>
              <w:t>Figure S1. Manufacturer-supplied step-by-step instructions</w:t>
            </w:r>
            <w:r w:rsidR="00BE452F">
              <w:rPr>
                <w:noProof/>
                <w:webHidden/>
              </w:rPr>
              <w:tab/>
            </w:r>
            <w:r w:rsidR="00BE452F">
              <w:rPr>
                <w:noProof/>
                <w:webHidden/>
              </w:rPr>
              <w:fldChar w:fldCharType="begin"/>
            </w:r>
            <w:r w:rsidR="00BE452F">
              <w:rPr>
                <w:noProof/>
                <w:webHidden/>
              </w:rPr>
              <w:instrText xml:space="preserve"> PAGEREF _Toc101122698 \h </w:instrText>
            </w:r>
            <w:r w:rsidR="00BE452F">
              <w:rPr>
                <w:noProof/>
                <w:webHidden/>
              </w:rPr>
            </w:r>
            <w:r w:rsidR="00BE452F">
              <w:rPr>
                <w:noProof/>
                <w:webHidden/>
              </w:rPr>
              <w:fldChar w:fldCharType="separate"/>
            </w:r>
            <w:r w:rsidR="005F13C2">
              <w:rPr>
                <w:noProof/>
                <w:webHidden/>
              </w:rPr>
              <w:t>5</w:t>
            </w:r>
            <w:r w:rsidR="00BE452F">
              <w:rPr>
                <w:noProof/>
                <w:webHidden/>
              </w:rPr>
              <w:fldChar w:fldCharType="end"/>
            </w:r>
          </w:hyperlink>
        </w:p>
        <w:p w14:paraId="6611CF6E" w14:textId="010EEE22" w:rsidR="00BE452F" w:rsidRDefault="00000000">
          <w:pPr>
            <w:pStyle w:val="TOC1"/>
            <w:tabs>
              <w:tab w:val="right" w:leader="dot" w:pos="8289"/>
            </w:tabs>
            <w:rPr>
              <w:noProof/>
            </w:rPr>
          </w:pPr>
          <w:hyperlink w:anchor="_Toc101122699" w:history="1">
            <w:r w:rsidR="00BE452F" w:rsidRPr="0071549D">
              <w:rPr>
                <w:rStyle w:val="Hyperlink"/>
                <w:rFonts w:ascii="Times New Roman" w:hAnsi="Times New Roman" w:cs="Times New Roman"/>
                <w:noProof/>
              </w:rPr>
              <w:t>Figure S2. Result report card</w:t>
            </w:r>
            <w:r w:rsidR="00BE452F">
              <w:rPr>
                <w:noProof/>
                <w:webHidden/>
              </w:rPr>
              <w:tab/>
            </w:r>
            <w:r w:rsidR="00BE452F">
              <w:rPr>
                <w:noProof/>
                <w:webHidden/>
              </w:rPr>
              <w:fldChar w:fldCharType="begin"/>
            </w:r>
            <w:r w:rsidR="00BE452F">
              <w:rPr>
                <w:noProof/>
                <w:webHidden/>
              </w:rPr>
              <w:instrText xml:space="preserve"> PAGEREF _Toc101122699 \h </w:instrText>
            </w:r>
            <w:r w:rsidR="00BE452F">
              <w:rPr>
                <w:noProof/>
                <w:webHidden/>
              </w:rPr>
            </w:r>
            <w:r w:rsidR="00BE452F">
              <w:rPr>
                <w:noProof/>
                <w:webHidden/>
              </w:rPr>
              <w:fldChar w:fldCharType="separate"/>
            </w:r>
            <w:r w:rsidR="005F13C2">
              <w:rPr>
                <w:noProof/>
                <w:webHidden/>
              </w:rPr>
              <w:t>6</w:t>
            </w:r>
            <w:r w:rsidR="00BE452F">
              <w:rPr>
                <w:noProof/>
                <w:webHidden/>
              </w:rPr>
              <w:fldChar w:fldCharType="end"/>
            </w:r>
          </w:hyperlink>
        </w:p>
        <w:p w14:paraId="544F892C" w14:textId="037BB971" w:rsidR="00BE452F" w:rsidRDefault="00000000">
          <w:pPr>
            <w:pStyle w:val="TOC1"/>
            <w:tabs>
              <w:tab w:val="right" w:leader="dot" w:pos="8289"/>
            </w:tabs>
            <w:rPr>
              <w:noProof/>
            </w:rPr>
          </w:pPr>
          <w:hyperlink w:anchor="_Toc101122700" w:history="1">
            <w:r w:rsidR="00BE452F" w:rsidRPr="0071549D">
              <w:rPr>
                <w:rStyle w:val="Hyperlink"/>
                <w:rFonts w:ascii="Times New Roman" w:hAnsi="Times New Roman" w:cs="Times New Roman"/>
                <w:noProof/>
              </w:rPr>
              <w:t>Figure S3. Information Card</w:t>
            </w:r>
            <w:r w:rsidR="00BE452F">
              <w:rPr>
                <w:noProof/>
                <w:webHidden/>
              </w:rPr>
              <w:tab/>
            </w:r>
            <w:r w:rsidR="00BE452F">
              <w:rPr>
                <w:noProof/>
                <w:webHidden/>
              </w:rPr>
              <w:fldChar w:fldCharType="begin"/>
            </w:r>
            <w:r w:rsidR="00BE452F">
              <w:rPr>
                <w:noProof/>
                <w:webHidden/>
              </w:rPr>
              <w:instrText xml:space="preserve"> PAGEREF _Toc101122700 \h </w:instrText>
            </w:r>
            <w:r w:rsidR="00BE452F">
              <w:rPr>
                <w:noProof/>
                <w:webHidden/>
              </w:rPr>
            </w:r>
            <w:r w:rsidR="00BE452F">
              <w:rPr>
                <w:noProof/>
                <w:webHidden/>
              </w:rPr>
              <w:fldChar w:fldCharType="separate"/>
            </w:r>
            <w:r w:rsidR="005F13C2">
              <w:rPr>
                <w:noProof/>
                <w:webHidden/>
              </w:rPr>
              <w:t>8</w:t>
            </w:r>
            <w:r w:rsidR="00BE452F">
              <w:rPr>
                <w:noProof/>
                <w:webHidden/>
              </w:rPr>
              <w:fldChar w:fldCharType="end"/>
            </w:r>
          </w:hyperlink>
        </w:p>
        <w:p w14:paraId="0A4E5180" w14:textId="72AEFA0C" w:rsidR="00BE452F" w:rsidRDefault="00000000">
          <w:pPr>
            <w:pStyle w:val="TOC1"/>
            <w:tabs>
              <w:tab w:val="right" w:leader="dot" w:pos="8289"/>
            </w:tabs>
            <w:rPr>
              <w:noProof/>
            </w:rPr>
          </w:pPr>
          <w:hyperlink w:anchor="_Toc101122701" w:history="1">
            <w:r w:rsidR="00BE452F" w:rsidRPr="0071549D">
              <w:rPr>
                <w:rStyle w:val="Hyperlink"/>
                <w:rFonts w:ascii="Times New Roman" w:hAnsi="Times New Roman" w:cs="Times New Roman"/>
                <w:noProof/>
              </w:rPr>
              <w:t>Figure S4. Peer Notification Card</w:t>
            </w:r>
            <w:r w:rsidR="00BE452F">
              <w:rPr>
                <w:noProof/>
                <w:webHidden/>
              </w:rPr>
              <w:tab/>
            </w:r>
            <w:r w:rsidR="00BE452F">
              <w:rPr>
                <w:noProof/>
                <w:webHidden/>
              </w:rPr>
              <w:fldChar w:fldCharType="begin"/>
            </w:r>
            <w:r w:rsidR="00BE452F">
              <w:rPr>
                <w:noProof/>
                <w:webHidden/>
              </w:rPr>
              <w:instrText xml:space="preserve"> PAGEREF _Toc101122701 \h </w:instrText>
            </w:r>
            <w:r w:rsidR="00BE452F">
              <w:rPr>
                <w:noProof/>
                <w:webHidden/>
              </w:rPr>
            </w:r>
            <w:r w:rsidR="00BE452F">
              <w:rPr>
                <w:noProof/>
                <w:webHidden/>
              </w:rPr>
              <w:fldChar w:fldCharType="separate"/>
            </w:r>
            <w:r w:rsidR="005F13C2">
              <w:rPr>
                <w:noProof/>
                <w:webHidden/>
              </w:rPr>
              <w:t>9</w:t>
            </w:r>
            <w:r w:rsidR="00BE452F">
              <w:rPr>
                <w:noProof/>
                <w:webHidden/>
              </w:rPr>
              <w:fldChar w:fldCharType="end"/>
            </w:r>
          </w:hyperlink>
        </w:p>
        <w:p w14:paraId="79996048" w14:textId="61CD2B56" w:rsidR="00BE452F" w:rsidRDefault="00000000">
          <w:pPr>
            <w:pStyle w:val="TOC1"/>
            <w:tabs>
              <w:tab w:val="right" w:leader="dot" w:pos="8289"/>
            </w:tabs>
            <w:rPr>
              <w:noProof/>
            </w:rPr>
          </w:pPr>
          <w:hyperlink w:anchor="_Toc101122702" w:history="1">
            <w:r w:rsidR="00BE452F" w:rsidRPr="0071549D">
              <w:rPr>
                <w:rStyle w:val="Hyperlink"/>
                <w:rFonts w:ascii="Times New Roman" w:hAnsi="Times New Roman" w:cs="Times New Roman"/>
                <w:noProof/>
              </w:rPr>
              <w:t>Figure S5. Social network distribution</w:t>
            </w:r>
            <w:r w:rsidR="00BE452F">
              <w:rPr>
                <w:noProof/>
                <w:webHidden/>
              </w:rPr>
              <w:tab/>
            </w:r>
            <w:r w:rsidR="00BE452F">
              <w:rPr>
                <w:noProof/>
                <w:webHidden/>
              </w:rPr>
              <w:fldChar w:fldCharType="begin"/>
            </w:r>
            <w:r w:rsidR="00BE452F">
              <w:rPr>
                <w:noProof/>
                <w:webHidden/>
              </w:rPr>
              <w:instrText xml:space="preserve"> PAGEREF _Toc101122702 \h </w:instrText>
            </w:r>
            <w:r w:rsidR="00BE452F">
              <w:rPr>
                <w:noProof/>
                <w:webHidden/>
              </w:rPr>
            </w:r>
            <w:r w:rsidR="00BE452F">
              <w:rPr>
                <w:noProof/>
                <w:webHidden/>
              </w:rPr>
              <w:fldChar w:fldCharType="separate"/>
            </w:r>
            <w:r w:rsidR="005F13C2">
              <w:rPr>
                <w:noProof/>
                <w:webHidden/>
              </w:rPr>
              <w:t>10</w:t>
            </w:r>
            <w:r w:rsidR="00BE452F">
              <w:rPr>
                <w:noProof/>
                <w:webHidden/>
              </w:rPr>
              <w:fldChar w:fldCharType="end"/>
            </w:r>
          </w:hyperlink>
        </w:p>
        <w:p w14:paraId="0C0FA09F" w14:textId="1FE5656E" w:rsidR="00BE452F" w:rsidRDefault="00000000">
          <w:pPr>
            <w:pStyle w:val="TOC1"/>
            <w:tabs>
              <w:tab w:val="right" w:leader="dot" w:pos="8289"/>
            </w:tabs>
            <w:rPr>
              <w:noProof/>
            </w:rPr>
          </w:pPr>
          <w:hyperlink w:anchor="_Toc101122703" w:history="1">
            <w:r w:rsidR="00BE452F" w:rsidRPr="0071549D">
              <w:rPr>
                <w:rStyle w:val="Hyperlink"/>
                <w:rFonts w:ascii="Times New Roman" w:hAnsi="Times New Roman" w:cs="Times New Roman"/>
                <w:noProof/>
              </w:rPr>
              <w:t>Table S2. Baseline characteristics of study participants stratified by loss-to-follow-up in the Syphilis Self-Testing Randomized Controlled Trial in China.</w:t>
            </w:r>
            <w:r w:rsidR="00BE452F">
              <w:rPr>
                <w:noProof/>
                <w:webHidden/>
              </w:rPr>
              <w:tab/>
            </w:r>
            <w:r w:rsidR="00BE452F">
              <w:rPr>
                <w:noProof/>
                <w:webHidden/>
              </w:rPr>
              <w:fldChar w:fldCharType="begin"/>
            </w:r>
            <w:r w:rsidR="00BE452F">
              <w:rPr>
                <w:noProof/>
                <w:webHidden/>
              </w:rPr>
              <w:instrText xml:space="preserve"> PAGEREF _Toc101122703 \h </w:instrText>
            </w:r>
            <w:r w:rsidR="00BE452F">
              <w:rPr>
                <w:noProof/>
                <w:webHidden/>
              </w:rPr>
            </w:r>
            <w:r w:rsidR="00BE452F">
              <w:rPr>
                <w:noProof/>
                <w:webHidden/>
              </w:rPr>
              <w:fldChar w:fldCharType="separate"/>
            </w:r>
            <w:r w:rsidR="005F13C2">
              <w:rPr>
                <w:noProof/>
                <w:webHidden/>
              </w:rPr>
              <w:t>11</w:t>
            </w:r>
            <w:r w:rsidR="00BE452F">
              <w:rPr>
                <w:noProof/>
                <w:webHidden/>
              </w:rPr>
              <w:fldChar w:fldCharType="end"/>
            </w:r>
          </w:hyperlink>
        </w:p>
        <w:p w14:paraId="4E91ADFB" w14:textId="0C5ECEDA" w:rsidR="00BE452F" w:rsidRDefault="00000000">
          <w:pPr>
            <w:pStyle w:val="TOC1"/>
            <w:tabs>
              <w:tab w:val="right" w:leader="dot" w:pos="8289"/>
            </w:tabs>
            <w:rPr>
              <w:noProof/>
            </w:rPr>
          </w:pPr>
          <w:hyperlink w:anchor="_Toc101122704" w:history="1">
            <w:r w:rsidR="00BE452F" w:rsidRPr="0071549D">
              <w:rPr>
                <w:rStyle w:val="Hyperlink"/>
                <w:rFonts w:ascii="Times New Roman" w:hAnsi="Times New Roman" w:cs="Times New Roman"/>
                <w:noProof/>
              </w:rPr>
              <w:t>Table S3. Cost items included.</w:t>
            </w:r>
            <w:r w:rsidR="00BE452F">
              <w:rPr>
                <w:noProof/>
                <w:webHidden/>
              </w:rPr>
              <w:tab/>
            </w:r>
            <w:r w:rsidR="00BE452F">
              <w:rPr>
                <w:noProof/>
                <w:webHidden/>
              </w:rPr>
              <w:fldChar w:fldCharType="begin"/>
            </w:r>
            <w:r w:rsidR="00BE452F">
              <w:rPr>
                <w:noProof/>
                <w:webHidden/>
              </w:rPr>
              <w:instrText xml:space="preserve"> PAGEREF _Toc101122704 \h </w:instrText>
            </w:r>
            <w:r w:rsidR="00BE452F">
              <w:rPr>
                <w:noProof/>
                <w:webHidden/>
              </w:rPr>
            </w:r>
            <w:r w:rsidR="00BE452F">
              <w:rPr>
                <w:noProof/>
                <w:webHidden/>
              </w:rPr>
              <w:fldChar w:fldCharType="separate"/>
            </w:r>
            <w:r w:rsidR="005F13C2">
              <w:rPr>
                <w:noProof/>
                <w:webHidden/>
              </w:rPr>
              <w:t>13</w:t>
            </w:r>
            <w:r w:rsidR="00BE452F">
              <w:rPr>
                <w:noProof/>
                <w:webHidden/>
              </w:rPr>
              <w:fldChar w:fldCharType="end"/>
            </w:r>
          </w:hyperlink>
        </w:p>
        <w:p w14:paraId="45CC5531" w14:textId="1F90FFD6" w:rsidR="00BE452F" w:rsidRDefault="00000000">
          <w:pPr>
            <w:pStyle w:val="TOC1"/>
            <w:tabs>
              <w:tab w:val="right" w:leader="dot" w:pos="8289"/>
            </w:tabs>
            <w:rPr>
              <w:noProof/>
            </w:rPr>
          </w:pPr>
          <w:hyperlink w:anchor="_Toc101122705" w:history="1">
            <w:r w:rsidR="00BE452F" w:rsidRPr="0071549D">
              <w:rPr>
                <w:rStyle w:val="Hyperlink"/>
                <w:rFonts w:ascii="Times New Roman" w:hAnsi="Times New Roman" w:cs="Times New Roman"/>
                <w:noProof/>
              </w:rPr>
              <w:t>Table S4. Sample size calculation</w:t>
            </w:r>
            <w:r w:rsidR="00BE452F">
              <w:rPr>
                <w:noProof/>
                <w:webHidden/>
              </w:rPr>
              <w:tab/>
            </w:r>
            <w:r w:rsidR="00BE452F">
              <w:rPr>
                <w:noProof/>
                <w:webHidden/>
              </w:rPr>
              <w:fldChar w:fldCharType="begin"/>
            </w:r>
            <w:r w:rsidR="00BE452F">
              <w:rPr>
                <w:noProof/>
                <w:webHidden/>
              </w:rPr>
              <w:instrText xml:space="preserve"> PAGEREF _Toc101122705 \h </w:instrText>
            </w:r>
            <w:r w:rsidR="00BE452F">
              <w:rPr>
                <w:noProof/>
                <w:webHidden/>
              </w:rPr>
            </w:r>
            <w:r w:rsidR="00BE452F">
              <w:rPr>
                <w:noProof/>
                <w:webHidden/>
              </w:rPr>
              <w:fldChar w:fldCharType="separate"/>
            </w:r>
            <w:r w:rsidR="005F13C2">
              <w:rPr>
                <w:noProof/>
                <w:webHidden/>
              </w:rPr>
              <w:t>15</w:t>
            </w:r>
            <w:r w:rsidR="00BE452F">
              <w:rPr>
                <w:noProof/>
                <w:webHidden/>
              </w:rPr>
              <w:fldChar w:fldCharType="end"/>
            </w:r>
          </w:hyperlink>
        </w:p>
        <w:p w14:paraId="4AED1EED" w14:textId="385B3F5E" w:rsidR="00BE452F" w:rsidRDefault="00000000">
          <w:pPr>
            <w:pStyle w:val="TOC1"/>
            <w:tabs>
              <w:tab w:val="right" w:leader="dot" w:pos="8289"/>
            </w:tabs>
            <w:rPr>
              <w:noProof/>
            </w:rPr>
          </w:pPr>
          <w:hyperlink w:anchor="_Toc101122706" w:history="1">
            <w:r w:rsidR="00BE452F" w:rsidRPr="0071549D">
              <w:rPr>
                <w:rStyle w:val="Hyperlink"/>
                <w:rFonts w:ascii="Times New Roman" w:hAnsi="Times New Roman" w:cs="Times New Roman"/>
                <w:noProof/>
              </w:rPr>
              <w:t>Table S5 Break-down of adverse events among indexes at 3-month follow up survey</w:t>
            </w:r>
            <w:r w:rsidR="00BE452F">
              <w:rPr>
                <w:noProof/>
                <w:webHidden/>
              </w:rPr>
              <w:tab/>
            </w:r>
            <w:r w:rsidR="00BE452F">
              <w:rPr>
                <w:noProof/>
                <w:webHidden/>
              </w:rPr>
              <w:fldChar w:fldCharType="begin"/>
            </w:r>
            <w:r w:rsidR="00BE452F">
              <w:rPr>
                <w:noProof/>
                <w:webHidden/>
              </w:rPr>
              <w:instrText xml:space="preserve"> PAGEREF _Toc101122706 \h </w:instrText>
            </w:r>
            <w:r w:rsidR="00BE452F">
              <w:rPr>
                <w:noProof/>
                <w:webHidden/>
              </w:rPr>
            </w:r>
            <w:r w:rsidR="00BE452F">
              <w:rPr>
                <w:noProof/>
                <w:webHidden/>
              </w:rPr>
              <w:fldChar w:fldCharType="separate"/>
            </w:r>
            <w:r w:rsidR="005F13C2">
              <w:rPr>
                <w:noProof/>
                <w:webHidden/>
              </w:rPr>
              <w:t>16</w:t>
            </w:r>
            <w:r w:rsidR="00BE452F">
              <w:rPr>
                <w:noProof/>
                <w:webHidden/>
              </w:rPr>
              <w:fldChar w:fldCharType="end"/>
            </w:r>
          </w:hyperlink>
        </w:p>
        <w:p w14:paraId="05C85A0B" w14:textId="0EE844C1" w:rsidR="00BE452F" w:rsidRDefault="00000000">
          <w:pPr>
            <w:pStyle w:val="TOC1"/>
            <w:tabs>
              <w:tab w:val="right" w:leader="dot" w:pos="8289"/>
            </w:tabs>
            <w:rPr>
              <w:noProof/>
            </w:rPr>
          </w:pPr>
          <w:hyperlink w:anchor="_Toc101122707" w:history="1">
            <w:r w:rsidR="00BE452F" w:rsidRPr="0071549D">
              <w:rPr>
                <w:rStyle w:val="Hyperlink"/>
                <w:rFonts w:ascii="Times New Roman" w:hAnsi="Times New Roman" w:cs="Times New Roman"/>
                <w:noProof/>
              </w:rPr>
              <w:t>Table S6 Break-down of adverse events among alters at alter survey</w:t>
            </w:r>
            <w:r w:rsidR="00BE452F">
              <w:rPr>
                <w:noProof/>
                <w:webHidden/>
              </w:rPr>
              <w:tab/>
            </w:r>
            <w:r w:rsidR="00BE452F">
              <w:rPr>
                <w:noProof/>
                <w:webHidden/>
              </w:rPr>
              <w:fldChar w:fldCharType="begin"/>
            </w:r>
            <w:r w:rsidR="00BE452F">
              <w:rPr>
                <w:noProof/>
                <w:webHidden/>
              </w:rPr>
              <w:instrText xml:space="preserve"> PAGEREF _Toc101122707 \h </w:instrText>
            </w:r>
            <w:r w:rsidR="00BE452F">
              <w:rPr>
                <w:noProof/>
                <w:webHidden/>
              </w:rPr>
            </w:r>
            <w:r w:rsidR="00BE452F">
              <w:rPr>
                <w:noProof/>
                <w:webHidden/>
              </w:rPr>
              <w:fldChar w:fldCharType="separate"/>
            </w:r>
            <w:r w:rsidR="005F13C2">
              <w:rPr>
                <w:noProof/>
                <w:webHidden/>
              </w:rPr>
              <w:t>17</w:t>
            </w:r>
            <w:r w:rsidR="00BE452F">
              <w:rPr>
                <w:noProof/>
                <w:webHidden/>
              </w:rPr>
              <w:fldChar w:fldCharType="end"/>
            </w:r>
          </w:hyperlink>
        </w:p>
        <w:p w14:paraId="723319B5" w14:textId="10B881AE" w:rsidR="00BE452F" w:rsidRDefault="00000000">
          <w:pPr>
            <w:pStyle w:val="TOC1"/>
            <w:tabs>
              <w:tab w:val="right" w:leader="dot" w:pos="8289"/>
            </w:tabs>
            <w:rPr>
              <w:noProof/>
            </w:rPr>
          </w:pPr>
          <w:hyperlink w:anchor="_Toc101122708" w:history="1">
            <w:r w:rsidR="00BE452F" w:rsidRPr="0071549D">
              <w:rPr>
                <w:rStyle w:val="Hyperlink"/>
                <w:rFonts w:ascii="Times New Roman" w:hAnsi="Times New Roman" w:cs="Times New Roman"/>
                <w:noProof/>
              </w:rPr>
              <w:t>Table S7. CONSORT 2010 checklist of information to include when reporting a randomised trial*.</w:t>
            </w:r>
            <w:r w:rsidR="00BE452F">
              <w:rPr>
                <w:noProof/>
                <w:webHidden/>
              </w:rPr>
              <w:tab/>
            </w:r>
            <w:r w:rsidR="00BE452F">
              <w:rPr>
                <w:noProof/>
                <w:webHidden/>
              </w:rPr>
              <w:fldChar w:fldCharType="begin"/>
            </w:r>
            <w:r w:rsidR="00BE452F">
              <w:rPr>
                <w:noProof/>
                <w:webHidden/>
              </w:rPr>
              <w:instrText xml:space="preserve"> PAGEREF _Toc101122708 \h </w:instrText>
            </w:r>
            <w:r w:rsidR="00BE452F">
              <w:rPr>
                <w:noProof/>
                <w:webHidden/>
              </w:rPr>
            </w:r>
            <w:r w:rsidR="00BE452F">
              <w:rPr>
                <w:noProof/>
                <w:webHidden/>
              </w:rPr>
              <w:fldChar w:fldCharType="separate"/>
            </w:r>
            <w:r w:rsidR="005F13C2">
              <w:rPr>
                <w:noProof/>
                <w:webHidden/>
              </w:rPr>
              <w:t>18</w:t>
            </w:r>
            <w:r w:rsidR="00BE452F">
              <w:rPr>
                <w:noProof/>
                <w:webHidden/>
              </w:rPr>
              <w:fldChar w:fldCharType="end"/>
            </w:r>
          </w:hyperlink>
        </w:p>
        <w:p w14:paraId="2D6E1A0F" w14:textId="4F56F8A5" w:rsidR="00BE452F" w:rsidRDefault="00000000">
          <w:pPr>
            <w:pStyle w:val="TOC1"/>
            <w:tabs>
              <w:tab w:val="right" w:leader="dot" w:pos="8289"/>
            </w:tabs>
            <w:rPr>
              <w:noProof/>
            </w:rPr>
          </w:pPr>
          <w:hyperlink w:anchor="_Toc101122709" w:history="1">
            <w:r w:rsidR="00BE452F" w:rsidRPr="0071549D">
              <w:rPr>
                <w:rStyle w:val="Hyperlink"/>
                <w:rFonts w:ascii="Times New Roman" w:hAnsi="Times New Roman" w:cs="Times New Roman"/>
                <w:noProof/>
              </w:rPr>
              <w:t>File S1 Study protocol</w:t>
            </w:r>
            <w:r w:rsidR="00BE452F">
              <w:rPr>
                <w:noProof/>
                <w:webHidden/>
              </w:rPr>
              <w:tab/>
            </w:r>
            <w:r w:rsidR="00BE452F">
              <w:rPr>
                <w:noProof/>
                <w:webHidden/>
              </w:rPr>
              <w:fldChar w:fldCharType="begin"/>
            </w:r>
            <w:r w:rsidR="00BE452F">
              <w:rPr>
                <w:noProof/>
                <w:webHidden/>
              </w:rPr>
              <w:instrText xml:space="preserve"> PAGEREF _Toc101122709 \h </w:instrText>
            </w:r>
            <w:r w:rsidR="00BE452F">
              <w:rPr>
                <w:noProof/>
                <w:webHidden/>
              </w:rPr>
            </w:r>
            <w:r w:rsidR="00BE452F">
              <w:rPr>
                <w:noProof/>
                <w:webHidden/>
              </w:rPr>
              <w:fldChar w:fldCharType="separate"/>
            </w:r>
            <w:r w:rsidR="005F13C2">
              <w:rPr>
                <w:noProof/>
                <w:webHidden/>
              </w:rPr>
              <w:t>21</w:t>
            </w:r>
            <w:r w:rsidR="00BE452F">
              <w:rPr>
                <w:noProof/>
                <w:webHidden/>
              </w:rPr>
              <w:fldChar w:fldCharType="end"/>
            </w:r>
          </w:hyperlink>
        </w:p>
        <w:p w14:paraId="73EA7B1A" w14:textId="15CA14E6" w:rsidR="00BE452F" w:rsidRDefault="00000000">
          <w:pPr>
            <w:pStyle w:val="TOC1"/>
            <w:tabs>
              <w:tab w:val="right" w:leader="dot" w:pos="8289"/>
            </w:tabs>
            <w:rPr>
              <w:noProof/>
            </w:rPr>
          </w:pPr>
          <w:hyperlink w:anchor="_Toc101122710" w:history="1">
            <w:r w:rsidR="00BE452F" w:rsidRPr="0071549D">
              <w:rPr>
                <w:rStyle w:val="Hyperlink"/>
                <w:rFonts w:ascii="Times New Roman" w:hAnsi="Times New Roman" w:cs="Times New Roman"/>
                <w:noProof/>
              </w:rPr>
              <w:t>Protocol Amendments</w:t>
            </w:r>
            <w:r w:rsidR="00BE452F">
              <w:rPr>
                <w:noProof/>
                <w:webHidden/>
              </w:rPr>
              <w:tab/>
            </w:r>
            <w:r w:rsidR="00BE452F">
              <w:rPr>
                <w:noProof/>
                <w:webHidden/>
              </w:rPr>
              <w:fldChar w:fldCharType="begin"/>
            </w:r>
            <w:r w:rsidR="00BE452F">
              <w:rPr>
                <w:noProof/>
                <w:webHidden/>
              </w:rPr>
              <w:instrText xml:space="preserve"> PAGEREF _Toc101122710 \h </w:instrText>
            </w:r>
            <w:r w:rsidR="00BE452F">
              <w:rPr>
                <w:noProof/>
                <w:webHidden/>
              </w:rPr>
            </w:r>
            <w:r w:rsidR="00BE452F">
              <w:rPr>
                <w:noProof/>
                <w:webHidden/>
              </w:rPr>
              <w:fldChar w:fldCharType="separate"/>
            </w:r>
            <w:r w:rsidR="005F13C2">
              <w:rPr>
                <w:noProof/>
                <w:webHidden/>
              </w:rPr>
              <w:t>41</w:t>
            </w:r>
            <w:r w:rsidR="00BE452F">
              <w:rPr>
                <w:noProof/>
                <w:webHidden/>
              </w:rPr>
              <w:fldChar w:fldCharType="end"/>
            </w:r>
          </w:hyperlink>
        </w:p>
        <w:p w14:paraId="63043E44" w14:textId="0581837E" w:rsidR="0081030B" w:rsidRPr="00775C2E" w:rsidRDefault="0067683D">
          <w:pPr>
            <w:rPr>
              <w:rFonts w:ascii="Times New Roman" w:hAnsi="Times New Roman" w:cs="Times New Roman"/>
              <w:bCs/>
              <w:sz w:val="22"/>
              <w:lang w:val="zh-CN"/>
            </w:rPr>
          </w:pPr>
          <w:r w:rsidRPr="00775C2E">
            <w:rPr>
              <w:rFonts w:ascii="Times New Roman" w:hAnsi="Times New Roman" w:cs="Times New Roman"/>
              <w:bCs/>
              <w:sz w:val="22"/>
              <w:lang w:val="zh-CN"/>
            </w:rPr>
            <w:fldChar w:fldCharType="end"/>
          </w:r>
        </w:p>
      </w:sdtContent>
    </w:sdt>
    <w:p w14:paraId="03E84A33" w14:textId="77777777" w:rsidR="0081030B" w:rsidRPr="00775C2E" w:rsidRDefault="0081030B">
      <w:pPr>
        <w:pStyle w:val="Heading1"/>
        <w:rPr>
          <w:rFonts w:ascii="Times New Roman" w:hAnsi="Times New Roman" w:cs="Times New Roman"/>
          <w:sz w:val="22"/>
          <w:szCs w:val="22"/>
        </w:rPr>
      </w:pPr>
      <w:bookmarkStart w:id="1" w:name="_Toc6405"/>
      <w:bookmarkStart w:id="2" w:name="_Toc72150982"/>
      <w:bookmarkStart w:id="3" w:name="_Toc21007"/>
      <w:bookmarkStart w:id="4" w:name="_Toc52202743"/>
      <w:bookmarkStart w:id="5" w:name="_Toc133"/>
      <w:bookmarkStart w:id="6" w:name="_Toc27311"/>
      <w:bookmarkStart w:id="7" w:name="_Toc23986"/>
      <w:bookmarkStart w:id="8" w:name="_Toc53863243"/>
      <w:bookmarkStart w:id="9" w:name="_Toc49265187"/>
    </w:p>
    <w:p w14:paraId="01734BD7" w14:textId="77777777" w:rsidR="0081030B" w:rsidRPr="00775C2E" w:rsidRDefault="0067683D">
      <w:pPr>
        <w:widowControl/>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br w:type="page"/>
      </w:r>
    </w:p>
    <w:p w14:paraId="3F312B42" w14:textId="77777777" w:rsidR="0081030B" w:rsidRPr="00775C2E" w:rsidRDefault="0067683D">
      <w:pPr>
        <w:pStyle w:val="Heading1"/>
        <w:rPr>
          <w:rFonts w:ascii="Times New Roman" w:hAnsi="Times New Roman" w:cs="Times New Roman"/>
          <w:sz w:val="22"/>
          <w:szCs w:val="22"/>
        </w:rPr>
      </w:pPr>
      <w:bookmarkStart w:id="10" w:name="_Toc101122697"/>
      <w:r w:rsidRPr="00775C2E">
        <w:rPr>
          <w:rFonts w:ascii="Times New Roman" w:hAnsi="Times New Roman" w:cs="Times New Roman"/>
          <w:sz w:val="22"/>
          <w:szCs w:val="22"/>
        </w:rPr>
        <w:lastRenderedPageBreak/>
        <w:t xml:space="preserve">Table S1. Available syphilis self-test kits sold on e-commerce platforms in </w:t>
      </w:r>
      <w:proofErr w:type="spellStart"/>
      <w:r w:rsidRPr="00775C2E">
        <w:rPr>
          <w:rFonts w:ascii="Times New Roman" w:hAnsi="Times New Roman" w:cs="Times New Roman"/>
          <w:sz w:val="22"/>
          <w:szCs w:val="22"/>
        </w:rPr>
        <w:t>China</w:t>
      </w:r>
      <w:r w:rsidRPr="00775C2E">
        <w:rPr>
          <w:rFonts w:ascii="Times New Roman" w:hAnsi="Times New Roman" w:cs="Times New Roman"/>
          <w:sz w:val="22"/>
          <w:szCs w:val="22"/>
          <w:vertAlign w:val="superscript"/>
        </w:rPr>
        <w:t>a</w:t>
      </w:r>
      <w:bookmarkEnd w:id="1"/>
      <w:bookmarkEnd w:id="2"/>
      <w:bookmarkEnd w:id="3"/>
      <w:bookmarkEnd w:id="10"/>
      <w:proofErr w:type="spellEnd"/>
    </w:p>
    <w:tbl>
      <w:tblPr>
        <w:tblStyle w:val="TableGrid"/>
        <w:tblW w:w="4998" w:type="pct"/>
        <w:tblLook w:val="04A0" w:firstRow="1" w:lastRow="0" w:firstColumn="1" w:lastColumn="0" w:noHBand="0" w:noVBand="1"/>
      </w:tblPr>
      <w:tblGrid>
        <w:gridCol w:w="519"/>
        <w:gridCol w:w="1603"/>
        <w:gridCol w:w="3388"/>
        <w:gridCol w:w="1046"/>
        <w:gridCol w:w="1733"/>
      </w:tblGrid>
      <w:tr w:rsidR="0081030B" w:rsidRPr="00775C2E" w14:paraId="6F7DB9A4" w14:textId="77777777">
        <w:trPr>
          <w:tblHeader/>
        </w:trPr>
        <w:tc>
          <w:tcPr>
            <w:tcW w:w="306" w:type="pct"/>
          </w:tcPr>
          <w:p w14:paraId="5C5546A3" w14:textId="77777777" w:rsidR="0081030B" w:rsidRPr="00775C2E" w:rsidRDefault="0067683D">
            <w:pPr>
              <w:jc w:val="center"/>
              <w:rPr>
                <w:rFonts w:ascii="Times New Roman" w:hAnsi="Times New Roman" w:cs="Times New Roman"/>
                <w:b/>
                <w:sz w:val="22"/>
              </w:rPr>
            </w:pPr>
            <w:r w:rsidRPr="00775C2E">
              <w:rPr>
                <w:rFonts w:ascii="Times New Roman" w:hAnsi="Times New Roman" w:cs="Times New Roman"/>
                <w:b/>
                <w:sz w:val="22"/>
              </w:rPr>
              <w:t>No.</w:t>
            </w:r>
          </w:p>
        </w:tc>
        <w:tc>
          <w:tcPr>
            <w:tcW w:w="1157" w:type="pct"/>
          </w:tcPr>
          <w:p w14:paraId="4E83C157" w14:textId="77777777" w:rsidR="0081030B" w:rsidRPr="00775C2E" w:rsidRDefault="0067683D">
            <w:pPr>
              <w:jc w:val="center"/>
              <w:rPr>
                <w:rFonts w:ascii="Times New Roman" w:hAnsi="Times New Roman" w:cs="Times New Roman"/>
                <w:b/>
                <w:sz w:val="22"/>
              </w:rPr>
            </w:pPr>
            <w:r w:rsidRPr="00775C2E">
              <w:rPr>
                <w:rFonts w:ascii="Times New Roman" w:hAnsi="Times New Roman" w:cs="Times New Roman"/>
                <w:b/>
                <w:sz w:val="22"/>
              </w:rPr>
              <w:t>Brand</w:t>
            </w:r>
          </w:p>
        </w:tc>
        <w:tc>
          <w:tcPr>
            <w:tcW w:w="2086" w:type="pct"/>
          </w:tcPr>
          <w:p w14:paraId="2F9D168D" w14:textId="77777777" w:rsidR="0081030B" w:rsidRPr="00775C2E" w:rsidRDefault="0067683D">
            <w:pPr>
              <w:jc w:val="center"/>
              <w:rPr>
                <w:rFonts w:ascii="Times New Roman" w:hAnsi="Times New Roman" w:cs="Times New Roman"/>
                <w:b/>
                <w:sz w:val="22"/>
              </w:rPr>
            </w:pPr>
            <w:r w:rsidRPr="00775C2E">
              <w:rPr>
                <w:rFonts w:ascii="Times New Roman" w:hAnsi="Times New Roman" w:cs="Times New Roman"/>
                <w:b/>
                <w:sz w:val="22"/>
              </w:rPr>
              <w:t>Screenshot of the product</w:t>
            </w:r>
          </w:p>
        </w:tc>
        <w:tc>
          <w:tcPr>
            <w:tcW w:w="642" w:type="pct"/>
          </w:tcPr>
          <w:p w14:paraId="3876E0F0" w14:textId="77777777" w:rsidR="0081030B" w:rsidRPr="00775C2E" w:rsidRDefault="0067683D">
            <w:pPr>
              <w:jc w:val="center"/>
              <w:rPr>
                <w:rFonts w:ascii="Times New Roman" w:hAnsi="Times New Roman" w:cs="Times New Roman"/>
                <w:b/>
                <w:sz w:val="22"/>
              </w:rPr>
            </w:pPr>
            <w:r w:rsidRPr="00775C2E">
              <w:rPr>
                <w:rFonts w:ascii="Times New Roman" w:hAnsi="Times New Roman" w:cs="Times New Roman"/>
                <w:b/>
                <w:sz w:val="22"/>
              </w:rPr>
              <w:t>Approval</w:t>
            </w:r>
          </w:p>
        </w:tc>
        <w:tc>
          <w:tcPr>
            <w:tcW w:w="808" w:type="pct"/>
          </w:tcPr>
          <w:p w14:paraId="43A01621" w14:textId="77777777" w:rsidR="0081030B" w:rsidRPr="00775C2E" w:rsidRDefault="0067683D">
            <w:pPr>
              <w:jc w:val="center"/>
              <w:rPr>
                <w:rFonts w:ascii="Times New Roman" w:hAnsi="Times New Roman" w:cs="Times New Roman"/>
                <w:b/>
                <w:sz w:val="22"/>
              </w:rPr>
            </w:pPr>
            <w:r w:rsidRPr="00775C2E">
              <w:rPr>
                <w:rFonts w:ascii="Times New Roman" w:hAnsi="Times New Roman" w:cs="Times New Roman"/>
                <w:b/>
                <w:sz w:val="22"/>
              </w:rPr>
              <w:t xml:space="preserve">Quality </w:t>
            </w:r>
            <w:proofErr w:type="spellStart"/>
            <w:r w:rsidRPr="00775C2E">
              <w:rPr>
                <w:rFonts w:ascii="Times New Roman" w:hAnsi="Times New Roman" w:cs="Times New Roman"/>
                <w:b/>
                <w:sz w:val="22"/>
              </w:rPr>
              <w:t>assessment</w:t>
            </w:r>
            <w:r w:rsidRPr="00775C2E">
              <w:rPr>
                <w:rFonts w:ascii="Times New Roman" w:hAnsi="Times New Roman" w:cs="Times New Roman"/>
                <w:b/>
                <w:sz w:val="22"/>
                <w:vertAlign w:val="superscript"/>
              </w:rPr>
              <w:t>b</w:t>
            </w:r>
            <w:proofErr w:type="spellEnd"/>
          </w:p>
        </w:tc>
      </w:tr>
      <w:tr w:rsidR="0081030B" w:rsidRPr="00775C2E" w14:paraId="70B5669F" w14:textId="77777777">
        <w:trPr>
          <w:trHeight w:val="90"/>
        </w:trPr>
        <w:tc>
          <w:tcPr>
            <w:tcW w:w="306" w:type="pct"/>
          </w:tcPr>
          <w:p w14:paraId="4547B79F"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1</w:t>
            </w:r>
          </w:p>
        </w:tc>
        <w:tc>
          <w:tcPr>
            <w:tcW w:w="1157" w:type="pct"/>
          </w:tcPr>
          <w:p w14:paraId="6B5C3017" w14:textId="77777777" w:rsidR="0081030B" w:rsidRPr="00775C2E" w:rsidRDefault="0067683D">
            <w:pPr>
              <w:rPr>
                <w:rFonts w:ascii="Times New Roman" w:hAnsi="Times New Roman" w:cs="Times New Roman"/>
                <w:sz w:val="22"/>
              </w:rPr>
            </w:pPr>
            <w:proofErr w:type="spellStart"/>
            <w:r w:rsidRPr="00775C2E">
              <w:rPr>
                <w:rFonts w:ascii="Times New Roman" w:hAnsi="Times New Roman" w:cs="Times New Roman"/>
                <w:sz w:val="22"/>
              </w:rPr>
              <w:t>Wondfo</w:t>
            </w:r>
            <w:proofErr w:type="spellEnd"/>
            <w:r w:rsidRPr="00775C2E">
              <w:rPr>
                <w:rFonts w:ascii="Times New Roman" w:hAnsi="Times New Roman" w:cs="Times New Roman"/>
                <w:sz w:val="22"/>
              </w:rPr>
              <w:t xml:space="preserve"> (</w:t>
            </w:r>
            <w:r w:rsidRPr="00775C2E">
              <w:rPr>
                <w:rFonts w:ascii="Times New Roman" w:hAnsi="Times New Roman" w:cs="Times New Roman"/>
                <w:sz w:val="22"/>
              </w:rPr>
              <w:t>万孚</w:t>
            </w:r>
            <w:r w:rsidRPr="00775C2E">
              <w:rPr>
                <w:rFonts w:ascii="Times New Roman" w:hAnsi="Times New Roman" w:cs="Times New Roman"/>
                <w:sz w:val="22"/>
              </w:rPr>
              <w:t>)</w:t>
            </w:r>
          </w:p>
        </w:tc>
        <w:tc>
          <w:tcPr>
            <w:tcW w:w="2086" w:type="pct"/>
          </w:tcPr>
          <w:p w14:paraId="4AADE0AF"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2CBC4323" wp14:editId="4D686DD4">
                  <wp:extent cx="1383030" cy="744855"/>
                  <wp:effectExtent l="0" t="0" r="7620" b="171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cstate="print"/>
                          <a:stretch>
                            <a:fillRect/>
                          </a:stretch>
                        </pic:blipFill>
                        <pic:spPr>
                          <a:xfrm>
                            <a:off x="0" y="0"/>
                            <a:ext cx="1383030" cy="744855"/>
                          </a:xfrm>
                          <a:prstGeom prst="rect">
                            <a:avLst/>
                          </a:prstGeom>
                        </pic:spPr>
                      </pic:pic>
                    </a:graphicData>
                  </a:graphic>
                </wp:inline>
              </w:drawing>
            </w:r>
            <w:r w:rsidRPr="00775C2E">
              <w:rPr>
                <w:rFonts w:ascii="Times New Roman" w:hAnsi="Times New Roman" w:cs="Times New Roman"/>
                <w:sz w:val="22"/>
              </w:rPr>
              <w:t xml:space="preserve"> </w:t>
            </w:r>
            <w:r w:rsidRPr="00775C2E">
              <w:rPr>
                <w:rFonts w:ascii="Times New Roman" w:hAnsi="Times New Roman" w:cs="Times New Roman"/>
                <w:noProof/>
                <w:sz w:val="22"/>
                <w:lang w:eastAsia="en-US"/>
              </w:rPr>
              <w:drawing>
                <wp:inline distT="0" distB="0" distL="0" distR="0" wp14:anchorId="3A4A4F3C" wp14:editId="4FCE75E1">
                  <wp:extent cx="1420495" cy="762000"/>
                  <wp:effectExtent l="0" t="0" r="825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cstate="print"/>
                          <a:srcRect t="34551"/>
                          <a:stretch>
                            <a:fillRect/>
                          </a:stretch>
                        </pic:blipFill>
                        <pic:spPr>
                          <a:xfrm>
                            <a:off x="0" y="0"/>
                            <a:ext cx="1420495" cy="762000"/>
                          </a:xfrm>
                          <a:prstGeom prst="rect">
                            <a:avLst/>
                          </a:prstGeom>
                          <a:ln>
                            <a:noFill/>
                          </a:ln>
                        </pic:spPr>
                      </pic:pic>
                    </a:graphicData>
                  </a:graphic>
                </wp:inline>
              </w:drawing>
            </w:r>
          </w:p>
        </w:tc>
        <w:tc>
          <w:tcPr>
            <w:tcW w:w="642" w:type="pct"/>
          </w:tcPr>
          <w:p w14:paraId="0B917D02"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tc>
        <w:tc>
          <w:tcPr>
            <w:tcW w:w="808" w:type="pct"/>
          </w:tcPr>
          <w:p w14:paraId="67756AA0"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 xml:space="preserve">Sensitivity: 98.2%     </w:t>
            </w:r>
          </w:p>
          <w:p w14:paraId="1E885F1C"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98.9%</w:t>
            </w:r>
          </w:p>
        </w:tc>
      </w:tr>
      <w:tr w:rsidR="0081030B" w:rsidRPr="00775C2E" w14:paraId="530F9478" w14:textId="77777777">
        <w:trPr>
          <w:trHeight w:val="1879"/>
        </w:trPr>
        <w:tc>
          <w:tcPr>
            <w:tcW w:w="306" w:type="pct"/>
          </w:tcPr>
          <w:p w14:paraId="7A2EDD77"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2</w:t>
            </w:r>
          </w:p>
        </w:tc>
        <w:tc>
          <w:tcPr>
            <w:tcW w:w="1157" w:type="pct"/>
          </w:tcPr>
          <w:p w14:paraId="72F31A3C"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ALERE DETERMINE™ SYPHILIS TP</w:t>
            </w:r>
          </w:p>
        </w:tc>
        <w:tc>
          <w:tcPr>
            <w:tcW w:w="2086" w:type="pct"/>
          </w:tcPr>
          <w:p w14:paraId="7342614F"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3E8D24B6" wp14:editId="47C62A24">
                  <wp:extent cx="986790" cy="986790"/>
                  <wp:effectExtent l="0" t="0" r="3810" b="3810"/>
                  <wp:docPr id="13" name="图片 13" descr="C:\Users\user\Desktop\1553086759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user\Desktop\155308675947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986790" cy="986790"/>
                          </a:xfrm>
                          <a:prstGeom prst="rect">
                            <a:avLst/>
                          </a:prstGeom>
                          <a:noFill/>
                          <a:ln>
                            <a:noFill/>
                          </a:ln>
                        </pic:spPr>
                      </pic:pic>
                    </a:graphicData>
                  </a:graphic>
                </wp:inline>
              </w:drawing>
            </w:r>
          </w:p>
        </w:tc>
        <w:tc>
          <w:tcPr>
            <w:tcW w:w="642" w:type="pct"/>
          </w:tcPr>
          <w:p w14:paraId="549C1B18"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 FDA (US)</w:t>
            </w:r>
          </w:p>
        </w:tc>
        <w:tc>
          <w:tcPr>
            <w:tcW w:w="808" w:type="pct"/>
          </w:tcPr>
          <w:p w14:paraId="03C84A41"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 xml:space="preserve">Sensitivity: 96.5%           </w:t>
            </w:r>
          </w:p>
          <w:p w14:paraId="35D54D9F"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99.5%</w:t>
            </w:r>
          </w:p>
        </w:tc>
      </w:tr>
      <w:tr w:rsidR="0081030B" w:rsidRPr="00775C2E" w14:paraId="00D0E6A7" w14:textId="77777777">
        <w:trPr>
          <w:trHeight w:val="1512"/>
        </w:trPr>
        <w:tc>
          <w:tcPr>
            <w:tcW w:w="306" w:type="pct"/>
          </w:tcPr>
          <w:p w14:paraId="17BF92EB"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3</w:t>
            </w:r>
          </w:p>
        </w:tc>
        <w:tc>
          <w:tcPr>
            <w:tcW w:w="1157" w:type="pct"/>
          </w:tcPr>
          <w:p w14:paraId="2B73F440"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Wan Tai (</w:t>
            </w:r>
            <w:r w:rsidRPr="00775C2E">
              <w:rPr>
                <w:rFonts w:ascii="Times New Roman" w:hAnsi="Times New Roman" w:cs="Times New Roman"/>
                <w:sz w:val="22"/>
              </w:rPr>
              <w:t>万泰</w:t>
            </w:r>
            <w:r w:rsidRPr="00775C2E">
              <w:rPr>
                <w:rFonts w:ascii="Times New Roman" w:hAnsi="Times New Roman" w:cs="Times New Roman"/>
                <w:sz w:val="22"/>
              </w:rPr>
              <w:t>)</w:t>
            </w:r>
          </w:p>
        </w:tc>
        <w:tc>
          <w:tcPr>
            <w:tcW w:w="2086" w:type="pct"/>
          </w:tcPr>
          <w:p w14:paraId="1A6DFB8B"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184B809F" wp14:editId="23920990">
                  <wp:extent cx="2153285" cy="645160"/>
                  <wp:effectExtent l="0" t="0" r="5715"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2" cstate="print"/>
                          <a:stretch>
                            <a:fillRect/>
                          </a:stretch>
                        </pic:blipFill>
                        <pic:spPr>
                          <a:xfrm>
                            <a:off x="0" y="0"/>
                            <a:ext cx="2153285" cy="645160"/>
                          </a:xfrm>
                          <a:prstGeom prst="rect">
                            <a:avLst/>
                          </a:prstGeom>
                        </pic:spPr>
                      </pic:pic>
                    </a:graphicData>
                  </a:graphic>
                </wp:inline>
              </w:drawing>
            </w:r>
          </w:p>
        </w:tc>
        <w:tc>
          <w:tcPr>
            <w:tcW w:w="642" w:type="pct"/>
          </w:tcPr>
          <w:p w14:paraId="0857B122"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tc>
        <w:tc>
          <w:tcPr>
            <w:tcW w:w="808" w:type="pct"/>
          </w:tcPr>
          <w:p w14:paraId="27330A38"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Sensitivity :98.2%</w:t>
            </w:r>
          </w:p>
          <w:p w14:paraId="6C1BC7E7"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96.8%</w:t>
            </w:r>
          </w:p>
        </w:tc>
      </w:tr>
      <w:tr w:rsidR="0081030B" w:rsidRPr="00775C2E" w14:paraId="28C8CB54" w14:textId="77777777">
        <w:trPr>
          <w:trHeight w:val="1318"/>
        </w:trPr>
        <w:tc>
          <w:tcPr>
            <w:tcW w:w="306" w:type="pct"/>
          </w:tcPr>
          <w:p w14:paraId="692D4059"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4</w:t>
            </w:r>
          </w:p>
        </w:tc>
        <w:tc>
          <w:tcPr>
            <w:tcW w:w="1157" w:type="pct"/>
          </w:tcPr>
          <w:p w14:paraId="080A9291"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ABON(</w:t>
            </w:r>
            <w:r w:rsidRPr="00775C2E">
              <w:rPr>
                <w:rFonts w:ascii="Times New Roman" w:hAnsi="Times New Roman" w:cs="Times New Roman"/>
                <w:sz w:val="22"/>
              </w:rPr>
              <w:t>艾博生物</w:t>
            </w:r>
            <w:r w:rsidRPr="00775C2E">
              <w:rPr>
                <w:rFonts w:ascii="Times New Roman" w:hAnsi="Times New Roman" w:cs="Times New Roman"/>
                <w:sz w:val="22"/>
              </w:rPr>
              <w:t>)</w:t>
            </w:r>
          </w:p>
        </w:tc>
        <w:tc>
          <w:tcPr>
            <w:tcW w:w="2086" w:type="pct"/>
          </w:tcPr>
          <w:p w14:paraId="18A589C3"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34859CD3" wp14:editId="04DE1762">
                  <wp:extent cx="1421130" cy="593090"/>
                  <wp:effectExtent l="0" t="0" r="7620" b="16510"/>
                  <wp:docPr id="26" name="图片 3" descr="C:\Users\lenovo\AppData\Local\Temp\15586219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descr="C:\Users\lenovo\AppData\Local\Temp\1558621955(1).png"/>
                          <pic:cNvPicPr>
                            <a:picLocks noChangeAspect="1" noChangeArrowheads="1"/>
                          </pic:cNvPicPr>
                        </pic:nvPicPr>
                        <pic:blipFill>
                          <a:blip r:embed="rId13" cstate="print"/>
                          <a:srcRect/>
                          <a:stretch>
                            <a:fillRect/>
                          </a:stretch>
                        </pic:blipFill>
                        <pic:spPr>
                          <a:xfrm>
                            <a:off x="0" y="0"/>
                            <a:ext cx="1421130" cy="593090"/>
                          </a:xfrm>
                          <a:prstGeom prst="rect">
                            <a:avLst/>
                          </a:prstGeom>
                          <a:noFill/>
                          <a:ln w="9525">
                            <a:noFill/>
                            <a:miter lim="800000"/>
                            <a:headEnd/>
                            <a:tailEnd/>
                          </a:ln>
                        </pic:spPr>
                      </pic:pic>
                    </a:graphicData>
                  </a:graphic>
                </wp:inline>
              </w:drawing>
            </w:r>
            <w:r w:rsidRPr="00775C2E">
              <w:rPr>
                <w:rFonts w:ascii="Times New Roman" w:hAnsi="Times New Roman" w:cs="Times New Roman"/>
                <w:noProof/>
                <w:sz w:val="22"/>
                <w:lang w:eastAsia="en-US"/>
              </w:rPr>
              <w:drawing>
                <wp:inline distT="0" distB="0" distL="0" distR="0" wp14:anchorId="5733BE14" wp14:editId="770FD6EF">
                  <wp:extent cx="1476375" cy="563245"/>
                  <wp:effectExtent l="0" t="0" r="9525" b="8255"/>
                  <wp:docPr id="25" name="图片 2" descr="C:\Users\lenovo\AppData\Local\Temp\15586219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C:\Users\lenovo\AppData\Local\Temp\1558621931(1).png"/>
                          <pic:cNvPicPr>
                            <a:picLocks noChangeAspect="1" noChangeArrowheads="1"/>
                          </pic:cNvPicPr>
                        </pic:nvPicPr>
                        <pic:blipFill>
                          <a:blip r:embed="rId14" cstate="print"/>
                          <a:srcRect/>
                          <a:stretch>
                            <a:fillRect/>
                          </a:stretch>
                        </pic:blipFill>
                        <pic:spPr>
                          <a:xfrm>
                            <a:off x="0" y="0"/>
                            <a:ext cx="1476375" cy="563245"/>
                          </a:xfrm>
                          <a:prstGeom prst="rect">
                            <a:avLst/>
                          </a:prstGeom>
                          <a:noFill/>
                          <a:ln w="9525">
                            <a:noFill/>
                            <a:miter lim="800000"/>
                            <a:headEnd/>
                            <a:tailEnd/>
                          </a:ln>
                        </pic:spPr>
                      </pic:pic>
                    </a:graphicData>
                  </a:graphic>
                </wp:inline>
              </w:drawing>
            </w:r>
          </w:p>
        </w:tc>
        <w:tc>
          <w:tcPr>
            <w:tcW w:w="642" w:type="pct"/>
          </w:tcPr>
          <w:p w14:paraId="21A2C373"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tc>
        <w:tc>
          <w:tcPr>
            <w:tcW w:w="808" w:type="pct"/>
          </w:tcPr>
          <w:p w14:paraId="7C30E2CC"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Sensitivity: 95.6%</w:t>
            </w:r>
          </w:p>
          <w:p w14:paraId="7A79AC02"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93.1%</w:t>
            </w:r>
          </w:p>
        </w:tc>
      </w:tr>
      <w:tr w:rsidR="0081030B" w:rsidRPr="00775C2E" w14:paraId="07E53015" w14:textId="77777777">
        <w:trPr>
          <w:trHeight w:val="1387"/>
        </w:trPr>
        <w:tc>
          <w:tcPr>
            <w:tcW w:w="306" w:type="pct"/>
          </w:tcPr>
          <w:p w14:paraId="3A2D2012"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5</w:t>
            </w:r>
          </w:p>
        </w:tc>
        <w:tc>
          <w:tcPr>
            <w:tcW w:w="1157" w:type="pct"/>
          </w:tcPr>
          <w:p w14:paraId="7034221C"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SD BIOLINE /Syphilis Duo HIV</w:t>
            </w:r>
          </w:p>
        </w:tc>
        <w:tc>
          <w:tcPr>
            <w:tcW w:w="2086" w:type="pct"/>
          </w:tcPr>
          <w:p w14:paraId="1B0D88A1"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35B58E94" wp14:editId="112B9212">
                  <wp:extent cx="1425575" cy="589280"/>
                  <wp:effectExtent l="0" t="0" r="3175" b="12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5" cstate="print"/>
                          <a:stretch>
                            <a:fillRect/>
                          </a:stretch>
                        </pic:blipFill>
                        <pic:spPr>
                          <a:xfrm>
                            <a:off x="0" y="0"/>
                            <a:ext cx="1425575" cy="589280"/>
                          </a:xfrm>
                          <a:prstGeom prst="rect">
                            <a:avLst/>
                          </a:prstGeom>
                        </pic:spPr>
                      </pic:pic>
                    </a:graphicData>
                  </a:graphic>
                </wp:inline>
              </w:drawing>
            </w:r>
            <w:r w:rsidRPr="00775C2E">
              <w:rPr>
                <w:rFonts w:ascii="Times New Roman" w:hAnsi="Times New Roman" w:cs="Times New Roman"/>
                <w:sz w:val="22"/>
              </w:rPr>
              <w:t xml:space="preserve"> </w:t>
            </w:r>
            <w:r w:rsidRPr="00775C2E">
              <w:rPr>
                <w:rFonts w:ascii="Times New Roman" w:hAnsi="Times New Roman" w:cs="Times New Roman"/>
                <w:noProof/>
                <w:sz w:val="22"/>
                <w:lang w:eastAsia="en-US"/>
              </w:rPr>
              <w:drawing>
                <wp:inline distT="0" distB="0" distL="0" distR="0" wp14:anchorId="4F8F68E5" wp14:editId="4BB80769">
                  <wp:extent cx="1379855" cy="621665"/>
                  <wp:effectExtent l="0" t="0" r="10795" b="698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6" cstate="print"/>
                          <a:stretch>
                            <a:fillRect/>
                          </a:stretch>
                        </pic:blipFill>
                        <pic:spPr>
                          <a:xfrm>
                            <a:off x="0" y="0"/>
                            <a:ext cx="1379855" cy="621665"/>
                          </a:xfrm>
                          <a:prstGeom prst="rect">
                            <a:avLst/>
                          </a:prstGeom>
                        </pic:spPr>
                      </pic:pic>
                    </a:graphicData>
                  </a:graphic>
                </wp:inline>
              </w:drawing>
            </w:r>
          </w:p>
        </w:tc>
        <w:tc>
          <w:tcPr>
            <w:tcW w:w="642" w:type="pct"/>
          </w:tcPr>
          <w:p w14:paraId="713F5716"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p w14:paraId="25FCD597"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FDA</w:t>
            </w:r>
          </w:p>
        </w:tc>
        <w:tc>
          <w:tcPr>
            <w:tcW w:w="808" w:type="pct"/>
          </w:tcPr>
          <w:p w14:paraId="6F9AB93A"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 xml:space="preserve">Sensitivity: 100% </w:t>
            </w:r>
          </w:p>
          <w:p w14:paraId="1DC0C8D4"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99.1%</w:t>
            </w:r>
          </w:p>
        </w:tc>
      </w:tr>
      <w:tr w:rsidR="0081030B" w:rsidRPr="00775C2E" w14:paraId="286C6152" w14:textId="77777777">
        <w:trPr>
          <w:trHeight w:val="1387"/>
        </w:trPr>
        <w:tc>
          <w:tcPr>
            <w:tcW w:w="306" w:type="pct"/>
          </w:tcPr>
          <w:p w14:paraId="7E72388B" w14:textId="77777777" w:rsidR="0081030B" w:rsidRPr="00775C2E" w:rsidRDefault="0081030B">
            <w:pPr>
              <w:rPr>
                <w:rFonts w:ascii="Times New Roman" w:hAnsi="Times New Roman" w:cs="Times New Roman"/>
                <w:sz w:val="22"/>
              </w:rPr>
            </w:pPr>
          </w:p>
        </w:tc>
        <w:tc>
          <w:tcPr>
            <w:tcW w:w="1157" w:type="pct"/>
          </w:tcPr>
          <w:p w14:paraId="7EF01F0F" w14:textId="77777777" w:rsidR="0081030B" w:rsidRPr="00775C2E" w:rsidRDefault="0067683D">
            <w:pPr>
              <w:rPr>
                <w:rFonts w:ascii="Times New Roman" w:hAnsi="Times New Roman" w:cs="Times New Roman"/>
                <w:sz w:val="22"/>
              </w:rPr>
            </w:pPr>
            <w:r w:rsidRPr="00F0152F">
              <w:rPr>
                <w:rFonts w:ascii="Times New Roman" w:hAnsi="Times New Roman" w:cs="Times New Roman"/>
                <w:sz w:val="22"/>
              </w:rPr>
              <w:t>SD BIOLINE Syphilis 3.0</w:t>
            </w:r>
          </w:p>
        </w:tc>
        <w:tc>
          <w:tcPr>
            <w:tcW w:w="2086" w:type="pct"/>
          </w:tcPr>
          <w:p w14:paraId="5CE4784F" w14:textId="22F4B93F" w:rsidR="0081030B" w:rsidRPr="00775C2E" w:rsidRDefault="00F0152F">
            <w:pPr>
              <w:rPr>
                <w:rFonts w:ascii="Times New Roman" w:hAnsi="Times New Roman" w:cs="Times New Roman"/>
                <w:sz w:val="22"/>
                <w:lang w:eastAsia="en-US"/>
              </w:rPr>
            </w:pPr>
            <w:r>
              <w:rPr>
                <w:noProof/>
              </w:rPr>
              <w:drawing>
                <wp:inline distT="0" distB="0" distL="0" distR="0" wp14:anchorId="21735D90" wp14:editId="50BF2BCA">
                  <wp:extent cx="1476375" cy="1044716"/>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85750" cy="1051350"/>
                          </a:xfrm>
                          <a:prstGeom prst="rect">
                            <a:avLst/>
                          </a:prstGeom>
                        </pic:spPr>
                      </pic:pic>
                    </a:graphicData>
                  </a:graphic>
                </wp:inline>
              </w:drawing>
            </w:r>
          </w:p>
        </w:tc>
        <w:tc>
          <w:tcPr>
            <w:tcW w:w="642" w:type="pct"/>
          </w:tcPr>
          <w:p w14:paraId="43E86443"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FDA</w:t>
            </w:r>
          </w:p>
        </w:tc>
        <w:tc>
          <w:tcPr>
            <w:tcW w:w="808" w:type="pct"/>
          </w:tcPr>
          <w:p w14:paraId="455B37F4"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 xml:space="preserve">Sensitivity: 99.3% </w:t>
            </w:r>
          </w:p>
          <w:p w14:paraId="577E6EC5"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99.5%</w:t>
            </w:r>
          </w:p>
        </w:tc>
      </w:tr>
      <w:tr w:rsidR="0081030B" w:rsidRPr="00775C2E" w14:paraId="13ED8D96" w14:textId="77777777">
        <w:trPr>
          <w:trHeight w:val="1325"/>
        </w:trPr>
        <w:tc>
          <w:tcPr>
            <w:tcW w:w="306" w:type="pct"/>
          </w:tcPr>
          <w:p w14:paraId="60DE53E3"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6</w:t>
            </w:r>
          </w:p>
        </w:tc>
        <w:tc>
          <w:tcPr>
            <w:tcW w:w="1157" w:type="pct"/>
          </w:tcPr>
          <w:p w14:paraId="4C452825"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David (</w:t>
            </w:r>
            <w:r w:rsidRPr="00775C2E">
              <w:rPr>
                <w:rFonts w:ascii="Times New Roman" w:hAnsi="Times New Roman" w:cs="Times New Roman"/>
                <w:sz w:val="22"/>
              </w:rPr>
              <w:t>大卫</w:t>
            </w:r>
            <w:r w:rsidRPr="00775C2E">
              <w:rPr>
                <w:rFonts w:ascii="Times New Roman" w:hAnsi="Times New Roman" w:cs="Times New Roman"/>
                <w:sz w:val="22"/>
              </w:rPr>
              <w:t>)</w:t>
            </w:r>
          </w:p>
        </w:tc>
        <w:tc>
          <w:tcPr>
            <w:tcW w:w="2086" w:type="pct"/>
          </w:tcPr>
          <w:p w14:paraId="1421F6E0"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6E012866" wp14:editId="3D77C86A">
                  <wp:extent cx="1158875" cy="739775"/>
                  <wp:effectExtent l="0" t="0" r="3175" b="3175"/>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18" cstate="print"/>
                          <a:srcRect r="19408"/>
                          <a:stretch>
                            <a:fillRect/>
                          </a:stretch>
                        </pic:blipFill>
                        <pic:spPr>
                          <a:xfrm>
                            <a:off x="0" y="0"/>
                            <a:ext cx="1158875" cy="739775"/>
                          </a:xfrm>
                          <a:prstGeom prst="rect">
                            <a:avLst/>
                          </a:prstGeom>
                          <a:ln>
                            <a:noFill/>
                          </a:ln>
                        </pic:spPr>
                      </pic:pic>
                    </a:graphicData>
                  </a:graphic>
                </wp:inline>
              </w:drawing>
            </w:r>
          </w:p>
        </w:tc>
        <w:tc>
          <w:tcPr>
            <w:tcW w:w="642" w:type="pct"/>
          </w:tcPr>
          <w:p w14:paraId="7608A445"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tc>
        <w:tc>
          <w:tcPr>
            <w:tcW w:w="808" w:type="pct"/>
          </w:tcPr>
          <w:p w14:paraId="4492F469"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Sensitivity: 99.2%</w:t>
            </w:r>
          </w:p>
          <w:p w14:paraId="54B73809"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99.9%</w:t>
            </w:r>
          </w:p>
        </w:tc>
      </w:tr>
      <w:tr w:rsidR="0081030B" w:rsidRPr="00775C2E" w14:paraId="015F852B" w14:textId="77777777">
        <w:tc>
          <w:tcPr>
            <w:tcW w:w="306" w:type="pct"/>
          </w:tcPr>
          <w:p w14:paraId="1B5D5E94"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7</w:t>
            </w:r>
          </w:p>
        </w:tc>
        <w:tc>
          <w:tcPr>
            <w:tcW w:w="1157" w:type="pct"/>
          </w:tcPr>
          <w:p w14:paraId="6802183F" w14:textId="77777777" w:rsidR="0081030B" w:rsidRPr="00775C2E" w:rsidRDefault="0067683D">
            <w:pPr>
              <w:rPr>
                <w:rFonts w:ascii="Times New Roman" w:hAnsi="Times New Roman" w:cs="Times New Roman"/>
                <w:sz w:val="22"/>
              </w:rPr>
            </w:pPr>
            <w:proofErr w:type="spellStart"/>
            <w:r w:rsidRPr="00775C2E">
              <w:rPr>
                <w:rFonts w:ascii="Times New Roman" w:hAnsi="Times New Roman" w:cs="Times New Roman"/>
                <w:sz w:val="22"/>
              </w:rPr>
              <w:t>Accu</w:t>
            </w:r>
            <w:proofErr w:type="spellEnd"/>
            <w:r w:rsidRPr="00775C2E">
              <w:rPr>
                <w:rFonts w:ascii="Times New Roman" w:hAnsi="Times New Roman" w:cs="Times New Roman"/>
                <w:sz w:val="22"/>
              </w:rPr>
              <w:t xml:space="preserve"> News (</w:t>
            </w:r>
            <w:r w:rsidRPr="00775C2E">
              <w:rPr>
                <w:rFonts w:ascii="Times New Roman" w:hAnsi="Times New Roman" w:cs="Times New Roman"/>
                <w:sz w:val="22"/>
              </w:rPr>
              <w:t>准信</w:t>
            </w:r>
            <w:r w:rsidRPr="00775C2E">
              <w:rPr>
                <w:rFonts w:ascii="Times New Roman" w:hAnsi="Times New Roman" w:cs="Times New Roman"/>
                <w:sz w:val="22"/>
              </w:rPr>
              <w:t>)</w:t>
            </w:r>
          </w:p>
        </w:tc>
        <w:tc>
          <w:tcPr>
            <w:tcW w:w="2086" w:type="pct"/>
          </w:tcPr>
          <w:p w14:paraId="336929D7"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375071FC" wp14:editId="2431A478">
                  <wp:extent cx="603250" cy="982345"/>
                  <wp:effectExtent l="0" t="0" r="6350" b="825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9" cstate="print"/>
                          <a:srcRect r="54427"/>
                          <a:stretch>
                            <a:fillRect/>
                          </a:stretch>
                        </pic:blipFill>
                        <pic:spPr>
                          <a:xfrm>
                            <a:off x="0" y="0"/>
                            <a:ext cx="603250" cy="982345"/>
                          </a:xfrm>
                          <a:prstGeom prst="rect">
                            <a:avLst/>
                          </a:prstGeom>
                          <a:ln>
                            <a:noFill/>
                          </a:ln>
                        </pic:spPr>
                      </pic:pic>
                    </a:graphicData>
                  </a:graphic>
                </wp:inline>
              </w:drawing>
            </w:r>
          </w:p>
        </w:tc>
        <w:tc>
          <w:tcPr>
            <w:tcW w:w="642" w:type="pct"/>
          </w:tcPr>
          <w:p w14:paraId="6476E7BB"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tc>
        <w:tc>
          <w:tcPr>
            <w:tcW w:w="808" w:type="pct"/>
          </w:tcPr>
          <w:p w14:paraId="40A4EDD7"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Sensitivity: 99.2%</w:t>
            </w:r>
          </w:p>
          <w:p w14:paraId="12452315"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100%</w:t>
            </w:r>
          </w:p>
        </w:tc>
      </w:tr>
      <w:tr w:rsidR="0081030B" w:rsidRPr="00775C2E" w14:paraId="7BEF6D4D" w14:textId="77777777">
        <w:tc>
          <w:tcPr>
            <w:tcW w:w="306" w:type="pct"/>
          </w:tcPr>
          <w:p w14:paraId="4884805D"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8</w:t>
            </w:r>
          </w:p>
        </w:tc>
        <w:tc>
          <w:tcPr>
            <w:tcW w:w="1157" w:type="pct"/>
          </w:tcPr>
          <w:p w14:paraId="1E3D3D0A"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Nefertiti (</w:t>
            </w:r>
            <w:r w:rsidRPr="00775C2E">
              <w:rPr>
                <w:rFonts w:ascii="Times New Roman" w:hAnsi="Times New Roman" w:cs="Times New Roman"/>
                <w:sz w:val="22"/>
              </w:rPr>
              <w:t>奈費爾提蒂</w:t>
            </w:r>
            <w:r w:rsidRPr="00775C2E">
              <w:rPr>
                <w:rFonts w:ascii="Times New Roman" w:hAnsi="Times New Roman" w:cs="Times New Roman"/>
                <w:sz w:val="22"/>
              </w:rPr>
              <w:t>)</w:t>
            </w:r>
          </w:p>
        </w:tc>
        <w:tc>
          <w:tcPr>
            <w:tcW w:w="2086" w:type="pct"/>
          </w:tcPr>
          <w:p w14:paraId="2E5B71FD"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1F7F53DB" wp14:editId="72C0BE3D">
                  <wp:extent cx="1416050" cy="731520"/>
                  <wp:effectExtent l="0" t="0" r="12700" b="1143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20" cstate="print"/>
                          <a:srcRect l="48398" t="17564" b="12163"/>
                          <a:stretch>
                            <a:fillRect/>
                          </a:stretch>
                        </pic:blipFill>
                        <pic:spPr>
                          <a:xfrm>
                            <a:off x="0" y="0"/>
                            <a:ext cx="1416050" cy="731520"/>
                          </a:xfrm>
                          <a:prstGeom prst="rect">
                            <a:avLst/>
                          </a:prstGeom>
                          <a:ln>
                            <a:noFill/>
                          </a:ln>
                        </pic:spPr>
                      </pic:pic>
                    </a:graphicData>
                  </a:graphic>
                </wp:inline>
              </w:drawing>
            </w:r>
          </w:p>
        </w:tc>
        <w:tc>
          <w:tcPr>
            <w:tcW w:w="642" w:type="pct"/>
          </w:tcPr>
          <w:p w14:paraId="0530CA16"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tc>
        <w:tc>
          <w:tcPr>
            <w:tcW w:w="808" w:type="pct"/>
          </w:tcPr>
          <w:p w14:paraId="3BC552EF"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Sensitivity: 100%</w:t>
            </w:r>
          </w:p>
          <w:p w14:paraId="1C0B635B"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Specificity:99.7%</w:t>
            </w:r>
          </w:p>
        </w:tc>
      </w:tr>
      <w:tr w:rsidR="0081030B" w:rsidRPr="00775C2E" w14:paraId="7E122A78" w14:textId="77777777">
        <w:trPr>
          <w:trHeight w:val="1041"/>
        </w:trPr>
        <w:tc>
          <w:tcPr>
            <w:tcW w:w="306" w:type="pct"/>
          </w:tcPr>
          <w:p w14:paraId="2B411B9C"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9</w:t>
            </w:r>
          </w:p>
        </w:tc>
        <w:tc>
          <w:tcPr>
            <w:tcW w:w="1157" w:type="pct"/>
          </w:tcPr>
          <w:p w14:paraId="7BCCF43A" w14:textId="77777777" w:rsidR="0081030B" w:rsidRPr="00775C2E" w:rsidRDefault="0067683D">
            <w:pPr>
              <w:rPr>
                <w:rFonts w:ascii="Times New Roman" w:hAnsi="Times New Roman" w:cs="Times New Roman"/>
                <w:sz w:val="22"/>
              </w:rPr>
            </w:pPr>
            <w:proofErr w:type="spellStart"/>
            <w:r w:rsidRPr="00775C2E">
              <w:rPr>
                <w:rFonts w:ascii="Times New Roman" w:hAnsi="Times New Roman" w:cs="Times New Roman"/>
                <w:sz w:val="22"/>
              </w:rPr>
              <w:t>Lavcae</w:t>
            </w:r>
            <w:proofErr w:type="spellEnd"/>
            <w:r w:rsidRPr="00775C2E">
              <w:rPr>
                <w:rFonts w:ascii="Times New Roman" w:hAnsi="Times New Roman" w:cs="Times New Roman"/>
                <w:sz w:val="22"/>
              </w:rPr>
              <w:t xml:space="preserve"> (</w:t>
            </w:r>
            <w:r w:rsidRPr="00775C2E">
              <w:rPr>
                <w:rFonts w:ascii="Times New Roman" w:hAnsi="Times New Roman" w:cs="Times New Roman"/>
                <w:sz w:val="22"/>
              </w:rPr>
              <w:t>爱威康</w:t>
            </w:r>
            <w:r w:rsidRPr="00775C2E">
              <w:rPr>
                <w:rFonts w:ascii="Times New Roman" w:hAnsi="Times New Roman" w:cs="Times New Roman"/>
                <w:sz w:val="22"/>
              </w:rPr>
              <w:t>)</w:t>
            </w:r>
          </w:p>
        </w:tc>
        <w:tc>
          <w:tcPr>
            <w:tcW w:w="2086" w:type="pct"/>
          </w:tcPr>
          <w:p w14:paraId="00C25CFF"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674F2783" wp14:editId="62ABC872">
                  <wp:extent cx="1456055" cy="655955"/>
                  <wp:effectExtent l="0" t="0" r="10795" b="1079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21" cstate="print"/>
                          <a:stretch>
                            <a:fillRect/>
                          </a:stretch>
                        </pic:blipFill>
                        <pic:spPr>
                          <a:xfrm>
                            <a:off x="0" y="0"/>
                            <a:ext cx="1456055" cy="655955"/>
                          </a:xfrm>
                          <a:prstGeom prst="rect">
                            <a:avLst/>
                          </a:prstGeom>
                        </pic:spPr>
                      </pic:pic>
                    </a:graphicData>
                  </a:graphic>
                </wp:inline>
              </w:drawing>
            </w:r>
          </w:p>
        </w:tc>
        <w:tc>
          <w:tcPr>
            <w:tcW w:w="642" w:type="pct"/>
          </w:tcPr>
          <w:p w14:paraId="3B7642EE"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tc>
        <w:tc>
          <w:tcPr>
            <w:tcW w:w="808" w:type="pct"/>
          </w:tcPr>
          <w:p w14:paraId="42F28951"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Sensitivity: 99.7%</w:t>
            </w:r>
            <w:r w:rsidRPr="00775C2E">
              <w:rPr>
                <w:rFonts w:ascii="Times New Roman" w:hAnsi="Times New Roman" w:cs="Times New Roman"/>
                <w:sz w:val="22"/>
              </w:rPr>
              <w:t>，</w:t>
            </w:r>
          </w:p>
          <w:p w14:paraId="6D8ABA18"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92.8%</w:t>
            </w:r>
          </w:p>
        </w:tc>
      </w:tr>
      <w:tr w:rsidR="0081030B" w:rsidRPr="00775C2E" w14:paraId="0FC97C4A" w14:textId="77777777">
        <w:tc>
          <w:tcPr>
            <w:tcW w:w="306" w:type="pct"/>
          </w:tcPr>
          <w:p w14:paraId="19F43242"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10</w:t>
            </w:r>
          </w:p>
        </w:tc>
        <w:tc>
          <w:tcPr>
            <w:tcW w:w="1157" w:type="pct"/>
          </w:tcPr>
          <w:p w14:paraId="4838E0C6"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Core tests</w:t>
            </w:r>
          </w:p>
        </w:tc>
        <w:tc>
          <w:tcPr>
            <w:tcW w:w="2086" w:type="pct"/>
          </w:tcPr>
          <w:p w14:paraId="4913DAC1"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eastAsia="en-US"/>
              </w:rPr>
              <w:drawing>
                <wp:inline distT="0" distB="0" distL="0" distR="0" wp14:anchorId="7335A0EB" wp14:editId="6B6B399A">
                  <wp:extent cx="1489075" cy="854710"/>
                  <wp:effectExtent l="0" t="0" r="15875" b="254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22" cstate="print"/>
                          <a:stretch>
                            <a:fillRect/>
                          </a:stretch>
                        </pic:blipFill>
                        <pic:spPr>
                          <a:xfrm>
                            <a:off x="0" y="0"/>
                            <a:ext cx="1489075" cy="854710"/>
                          </a:xfrm>
                          <a:prstGeom prst="rect">
                            <a:avLst/>
                          </a:prstGeom>
                        </pic:spPr>
                      </pic:pic>
                    </a:graphicData>
                  </a:graphic>
                </wp:inline>
              </w:drawing>
            </w:r>
            <w:r w:rsidRPr="00775C2E">
              <w:rPr>
                <w:rFonts w:ascii="Times New Roman" w:hAnsi="Times New Roman" w:cs="Times New Roman"/>
                <w:sz w:val="22"/>
              </w:rPr>
              <w:t xml:space="preserve"> </w:t>
            </w:r>
            <w:r w:rsidRPr="00775C2E">
              <w:rPr>
                <w:rFonts w:ascii="Times New Roman" w:hAnsi="Times New Roman" w:cs="Times New Roman"/>
                <w:noProof/>
                <w:sz w:val="22"/>
                <w:lang w:eastAsia="en-US"/>
              </w:rPr>
              <w:drawing>
                <wp:inline distT="0" distB="0" distL="0" distR="0" wp14:anchorId="0B8DA7E2" wp14:editId="546E41F9">
                  <wp:extent cx="1431290" cy="858520"/>
                  <wp:effectExtent l="0" t="0" r="16510" b="1778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23" cstate="print"/>
                          <a:stretch>
                            <a:fillRect/>
                          </a:stretch>
                        </pic:blipFill>
                        <pic:spPr>
                          <a:xfrm>
                            <a:off x="0" y="0"/>
                            <a:ext cx="1431290" cy="858520"/>
                          </a:xfrm>
                          <a:prstGeom prst="rect">
                            <a:avLst/>
                          </a:prstGeom>
                        </pic:spPr>
                      </pic:pic>
                    </a:graphicData>
                  </a:graphic>
                </wp:inline>
              </w:drawing>
            </w:r>
          </w:p>
        </w:tc>
        <w:tc>
          <w:tcPr>
            <w:tcW w:w="642" w:type="pct"/>
          </w:tcPr>
          <w:p w14:paraId="19BBFB40"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CFDA</w:t>
            </w:r>
          </w:p>
        </w:tc>
        <w:tc>
          <w:tcPr>
            <w:tcW w:w="808" w:type="pct"/>
          </w:tcPr>
          <w:p w14:paraId="5BA2979F"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Sensitivity: 99.2%</w:t>
            </w:r>
          </w:p>
          <w:p w14:paraId="079F92A5" w14:textId="77777777" w:rsidR="0081030B" w:rsidRPr="00775C2E" w:rsidRDefault="0067683D">
            <w:pPr>
              <w:rPr>
                <w:rFonts w:ascii="Times New Roman" w:hAnsi="Times New Roman" w:cs="Times New Roman"/>
                <w:sz w:val="22"/>
              </w:rPr>
            </w:pPr>
            <w:r w:rsidRPr="00775C2E">
              <w:rPr>
                <w:rFonts w:ascii="Times New Roman" w:hAnsi="Times New Roman" w:cs="Times New Roman"/>
                <w:sz w:val="22"/>
              </w:rPr>
              <w:t>Specificity: 100%</w:t>
            </w:r>
          </w:p>
        </w:tc>
      </w:tr>
    </w:tbl>
    <w:p w14:paraId="3FB1ED23" w14:textId="77777777" w:rsidR="0081030B" w:rsidRPr="00775C2E" w:rsidRDefault="0067683D">
      <w:pPr>
        <w:rPr>
          <w:rFonts w:ascii="Times New Roman" w:hAnsi="Times New Roman" w:cs="Times New Roman"/>
          <w:sz w:val="22"/>
        </w:rPr>
      </w:pPr>
      <w:proofErr w:type="spellStart"/>
      <w:r w:rsidRPr="00775C2E">
        <w:rPr>
          <w:rFonts w:ascii="Times New Roman" w:hAnsi="Times New Roman" w:cs="Times New Roman"/>
          <w:sz w:val="22"/>
          <w:vertAlign w:val="superscript"/>
        </w:rPr>
        <w:t>a</w:t>
      </w:r>
      <w:r w:rsidRPr="00775C2E">
        <w:rPr>
          <w:rFonts w:ascii="Times New Roman" w:hAnsi="Times New Roman" w:cs="Times New Roman"/>
          <w:sz w:val="22"/>
        </w:rPr>
        <w:t>We</w:t>
      </w:r>
      <w:proofErr w:type="spellEnd"/>
      <w:r w:rsidRPr="00775C2E">
        <w:rPr>
          <w:rFonts w:ascii="Times New Roman" w:hAnsi="Times New Roman" w:cs="Times New Roman"/>
          <w:sz w:val="22"/>
        </w:rPr>
        <w:t xml:space="preserve"> searched on the first two largest e-commerce platforms in China: Taobao and </w:t>
      </w:r>
      <w:proofErr w:type="spellStart"/>
      <w:r w:rsidRPr="00775C2E">
        <w:rPr>
          <w:rFonts w:ascii="Times New Roman" w:hAnsi="Times New Roman" w:cs="Times New Roman"/>
          <w:sz w:val="22"/>
        </w:rPr>
        <w:t>Jingdong</w:t>
      </w:r>
      <w:proofErr w:type="spellEnd"/>
      <w:r w:rsidRPr="00775C2E">
        <w:rPr>
          <w:rFonts w:ascii="Times New Roman" w:hAnsi="Times New Roman" w:cs="Times New Roman"/>
          <w:sz w:val="22"/>
        </w:rPr>
        <w:t>.</w:t>
      </w:r>
    </w:p>
    <w:p w14:paraId="27E331C8" w14:textId="77777777" w:rsidR="0081030B" w:rsidRPr="00775C2E" w:rsidRDefault="0067683D">
      <w:pPr>
        <w:rPr>
          <w:rFonts w:ascii="Times New Roman" w:hAnsi="Times New Roman" w:cs="Times New Roman"/>
          <w:sz w:val="22"/>
        </w:rPr>
      </w:pPr>
      <w:proofErr w:type="spellStart"/>
      <w:r w:rsidRPr="00775C2E">
        <w:rPr>
          <w:rFonts w:ascii="Times New Roman" w:hAnsi="Times New Roman" w:cs="Times New Roman"/>
          <w:sz w:val="22"/>
          <w:vertAlign w:val="superscript"/>
        </w:rPr>
        <w:lastRenderedPageBreak/>
        <w:t>b</w:t>
      </w:r>
      <w:r w:rsidRPr="00775C2E">
        <w:rPr>
          <w:rFonts w:ascii="Times New Roman" w:hAnsi="Times New Roman" w:cs="Times New Roman"/>
          <w:sz w:val="22"/>
        </w:rPr>
        <w:t>The</w:t>
      </w:r>
      <w:proofErr w:type="spellEnd"/>
      <w:r w:rsidRPr="00775C2E">
        <w:rPr>
          <w:rFonts w:ascii="Times New Roman" w:hAnsi="Times New Roman" w:cs="Times New Roman"/>
          <w:sz w:val="22"/>
        </w:rPr>
        <w:t xml:space="preserve"> sensitivity and specificity results for the brand of number 1 to 5 are from national syphilis diagnostic reagent clinical evaluation report 2016. The results for the brand of number 6 to 10 are from each product’s official specification.</w:t>
      </w:r>
      <w:r w:rsidRPr="00775C2E">
        <w:rPr>
          <w:rFonts w:ascii="Times New Roman" w:hAnsi="Times New Roman" w:cs="Times New Roman"/>
          <w:sz w:val="22"/>
        </w:rPr>
        <w:br w:type="page"/>
      </w:r>
    </w:p>
    <w:p w14:paraId="51F985DE" w14:textId="77777777" w:rsidR="0081030B" w:rsidRPr="00775C2E" w:rsidRDefault="0067683D">
      <w:pPr>
        <w:pStyle w:val="Heading1"/>
        <w:rPr>
          <w:rFonts w:ascii="Times New Roman" w:hAnsi="Times New Roman" w:cs="Times New Roman"/>
          <w:sz w:val="22"/>
          <w:szCs w:val="22"/>
        </w:rPr>
      </w:pPr>
      <w:bookmarkStart w:id="11" w:name="_Toc1680"/>
      <w:bookmarkStart w:id="12" w:name="_Toc72150983"/>
      <w:bookmarkStart w:id="13" w:name="_Toc10493"/>
      <w:bookmarkStart w:id="14" w:name="_Toc101122698"/>
      <w:r w:rsidRPr="00775C2E">
        <w:rPr>
          <w:rFonts w:ascii="Times New Roman" w:hAnsi="Times New Roman" w:cs="Times New Roman"/>
          <w:sz w:val="22"/>
          <w:szCs w:val="22"/>
        </w:rPr>
        <w:lastRenderedPageBreak/>
        <w:t>Figure S1. Manufacturer-supplied step-by-step instructions</w:t>
      </w:r>
      <w:bookmarkEnd w:id="4"/>
      <w:bookmarkEnd w:id="5"/>
      <w:bookmarkEnd w:id="6"/>
      <w:bookmarkEnd w:id="7"/>
      <w:bookmarkEnd w:id="8"/>
      <w:bookmarkEnd w:id="9"/>
      <w:bookmarkEnd w:id="11"/>
      <w:bookmarkEnd w:id="12"/>
      <w:bookmarkEnd w:id="13"/>
      <w:bookmarkEnd w:id="14"/>
    </w:p>
    <w:p w14:paraId="6C918909" w14:textId="77777777" w:rsidR="0081030B" w:rsidRPr="00775C2E" w:rsidRDefault="0081030B">
      <w:pPr>
        <w:rPr>
          <w:rFonts w:ascii="Times New Roman" w:hAnsi="Times New Roman" w:cs="Times New Roman"/>
          <w:sz w:val="22"/>
        </w:rPr>
      </w:pPr>
    </w:p>
    <w:p w14:paraId="264313FC"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val="zh-CN"/>
        </w:rPr>
        <w:drawing>
          <wp:inline distT="0" distB="0" distL="0" distR="0" wp14:anchorId="24E5C221" wp14:editId="1D552935">
            <wp:extent cx="5050790" cy="3562350"/>
            <wp:effectExtent l="0" t="0" r="0" b="0"/>
            <wp:docPr id="23" name="图片 2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A screenshot of a computer&#10;&#10;Description automatically generated with low confidence"/>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053745" cy="3564412"/>
                    </a:xfrm>
                    <a:prstGeom prst="rect">
                      <a:avLst/>
                    </a:prstGeom>
                  </pic:spPr>
                </pic:pic>
              </a:graphicData>
            </a:graphic>
          </wp:inline>
        </w:drawing>
      </w:r>
    </w:p>
    <w:p w14:paraId="76626BCE"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val="zh-CN"/>
        </w:rPr>
        <w:drawing>
          <wp:inline distT="0" distB="0" distL="0" distR="0" wp14:anchorId="671A9916" wp14:editId="026FE219">
            <wp:extent cx="5270500" cy="3717290"/>
            <wp:effectExtent l="0" t="0" r="6350" b="0"/>
            <wp:docPr id="24" name="图片 2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Text&#10;&#10;Description automatically generated with medium confidence"/>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270500" cy="3717290"/>
                    </a:xfrm>
                    <a:prstGeom prst="rect">
                      <a:avLst/>
                    </a:prstGeom>
                  </pic:spPr>
                </pic:pic>
              </a:graphicData>
            </a:graphic>
          </wp:inline>
        </w:drawing>
      </w:r>
    </w:p>
    <w:p w14:paraId="4E5F1B6C" w14:textId="77777777" w:rsidR="0081030B" w:rsidRPr="00775C2E" w:rsidRDefault="0081030B">
      <w:pPr>
        <w:rPr>
          <w:rFonts w:ascii="Times New Roman" w:hAnsi="Times New Roman" w:cs="Times New Roman"/>
          <w:sz w:val="22"/>
        </w:rPr>
      </w:pPr>
    </w:p>
    <w:p w14:paraId="31ABDF7E" w14:textId="77777777" w:rsidR="0081030B" w:rsidRPr="00775C2E" w:rsidRDefault="0067683D">
      <w:pPr>
        <w:pStyle w:val="Heading1"/>
        <w:rPr>
          <w:rFonts w:ascii="Times New Roman" w:hAnsi="Times New Roman" w:cs="Times New Roman"/>
          <w:sz w:val="22"/>
          <w:szCs w:val="22"/>
        </w:rPr>
      </w:pPr>
      <w:bookmarkStart w:id="15" w:name="_Toc20924"/>
      <w:bookmarkStart w:id="16" w:name="_Toc23762"/>
      <w:bookmarkStart w:id="17" w:name="_Toc26572"/>
      <w:bookmarkStart w:id="18" w:name="_Toc52202745"/>
      <w:bookmarkStart w:id="19" w:name="_Toc2273"/>
      <w:bookmarkStart w:id="20" w:name="_Toc53863245"/>
      <w:bookmarkStart w:id="21" w:name="_Toc72150985"/>
      <w:bookmarkStart w:id="22" w:name="_Toc29651"/>
      <w:bookmarkStart w:id="23" w:name="_Toc49265189"/>
      <w:bookmarkStart w:id="24" w:name="_Toc101122699"/>
      <w:r w:rsidRPr="00775C2E">
        <w:rPr>
          <w:rFonts w:ascii="Times New Roman" w:hAnsi="Times New Roman" w:cs="Times New Roman"/>
          <w:sz w:val="22"/>
          <w:szCs w:val="22"/>
        </w:rPr>
        <w:lastRenderedPageBreak/>
        <w:t>Figure S2. Result report card</w:t>
      </w:r>
      <w:bookmarkEnd w:id="15"/>
      <w:bookmarkEnd w:id="16"/>
      <w:bookmarkEnd w:id="17"/>
      <w:bookmarkEnd w:id="18"/>
      <w:bookmarkEnd w:id="19"/>
      <w:bookmarkEnd w:id="20"/>
      <w:bookmarkEnd w:id="21"/>
      <w:bookmarkEnd w:id="22"/>
      <w:bookmarkEnd w:id="23"/>
      <w:bookmarkEnd w:id="24"/>
      <w:r w:rsidRPr="00775C2E">
        <w:rPr>
          <w:rFonts w:ascii="Times New Roman" w:hAnsi="Times New Roman" w:cs="Times New Roman"/>
          <w:sz w:val="22"/>
          <w:szCs w:val="22"/>
        </w:rPr>
        <w:t xml:space="preserve"> </w:t>
      </w:r>
    </w:p>
    <w:p w14:paraId="6EAF2DF7"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lang w:val="zh-CN"/>
        </w:rPr>
        <w:drawing>
          <wp:inline distT="0" distB="0" distL="0" distR="0" wp14:anchorId="19418B49" wp14:editId="02893DD3">
            <wp:extent cx="4943475" cy="3295015"/>
            <wp:effectExtent l="0" t="0" r="0" b="635"/>
            <wp:docPr id="27" name="图片 2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Qr code&#10;&#10;Description automatically generated"/>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975710" cy="3316941"/>
                    </a:xfrm>
                    <a:prstGeom prst="rect">
                      <a:avLst/>
                    </a:prstGeom>
                  </pic:spPr>
                </pic:pic>
              </a:graphicData>
            </a:graphic>
          </wp:inline>
        </w:drawing>
      </w:r>
    </w:p>
    <w:p w14:paraId="4D86F842" w14:textId="3053B175" w:rsidR="00BB6DA2" w:rsidRPr="00775C2E" w:rsidRDefault="00BB6DA2" w:rsidP="00BB6DA2">
      <w:pPr>
        <w:widowControl/>
        <w:spacing w:after="0" w:line="240" w:lineRule="auto"/>
        <w:jc w:val="left"/>
        <w:rPr>
          <w:rFonts w:ascii="Times New Roman" w:hAnsi="Times New Roman" w:cs="Times New Roman"/>
          <w:sz w:val="22"/>
        </w:rPr>
      </w:pPr>
      <w:r w:rsidRPr="00775C2E">
        <w:rPr>
          <w:rFonts w:ascii="Times New Roman" w:hAnsi="Times New Roman" w:cs="Times New Roman"/>
          <w:sz w:val="22"/>
        </w:rPr>
        <w:t>Pro</w:t>
      </w:r>
      <w:r w:rsidR="0061007F" w:rsidRPr="00775C2E">
        <w:rPr>
          <w:rFonts w:ascii="Times New Roman" w:hAnsi="Times New Roman" w:cs="Times New Roman"/>
          <w:sz w:val="22"/>
        </w:rPr>
        <w:t>cedure</w:t>
      </w:r>
      <w:r w:rsidRPr="00775C2E">
        <w:rPr>
          <w:rFonts w:ascii="Times New Roman" w:hAnsi="Times New Roman" w:cs="Times New Roman"/>
          <w:sz w:val="22"/>
        </w:rPr>
        <w:t xml:space="preserve"> of verification of test results</w:t>
      </w:r>
    </w:p>
    <w:p w14:paraId="4DEEEC38" w14:textId="77777777" w:rsidR="00BB6DA2" w:rsidRPr="00775C2E" w:rsidRDefault="00BB6DA2" w:rsidP="00BB6DA2">
      <w:pPr>
        <w:widowControl/>
        <w:spacing w:after="0" w:line="240" w:lineRule="auto"/>
        <w:jc w:val="left"/>
        <w:rPr>
          <w:rFonts w:ascii="Times New Roman" w:hAnsi="Times New Roman" w:cs="Times New Roman"/>
          <w:sz w:val="22"/>
        </w:rPr>
      </w:pPr>
    </w:p>
    <w:p w14:paraId="61E8FDED" w14:textId="77777777" w:rsidR="00BB6DA2" w:rsidRPr="00775C2E" w:rsidRDefault="00BB6DA2" w:rsidP="00BB6DA2">
      <w:pPr>
        <w:widowControl/>
        <w:spacing w:after="0" w:line="240" w:lineRule="auto"/>
        <w:jc w:val="left"/>
        <w:rPr>
          <w:rFonts w:ascii="Times New Roman" w:hAnsi="Times New Roman" w:cs="Times New Roman"/>
          <w:sz w:val="22"/>
        </w:rPr>
      </w:pPr>
      <w:r w:rsidRPr="00775C2E">
        <w:rPr>
          <w:rFonts w:ascii="Times New Roman" w:hAnsi="Times New Roman" w:cs="Times New Roman"/>
          <w:sz w:val="22"/>
        </w:rPr>
        <w:t>Standard syphilis self-testing arm and Referral link syphilis self-testing arm</w:t>
      </w:r>
    </w:p>
    <w:p w14:paraId="42626848" w14:textId="77777777" w:rsidR="00BB6DA2" w:rsidRPr="00775C2E" w:rsidRDefault="00BB6DA2" w:rsidP="00BB6DA2">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 xml:space="preserve">After performing syphilis self-testing, wait for the result. </w:t>
      </w:r>
    </w:p>
    <w:p w14:paraId="54475D4F" w14:textId="77777777" w:rsidR="00BB6DA2" w:rsidRPr="00775C2E" w:rsidRDefault="00BB6DA2" w:rsidP="00BB6DA2">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Read the result within 20 minutes, take a picture of the plate.</w:t>
      </w:r>
    </w:p>
    <w:p w14:paraId="07529E00" w14:textId="350F8514" w:rsidR="00BB6DA2" w:rsidRPr="00775C2E" w:rsidRDefault="00BB6DA2" w:rsidP="00BB6DA2">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 xml:space="preserve">Send a friend request by scanning the QR code, wait for research assistant’s </w:t>
      </w:r>
      <w:r w:rsidR="001818BA" w:rsidRPr="00775C2E">
        <w:rPr>
          <w:rFonts w:ascii="Times New Roman" w:hAnsi="Times New Roman" w:cs="Times New Roman"/>
          <w:sz w:val="22"/>
        </w:rPr>
        <w:t xml:space="preserve">(RA) </w:t>
      </w:r>
      <w:r w:rsidRPr="00775C2E">
        <w:rPr>
          <w:rFonts w:ascii="Times New Roman" w:hAnsi="Times New Roman" w:cs="Times New Roman"/>
          <w:sz w:val="22"/>
        </w:rPr>
        <w:t xml:space="preserve">approval. </w:t>
      </w:r>
    </w:p>
    <w:p w14:paraId="1EDAADCE" w14:textId="10078C86" w:rsidR="00BB6DA2" w:rsidRPr="00775C2E" w:rsidRDefault="00BB6DA2" w:rsidP="00BB6DA2">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 xml:space="preserve">Upload the picture of the test result along with the assigned number to </w:t>
      </w:r>
      <w:r w:rsidR="001818BA" w:rsidRPr="00775C2E">
        <w:rPr>
          <w:rFonts w:ascii="Times New Roman" w:hAnsi="Times New Roman" w:cs="Times New Roman"/>
          <w:sz w:val="22"/>
        </w:rPr>
        <w:t>RA’s</w:t>
      </w:r>
      <w:r w:rsidRPr="00775C2E">
        <w:rPr>
          <w:rFonts w:ascii="Times New Roman" w:hAnsi="Times New Roman" w:cs="Times New Roman"/>
          <w:sz w:val="22"/>
        </w:rPr>
        <w:t xml:space="preserve"> </w:t>
      </w:r>
      <w:proofErr w:type="spellStart"/>
      <w:r w:rsidR="0061007F" w:rsidRPr="00775C2E">
        <w:rPr>
          <w:rFonts w:ascii="Times New Roman" w:hAnsi="Times New Roman" w:cs="Times New Roman"/>
          <w:sz w:val="22"/>
        </w:rPr>
        <w:t>W</w:t>
      </w:r>
      <w:r w:rsidRPr="00775C2E">
        <w:rPr>
          <w:rFonts w:ascii="Times New Roman" w:hAnsi="Times New Roman" w:cs="Times New Roman"/>
          <w:sz w:val="22"/>
        </w:rPr>
        <w:t>echat</w:t>
      </w:r>
      <w:proofErr w:type="spellEnd"/>
      <w:r w:rsidRPr="00775C2E">
        <w:rPr>
          <w:rFonts w:ascii="Times New Roman" w:hAnsi="Times New Roman" w:cs="Times New Roman"/>
          <w:sz w:val="22"/>
        </w:rPr>
        <w:t xml:space="preserve"> account.</w:t>
      </w:r>
      <w:r w:rsidR="0061007F" w:rsidRPr="00775C2E">
        <w:rPr>
          <w:rFonts w:ascii="Times New Roman" w:hAnsi="Times New Roman" w:cs="Times New Roman"/>
          <w:sz w:val="22"/>
        </w:rPr>
        <w:t xml:space="preserve"> </w:t>
      </w:r>
    </w:p>
    <w:p w14:paraId="5D884859" w14:textId="780C657A" w:rsidR="0061007F" w:rsidRPr="00775C2E" w:rsidRDefault="0061007F" w:rsidP="00BB6DA2">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R</w:t>
      </w:r>
      <w:r w:rsidR="001818BA" w:rsidRPr="00775C2E">
        <w:rPr>
          <w:rFonts w:ascii="Times New Roman" w:hAnsi="Times New Roman" w:cs="Times New Roman"/>
          <w:sz w:val="22"/>
        </w:rPr>
        <w:t>A</w:t>
      </w:r>
      <w:r w:rsidRPr="00775C2E">
        <w:rPr>
          <w:rFonts w:ascii="Times New Roman" w:hAnsi="Times New Roman" w:cs="Times New Roman"/>
          <w:sz w:val="22"/>
        </w:rPr>
        <w:t xml:space="preserve"> reads the result</w:t>
      </w:r>
    </w:p>
    <w:p w14:paraId="0DE3D034" w14:textId="0043BFA2" w:rsidR="0061007F" w:rsidRPr="00775C2E" w:rsidRDefault="0061007F" w:rsidP="0061007F">
      <w:pPr>
        <w:pStyle w:val="ListParagraph"/>
        <w:widowControl/>
        <w:numPr>
          <w:ilvl w:val="1"/>
          <w:numId w:val="4"/>
        </w:numPr>
        <w:spacing w:after="0" w:line="240" w:lineRule="auto"/>
        <w:jc w:val="left"/>
        <w:rPr>
          <w:rFonts w:ascii="Times New Roman" w:hAnsi="Times New Roman" w:cs="Times New Roman"/>
          <w:sz w:val="22"/>
        </w:rPr>
      </w:pPr>
      <w:r w:rsidRPr="00775C2E">
        <w:rPr>
          <w:rFonts w:ascii="Times New Roman" w:hAnsi="Times New Roman" w:cs="Times New Roman"/>
          <w:sz w:val="22"/>
        </w:rPr>
        <w:t>If it shows a negative result, research assistant confirms the result with the alter</w:t>
      </w:r>
    </w:p>
    <w:p w14:paraId="6C0E6BA0" w14:textId="52D12017" w:rsidR="0061007F" w:rsidRPr="00775C2E" w:rsidRDefault="0061007F" w:rsidP="0061007F">
      <w:pPr>
        <w:pStyle w:val="ListParagraph"/>
        <w:widowControl/>
        <w:numPr>
          <w:ilvl w:val="1"/>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kern w:val="44"/>
          <w:sz w:val="22"/>
        </w:rPr>
        <w:t xml:space="preserve">If it shows a positive result, alter would be referred to get confirmatory test in </w:t>
      </w:r>
      <w:r w:rsidR="00884553" w:rsidRPr="00775C2E">
        <w:rPr>
          <w:rFonts w:ascii="Times New Roman" w:hAnsi="Times New Roman" w:cs="Times New Roman"/>
          <w:kern w:val="44"/>
          <w:sz w:val="22"/>
        </w:rPr>
        <w:t>facility</w:t>
      </w:r>
      <w:r w:rsidRPr="00775C2E">
        <w:rPr>
          <w:rFonts w:ascii="Times New Roman" w:hAnsi="Times New Roman" w:cs="Times New Roman"/>
          <w:kern w:val="44"/>
          <w:sz w:val="22"/>
        </w:rPr>
        <w:t xml:space="preserve"> of their region. </w:t>
      </w:r>
    </w:p>
    <w:p w14:paraId="39D6B74B" w14:textId="6694D335" w:rsidR="00BB6DA2" w:rsidRPr="00775C2E" w:rsidRDefault="0061007F" w:rsidP="00BB6DA2">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R</w:t>
      </w:r>
      <w:r w:rsidR="001818BA" w:rsidRPr="00775C2E">
        <w:rPr>
          <w:rFonts w:ascii="Times New Roman" w:hAnsi="Times New Roman" w:cs="Times New Roman"/>
          <w:sz w:val="22"/>
        </w:rPr>
        <w:t>A</w:t>
      </w:r>
      <w:r w:rsidRPr="00775C2E">
        <w:rPr>
          <w:rFonts w:ascii="Times New Roman" w:hAnsi="Times New Roman" w:cs="Times New Roman"/>
          <w:sz w:val="22"/>
        </w:rPr>
        <w:t xml:space="preserve"> sends the survey link to alter, then alter </w:t>
      </w:r>
      <w:r w:rsidR="001818BA" w:rsidRPr="00775C2E">
        <w:rPr>
          <w:rFonts w:ascii="Times New Roman" w:hAnsi="Times New Roman" w:cs="Times New Roman"/>
          <w:sz w:val="22"/>
        </w:rPr>
        <w:t xml:space="preserve">informed research assistant of the completion of the survey. </w:t>
      </w:r>
    </w:p>
    <w:p w14:paraId="097D9B78" w14:textId="5AD8D4F8" w:rsidR="001818BA" w:rsidRPr="00775C2E" w:rsidRDefault="001818BA" w:rsidP="00BB6DA2">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kern w:val="44"/>
          <w:sz w:val="22"/>
        </w:rPr>
        <w:t xml:space="preserve">RA confirms the survey with alter, then send out the 20 RMB incentives. </w:t>
      </w:r>
    </w:p>
    <w:p w14:paraId="00ED566D" w14:textId="3700DBB6" w:rsidR="001818BA" w:rsidRPr="00775C2E" w:rsidRDefault="001818BA" w:rsidP="001818BA">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 xml:space="preserve">RA renames the photo file according to the </w:t>
      </w:r>
      <w:r w:rsidR="00186E55" w:rsidRPr="00775C2E">
        <w:rPr>
          <w:rFonts w:ascii="Times New Roman" w:hAnsi="Times New Roman" w:cs="Times New Roman"/>
          <w:sz w:val="22"/>
        </w:rPr>
        <w:t>index number</w:t>
      </w:r>
      <w:r w:rsidRPr="00775C2E">
        <w:rPr>
          <w:rFonts w:ascii="Times New Roman" w:hAnsi="Times New Roman" w:cs="Times New Roman"/>
          <w:sz w:val="22"/>
        </w:rPr>
        <w:t xml:space="preserve"> and</w:t>
      </w:r>
      <w:r w:rsidR="00186E55" w:rsidRPr="00775C2E">
        <w:rPr>
          <w:rFonts w:ascii="Times New Roman" w:hAnsi="Times New Roman" w:cs="Times New Roman"/>
          <w:sz w:val="22"/>
        </w:rPr>
        <w:t xml:space="preserve"> </w:t>
      </w:r>
      <w:proofErr w:type="gramStart"/>
      <w:r w:rsidR="00186E55" w:rsidRPr="00775C2E">
        <w:rPr>
          <w:rFonts w:ascii="Times New Roman" w:hAnsi="Times New Roman" w:cs="Times New Roman"/>
          <w:sz w:val="22"/>
        </w:rPr>
        <w:t>returned</w:t>
      </w:r>
      <w:proofErr w:type="gramEnd"/>
      <w:r w:rsidR="00186E55" w:rsidRPr="00775C2E">
        <w:rPr>
          <w:rFonts w:ascii="Times New Roman" w:hAnsi="Times New Roman" w:cs="Times New Roman"/>
          <w:sz w:val="22"/>
        </w:rPr>
        <w:t xml:space="preserve"> order</w:t>
      </w:r>
      <w:r w:rsidR="00775C2E" w:rsidRPr="00775C2E">
        <w:rPr>
          <w:rFonts w:ascii="Times New Roman" w:hAnsi="Times New Roman" w:cs="Times New Roman"/>
          <w:sz w:val="22"/>
        </w:rPr>
        <w:t>, then</w:t>
      </w:r>
      <w:r w:rsidRPr="00775C2E">
        <w:rPr>
          <w:rFonts w:ascii="Times New Roman" w:hAnsi="Times New Roman" w:cs="Times New Roman"/>
          <w:sz w:val="22"/>
        </w:rPr>
        <w:t xml:space="preserve"> stored it in </w:t>
      </w:r>
      <w:proofErr w:type="gramStart"/>
      <w:r w:rsidRPr="00775C2E">
        <w:rPr>
          <w:rFonts w:ascii="Times New Roman" w:hAnsi="Times New Roman" w:cs="Times New Roman"/>
          <w:sz w:val="22"/>
        </w:rPr>
        <w:t>a</w:t>
      </w:r>
      <w:proofErr w:type="gramEnd"/>
      <w:r w:rsidR="00186E55" w:rsidRPr="00775C2E">
        <w:rPr>
          <w:rFonts w:ascii="Times New Roman" w:hAnsi="Times New Roman" w:cs="Times New Roman"/>
          <w:sz w:val="22"/>
        </w:rPr>
        <w:t xml:space="preserve"> </w:t>
      </w:r>
      <w:r w:rsidR="00050767">
        <w:rPr>
          <w:rFonts w:ascii="Times New Roman" w:hAnsi="Times New Roman" w:cs="Times New Roman"/>
          <w:sz w:val="22"/>
        </w:rPr>
        <w:t>en</w:t>
      </w:r>
      <w:r w:rsidR="00186E55" w:rsidRPr="00775C2E">
        <w:rPr>
          <w:rFonts w:ascii="Times New Roman" w:hAnsi="Times New Roman" w:cs="Times New Roman"/>
          <w:sz w:val="22"/>
        </w:rPr>
        <w:t>crypted</w:t>
      </w:r>
      <w:r w:rsidRPr="00775C2E">
        <w:rPr>
          <w:rFonts w:ascii="Times New Roman" w:hAnsi="Times New Roman" w:cs="Times New Roman"/>
          <w:sz w:val="22"/>
        </w:rPr>
        <w:t xml:space="preserve"> folder. </w:t>
      </w:r>
    </w:p>
    <w:p w14:paraId="28E7ECB4" w14:textId="5D34E02B" w:rsidR="001818BA" w:rsidRPr="00775C2E" w:rsidRDefault="001818BA" w:rsidP="001818BA">
      <w:pPr>
        <w:pStyle w:val="ListParagraph"/>
        <w:widowControl/>
        <w:numPr>
          <w:ilvl w:val="0"/>
          <w:numId w:val="4"/>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The end of the photo verification</w:t>
      </w:r>
      <w:r w:rsidR="004031D0" w:rsidRPr="00775C2E">
        <w:rPr>
          <w:rFonts w:ascii="Times New Roman" w:hAnsi="Times New Roman" w:cs="Times New Roman"/>
          <w:sz w:val="22"/>
        </w:rPr>
        <w:t xml:space="preserve"> for these two arms.</w:t>
      </w:r>
    </w:p>
    <w:p w14:paraId="5088C9BB" w14:textId="6D88E52B" w:rsidR="004031D0" w:rsidRPr="00775C2E" w:rsidRDefault="004031D0" w:rsidP="004031D0">
      <w:pPr>
        <w:widowControl/>
        <w:spacing w:after="0" w:line="240" w:lineRule="auto"/>
        <w:ind w:left="360"/>
        <w:jc w:val="left"/>
        <w:rPr>
          <w:rFonts w:ascii="Times New Roman" w:hAnsi="Times New Roman" w:cs="Times New Roman"/>
          <w:b/>
          <w:bCs/>
          <w:kern w:val="44"/>
          <w:sz w:val="22"/>
        </w:rPr>
      </w:pPr>
    </w:p>
    <w:p w14:paraId="67F54493" w14:textId="1AB26F03" w:rsidR="004031D0" w:rsidRPr="00775C2E" w:rsidRDefault="004031D0" w:rsidP="004031D0">
      <w:pPr>
        <w:widowControl/>
        <w:spacing w:after="0" w:line="240" w:lineRule="auto"/>
        <w:jc w:val="left"/>
        <w:rPr>
          <w:rFonts w:ascii="Times New Roman" w:hAnsi="Times New Roman" w:cs="Times New Roman"/>
          <w:sz w:val="22"/>
        </w:rPr>
      </w:pPr>
      <w:r w:rsidRPr="00775C2E">
        <w:rPr>
          <w:rFonts w:ascii="Times New Roman" w:hAnsi="Times New Roman" w:cs="Times New Roman"/>
          <w:sz w:val="22"/>
        </w:rPr>
        <w:t xml:space="preserve">Standard of care arm </w:t>
      </w:r>
    </w:p>
    <w:p w14:paraId="4754B65C" w14:textId="13B301E2" w:rsidR="004031D0" w:rsidRPr="00775C2E" w:rsidRDefault="00884553"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Get syphilis test at facility,</w:t>
      </w:r>
      <w:r w:rsidR="004031D0" w:rsidRPr="00775C2E">
        <w:rPr>
          <w:rFonts w:ascii="Times New Roman" w:hAnsi="Times New Roman" w:cs="Times New Roman"/>
          <w:sz w:val="22"/>
        </w:rPr>
        <w:t xml:space="preserve"> wait for the result. </w:t>
      </w:r>
    </w:p>
    <w:p w14:paraId="17E4C409" w14:textId="79AF34A4" w:rsidR="004031D0" w:rsidRPr="00775C2E" w:rsidRDefault="00884553"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kern w:val="44"/>
          <w:sz w:val="22"/>
        </w:rPr>
        <w:t xml:space="preserve">Take a picture of the test result sheet.  </w:t>
      </w:r>
    </w:p>
    <w:p w14:paraId="3E41543A" w14:textId="77777777" w:rsidR="004031D0" w:rsidRPr="00775C2E" w:rsidRDefault="004031D0"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lastRenderedPageBreak/>
        <w:t xml:space="preserve">Send a friend request by scanning the QR code, wait for research assistant’s (RA) approval. </w:t>
      </w:r>
    </w:p>
    <w:p w14:paraId="6B490F6E" w14:textId="77777777" w:rsidR="004031D0" w:rsidRPr="00775C2E" w:rsidRDefault="004031D0"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 xml:space="preserve">Upload the picture of the test result along with the assigned number to RA’s </w:t>
      </w:r>
      <w:proofErr w:type="spellStart"/>
      <w:r w:rsidRPr="00775C2E">
        <w:rPr>
          <w:rFonts w:ascii="Times New Roman" w:hAnsi="Times New Roman" w:cs="Times New Roman"/>
          <w:sz w:val="22"/>
        </w:rPr>
        <w:t>Wechat</w:t>
      </w:r>
      <w:proofErr w:type="spellEnd"/>
      <w:r w:rsidRPr="00775C2E">
        <w:rPr>
          <w:rFonts w:ascii="Times New Roman" w:hAnsi="Times New Roman" w:cs="Times New Roman"/>
          <w:sz w:val="22"/>
        </w:rPr>
        <w:t xml:space="preserve"> account. </w:t>
      </w:r>
    </w:p>
    <w:p w14:paraId="6CE1F169" w14:textId="77777777" w:rsidR="004031D0" w:rsidRPr="00775C2E" w:rsidRDefault="004031D0"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RA reads the result</w:t>
      </w:r>
    </w:p>
    <w:p w14:paraId="32F72C20" w14:textId="77777777" w:rsidR="004031D0" w:rsidRPr="00775C2E" w:rsidRDefault="004031D0" w:rsidP="004031D0">
      <w:pPr>
        <w:pStyle w:val="ListParagraph"/>
        <w:widowControl/>
        <w:numPr>
          <w:ilvl w:val="1"/>
          <w:numId w:val="5"/>
        </w:numPr>
        <w:spacing w:after="0" w:line="240" w:lineRule="auto"/>
        <w:jc w:val="left"/>
        <w:rPr>
          <w:rFonts w:ascii="Times New Roman" w:hAnsi="Times New Roman" w:cs="Times New Roman"/>
          <w:sz w:val="22"/>
        </w:rPr>
      </w:pPr>
      <w:r w:rsidRPr="00775C2E">
        <w:rPr>
          <w:rFonts w:ascii="Times New Roman" w:hAnsi="Times New Roman" w:cs="Times New Roman"/>
          <w:sz w:val="22"/>
        </w:rPr>
        <w:t>If it shows a negative result, research assistant confirms the result with the alter</w:t>
      </w:r>
    </w:p>
    <w:p w14:paraId="4F649F84" w14:textId="0AFA57CD" w:rsidR="004031D0" w:rsidRPr="00775C2E" w:rsidRDefault="004031D0" w:rsidP="004031D0">
      <w:pPr>
        <w:pStyle w:val="ListParagraph"/>
        <w:widowControl/>
        <w:numPr>
          <w:ilvl w:val="1"/>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kern w:val="44"/>
          <w:sz w:val="22"/>
        </w:rPr>
        <w:t>If it shows a positive result, alter would be referred to get confirmatory test in institutes of their region</w:t>
      </w:r>
      <w:r w:rsidR="00884553" w:rsidRPr="00775C2E">
        <w:rPr>
          <w:rFonts w:ascii="Times New Roman" w:hAnsi="Times New Roman" w:cs="Times New Roman"/>
          <w:kern w:val="44"/>
          <w:sz w:val="22"/>
        </w:rPr>
        <w:t xml:space="preserve"> if they haven’t done so.</w:t>
      </w:r>
      <w:r w:rsidRPr="00775C2E">
        <w:rPr>
          <w:rFonts w:ascii="Times New Roman" w:hAnsi="Times New Roman" w:cs="Times New Roman"/>
          <w:kern w:val="44"/>
          <w:sz w:val="22"/>
        </w:rPr>
        <w:t xml:space="preserve"> </w:t>
      </w:r>
    </w:p>
    <w:p w14:paraId="62486743" w14:textId="77777777" w:rsidR="004031D0" w:rsidRPr="00775C2E" w:rsidRDefault="004031D0"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 xml:space="preserve">RA sends the survey link to alter, then alter informed research assistant of the completion of the survey. </w:t>
      </w:r>
    </w:p>
    <w:p w14:paraId="0EAE6D27" w14:textId="77777777" w:rsidR="004031D0" w:rsidRPr="00775C2E" w:rsidRDefault="004031D0"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kern w:val="44"/>
          <w:sz w:val="22"/>
        </w:rPr>
        <w:t xml:space="preserve">RA confirms the survey with alter, then send out the 20 RMB incentives. </w:t>
      </w:r>
    </w:p>
    <w:p w14:paraId="549E35A7" w14:textId="458E97E4" w:rsidR="004031D0" w:rsidRPr="00775C2E" w:rsidRDefault="004031D0"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 xml:space="preserve">RA renames the photo file according to the </w:t>
      </w:r>
      <w:r w:rsidR="00186E55" w:rsidRPr="00775C2E">
        <w:rPr>
          <w:rFonts w:ascii="Times New Roman" w:hAnsi="Times New Roman" w:cs="Times New Roman"/>
          <w:sz w:val="22"/>
        </w:rPr>
        <w:t xml:space="preserve">index </w:t>
      </w:r>
      <w:r w:rsidRPr="00775C2E">
        <w:rPr>
          <w:rFonts w:ascii="Times New Roman" w:hAnsi="Times New Roman" w:cs="Times New Roman"/>
          <w:sz w:val="22"/>
        </w:rPr>
        <w:t>number and</w:t>
      </w:r>
      <w:r w:rsidR="00775C2E" w:rsidRPr="00775C2E">
        <w:rPr>
          <w:rFonts w:ascii="Times New Roman" w:hAnsi="Times New Roman" w:cs="Times New Roman"/>
          <w:sz w:val="22"/>
        </w:rPr>
        <w:t xml:space="preserve"> returned order, then </w:t>
      </w:r>
      <w:r w:rsidRPr="00775C2E">
        <w:rPr>
          <w:rFonts w:ascii="Times New Roman" w:hAnsi="Times New Roman" w:cs="Times New Roman"/>
          <w:sz w:val="22"/>
        </w:rPr>
        <w:t>stored it in a</w:t>
      </w:r>
      <w:r w:rsidR="00050767">
        <w:rPr>
          <w:rFonts w:ascii="Times New Roman" w:hAnsi="Times New Roman" w:cs="Times New Roman"/>
          <w:sz w:val="22"/>
        </w:rPr>
        <w:t>n</w:t>
      </w:r>
      <w:r w:rsidRPr="00775C2E">
        <w:rPr>
          <w:rFonts w:ascii="Times New Roman" w:hAnsi="Times New Roman" w:cs="Times New Roman"/>
          <w:sz w:val="22"/>
        </w:rPr>
        <w:t xml:space="preserve"> </w:t>
      </w:r>
      <w:r w:rsidR="00050767">
        <w:rPr>
          <w:rFonts w:ascii="Times New Roman" w:hAnsi="Times New Roman" w:cs="Times New Roman"/>
          <w:sz w:val="22"/>
        </w:rPr>
        <w:t xml:space="preserve">encrypted </w:t>
      </w:r>
      <w:r w:rsidRPr="00775C2E">
        <w:rPr>
          <w:rFonts w:ascii="Times New Roman" w:hAnsi="Times New Roman" w:cs="Times New Roman"/>
          <w:sz w:val="22"/>
        </w:rPr>
        <w:t xml:space="preserve">folder. </w:t>
      </w:r>
    </w:p>
    <w:p w14:paraId="5183500B" w14:textId="65012833" w:rsidR="0081030B" w:rsidRPr="00775C2E" w:rsidRDefault="004031D0" w:rsidP="004031D0">
      <w:pPr>
        <w:pStyle w:val="ListParagraph"/>
        <w:widowControl/>
        <w:numPr>
          <w:ilvl w:val="0"/>
          <w:numId w:val="5"/>
        </w:numPr>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t xml:space="preserve">The end of the photo verification for </w:t>
      </w:r>
      <w:r w:rsidR="008D6C70">
        <w:rPr>
          <w:rFonts w:ascii="Times New Roman" w:hAnsi="Times New Roman" w:cs="Times New Roman" w:hint="eastAsia"/>
          <w:sz w:val="22"/>
        </w:rPr>
        <w:t>t</w:t>
      </w:r>
      <w:r w:rsidR="008D6C70">
        <w:rPr>
          <w:rFonts w:ascii="Times New Roman" w:hAnsi="Times New Roman" w:cs="Times New Roman"/>
          <w:sz w:val="22"/>
        </w:rPr>
        <w:t>he</w:t>
      </w:r>
      <w:r w:rsidRPr="00775C2E">
        <w:rPr>
          <w:rFonts w:ascii="Times New Roman" w:hAnsi="Times New Roman" w:cs="Times New Roman"/>
          <w:sz w:val="22"/>
        </w:rPr>
        <w:t xml:space="preserve"> arm.</w:t>
      </w:r>
      <w:r w:rsidR="0067683D" w:rsidRPr="00775C2E">
        <w:rPr>
          <w:rFonts w:ascii="Times New Roman" w:hAnsi="Times New Roman" w:cs="Times New Roman"/>
          <w:sz w:val="22"/>
        </w:rPr>
        <w:br w:type="page"/>
      </w:r>
    </w:p>
    <w:p w14:paraId="35A2A4D1" w14:textId="4B09EE9A" w:rsidR="0081030B" w:rsidRPr="00775C2E" w:rsidRDefault="0067683D">
      <w:pPr>
        <w:pStyle w:val="Heading1"/>
        <w:rPr>
          <w:rFonts w:ascii="Times New Roman" w:hAnsi="Times New Roman" w:cs="Times New Roman"/>
          <w:sz w:val="22"/>
          <w:szCs w:val="22"/>
        </w:rPr>
      </w:pPr>
      <w:bookmarkStart w:id="25" w:name="_Toc101122700"/>
      <w:r w:rsidRPr="00775C2E">
        <w:rPr>
          <w:rFonts w:ascii="Times New Roman" w:hAnsi="Times New Roman" w:cs="Times New Roman"/>
          <w:sz w:val="22"/>
          <w:szCs w:val="22"/>
        </w:rPr>
        <w:lastRenderedPageBreak/>
        <w:t>Figure S</w:t>
      </w:r>
      <w:r w:rsidR="006475D4" w:rsidRPr="00775C2E">
        <w:rPr>
          <w:rFonts w:ascii="Times New Roman" w:hAnsi="Times New Roman" w:cs="Times New Roman"/>
          <w:sz w:val="22"/>
          <w:szCs w:val="22"/>
        </w:rPr>
        <w:t>3</w:t>
      </w:r>
      <w:r w:rsidRPr="00775C2E">
        <w:rPr>
          <w:rFonts w:ascii="Times New Roman" w:hAnsi="Times New Roman" w:cs="Times New Roman"/>
          <w:sz w:val="22"/>
          <w:szCs w:val="22"/>
        </w:rPr>
        <w:t>. Information Card</w:t>
      </w:r>
      <w:bookmarkEnd w:id="25"/>
    </w:p>
    <w:p w14:paraId="3B99B234" w14:textId="255BA7AF" w:rsidR="0081030B" w:rsidRDefault="0067683D">
      <w:pPr>
        <w:rPr>
          <w:rFonts w:ascii="Times New Roman" w:hAnsi="Times New Roman" w:cs="Times New Roman"/>
          <w:sz w:val="22"/>
          <w:lang w:val="zh-CN"/>
        </w:rPr>
      </w:pPr>
      <w:r w:rsidRPr="00775C2E">
        <w:rPr>
          <w:rFonts w:ascii="Times New Roman" w:hAnsi="Times New Roman" w:cs="Times New Roman"/>
          <w:noProof/>
          <w:sz w:val="22"/>
          <w:lang w:val="zh-CN"/>
        </w:rPr>
        <w:drawing>
          <wp:inline distT="0" distB="0" distL="0" distR="0" wp14:anchorId="66158B03" wp14:editId="6382D73E">
            <wp:extent cx="4606290" cy="3076575"/>
            <wp:effectExtent l="0" t="0" r="3810" b="0"/>
            <wp:docPr id="30" name="图片 3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Background pattern&#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68308" cy="3117644"/>
                    </a:xfrm>
                    <a:prstGeom prst="rect">
                      <a:avLst/>
                    </a:prstGeom>
                  </pic:spPr>
                </pic:pic>
              </a:graphicData>
            </a:graphic>
          </wp:inline>
        </w:drawing>
      </w:r>
    </w:p>
    <w:p w14:paraId="483CBC8A" w14:textId="52185E27" w:rsidR="003F04F6" w:rsidRPr="006141D2" w:rsidRDefault="003F04F6">
      <w:pPr>
        <w:rPr>
          <w:rFonts w:ascii="Times New Roman" w:hAnsi="Times New Roman" w:cs="Times New Roman"/>
          <w:sz w:val="22"/>
        </w:rPr>
      </w:pPr>
      <w:r w:rsidRPr="006141D2">
        <w:rPr>
          <w:rFonts w:ascii="Times New Roman" w:hAnsi="Times New Roman" w:cs="Times New Roman"/>
          <w:sz w:val="22"/>
        </w:rPr>
        <w:t>Front - Th</w:t>
      </w:r>
      <w:r w:rsidR="00CE1E95">
        <w:rPr>
          <w:rFonts w:ascii="Times New Roman" w:hAnsi="Times New Roman" w:cs="Times New Roman"/>
          <w:sz w:val="22"/>
        </w:rPr>
        <w:t>e</w:t>
      </w:r>
      <w:r w:rsidRPr="006141D2">
        <w:rPr>
          <w:rFonts w:ascii="Times New Roman" w:hAnsi="Times New Roman" w:cs="Times New Roman"/>
          <w:sz w:val="22"/>
        </w:rPr>
        <w:t xml:space="preserve"> design </w:t>
      </w:r>
      <w:r w:rsidR="00CE1E95">
        <w:rPr>
          <w:rFonts w:ascii="Times New Roman" w:hAnsi="Times New Roman" w:cs="Times New Roman"/>
          <w:sz w:val="22"/>
        </w:rPr>
        <w:t xml:space="preserve">of </w:t>
      </w:r>
      <w:r w:rsidR="002B00F2">
        <w:rPr>
          <w:rFonts w:ascii="Times New Roman" w:hAnsi="Times New Roman" w:cs="Times New Roman"/>
          <w:sz w:val="22"/>
        </w:rPr>
        <w:t xml:space="preserve">information card </w:t>
      </w:r>
      <w:r w:rsidRPr="006141D2">
        <w:rPr>
          <w:rFonts w:ascii="Times New Roman" w:hAnsi="Times New Roman" w:cs="Times New Roman"/>
          <w:sz w:val="22"/>
        </w:rPr>
        <w:t>was crowdsourced.</w:t>
      </w:r>
      <w:r w:rsidR="002B00F2">
        <w:rPr>
          <w:rFonts w:ascii="Times New Roman" w:hAnsi="Times New Roman" w:cs="Times New Roman"/>
          <w:sz w:val="22"/>
        </w:rPr>
        <w:t xml:space="preserve"> This is a runner-up design.  </w:t>
      </w:r>
      <w:r w:rsidR="00CE1E95">
        <w:rPr>
          <w:rFonts w:ascii="Times New Roman" w:hAnsi="Times New Roman" w:cs="Times New Roman"/>
          <w:sz w:val="22"/>
        </w:rPr>
        <w:t xml:space="preserve"> </w:t>
      </w:r>
    </w:p>
    <w:p w14:paraId="12564B49" w14:textId="77777777" w:rsidR="0081030B" w:rsidRPr="00775C2E" w:rsidRDefault="0081030B">
      <w:pPr>
        <w:rPr>
          <w:rFonts w:ascii="Times New Roman" w:hAnsi="Times New Roman" w:cs="Times New Roman"/>
          <w:sz w:val="22"/>
        </w:rPr>
      </w:pPr>
    </w:p>
    <w:p w14:paraId="1392F38F" w14:textId="5A5F50FF" w:rsidR="0081030B" w:rsidRDefault="0067683D">
      <w:pPr>
        <w:rPr>
          <w:rFonts w:ascii="Times New Roman" w:hAnsi="Times New Roman" w:cs="Times New Roman"/>
          <w:sz w:val="22"/>
        </w:rPr>
      </w:pPr>
      <w:r w:rsidRPr="00775C2E">
        <w:rPr>
          <w:rFonts w:ascii="Times New Roman" w:hAnsi="Times New Roman" w:cs="Times New Roman"/>
          <w:noProof/>
          <w:sz w:val="22"/>
          <w:lang w:val="zh-CN"/>
        </w:rPr>
        <w:drawing>
          <wp:inline distT="0" distB="0" distL="0" distR="0" wp14:anchorId="2D885E9C" wp14:editId="63A24E87">
            <wp:extent cx="4627245" cy="3076575"/>
            <wp:effectExtent l="0" t="0" r="1905" b="0"/>
            <wp:docPr id="31" name="图片 3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Graphical user interface, website&#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rcRect t="53070"/>
                    <a:stretch>
                      <a:fillRect/>
                    </a:stretch>
                  </pic:blipFill>
                  <pic:spPr>
                    <a:xfrm>
                      <a:off x="0" y="0"/>
                      <a:ext cx="4676309" cy="3108902"/>
                    </a:xfrm>
                    <a:prstGeom prst="rect">
                      <a:avLst/>
                    </a:prstGeom>
                    <a:ln>
                      <a:noFill/>
                    </a:ln>
                  </pic:spPr>
                </pic:pic>
              </a:graphicData>
            </a:graphic>
          </wp:inline>
        </w:drawing>
      </w:r>
    </w:p>
    <w:p w14:paraId="15B33130" w14:textId="07E9AE3F" w:rsidR="003F04F6" w:rsidRPr="006141D2" w:rsidRDefault="003F04F6">
      <w:pPr>
        <w:rPr>
          <w:rFonts w:ascii="Times New Roman" w:hAnsi="Times New Roman" w:cs="Times New Roman"/>
          <w:sz w:val="22"/>
        </w:rPr>
      </w:pPr>
      <w:r>
        <w:rPr>
          <w:rFonts w:ascii="Times New Roman" w:hAnsi="Times New Roman" w:cs="Times New Roman"/>
          <w:sz w:val="22"/>
        </w:rPr>
        <w:t>Back – This contains information about local syphilis testing services, which would be given at</w:t>
      </w:r>
      <w:r w:rsidR="00196FF3">
        <w:rPr>
          <w:rFonts w:ascii="Times New Roman" w:hAnsi="Times New Roman" w:cs="Times New Roman"/>
          <w:sz w:val="22"/>
        </w:rPr>
        <w:t xml:space="preserve"> different</w:t>
      </w:r>
      <w:r>
        <w:rPr>
          <w:rFonts w:ascii="Times New Roman" w:hAnsi="Times New Roman" w:cs="Times New Roman"/>
          <w:sz w:val="22"/>
        </w:rPr>
        <w:t xml:space="preserve"> study sites. </w:t>
      </w:r>
    </w:p>
    <w:p w14:paraId="079665BB" w14:textId="2DA65484" w:rsidR="0081030B" w:rsidRPr="00775C2E" w:rsidRDefault="0067683D">
      <w:pPr>
        <w:pStyle w:val="Heading1"/>
        <w:rPr>
          <w:rFonts w:ascii="Times New Roman" w:hAnsi="Times New Roman" w:cs="Times New Roman"/>
          <w:sz w:val="22"/>
          <w:szCs w:val="22"/>
        </w:rPr>
      </w:pPr>
      <w:bookmarkStart w:id="26" w:name="_Toc101122701"/>
      <w:r w:rsidRPr="00775C2E">
        <w:rPr>
          <w:rFonts w:ascii="Times New Roman" w:hAnsi="Times New Roman" w:cs="Times New Roman"/>
          <w:sz w:val="22"/>
          <w:szCs w:val="22"/>
        </w:rPr>
        <w:lastRenderedPageBreak/>
        <w:t>Figure S4. P</w:t>
      </w:r>
      <w:r w:rsidR="00546555" w:rsidRPr="00775C2E">
        <w:rPr>
          <w:rFonts w:ascii="Times New Roman" w:hAnsi="Times New Roman" w:cs="Times New Roman"/>
          <w:sz w:val="22"/>
          <w:szCs w:val="22"/>
        </w:rPr>
        <w:t>eer</w:t>
      </w:r>
      <w:r w:rsidRPr="00775C2E">
        <w:rPr>
          <w:rFonts w:ascii="Times New Roman" w:hAnsi="Times New Roman" w:cs="Times New Roman"/>
          <w:sz w:val="22"/>
          <w:szCs w:val="22"/>
        </w:rPr>
        <w:t xml:space="preserve"> Notification Card</w:t>
      </w:r>
      <w:bookmarkEnd w:id="26"/>
    </w:p>
    <w:p w14:paraId="2FC973ED" w14:textId="54752430" w:rsidR="0081030B" w:rsidRDefault="0067683D">
      <w:pPr>
        <w:rPr>
          <w:rFonts w:ascii="Times New Roman" w:hAnsi="Times New Roman" w:cs="Times New Roman"/>
          <w:sz w:val="22"/>
        </w:rPr>
      </w:pPr>
      <w:r w:rsidRPr="00775C2E">
        <w:rPr>
          <w:rFonts w:ascii="Times New Roman" w:hAnsi="Times New Roman" w:cs="Times New Roman"/>
          <w:noProof/>
          <w:sz w:val="22"/>
          <w:lang w:val="zh-CN"/>
        </w:rPr>
        <w:drawing>
          <wp:inline distT="0" distB="0" distL="0" distR="0" wp14:anchorId="64AB724C" wp14:editId="204CC4F9">
            <wp:extent cx="5270500" cy="3513455"/>
            <wp:effectExtent l="0" t="0" r="6350" b="0"/>
            <wp:docPr id="29" name="图片 29"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Timeline&#10;&#10;Description automatically generated with medium confidence"/>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0500" cy="3513455"/>
                    </a:xfrm>
                    <a:prstGeom prst="rect">
                      <a:avLst/>
                    </a:prstGeom>
                  </pic:spPr>
                </pic:pic>
              </a:graphicData>
            </a:graphic>
          </wp:inline>
        </w:drawing>
      </w:r>
    </w:p>
    <w:p w14:paraId="2CFA3515" w14:textId="42CE64EB" w:rsidR="002B00F2" w:rsidRPr="00775C2E" w:rsidRDefault="002B00F2">
      <w:pPr>
        <w:rPr>
          <w:rFonts w:ascii="Times New Roman" w:hAnsi="Times New Roman" w:cs="Times New Roman"/>
          <w:sz w:val="22"/>
        </w:rPr>
      </w:pPr>
      <w:r>
        <w:rPr>
          <w:rFonts w:ascii="Times New Roman" w:hAnsi="Times New Roman" w:cs="Times New Roman"/>
          <w:sz w:val="22"/>
        </w:rPr>
        <w:t xml:space="preserve">The design of the peer notification card was crowdsourced. This is the wining design. </w:t>
      </w:r>
    </w:p>
    <w:p w14:paraId="5E711F64" w14:textId="03026FDB" w:rsidR="0081030B" w:rsidRDefault="0081030B">
      <w:pPr>
        <w:rPr>
          <w:rFonts w:ascii="Times New Roman" w:hAnsi="Times New Roman" w:cs="Times New Roman"/>
          <w:sz w:val="22"/>
        </w:rPr>
      </w:pPr>
    </w:p>
    <w:p w14:paraId="0F89C7EE" w14:textId="77777777" w:rsidR="002B00F2" w:rsidRPr="00775C2E" w:rsidRDefault="002B00F2">
      <w:pPr>
        <w:rPr>
          <w:rFonts w:ascii="Times New Roman" w:hAnsi="Times New Roman" w:cs="Times New Roman"/>
          <w:sz w:val="22"/>
        </w:rPr>
      </w:pPr>
    </w:p>
    <w:p w14:paraId="34CE266E" w14:textId="72AC92A7" w:rsidR="0081030B" w:rsidRPr="00775C2E" w:rsidRDefault="0067683D">
      <w:pPr>
        <w:pStyle w:val="Heading1"/>
        <w:rPr>
          <w:rFonts w:ascii="Times New Roman" w:hAnsi="Times New Roman" w:cs="Times New Roman"/>
          <w:sz w:val="22"/>
          <w:szCs w:val="22"/>
        </w:rPr>
      </w:pPr>
      <w:bookmarkStart w:id="27" w:name="_Toc101122702"/>
      <w:r w:rsidRPr="00775C2E">
        <w:rPr>
          <w:rFonts w:ascii="Times New Roman" w:hAnsi="Times New Roman" w:cs="Times New Roman"/>
          <w:sz w:val="22"/>
          <w:szCs w:val="22"/>
        </w:rPr>
        <w:lastRenderedPageBreak/>
        <w:t xml:space="preserve">Figure S5. </w:t>
      </w:r>
      <w:r w:rsidR="00AE1D57">
        <w:rPr>
          <w:rFonts w:ascii="Times New Roman" w:hAnsi="Times New Roman" w:cs="Times New Roman"/>
          <w:sz w:val="22"/>
          <w:szCs w:val="22"/>
        </w:rPr>
        <w:t xml:space="preserve">Demonstration on the social network of peer </w:t>
      </w:r>
      <w:r w:rsidRPr="00775C2E">
        <w:rPr>
          <w:rFonts w:ascii="Times New Roman" w:hAnsi="Times New Roman" w:cs="Times New Roman"/>
          <w:sz w:val="22"/>
          <w:szCs w:val="22"/>
        </w:rPr>
        <w:t>distribution</w:t>
      </w:r>
      <w:bookmarkEnd w:id="27"/>
      <w:r w:rsidRPr="00775C2E">
        <w:rPr>
          <w:rFonts w:ascii="Times New Roman" w:hAnsi="Times New Roman" w:cs="Times New Roman"/>
          <w:sz w:val="22"/>
          <w:szCs w:val="22"/>
        </w:rPr>
        <w:t xml:space="preserve"> </w:t>
      </w:r>
    </w:p>
    <w:p w14:paraId="63A52167" w14:textId="77777777" w:rsidR="0081030B" w:rsidRPr="00775C2E" w:rsidRDefault="0067683D">
      <w:pPr>
        <w:rPr>
          <w:rFonts w:ascii="Times New Roman" w:hAnsi="Times New Roman" w:cs="Times New Roman"/>
          <w:sz w:val="22"/>
        </w:rPr>
      </w:pPr>
      <w:r w:rsidRPr="00775C2E">
        <w:rPr>
          <w:rFonts w:ascii="Times New Roman" w:hAnsi="Times New Roman" w:cs="Times New Roman"/>
          <w:noProof/>
          <w:sz w:val="22"/>
        </w:rPr>
        <w:drawing>
          <wp:inline distT="0" distB="0" distL="0" distR="0" wp14:anchorId="3C2D457F" wp14:editId="2FCFE617">
            <wp:extent cx="4639310" cy="3525520"/>
            <wp:effectExtent l="0" t="0" r="8890" b="0"/>
            <wp:docPr id="32" name="图片 3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Background pattern&#10;&#10;Description automatically generated"/>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4648395" cy="3532220"/>
                    </a:xfrm>
                    <a:prstGeom prst="rect">
                      <a:avLst/>
                    </a:prstGeom>
                  </pic:spPr>
                </pic:pic>
              </a:graphicData>
            </a:graphic>
          </wp:inline>
        </w:drawing>
      </w:r>
    </w:p>
    <w:p w14:paraId="50FF4548" w14:textId="4BD9E533" w:rsidR="0081030B" w:rsidRPr="00775C2E" w:rsidRDefault="0067683D">
      <w:pPr>
        <w:rPr>
          <w:rFonts w:ascii="Times New Roman" w:hAnsi="Times New Roman" w:cs="Times New Roman"/>
          <w:sz w:val="22"/>
        </w:rPr>
      </w:pPr>
      <w:r w:rsidRPr="00775C2E">
        <w:rPr>
          <w:rFonts w:ascii="Times New Roman" w:hAnsi="Times New Roman" w:cs="Times New Roman"/>
          <w:sz w:val="22"/>
        </w:rPr>
        <w:t>Please see following website for a high</w:t>
      </w:r>
      <w:r w:rsidR="00F0152F">
        <w:rPr>
          <w:rFonts w:ascii="Times New Roman" w:hAnsi="Times New Roman" w:cs="Times New Roman" w:hint="eastAsia"/>
          <w:sz w:val="22"/>
        </w:rPr>
        <w:t>-</w:t>
      </w:r>
      <w:r w:rsidRPr="00775C2E">
        <w:rPr>
          <w:rFonts w:ascii="Times New Roman" w:hAnsi="Times New Roman" w:cs="Times New Roman"/>
          <w:sz w:val="22"/>
        </w:rPr>
        <w:t xml:space="preserve">definition version of the figure: </w:t>
      </w:r>
      <w:r w:rsidR="00A731FF" w:rsidRPr="00775C2E">
        <w:rPr>
          <w:rFonts w:ascii="Times New Roman" w:hAnsi="Times New Roman" w:cs="Times New Roman"/>
          <w:noProof/>
          <w:sz w:val="22"/>
        </w:rPr>
        <w:object w:dxaOrig="4212" w:dyaOrig="816" w14:anchorId="0CC7A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0.75pt;height:42.75pt" o:ole="">
            <v:imagedata r:id="rId31" o:title=""/>
          </v:shape>
          <o:OLEObject Type="Embed" ProgID="Package" ShapeID="_x0000_i1025" DrawAspect="Content" ObjectID="_1730571392" r:id="rId32"/>
        </w:object>
      </w:r>
      <w:r w:rsidRPr="00775C2E">
        <w:rPr>
          <w:rFonts w:ascii="Times New Roman" w:hAnsi="Times New Roman" w:cs="Times New Roman"/>
          <w:sz w:val="22"/>
        </w:rPr>
        <w:br w:type="page"/>
      </w:r>
    </w:p>
    <w:p w14:paraId="1DBEBBF7" w14:textId="77777777" w:rsidR="0081030B" w:rsidRPr="00775C2E" w:rsidRDefault="0067683D">
      <w:pPr>
        <w:pStyle w:val="Heading1"/>
        <w:rPr>
          <w:rFonts w:ascii="Times New Roman" w:hAnsi="Times New Roman" w:cs="Times New Roman"/>
          <w:sz w:val="22"/>
          <w:szCs w:val="22"/>
        </w:rPr>
      </w:pPr>
      <w:bookmarkStart w:id="28" w:name="_Toc29956"/>
      <w:bookmarkStart w:id="29" w:name="_Toc52202746"/>
      <w:bookmarkStart w:id="30" w:name="_Toc5247"/>
      <w:bookmarkStart w:id="31" w:name="_Toc21055"/>
      <w:bookmarkStart w:id="32" w:name="_Toc53863246"/>
      <w:bookmarkStart w:id="33" w:name="_Toc5541"/>
      <w:bookmarkStart w:id="34" w:name="_Toc2768"/>
      <w:bookmarkStart w:id="35" w:name="_Toc49265190"/>
      <w:bookmarkStart w:id="36" w:name="_Toc72150986"/>
      <w:bookmarkStart w:id="37" w:name="_Toc101122703"/>
      <w:r w:rsidRPr="00775C2E">
        <w:rPr>
          <w:rFonts w:ascii="Times New Roman" w:hAnsi="Times New Roman" w:cs="Times New Roman"/>
          <w:sz w:val="22"/>
          <w:szCs w:val="22"/>
        </w:rPr>
        <w:lastRenderedPageBreak/>
        <w:t>Table S2. Baseline characteristics of study participants stratified by loss-to-follow-up in the Syphilis Self-Testing Randomized Controlled Trial in China</w:t>
      </w:r>
      <w:bookmarkEnd w:id="28"/>
      <w:bookmarkEnd w:id="29"/>
      <w:bookmarkEnd w:id="30"/>
      <w:bookmarkEnd w:id="31"/>
      <w:bookmarkEnd w:id="32"/>
      <w:bookmarkEnd w:id="33"/>
      <w:bookmarkEnd w:id="34"/>
      <w:bookmarkEnd w:id="35"/>
      <w:r w:rsidRPr="00775C2E">
        <w:rPr>
          <w:rFonts w:ascii="Times New Roman" w:hAnsi="Times New Roman" w:cs="Times New Roman"/>
          <w:sz w:val="22"/>
          <w:szCs w:val="22"/>
        </w:rPr>
        <w:t>.</w:t>
      </w:r>
      <w:bookmarkEnd w:id="36"/>
      <w:bookmarkEnd w:id="37"/>
    </w:p>
    <w:tbl>
      <w:tblPr>
        <w:tblW w:w="5000" w:type="pct"/>
        <w:tblBorders>
          <w:top w:val="single" w:sz="12" w:space="0" w:color="auto"/>
          <w:bottom w:val="single" w:sz="12" w:space="0" w:color="auto"/>
        </w:tblBorders>
        <w:tblLayout w:type="fixed"/>
        <w:tblLook w:val="04A0" w:firstRow="1" w:lastRow="0" w:firstColumn="1" w:lastColumn="0" w:noHBand="0" w:noVBand="1"/>
      </w:tblPr>
      <w:tblGrid>
        <w:gridCol w:w="1814"/>
        <w:gridCol w:w="1560"/>
        <w:gridCol w:w="3856"/>
        <w:gridCol w:w="1069"/>
      </w:tblGrid>
      <w:tr w:rsidR="0081030B" w:rsidRPr="00775C2E" w14:paraId="38B499BE" w14:textId="77777777">
        <w:trPr>
          <w:trHeight w:val="740"/>
          <w:tblHeader/>
        </w:trPr>
        <w:tc>
          <w:tcPr>
            <w:tcW w:w="1093" w:type="pct"/>
            <w:tcBorders>
              <w:bottom w:val="single" w:sz="4" w:space="0" w:color="auto"/>
            </w:tcBorders>
            <w:shd w:val="clear" w:color="auto" w:fill="auto"/>
            <w:noWrap/>
            <w:vAlign w:val="center"/>
          </w:tcPr>
          <w:p w14:paraId="393DC6A7" w14:textId="77777777" w:rsidR="0081030B" w:rsidRPr="00775C2E" w:rsidRDefault="0081030B">
            <w:pPr>
              <w:spacing w:line="340" w:lineRule="exact"/>
              <w:rPr>
                <w:rFonts w:ascii="Times New Roman" w:eastAsia="Times New Roman" w:hAnsi="Times New Roman" w:cs="Times New Roman"/>
                <w:b/>
                <w:sz w:val="22"/>
              </w:rPr>
            </w:pPr>
          </w:p>
        </w:tc>
        <w:tc>
          <w:tcPr>
            <w:tcW w:w="940" w:type="pct"/>
            <w:tcBorders>
              <w:bottom w:val="single" w:sz="4" w:space="0" w:color="auto"/>
            </w:tcBorders>
            <w:vAlign w:val="center"/>
          </w:tcPr>
          <w:p w14:paraId="11FAB8EE" w14:textId="77777777" w:rsidR="0081030B" w:rsidRPr="00775C2E" w:rsidRDefault="0067683D">
            <w:pPr>
              <w:spacing w:line="340" w:lineRule="exact"/>
              <w:jc w:val="center"/>
              <w:rPr>
                <w:rFonts w:ascii="Times New Roman" w:eastAsia="Times New Roman" w:hAnsi="Times New Roman" w:cs="Times New Roman"/>
                <w:b/>
                <w:sz w:val="22"/>
              </w:rPr>
            </w:pPr>
            <w:r w:rsidRPr="00775C2E">
              <w:rPr>
                <w:rFonts w:ascii="Times New Roman" w:eastAsia="Times New Roman" w:hAnsi="Times New Roman" w:cs="Times New Roman"/>
                <w:b/>
                <w:sz w:val="22"/>
              </w:rPr>
              <w:t>Lost-to</w:t>
            </w:r>
            <w:r w:rsidRPr="00775C2E">
              <w:rPr>
                <w:rFonts w:ascii="Times New Roman" w:hAnsi="Times New Roman" w:cs="Times New Roman"/>
                <w:b/>
                <w:sz w:val="22"/>
              </w:rPr>
              <w:t>-follow-up</w:t>
            </w:r>
            <w:r w:rsidRPr="00775C2E">
              <w:rPr>
                <w:rFonts w:ascii="Times New Roman" w:eastAsia="Times New Roman" w:hAnsi="Times New Roman" w:cs="Times New Roman"/>
                <w:b/>
                <w:sz w:val="22"/>
              </w:rPr>
              <w:t xml:space="preserve"> (n=</w:t>
            </w:r>
            <w:proofErr w:type="gramStart"/>
            <w:r w:rsidRPr="00775C2E">
              <w:rPr>
                <w:rFonts w:ascii="Times New Roman" w:hAnsi="Times New Roman" w:cs="Times New Roman"/>
                <w:b/>
                <w:sz w:val="22"/>
              </w:rPr>
              <w:t>60</w:t>
            </w:r>
            <w:r w:rsidRPr="00775C2E">
              <w:rPr>
                <w:rFonts w:ascii="Times New Roman" w:eastAsia="Times New Roman" w:hAnsi="Times New Roman" w:cs="Times New Roman"/>
                <w:b/>
                <w:sz w:val="22"/>
              </w:rPr>
              <w:t>)</w:t>
            </w:r>
            <w:r w:rsidRPr="00775C2E">
              <w:rPr>
                <w:rFonts w:ascii="Times New Roman" w:eastAsia="Times New Roman" w:hAnsi="Times New Roman" w:cs="Times New Roman"/>
                <w:b/>
                <w:sz w:val="22"/>
                <w:vertAlign w:val="superscript"/>
              </w:rPr>
              <w:t>a</w:t>
            </w:r>
            <w:proofErr w:type="gramEnd"/>
          </w:p>
        </w:tc>
        <w:tc>
          <w:tcPr>
            <w:tcW w:w="2323" w:type="pct"/>
            <w:tcBorders>
              <w:bottom w:val="single" w:sz="4" w:space="0" w:color="auto"/>
            </w:tcBorders>
            <w:shd w:val="clear" w:color="auto" w:fill="auto"/>
            <w:noWrap/>
            <w:vAlign w:val="center"/>
          </w:tcPr>
          <w:p w14:paraId="5A954825" w14:textId="77777777" w:rsidR="0081030B" w:rsidRPr="00775C2E" w:rsidRDefault="0067683D">
            <w:pPr>
              <w:spacing w:line="340" w:lineRule="exact"/>
              <w:jc w:val="center"/>
              <w:rPr>
                <w:rFonts w:ascii="Times New Roman" w:eastAsia="Times New Roman" w:hAnsi="Times New Roman" w:cs="Times New Roman"/>
                <w:b/>
                <w:sz w:val="22"/>
              </w:rPr>
            </w:pPr>
            <w:r w:rsidRPr="00775C2E">
              <w:rPr>
                <w:rFonts w:ascii="Times New Roman" w:eastAsia="Times New Roman" w:hAnsi="Times New Roman" w:cs="Times New Roman"/>
                <w:b/>
                <w:sz w:val="22"/>
              </w:rPr>
              <w:t>Completed follow-up survey (n=</w:t>
            </w:r>
            <w:proofErr w:type="gramStart"/>
            <w:r w:rsidRPr="00775C2E">
              <w:rPr>
                <w:rFonts w:ascii="Times New Roman" w:hAnsi="Times New Roman" w:cs="Times New Roman"/>
                <w:b/>
                <w:sz w:val="22"/>
              </w:rPr>
              <w:t>240</w:t>
            </w:r>
            <w:r w:rsidRPr="00775C2E">
              <w:rPr>
                <w:rFonts w:ascii="Times New Roman" w:eastAsia="Times New Roman" w:hAnsi="Times New Roman" w:cs="Times New Roman"/>
                <w:b/>
                <w:sz w:val="22"/>
              </w:rPr>
              <w:t>)</w:t>
            </w:r>
            <w:r w:rsidRPr="00775C2E">
              <w:rPr>
                <w:rFonts w:ascii="Times New Roman" w:eastAsia="Times New Roman" w:hAnsi="Times New Roman" w:cs="Times New Roman"/>
                <w:b/>
                <w:sz w:val="22"/>
                <w:vertAlign w:val="superscript"/>
              </w:rPr>
              <w:t>a</w:t>
            </w:r>
            <w:proofErr w:type="gramEnd"/>
          </w:p>
        </w:tc>
        <w:tc>
          <w:tcPr>
            <w:tcW w:w="644" w:type="pct"/>
            <w:tcBorders>
              <w:bottom w:val="single" w:sz="4" w:space="0" w:color="auto"/>
            </w:tcBorders>
            <w:shd w:val="clear" w:color="auto" w:fill="auto"/>
            <w:vAlign w:val="center"/>
          </w:tcPr>
          <w:p w14:paraId="2BFD8A6F" w14:textId="77777777" w:rsidR="0081030B" w:rsidRPr="00775C2E" w:rsidRDefault="0067683D">
            <w:pPr>
              <w:spacing w:line="340" w:lineRule="exact"/>
              <w:jc w:val="center"/>
              <w:rPr>
                <w:rFonts w:ascii="Times New Roman" w:eastAsia="Times New Roman" w:hAnsi="Times New Roman" w:cs="Times New Roman"/>
                <w:b/>
                <w:sz w:val="22"/>
              </w:rPr>
            </w:pPr>
            <w:r w:rsidRPr="00775C2E">
              <w:rPr>
                <w:rFonts w:ascii="Times New Roman" w:eastAsia="Times New Roman" w:hAnsi="Times New Roman" w:cs="Times New Roman"/>
                <w:b/>
                <w:i/>
                <w:sz w:val="22"/>
              </w:rPr>
              <w:t>p</w:t>
            </w:r>
            <w:r w:rsidRPr="00775C2E">
              <w:rPr>
                <w:rFonts w:ascii="Times New Roman" w:eastAsia="Times New Roman" w:hAnsi="Times New Roman" w:cs="Times New Roman"/>
                <w:b/>
                <w:sz w:val="22"/>
              </w:rPr>
              <w:t>-</w:t>
            </w:r>
            <w:proofErr w:type="spellStart"/>
            <w:r w:rsidRPr="00775C2E">
              <w:rPr>
                <w:rFonts w:ascii="Times New Roman" w:eastAsia="Times New Roman" w:hAnsi="Times New Roman" w:cs="Times New Roman"/>
                <w:b/>
                <w:sz w:val="22"/>
              </w:rPr>
              <w:t>value</w:t>
            </w:r>
            <w:r w:rsidRPr="00775C2E">
              <w:rPr>
                <w:rFonts w:ascii="Times New Roman" w:eastAsia="Times New Roman" w:hAnsi="Times New Roman" w:cs="Times New Roman"/>
                <w:b/>
                <w:sz w:val="22"/>
                <w:vertAlign w:val="superscript"/>
              </w:rPr>
              <w:t>b</w:t>
            </w:r>
            <w:proofErr w:type="spellEnd"/>
          </w:p>
        </w:tc>
      </w:tr>
      <w:tr w:rsidR="0081030B" w:rsidRPr="00775C2E" w14:paraId="1F4CA676" w14:textId="77777777">
        <w:trPr>
          <w:trHeight w:val="283"/>
        </w:trPr>
        <w:tc>
          <w:tcPr>
            <w:tcW w:w="4356" w:type="pct"/>
            <w:gridSpan w:val="3"/>
            <w:tcBorders>
              <w:top w:val="single" w:sz="4" w:space="0" w:color="auto"/>
              <w:tl2br w:val="nil"/>
              <w:tr2bl w:val="nil"/>
            </w:tcBorders>
            <w:shd w:val="clear" w:color="auto" w:fill="E7E6E6" w:themeFill="background2"/>
            <w:noWrap/>
            <w:vAlign w:val="center"/>
          </w:tcPr>
          <w:p w14:paraId="037AEA90" w14:textId="77777777" w:rsidR="0081030B" w:rsidRPr="00775C2E" w:rsidRDefault="0067683D">
            <w:pPr>
              <w:spacing w:line="340" w:lineRule="exact"/>
              <w:rPr>
                <w:rFonts w:ascii="Times New Roman" w:eastAsia="Times New Roman Uni" w:hAnsi="Times New Roman" w:cs="Times New Roman"/>
                <w:sz w:val="22"/>
              </w:rPr>
            </w:pPr>
            <w:r w:rsidRPr="00775C2E">
              <w:rPr>
                <w:rFonts w:ascii="Times New Roman" w:eastAsia="Times New Roman Uni" w:hAnsi="Times New Roman" w:cs="Times New Roman"/>
                <w:b/>
                <w:bCs/>
                <w:sz w:val="22"/>
              </w:rPr>
              <w:t>Age (years)</w:t>
            </w:r>
          </w:p>
        </w:tc>
        <w:tc>
          <w:tcPr>
            <w:tcW w:w="644" w:type="pct"/>
            <w:tcBorders>
              <w:top w:val="single" w:sz="4" w:space="0" w:color="auto"/>
              <w:tl2br w:val="nil"/>
              <w:tr2bl w:val="nil"/>
            </w:tcBorders>
            <w:shd w:val="clear" w:color="auto" w:fill="E7E6E6" w:themeFill="background2"/>
            <w:vAlign w:val="center"/>
          </w:tcPr>
          <w:p w14:paraId="1D85564E" w14:textId="77777777" w:rsidR="0081030B" w:rsidRPr="00775C2E" w:rsidRDefault="0067683D">
            <w:pPr>
              <w:spacing w:line="340" w:lineRule="exact"/>
              <w:jc w:val="center"/>
              <w:rPr>
                <w:rFonts w:ascii="Times New Roman" w:eastAsia="Times New Roman Uni" w:hAnsi="Times New Roman" w:cs="Times New Roman"/>
                <w:b/>
                <w:sz w:val="22"/>
              </w:rPr>
            </w:pPr>
            <w:r w:rsidRPr="00775C2E">
              <w:rPr>
                <w:rFonts w:ascii="Times New Roman" w:eastAsia="Times New Roman Uni" w:hAnsi="Times New Roman" w:cs="Times New Roman"/>
                <w:sz w:val="22"/>
              </w:rPr>
              <w:t>0.603</w:t>
            </w:r>
          </w:p>
        </w:tc>
      </w:tr>
      <w:tr w:rsidR="0081030B" w:rsidRPr="00775C2E" w14:paraId="724C7681" w14:textId="77777777">
        <w:trPr>
          <w:trHeight w:val="283"/>
        </w:trPr>
        <w:tc>
          <w:tcPr>
            <w:tcW w:w="1093" w:type="pct"/>
            <w:tcBorders>
              <w:tl2br w:val="nil"/>
              <w:tr2bl w:val="nil"/>
            </w:tcBorders>
            <w:noWrap/>
            <w:vAlign w:val="center"/>
          </w:tcPr>
          <w:p w14:paraId="5A9AB237"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eastAsia="Times New Roman Uni" w:hAnsi="Times New Roman" w:cs="Times New Roman"/>
                <w:sz w:val="22"/>
              </w:rPr>
              <w:t>≤30</w:t>
            </w:r>
          </w:p>
        </w:tc>
        <w:tc>
          <w:tcPr>
            <w:tcW w:w="940" w:type="pct"/>
            <w:tcBorders>
              <w:tl2br w:val="nil"/>
              <w:tr2bl w:val="nil"/>
            </w:tcBorders>
            <w:vAlign w:val="center"/>
          </w:tcPr>
          <w:p w14:paraId="7BB3CE67"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27/60(45.0)</w:t>
            </w:r>
          </w:p>
        </w:tc>
        <w:tc>
          <w:tcPr>
            <w:tcW w:w="2323" w:type="pct"/>
            <w:tcBorders>
              <w:tl2br w:val="nil"/>
              <w:tr2bl w:val="nil"/>
            </w:tcBorders>
            <w:noWrap/>
            <w:vAlign w:val="center"/>
          </w:tcPr>
          <w:p w14:paraId="3C02513C" w14:textId="78702083"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117/240(</w:t>
            </w:r>
            <w:r w:rsidR="00334C17">
              <w:rPr>
                <w:rFonts w:ascii="Times New Roman" w:hAnsi="Times New Roman" w:cs="Times New Roman"/>
                <w:sz w:val="22"/>
              </w:rPr>
              <w:t>37</w:t>
            </w:r>
            <w:r w:rsidRPr="00775C2E">
              <w:rPr>
                <w:rFonts w:ascii="Times New Roman" w:hAnsi="Times New Roman" w:cs="Times New Roman"/>
                <w:sz w:val="22"/>
              </w:rPr>
              <w:t>.8)</w:t>
            </w:r>
          </w:p>
        </w:tc>
        <w:tc>
          <w:tcPr>
            <w:tcW w:w="644" w:type="pct"/>
            <w:tcBorders>
              <w:tl2br w:val="nil"/>
              <w:tr2bl w:val="nil"/>
            </w:tcBorders>
            <w:vAlign w:val="center"/>
          </w:tcPr>
          <w:p w14:paraId="3FF3428A"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1A58C1CE" w14:textId="77777777">
        <w:trPr>
          <w:trHeight w:val="283"/>
        </w:trPr>
        <w:tc>
          <w:tcPr>
            <w:tcW w:w="1093" w:type="pct"/>
            <w:tcBorders>
              <w:tl2br w:val="nil"/>
              <w:tr2bl w:val="nil"/>
            </w:tcBorders>
            <w:noWrap/>
            <w:vAlign w:val="center"/>
          </w:tcPr>
          <w:p w14:paraId="7A6B32EA"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eastAsia="Times New Roman Uni" w:hAnsi="Times New Roman" w:cs="Times New Roman"/>
                <w:sz w:val="22"/>
              </w:rPr>
              <w:t>&gt;30</w:t>
            </w:r>
          </w:p>
        </w:tc>
        <w:tc>
          <w:tcPr>
            <w:tcW w:w="940" w:type="pct"/>
            <w:tcBorders>
              <w:tl2br w:val="nil"/>
              <w:tr2bl w:val="nil"/>
            </w:tcBorders>
            <w:vAlign w:val="center"/>
          </w:tcPr>
          <w:p w14:paraId="7D8D252E"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33/60(55.0)</w:t>
            </w:r>
          </w:p>
        </w:tc>
        <w:tc>
          <w:tcPr>
            <w:tcW w:w="2323" w:type="pct"/>
            <w:tcBorders>
              <w:tl2br w:val="nil"/>
              <w:tr2bl w:val="nil"/>
            </w:tcBorders>
            <w:noWrap/>
            <w:vAlign w:val="center"/>
          </w:tcPr>
          <w:p w14:paraId="2AD83E63"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123/240(51.2)</w:t>
            </w:r>
          </w:p>
        </w:tc>
        <w:tc>
          <w:tcPr>
            <w:tcW w:w="644" w:type="pct"/>
            <w:tcBorders>
              <w:tl2br w:val="nil"/>
              <w:tr2bl w:val="nil"/>
            </w:tcBorders>
            <w:vAlign w:val="center"/>
          </w:tcPr>
          <w:p w14:paraId="44DE2C5D"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6EFA1D62" w14:textId="77777777">
        <w:trPr>
          <w:trHeight w:val="283"/>
        </w:trPr>
        <w:tc>
          <w:tcPr>
            <w:tcW w:w="4356" w:type="pct"/>
            <w:gridSpan w:val="3"/>
            <w:tcBorders>
              <w:tl2br w:val="nil"/>
              <w:tr2bl w:val="nil"/>
            </w:tcBorders>
            <w:shd w:val="clear" w:color="auto" w:fill="E7E6E6" w:themeFill="background2"/>
            <w:noWrap/>
            <w:vAlign w:val="center"/>
          </w:tcPr>
          <w:p w14:paraId="5A0FC364" w14:textId="77777777" w:rsidR="0081030B" w:rsidRPr="00775C2E" w:rsidRDefault="0067683D">
            <w:pPr>
              <w:spacing w:line="340" w:lineRule="exact"/>
              <w:rPr>
                <w:rFonts w:ascii="Times New Roman" w:eastAsia="Times New Roman Uni" w:hAnsi="Times New Roman" w:cs="Times New Roman"/>
                <w:sz w:val="22"/>
              </w:rPr>
            </w:pPr>
            <w:r w:rsidRPr="00775C2E">
              <w:rPr>
                <w:rFonts w:ascii="Times New Roman" w:eastAsia="Times New Roman Uni" w:hAnsi="Times New Roman" w:cs="Times New Roman"/>
                <w:b/>
                <w:bCs/>
                <w:sz w:val="22"/>
              </w:rPr>
              <w:t>Marital status</w:t>
            </w:r>
          </w:p>
        </w:tc>
        <w:tc>
          <w:tcPr>
            <w:tcW w:w="644" w:type="pct"/>
            <w:tcBorders>
              <w:tl2br w:val="nil"/>
              <w:tr2bl w:val="nil"/>
            </w:tcBorders>
            <w:shd w:val="clear" w:color="auto" w:fill="E7E6E6" w:themeFill="background2"/>
            <w:vAlign w:val="center"/>
          </w:tcPr>
          <w:p w14:paraId="29C7BF14"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0.496</w:t>
            </w:r>
          </w:p>
        </w:tc>
      </w:tr>
      <w:tr w:rsidR="0081030B" w:rsidRPr="00775C2E" w14:paraId="20C2061B" w14:textId="77777777">
        <w:trPr>
          <w:trHeight w:val="283"/>
        </w:trPr>
        <w:tc>
          <w:tcPr>
            <w:tcW w:w="1093" w:type="pct"/>
            <w:tcBorders>
              <w:tl2br w:val="nil"/>
              <w:tr2bl w:val="nil"/>
            </w:tcBorders>
            <w:noWrap/>
            <w:vAlign w:val="center"/>
          </w:tcPr>
          <w:p w14:paraId="0C461E82"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eastAsia="Times New Roman Uni" w:hAnsi="Times New Roman" w:cs="Times New Roman"/>
                <w:sz w:val="22"/>
              </w:rPr>
              <w:t>Ever married</w:t>
            </w:r>
          </w:p>
        </w:tc>
        <w:tc>
          <w:tcPr>
            <w:tcW w:w="940" w:type="pct"/>
            <w:tcBorders>
              <w:tl2br w:val="nil"/>
              <w:tr2bl w:val="nil"/>
            </w:tcBorders>
            <w:vAlign w:val="center"/>
          </w:tcPr>
          <w:p w14:paraId="790D15E6"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17/60(28.3)</w:t>
            </w:r>
          </w:p>
        </w:tc>
        <w:tc>
          <w:tcPr>
            <w:tcW w:w="2323" w:type="pct"/>
            <w:tcBorders>
              <w:tl2br w:val="nil"/>
              <w:tr2bl w:val="nil"/>
            </w:tcBorders>
            <w:noWrap/>
            <w:vAlign w:val="center"/>
          </w:tcPr>
          <w:p w14:paraId="060E0CFF"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79/240(32.9)</w:t>
            </w:r>
          </w:p>
        </w:tc>
        <w:tc>
          <w:tcPr>
            <w:tcW w:w="644" w:type="pct"/>
            <w:tcBorders>
              <w:tl2br w:val="nil"/>
              <w:tr2bl w:val="nil"/>
            </w:tcBorders>
            <w:vAlign w:val="center"/>
          </w:tcPr>
          <w:p w14:paraId="6415509A"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134886B4" w14:textId="77777777">
        <w:trPr>
          <w:trHeight w:val="283"/>
        </w:trPr>
        <w:tc>
          <w:tcPr>
            <w:tcW w:w="1093" w:type="pct"/>
            <w:tcBorders>
              <w:tl2br w:val="nil"/>
              <w:tr2bl w:val="nil"/>
            </w:tcBorders>
            <w:noWrap/>
            <w:vAlign w:val="center"/>
          </w:tcPr>
          <w:p w14:paraId="4E70EB56"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eastAsia="Times New Roman Uni" w:hAnsi="Times New Roman" w:cs="Times New Roman"/>
                <w:sz w:val="22"/>
              </w:rPr>
              <w:t>Never married</w:t>
            </w:r>
          </w:p>
        </w:tc>
        <w:tc>
          <w:tcPr>
            <w:tcW w:w="940" w:type="pct"/>
            <w:tcBorders>
              <w:tl2br w:val="nil"/>
              <w:tr2bl w:val="nil"/>
            </w:tcBorders>
            <w:vAlign w:val="center"/>
          </w:tcPr>
          <w:p w14:paraId="5D011E8D"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43/60(71.7)</w:t>
            </w:r>
          </w:p>
        </w:tc>
        <w:tc>
          <w:tcPr>
            <w:tcW w:w="2323" w:type="pct"/>
            <w:tcBorders>
              <w:tl2br w:val="nil"/>
              <w:tr2bl w:val="nil"/>
            </w:tcBorders>
            <w:noWrap/>
            <w:vAlign w:val="center"/>
          </w:tcPr>
          <w:p w14:paraId="0EFDFF09"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161/240(67.1)</w:t>
            </w:r>
          </w:p>
        </w:tc>
        <w:tc>
          <w:tcPr>
            <w:tcW w:w="644" w:type="pct"/>
            <w:tcBorders>
              <w:tl2br w:val="nil"/>
              <w:tr2bl w:val="nil"/>
            </w:tcBorders>
            <w:vAlign w:val="center"/>
          </w:tcPr>
          <w:p w14:paraId="412DC0C1"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58559B64" w14:textId="77777777">
        <w:trPr>
          <w:trHeight w:val="283"/>
        </w:trPr>
        <w:tc>
          <w:tcPr>
            <w:tcW w:w="4356" w:type="pct"/>
            <w:gridSpan w:val="3"/>
            <w:tcBorders>
              <w:tl2br w:val="nil"/>
              <w:tr2bl w:val="nil"/>
            </w:tcBorders>
            <w:shd w:val="clear" w:color="auto" w:fill="E7E6E6" w:themeFill="background2"/>
            <w:noWrap/>
            <w:vAlign w:val="center"/>
          </w:tcPr>
          <w:p w14:paraId="60647204" w14:textId="77777777" w:rsidR="0081030B" w:rsidRPr="00775C2E" w:rsidRDefault="0067683D">
            <w:pPr>
              <w:spacing w:line="340" w:lineRule="exact"/>
              <w:rPr>
                <w:rFonts w:ascii="Times New Roman" w:eastAsia="Times New Roman Uni" w:hAnsi="Times New Roman" w:cs="Times New Roman"/>
                <w:b/>
                <w:bCs/>
                <w:sz w:val="22"/>
              </w:rPr>
            </w:pPr>
            <w:r w:rsidRPr="00775C2E">
              <w:rPr>
                <w:rFonts w:ascii="Times New Roman" w:eastAsia="Times New Roman Uni" w:hAnsi="Times New Roman" w:cs="Times New Roman"/>
                <w:b/>
                <w:bCs/>
                <w:sz w:val="22"/>
              </w:rPr>
              <w:t>Highest education</w:t>
            </w:r>
          </w:p>
        </w:tc>
        <w:tc>
          <w:tcPr>
            <w:tcW w:w="644" w:type="pct"/>
            <w:tcBorders>
              <w:tl2br w:val="nil"/>
              <w:tr2bl w:val="nil"/>
            </w:tcBorders>
            <w:shd w:val="clear" w:color="auto" w:fill="E7E6E6" w:themeFill="background2"/>
            <w:vAlign w:val="center"/>
          </w:tcPr>
          <w:p w14:paraId="0877005D" w14:textId="77777777" w:rsidR="0081030B" w:rsidRPr="00775C2E" w:rsidRDefault="0067683D">
            <w:pPr>
              <w:spacing w:line="340" w:lineRule="exact"/>
              <w:jc w:val="center"/>
              <w:rPr>
                <w:rFonts w:ascii="Times New Roman" w:eastAsia="Times New Roman Uni" w:hAnsi="Times New Roman" w:cs="Times New Roman"/>
                <w:b/>
                <w:bCs/>
                <w:sz w:val="22"/>
              </w:rPr>
            </w:pPr>
            <w:r w:rsidRPr="00775C2E">
              <w:rPr>
                <w:rFonts w:ascii="Times New Roman" w:eastAsia="Times New Roman Uni" w:hAnsi="Times New Roman" w:cs="Times New Roman"/>
                <w:sz w:val="22"/>
              </w:rPr>
              <w:t>0.119</w:t>
            </w:r>
          </w:p>
        </w:tc>
      </w:tr>
      <w:tr w:rsidR="0081030B" w:rsidRPr="00775C2E" w14:paraId="5121DCDB" w14:textId="77777777">
        <w:trPr>
          <w:trHeight w:val="283"/>
        </w:trPr>
        <w:tc>
          <w:tcPr>
            <w:tcW w:w="1093" w:type="pct"/>
            <w:tcBorders>
              <w:tl2br w:val="nil"/>
              <w:tr2bl w:val="nil"/>
            </w:tcBorders>
            <w:noWrap/>
            <w:vAlign w:val="center"/>
          </w:tcPr>
          <w:p w14:paraId="67374097"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eastAsia="Times New Roman Uni" w:hAnsi="Times New Roman" w:cs="Times New Roman"/>
                <w:sz w:val="22"/>
              </w:rPr>
              <w:t>High school or below</w:t>
            </w:r>
          </w:p>
        </w:tc>
        <w:tc>
          <w:tcPr>
            <w:tcW w:w="940" w:type="pct"/>
            <w:tcBorders>
              <w:tl2br w:val="nil"/>
              <w:tr2bl w:val="nil"/>
            </w:tcBorders>
            <w:vAlign w:val="center"/>
          </w:tcPr>
          <w:p w14:paraId="4DB5C4F6"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37/60(61.7)</w:t>
            </w:r>
          </w:p>
        </w:tc>
        <w:tc>
          <w:tcPr>
            <w:tcW w:w="2323" w:type="pct"/>
            <w:tcBorders>
              <w:tl2br w:val="nil"/>
              <w:tr2bl w:val="nil"/>
            </w:tcBorders>
            <w:noWrap/>
            <w:vAlign w:val="center"/>
          </w:tcPr>
          <w:p w14:paraId="5151DE9E"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121/240(50.4)</w:t>
            </w:r>
          </w:p>
        </w:tc>
        <w:tc>
          <w:tcPr>
            <w:tcW w:w="644" w:type="pct"/>
            <w:tcBorders>
              <w:tl2br w:val="nil"/>
              <w:tr2bl w:val="nil"/>
            </w:tcBorders>
            <w:vAlign w:val="center"/>
          </w:tcPr>
          <w:p w14:paraId="4CD637A7"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227458AD" w14:textId="77777777">
        <w:trPr>
          <w:trHeight w:val="283"/>
        </w:trPr>
        <w:tc>
          <w:tcPr>
            <w:tcW w:w="1093" w:type="pct"/>
            <w:tcBorders>
              <w:tl2br w:val="nil"/>
              <w:tr2bl w:val="nil"/>
            </w:tcBorders>
            <w:noWrap/>
            <w:vAlign w:val="center"/>
          </w:tcPr>
          <w:p w14:paraId="1B229993"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eastAsia="Times New Roman Uni" w:hAnsi="Times New Roman" w:cs="Times New Roman"/>
                <w:sz w:val="22"/>
              </w:rPr>
              <w:t>College or above</w:t>
            </w:r>
          </w:p>
        </w:tc>
        <w:tc>
          <w:tcPr>
            <w:tcW w:w="940" w:type="pct"/>
            <w:tcBorders>
              <w:tl2br w:val="nil"/>
              <w:tr2bl w:val="nil"/>
            </w:tcBorders>
            <w:vAlign w:val="center"/>
          </w:tcPr>
          <w:p w14:paraId="196A51FB"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23/60(38.3)</w:t>
            </w:r>
          </w:p>
        </w:tc>
        <w:tc>
          <w:tcPr>
            <w:tcW w:w="2323" w:type="pct"/>
            <w:tcBorders>
              <w:tl2br w:val="nil"/>
              <w:tr2bl w:val="nil"/>
            </w:tcBorders>
            <w:noWrap/>
            <w:vAlign w:val="center"/>
          </w:tcPr>
          <w:p w14:paraId="1ED7B8CB"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hAnsi="Times New Roman" w:cs="Times New Roman"/>
                <w:sz w:val="22"/>
              </w:rPr>
              <w:t>119/240(49.6)</w:t>
            </w:r>
          </w:p>
        </w:tc>
        <w:tc>
          <w:tcPr>
            <w:tcW w:w="644" w:type="pct"/>
            <w:tcBorders>
              <w:tl2br w:val="nil"/>
              <w:tr2bl w:val="nil"/>
            </w:tcBorders>
            <w:vAlign w:val="center"/>
          </w:tcPr>
          <w:p w14:paraId="54D8F679"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4A45A98B" w14:textId="77777777">
        <w:trPr>
          <w:trHeight w:val="283"/>
        </w:trPr>
        <w:tc>
          <w:tcPr>
            <w:tcW w:w="4356" w:type="pct"/>
            <w:gridSpan w:val="3"/>
            <w:tcBorders>
              <w:tl2br w:val="nil"/>
              <w:tr2bl w:val="nil"/>
            </w:tcBorders>
            <w:shd w:val="clear" w:color="auto" w:fill="E7E6E6" w:themeFill="background2"/>
            <w:noWrap/>
            <w:vAlign w:val="center"/>
          </w:tcPr>
          <w:p w14:paraId="647A9AB8" w14:textId="77777777" w:rsidR="0081030B" w:rsidRPr="00775C2E" w:rsidRDefault="0067683D">
            <w:pPr>
              <w:spacing w:line="340" w:lineRule="exact"/>
              <w:rPr>
                <w:rFonts w:ascii="Times New Roman" w:eastAsia="Times New Roman Uni" w:hAnsi="Times New Roman" w:cs="Times New Roman"/>
                <w:sz w:val="22"/>
              </w:rPr>
            </w:pPr>
            <w:r w:rsidRPr="00775C2E">
              <w:rPr>
                <w:rFonts w:ascii="Times New Roman" w:eastAsia="Times New Roman Uni" w:hAnsi="Times New Roman" w:cs="Times New Roman"/>
                <w:b/>
                <w:bCs/>
                <w:sz w:val="22"/>
              </w:rPr>
              <w:t>Annual income (USD, $)</w:t>
            </w:r>
          </w:p>
        </w:tc>
        <w:tc>
          <w:tcPr>
            <w:tcW w:w="644" w:type="pct"/>
            <w:tcBorders>
              <w:tl2br w:val="nil"/>
              <w:tr2bl w:val="nil"/>
            </w:tcBorders>
            <w:shd w:val="clear" w:color="auto" w:fill="E7E6E6" w:themeFill="background2"/>
            <w:vAlign w:val="center"/>
          </w:tcPr>
          <w:p w14:paraId="4E8E75AF" w14:textId="77777777" w:rsidR="0081030B" w:rsidRPr="00775C2E" w:rsidRDefault="0067683D">
            <w:pPr>
              <w:spacing w:line="340" w:lineRule="exact"/>
              <w:jc w:val="center"/>
              <w:rPr>
                <w:rFonts w:ascii="Times New Roman" w:eastAsia="Times New Roman Uni" w:hAnsi="Times New Roman" w:cs="Times New Roman"/>
                <w:bCs/>
                <w:sz w:val="22"/>
              </w:rPr>
            </w:pPr>
            <w:r w:rsidRPr="00775C2E">
              <w:rPr>
                <w:rFonts w:ascii="Times New Roman" w:eastAsia="Times New Roman Uni" w:hAnsi="Times New Roman" w:cs="Times New Roman"/>
                <w:bCs/>
                <w:sz w:val="22"/>
              </w:rPr>
              <w:t>0.575</w:t>
            </w:r>
          </w:p>
        </w:tc>
      </w:tr>
      <w:tr w:rsidR="0081030B" w:rsidRPr="00775C2E" w14:paraId="31BC50A5" w14:textId="77777777">
        <w:trPr>
          <w:trHeight w:val="283"/>
        </w:trPr>
        <w:tc>
          <w:tcPr>
            <w:tcW w:w="1093" w:type="pct"/>
            <w:tcBorders>
              <w:tl2br w:val="nil"/>
              <w:tr2bl w:val="nil"/>
            </w:tcBorders>
            <w:noWrap/>
          </w:tcPr>
          <w:p w14:paraId="6D8613B5"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hAnsi="Times New Roman" w:cs="Times New Roman"/>
                <w:sz w:val="22"/>
              </w:rPr>
              <w:t xml:space="preserve"> ≤ 5500</w:t>
            </w:r>
          </w:p>
        </w:tc>
        <w:tc>
          <w:tcPr>
            <w:tcW w:w="940" w:type="pct"/>
            <w:tcBorders>
              <w:tl2br w:val="nil"/>
              <w:tr2bl w:val="nil"/>
            </w:tcBorders>
            <w:vAlign w:val="center"/>
          </w:tcPr>
          <w:p w14:paraId="4BAEFB44"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10/60(16.7)</w:t>
            </w:r>
          </w:p>
        </w:tc>
        <w:tc>
          <w:tcPr>
            <w:tcW w:w="2323" w:type="pct"/>
            <w:tcBorders>
              <w:tl2br w:val="nil"/>
              <w:tr2bl w:val="nil"/>
            </w:tcBorders>
            <w:noWrap/>
            <w:vAlign w:val="center"/>
          </w:tcPr>
          <w:p w14:paraId="12EA4AEE"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37/240(15.4)</w:t>
            </w:r>
          </w:p>
        </w:tc>
        <w:tc>
          <w:tcPr>
            <w:tcW w:w="644" w:type="pct"/>
            <w:tcBorders>
              <w:tl2br w:val="nil"/>
              <w:tr2bl w:val="nil"/>
            </w:tcBorders>
            <w:vAlign w:val="center"/>
          </w:tcPr>
          <w:p w14:paraId="41493D2A"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3D9D80F8" w14:textId="77777777">
        <w:trPr>
          <w:trHeight w:val="283"/>
        </w:trPr>
        <w:tc>
          <w:tcPr>
            <w:tcW w:w="1093" w:type="pct"/>
            <w:tcBorders>
              <w:tl2br w:val="nil"/>
              <w:tr2bl w:val="nil"/>
            </w:tcBorders>
            <w:noWrap/>
          </w:tcPr>
          <w:p w14:paraId="206EA25C"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hAnsi="Times New Roman" w:cs="Times New Roman"/>
                <w:sz w:val="22"/>
              </w:rPr>
              <w:t xml:space="preserve"> 5501-15000</w:t>
            </w:r>
          </w:p>
        </w:tc>
        <w:tc>
          <w:tcPr>
            <w:tcW w:w="940" w:type="pct"/>
            <w:tcBorders>
              <w:tl2br w:val="nil"/>
              <w:tr2bl w:val="nil"/>
            </w:tcBorders>
            <w:vAlign w:val="center"/>
          </w:tcPr>
          <w:p w14:paraId="4F5763C9"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42/60(70.0)</w:t>
            </w:r>
          </w:p>
        </w:tc>
        <w:tc>
          <w:tcPr>
            <w:tcW w:w="2323" w:type="pct"/>
            <w:tcBorders>
              <w:tl2br w:val="nil"/>
              <w:tr2bl w:val="nil"/>
            </w:tcBorders>
            <w:noWrap/>
            <w:vAlign w:val="center"/>
          </w:tcPr>
          <w:p w14:paraId="669BF0FB"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157/240(65.4)</w:t>
            </w:r>
          </w:p>
        </w:tc>
        <w:tc>
          <w:tcPr>
            <w:tcW w:w="644" w:type="pct"/>
            <w:tcBorders>
              <w:tl2br w:val="nil"/>
              <w:tr2bl w:val="nil"/>
            </w:tcBorders>
            <w:vAlign w:val="center"/>
          </w:tcPr>
          <w:p w14:paraId="0778BAA8"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73AAE04C" w14:textId="77777777">
        <w:trPr>
          <w:trHeight w:val="283"/>
        </w:trPr>
        <w:tc>
          <w:tcPr>
            <w:tcW w:w="1093" w:type="pct"/>
            <w:tcBorders>
              <w:tl2br w:val="nil"/>
              <w:tr2bl w:val="nil"/>
            </w:tcBorders>
            <w:noWrap/>
          </w:tcPr>
          <w:p w14:paraId="5E697DF0"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hAnsi="Times New Roman" w:cs="Times New Roman"/>
                <w:sz w:val="22"/>
              </w:rPr>
              <w:t xml:space="preserve"> &gt;15000</w:t>
            </w:r>
          </w:p>
        </w:tc>
        <w:tc>
          <w:tcPr>
            <w:tcW w:w="940" w:type="pct"/>
            <w:tcBorders>
              <w:tl2br w:val="nil"/>
              <w:tr2bl w:val="nil"/>
            </w:tcBorders>
            <w:vAlign w:val="center"/>
          </w:tcPr>
          <w:p w14:paraId="101143D8"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8/60(13.3)</w:t>
            </w:r>
          </w:p>
        </w:tc>
        <w:tc>
          <w:tcPr>
            <w:tcW w:w="2323" w:type="pct"/>
            <w:tcBorders>
              <w:tl2br w:val="nil"/>
              <w:tr2bl w:val="nil"/>
            </w:tcBorders>
            <w:noWrap/>
            <w:vAlign w:val="center"/>
          </w:tcPr>
          <w:p w14:paraId="01647F47"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46/240(19.2)</w:t>
            </w:r>
          </w:p>
        </w:tc>
        <w:tc>
          <w:tcPr>
            <w:tcW w:w="644" w:type="pct"/>
            <w:tcBorders>
              <w:tl2br w:val="nil"/>
              <w:tr2bl w:val="nil"/>
            </w:tcBorders>
            <w:vAlign w:val="center"/>
          </w:tcPr>
          <w:p w14:paraId="0773770D"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1122A565" w14:textId="77777777">
        <w:trPr>
          <w:trHeight w:val="283"/>
        </w:trPr>
        <w:tc>
          <w:tcPr>
            <w:tcW w:w="4356" w:type="pct"/>
            <w:gridSpan w:val="3"/>
            <w:tcBorders>
              <w:tl2br w:val="nil"/>
              <w:tr2bl w:val="nil"/>
            </w:tcBorders>
            <w:shd w:val="clear" w:color="auto" w:fill="E7E6E6" w:themeFill="background2"/>
            <w:noWrap/>
            <w:vAlign w:val="center"/>
          </w:tcPr>
          <w:p w14:paraId="7D6BC040" w14:textId="77777777" w:rsidR="0081030B" w:rsidRPr="00775C2E" w:rsidRDefault="0067683D">
            <w:pPr>
              <w:spacing w:line="340" w:lineRule="exact"/>
              <w:rPr>
                <w:rFonts w:ascii="Times New Roman" w:eastAsia="Times New Roman Uni" w:hAnsi="Times New Roman" w:cs="Times New Roman"/>
                <w:sz w:val="22"/>
              </w:rPr>
            </w:pPr>
            <w:r w:rsidRPr="00775C2E">
              <w:rPr>
                <w:rFonts w:ascii="Times New Roman" w:eastAsia="Times New Roman Uni" w:hAnsi="Times New Roman" w:cs="Times New Roman"/>
                <w:b/>
                <w:bCs/>
                <w:sz w:val="22"/>
              </w:rPr>
              <w:t>Sexual Orientations Disclosure</w:t>
            </w:r>
          </w:p>
        </w:tc>
        <w:tc>
          <w:tcPr>
            <w:tcW w:w="644" w:type="pct"/>
            <w:tcBorders>
              <w:tl2br w:val="nil"/>
              <w:tr2bl w:val="nil"/>
            </w:tcBorders>
            <w:shd w:val="clear" w:color="auto" w:fill="E7E6E6" w:themeFill="background2"/>
            <w:vAlign w:val="center"/>
          </w:tcPr>
          <w:p w14:paraId="29BB4A6B"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0.262</w:t>
            </w:r>
          </w:p>
        </w:tc>
      </w:tr>
      <w:tr w:rsidR="0081030B" w:rsidRPr="00775C2E" w14:paraId="6402E47E" w14:textId="77777777">
        <w:trPr>
          <w:trHeight w:val="283"/>
        </w:trPr>
        <w:tc>
          <w:tcPr>
            <w:tcW w:w="1093" w:type="pct"/>
            <w:tcBorders>
              <w:tl2br w:val="nil"/>
              <w:tr2bl w:val="nil"/>
            </w:tcBorders>
            <w:noWrap/>
          </w:tcPr>
          <w:p w14:paraId="792FC1D8"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Yes</w:t>
            </w:r>
          </w:p>
        </w:tc>
        <w:tc>
          <w:tcPr>
            <w:tcW w:w="940" w:type="pct"/>
            <w:tcBorders>
              <w:tl2br w:val="nil"/>
              <w:tr2bl w:val="nil"/>
            </w:tcBorders>
            <w:vAlign w:val="center"/>
          </w:tcPr>
          <w:p w14:paraId="382C777A" w14:textId="009C48B1" w:rsidR="0081030B" w:rsidRPr="00775C2E" w:rsidRDefault="00334C17">
            <w:pPr>
              <w:spacing w:line="340" w:lineRule="exact"/>
              <w:jc w:val="center"/>
              <w:rPr>
                <w:rFonts w:ascii="Times New Roman" w:eastAsia="Times New Roman Uni" w:hAnsi="Times New Roman" w:cs="Times New Roman"/>
                <w:sz w:val="22"/>
              </w:rPr>
            </w:pPr>
            <w:r>
              <w:rPr>
                <w:rFonts w:ascii="Times New Roman" w:eastAsia="Times New Roman Uni" w:hAnsi="Times New Roman" w:cs="Times New Roman"/>
                <w:sz w:val="22"/>
              </w:rPr>
              <w:t>37</w:t>
            </w:r>
            <w:r w:rsidR="0067683D" w:rsidRPr="00775C2E">
              <w:rPr>
                <w:rFonts w:ascii="Times New Roman" w:eastAsia="Times New Roman Uni" w:hAnsi="Times New Roman" w:cs="Times New Roman"/>
                <w:sz w:val="22"/>
              </w:rPr>
              <w:t>/60(80.0)</w:t>
            </w:r>
          </w:p>
        </w:tc>
        <w:tc>
          <w:tcPr>
            <w:tcW w:w="2323" w:type="pct"/>
            <w:tcBorders>
              <w:tl2br w:val="nil"/>
              <w:tr2bl w:val="nil"/>
            </w:tcBorders>
            <w:noWrap/>
            <w:vAlign w:val="center"/>
          </w:tcPr>
          <w:p w14:paraId="1CF04E7A"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206/240(85.8)</w:t>
            </w:r>
          </w:p>
        </w:tc>
        <w:tc>
          <w:tcPr>
            <w:tcW w:w="644" w:type="pct"/>
            <w:tcBorders>
              <w:tl2br w:val="nil"/>
              <w:tr2bl w:val="nil"/>
            </w:tcBorders>
            <w:vAlign w:val="center"/>
          </w:tcPr>
          <w:p w14:paraId="49FF58EA"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13ECD3A9" w14:textId="77777777">
        <w:trPr>
          <w:trHeight w:val="283"/>
        </w:trPr>
        <w:tc>
          <w:tcPr>
            <w:tcW w:w="1093" w:type="pct"/>
            <w:tcBorders>
              <w:tl2br w:val="nil"/>
              <w:tr2bl w:val="nil"/>
            </w:tcBorders>
            <w:noWrap/>
          </w:tcPr>
          <w:p w14:paraId="5E04ADA8"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No</w:t>
            </w:r>
          </w:p>
        </w:tc>
        <w:tc>
          <w:tcPr>
            <w:tcW w:w="940" w:type="pct"/>
            <w:tcBorders>
              <w:tl2br w:val="nil"/>
              <w:tr2bl w:val="nil"/>
            </w:tcBorders>
            <w:vAlign w:val="center"/>
          </w:tcPr>
          <w:p w14:paraId="7486F7D8"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12/60(20.0)</w:t>
            </w:r>
          </w:p>
        </w:tc>
        <w:tc>
          <w:tcPr>
            <w:tcW w:w="2323" w:type="pct"/>
            <w:tcBorders>
              <w:tl2br w:val="nil"/>
              <w:tr2bl w:val="nil"/>
            </w:tcBorders>
            <w:noWrap/>
            <w:vAlign w:val="center"/>
          </w:tcPr>
          <w:p w14:paraId="78DF164C"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34/240(14.2)</w:t>
            </w:r>
          </w:p>
        </w:tc>
        <w:tc>
          <w:tcPr>
            <w:tcW w:w="644" w:type="pct"/>
            <w:tcBorders>
              <w:tl2br w:val="nil"/>
              <w:tr2bl w:val="nil"/>
            </w:tcBorders>
            <w:vAlign w:val="center"/>
          </w:tcPr>
          <w:p w14:paraId="21675321"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103D4578" w14:textId="77777777">
        <w:trPr>
          <w:trHeight w:val="283"/>
        </w:trPr>
        <w:tc>
          <w:tcPr>
            <w:tcW w:w="4356" w:type="pct"/>
            <w:gridSpan w:val="3"/>
            <w:tcBorders>
              <w:tl2br w:val="nil"/>
              <w:tr2bl w:val="nil"/>
            </w:tcBorders>
            <w:shd w:val="clear" w:color="auto" w:fill="E7E6E6" w:themeFill="background2"/>
            <w:noWrap/>
            <w:vAlign w:val="center"/>
          </w:tcPr>
          <w:p w14:paraId="7F80B67C" w14:textId="77777777" w:rsidR="0081030B" w:rsidRPr="00775C2E" w:rsidRDefault="0067683D">
            <w:pPr>
              <w:spacing w:line="340" w:lineRule="exact"/>
              <w:rPr>
                <w:rFonts w:ascii="Times New Roman" w:eastAsia="Times New Roman Uni" w:hAnsi="Times New Roman" w:cs="Times New Roman"/>
                <w:sz w:val="22"/>
              </w:rPr>
            </w:pPr>
            <w:r w:rsidRPr="00775C2E">
              <w:rPr>
                <w:rFonts w:ascii="Times New Roman" w:eastAsia="Times New Roman Uni" w:hAnsi="Times New Roman" w:cs="Times New Roman"/>
                <w:b/>
                <w:bCs/>
                <w:sz w:val="22"/>
              </w:rPr>
              <w:t>Number of male partners in the past 3 months</w:t>
            </w:r>
          </w:p>
        </w:tc>
        <w:tc>
          <w:tcPr>
            <w:tcW w:w="644" w:type="pct"/>
            <w:tcBorders>
              <w:tl2br w:val="nil"/>
              <w:tr2bl w:val="nil"/>
            </w:tcBorders>
            <w:shd w:val="clear" w:color="auto" w:fill="E7E6E6" w:themeFill="background2"/>
            <w:vAlign w:val="center"/>
          </w:tcPr>
          <w:p w14:paraId="07E5A6D1"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0.092</w:t>
            </w:r>
          </w:p>
        </w:tc>
      </w:tr>
      <w:tr w:rsidR="0081030B" w:rsidRPr="00775C2E" w14:paraId="2C1CF281" w14:textId="77777777">
        <w:trPr>
          <w:trHeight w:val="283"/>
        </w:trPr>
        <w:tc>
          <w:tcPr>
            <w:tcW w:w="1093" w:type="pct"/>
            <w:tcBorders>
              <w:tl2br w:val="nil"/>
              <w:tr2bl w:val="nil"/>
            </w:tcBorders>
            <w:shd w:val="clear" w:color="auto" w:fill="auto"/>
            <w:noWrap/>
          </w:tcPr>
          <w:p w14:paraId="199EC026"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hAnsi="Times New Roman" w:cs="Times New Roman"/>
                <w:sz w:val="22"/>
              </w:rPr>
              <w:t xml:space="preserve"> ≤1</w:t>
            </w:r>
          </w:p>
        </w:tc>
        <w:tc>
          <w:tcPr>
            <w:tcW w:w="940" w:type="pct"/>
            <w:tcBorders>
              <w:tl2br w:val="nil"/>
              <w:tr2bl w:val="nil"/>
            </w:tcBorders>
            <w:vAlign w:val="center"/>
          </w:tcPr>
          <w:p w14:paraId="7A3E2414"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39/60(65.0)</w:t>
            </w:r>
          </w:p>
        </w:tc>
        <w:tc>
          <w:tcPr>
            <w:tcW w:w="2323" w:type="pct"/>
            <w:tcBorders>
              <w:tl2br w:val="nil"/>
              <w:tr2bl w:val="nil"/>
            </w:tcBorders>
            <w:shd w:val="clear" w:color="auto" w:fill="auto"/>
            <w:noWrap/>
            <w:vAlign w:val="center"/>
          </w:tcPr>
          <w:p w14:paraId="3CFB0EE6"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127/240(52.9)</w:t>
            </w:r>
          </w:p>
        </w:tc>
        <w:tc>
          <w:tcPr>
            <w:tcW w:w="644" w:type="pct"/>
            <w:tcBorders>
              <w:tl2br w:val="nil"/>
              <w:tr2bl w:val="nil"/>
            </w:tcBorders>
            <w:shd w:val="clear" w:color="auto" w:fill="auto"/>
            <w:vAlign w:val="center"/>
          </w:tcPr>
          <w:p w14:paraId="06775C4F"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5CF81A3F" w14:textId="77777777">
        <w:trPr>
          <w:trHeight w:val="283"/>
        </w:trPr>
        <w:tc>
          <w:tcPr>
            <w:tcW w:w="1093" w:type="pct"/>
            <w:tcBorders>
              <w:tl2br w:val="nil"/>
              <w:tr2bl w:val="nil"/>
            </w:tcBorders>
            <w:shd w:val="clear" w:color="auto" w:fill="auto"/>
            <w:noWrap/>
          </w:tcPr>
          <w:p w14:paraId="6D90145B"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hAnsi="Times New Roman" w:cs="Times New Roman"/>
                <w:sz w:val="22"/>
              </w:rPr>
              <w:t xml:space="preserve"> &gt;1</w:t>
            </w:r>
          </w:p>
        </w:tc>
        <w:tc>
          <w:tcPr>
            <w:tcW w:w="940" w:type="pct"/>
            <w:tcBorders>
              <w:tl2br w:val="nil"/>
              <w:tr2bl w:val="nil"/>
            </w:tcBorders>
            <w:vAlign w:val="center"/>
          </w:tcPr>
          <w:p w14:paraId="4B69CA90"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21/60(35.0)</w:t>
            </w:r>
          </w:p>
        </w:tc>
        <w:tc>
          <w:tcPr>
            <w:tcW w:w="2323" w:type="pct"/>
            <w:tcBorders>
              <w:tl2br w:val="nil"/>
              <w:tr2bl w:val="nil"/>
            </w:tcBorders>
            <w:shd w:val="clear" w:color="auto" w:fill="auto"/>
            <w:noWrap/>
            <w:vAlign w:val="center"/>
          </w:tcPr>
          <w:p w14:paraId="348CD88B"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113/240(47.1)</w:t>
            </w:r>
          </w:p>
        </w:tc>
        <w:tc>
          <w:tcPr>
            <w:tcW w:w="644" w:type="pct"/>
            <w:tcBorders>
              <w:tl2br w:val="nil"/>
              <w:tr2bl w:val="nil"/>
            </w:tcBorders>
            <w:shd w:val="clear" w:color="auto" w:fill="auto"/>
            <w:vAlign w:val="center"/>
          </w:tcPr>
          <w:p w14:paraId="1A5C2B5C"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7AD492A1" w14:textId="77777777">
        <w:trPr>
          <w:trHeight w:val="283"/>
        </w:trPr>
        <w:tc>
          <w:tcPr>
            <w:tcW w:w="4356" w:type="pct"/>
            <w:gridSpan w:val="3"/>
            <w:tcBorders>
              <w:tl2br w:val="nil"/>
              <w:tr2bl w:val="nil"/>
            </w:tcBorders>
            <w:shd w:val="clear" w:color="auto" w:fill="E7E6E6" w:themeFill="background2"/>
            <w:noWrap/>
            <w:vAlign w:val="center"/>
          </w:tcPr>
          <w:p w14:paraId="3513DB13" w14:textId="77777777" w:rsidR="0081030B" w:rsidRPr="00775C2E" w:rsidRDefault="0067683D">
            <w:pPr>
              <w:spacing w:line="340" w:lineRule="exact"/>
              <w:rPr>
                <w:rFonts w:ascii="Times New Roman" w:eastAsia="Times New Roman Uni" w:hAnsi="Times New Roman" w:cs="Times New Roman"/>
                <w:sz w:val="22"/>
              </w:rPr>
            </w:pPr>
            <w:r w:rsidRPr="00775C2E">
              <w:rPr>
                <w:rFonts w:ascii="Times New Roman" w:eastAsia="Times New Roman Uni" w:hAnsi="Times New Roman" w:cs="Times New Roman"/>
                <w:b/>
                <w:bCs/>
                <w:sz w:val="22"/>
              </w:rPr>
              <w:t>Social network size</w:t>
            </w:r>
          </w:p>
        </w:tc>
        <w:tc>
          <w:tcPr>
            <w:tcW w:w="644" w:type="pct"/>
            <w:tcBorders>
              <w:tl2br w:val="nil"/>
              <w:tr2bl w:val="nil"/>
            </w:tcBorders>
            <w:shd w:val="clear" w:color="auto" w:fill="E7E6E6" w:themeFill="background2"/>
            <w:noWrap/>
            <w:vAlign w:val="center"/>
          </w:tcPr>
          <w:p w14:paraId="55C828DD" w14:textId="77777777" w:rsidR="0081030B" w:rsidRPr="00775C2E" w:rsidRDefault="0067683D">
            <w:pPr>
              <w:widowControl/>
              <w:spacing w:line="340" w:lineRule="exact"/>
              <w:jc w:val="center"/>
              <w:textAlignment w:val="top"/>
              <w:rPr>
                <w:rFonts w:ascii="Times New Roman" w:eastAsia="Times New Roman Uni" w:hAnsi="Times New Roman" w:cs="Times New Roman"/>
                <w:sz w:val="22"/>
              </w:rPr>
            </w:pPr>
            <w:r w:rsidRPr="00775C2E">
              <w:rPr>
                <w:rFonts w:ascii="Times New Roman" w:eastAsia="Times New Roman Uni" w:hAnsi="Times New Roman" w:cs="Times New Roman"/>
                <w:sz w:val="22"/>
              </w:rPr>
              <w:t>0.419</w:t>
            </w:r>
          </w:p>
        </w:tc>
      </w:tr>
      <w:tr w:rsidR="0081030B" w:rsidRPr="00775C2E" w14:paraId="35E4F0B9" w14:textId="77777777">
        <w:trPr>
          <w:trHeight w:val="283"/>
        </w:trPr>
        <w:tc>
          <w:tcPr>
            <w:tcW w:w="1093" w:type="pct"/>
            <w:tcBorders>
              <w:tl2br w:val="nil"/>
              <w:tr2bl w:val="nil"/>
            </w:tcBorders>
            <w:shd w:val="clear" w:color="auto" w:fill="auto"/>
            <w:noWrap/>
          </w:tcPr>
          <w:p w14:paraId="480A1D5A"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hAnsi="Times New Roman" w:cs="Times New Roman"/>
                <w:sz w:val="22"/>
              </w:rPr>
              <w:t xml:space="preserve"> ≤2</w:t>
            </w:r>
          </w:p>
        </w:tc>
        <w:tc>
          <w:tcPr>
            <w:tcW w:w="940" w:type="pct"/>
            <w:tcBorders>
              <w:tl2br w:val="nil"/>
              <w:tr2bl w:val="nil"/>
            </w:tcBorders>
            <w:vAlign w:val="center"/>
          </w:tcPr>
          <w:p w14:paraId="4714F111"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34/60(56.7)</w:t>
            </w:r>
          </w:p>
        </w:tc>
        <w:tc>
          <w:tcPr>
            <w:tcW w:w="2323" w:type="pct"/>
            <w:tcBorders>
              <w:tl2br w:val="nil"/>
              <w:tr2bl w:val="nil"/>
            </w:tcBorders>
            <w:shd w:val="clear" w:color="auto" w:fill="auto"/>
            <w:noWrap/>
            <w:vAlign w:val="center"/>
          </w:tcPr>
          <w:p w14:paraId="0970FE2F"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122/240(50.8)</w:t>
            </w:r>
          </w:p>
        </w:tc>
        <w:tc>
          <w:tcPr>
            <w:tcW w:w="644" w:type="pct"/>
            <w:tcBorders>
              <w:tl2br w:val="nil"/>
              <w:tr2bl w:val="nil"/>
            </w:tcBorders>
            <w:shd w:val="clear" w:color="auto" w:fill="auto"/>
            <w:vAlign w:val="center"/>
          </w:tcPr>
          <w:p w14:paraId="4ED3FEDB" w14:textId="77777777" w:rsidR="0081030B" w:rsidRPr="00775C2E" w:rsidRDefault="0081030B">
            <w:pPr>
              <w:spacing w:line="340" w:lineRule="exact"/>
              <w:rPr>
                <w:rFonts w:ascii="Times New Roman" w:eastAsia="Times New Roman Uni" w:hAnsi="Times New Roman" w:cs="Times New Roman"/>
                <w:sz w:val="22"/>
              </w:rPr>
            </w:pPr>
          </w:p>
        </w:tc>
      </w:tr>
      <w:tr w:rsidR="0081030B" w:rsidRPr="00775C2E" w14:paraId="5151FE47" w14:textId="77777777">
        <w:trPr>
          <w:trHeight w:val="283"/>
        </w:trPr>
        <w:tc>
          <w:tcPr>
            <w:tcW w:w="1093" w:type="pct"/>
            <w:tcBorders>
              <w:tl2br w:val="nil"/>
              <w:tr2bl w:val="nil"/>
            </w:tcBorders>
            <w:shd w:val="clear" w:color="auto" w:fill="auto"/>
            <w:noWrap/>
          </w:tcPr>
          <w:p w14:paraId="2AF3C8E4" w14:textId="77777777" w:rsidR="0081030B" w:rsidRPr="00775C2E" w:rsidRDefault="0067683D">
            <w:pPr>
              <w:spacing w:line="340" w:lineRule="exact"/>
              <w:jc w:val="left"/>
              <w:rPr>
                <w:rFonts w:ascii="Times New Roman" w:eastAsia="Times New Roman Uni" w:hAnsi="Times New Roman" w:cs="Times New Roman"/>
                <w:sz w:val="22"/>
              </w:rPr>
            </w:pPr>
            <w:r w:rsidRPr="00775C2E">
              <w:rPr>
                <w:rFonts w:ascii="Times New Roman" w:hAnsi="Times New Roman" w:cs="Times New Roman"/>
                <w:sz w:val="22"/>
              </w:rPr>
              <w:t xml:space="preserve"> &gt;2</w:t>
            </w:r>
          </w:p>
        </w:tc>
        <w:tc>
          <w:tcPr>
            <w:tcW w:w="940" w:type="pct"/>
            <w:tcBorders>
              <w:tl2br w:val="nil"/>
              <w:tr2bl w:val="nil"/>
            </w:tcBorders>
            <w:vAlign w:val="center"/>
          </w:tcPr>
          <w:p w14:paraId="656EAAF1"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26/60(43.3)</w:t>
            </w:r>
          </w:p>
        </w:tc>
        <w:tc>
          <w:tcPr>
            <w:tcW w:w="2323" w:type="pct"/>
            <w:tcBorders>
              <w:tl2br w:val="nil"/>
              <w:tr2bl w:val="nil"/>
            </w:tcBorders>
            <w:shd w:val="clear" w:color="auto" w:fill="auto"/>
            <w:noWrap/>
            <w:vAlign w:val="center"/>
          </w:tcPr>
          <w:p w14:paraId="61A0D0C4"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118/240(49.2)</w:t>
            </w:r>
          </w:p>
        </w:tc>
        <w:tc>
          <w:tcPr>
            <w:tcW w:w="644" w:type="pct"/>
            <w:tcBorders>
              <w:tl2br w:val="nil"/>
              <w:tr2bl w:val="nil"/>
            </w:tcBorders>
            <w:shd w:val="clear" w:color="auto" w:fill="auto"/>
            <w:vAlign w:val="center"/>
          </w:tcPr>
          <w:p w14:paraId="7175DAA6" w14:textId="77777777" w:rsidR="0081030B" w:rsidRPr="00775C2E" w:rsidRDefault="0081030B">
            <w:pPr>
              <w:spacing w:line="340" w:lineRule="exact"/>
              <w:rPr>
                <w:rFonts w:ascii="Times New Roman" w:eastAsia="Times New Roman Uni" w:hAnsi="Times New Roman" w:cs="Times New Roman"/>
                <w:sz w:val="22"/>
              </w:rPr>
            </w:pPr>
          </w:p>
        </w:tc>
      </w:tr>
      <w:tr w:rsidR="0081030B" w:rsidRPr="00775C2E" w14:paraId="582CFB48" w14:textId="77777777">
        <w:trPr>
          <w:trHeight w:val="283"/>
        </w:trPr>
        <w:tc>
          <w:tcPr>
            <w:tcW w:w="4356" w:type="pct"/>
            <w:gridSpan w:val="3"/>
            <w:tcBorders>
              <w:tl2br w:val="nil"/>
              <w:tr2bl w:val="nil"/>
            </w:tcBorders>
            <w:shd w:val="clear" w:color="auto" w:fill="E7E6E6" w:themeFill="background2"/>
            <w:noWrap/>
            <w:vAlign w:val="center"/>
          </w:tcPr>
          <w:p w14:paraId="5194B9E4" w14:textId="77777777" w:rsidR="0081030B" w:rsidRPr="00775C2E" w:rsidRDefault="0067683D">
            <w:pPr>
              <w:spacing w:line="340" w:lineRule="exact"/>
              <w:rPr>
                <w:rFonts w:ascii="Times New Roman" w:eastAsia="Times New Roman Uni" w:hAnsi="Times New Roman" w:cs="Times New Roman"/>
                <w:b/>
                <w:bCs/>
                <w:sz w:val="22"/>
              </w:rPr>
            </w:pPr>
            <w:r w:rsidRPr="00775C2E">
              <w:rPr>
                <w:rFonts w:ascii="Times New Roman" w:eastAsia="Times New Roman Uni" w:hAnsi="Times New Roman" w:cs="Times New Roman"/>
                <w:b/>
                <w:bCs/>
                <w:sz w:val="22"/>
              </w:rPr>
              <w:lastRenderedPageBreak/>
              <w:t>Ever tested for HIV</w:t>
            </w:r>
          </w:p>
        </w:tc>
        <w:tc>
          <w:tcPr>
            <w:tcW w:w="644" w:type="pct"/>
            <w:tcBorders>
              <w:tl2br w:val="nil"/>
              <w:tr2bl w:val="nil"/>
            </w:tcBorders>
            <w:shd w:val="clear" w:color="auto" w:fill="E7E6E6" w:themeFill="background2"/>
            <w:noWrap/>
            <w:vAlign w:val="center"/>
          </w:tcPr>
          <w:p w14:paraId="51AC4056" w14:textId="77777777" w:rsidR="0081030B" w:rsidRPr="00775C2E" w:rsidRDefault="0067683D">
            <w:pPr>
              <w:widowControl/>
              <w:spacing w:line="340" w:lineRule="exact"/>
              <w:jc w:val="center"/>
              <w:textAlignment w:val="top"/>
              <w:rPr>
                <w:rFonts w:ascii="Times New Roman" w:eastAsia="Times New Roman Uni" w:hAnsi="Times New Roman" w:cs="Times New Roman"/>
                <w:sz w:val="22"/>
              </w:rPr>
            </w:pPr>
            <w:r w:rsidRPr="00775C2E">
              <w:rPr>
                <w:rFonts w:ascii="Times New Roman" w:eastAsia="Times New Roman Uni" w:hAnsi="Times New Roman" w:cs="Times New Roman"/>
                <w:sz w:val="22"/>
              </w:rPr>
              <w:t>0.051</w:t>
            </w:r>
          </w:p>
        </w:tc>
      </w:tr>
      <w:tr w:rsidR="0081030B" w:rsidRPr="00775C2E" w14:paraId="188D67C5" w14:textId="77777777">
        <w:trPr>
          <w:trHeight w:val="283"/>
        </w:trPr>
        <w:tc>
          <w:tcPr>
            <w:tcW w:w="1093" w:type="pct"/>
            <w:tcBorders>
              <w:tl2br w:val="nil"/>
              <w:tr2bl w:val="nil"/>
            </w:tcBorders>
            <w:shd w:val="clear" w:color="auto" w:fill="auto"/>
            <w:noWrap/>
          </w:tcPr>
          <w:p w14:paraId="50B0E367"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Yes</w:t>
            </w:r>
          </w:p>
        </w:tc>
        <w:tc>
          <w:tcPr>
            <w:tcW w:w="940" w:type="pct"/>
            <w:tcBorders>
              <w:tl2br w:val="nil"/>
              <w:tr2bl w:val="nil"/>
            </w:tcBorders>
            <w:vAlign w:val="center"/>
          </w:tcPr>
          <w:p w14:paraId="2D10D5FD"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51/60(85.0)</w:t>
            </w:r>
          </w:p>
        </w:tc>
        <w:tc>
          <w:tcPr>
            <w:tcW w:w="2323" w:type="pct"/>
            <w:tcBorders>
              <w:tl2br w:val="nil"/>
              <w:tr2bl w:val="nil"/>
            </w:tcBorders>
            <w:shd w:val="clear" w:color="auto" w:fill="auto"/>
            <w:noWrap/>
            <w:vAlign w:val="center"/>
          </w:tcPr>
          <w:p w14:paraId="79EE1024"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223/240(92.9)</w:t>
            </w:r>
          </w:p>
        </w:tc>
        <w:tc>
          <w:tcPr>
            <w:tcW w:w="644" w:type="pct"/>
            <w:tcBorders>
              <w:tl2br w:val="nil"/>
              <w:tr2bl w:val="nil"/>
            </w:tcBorders>
            <w:shd w:val="clear" w:color="auto" w:fill="auto"/>
            <w:vAlign w:val="center"/>
          </w:tcPr>
          <w:p w14:paraId="3CEE2EFD"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1E5FF236" w14:textId="77777777">
        <w:trPr>
          <w:trHeight w:val="283"/>
        </w:trPr>
        <w:tc>
          <w:tcPr>
            <w:tcW w:w="1093" w:type="pct"/>
            <w:tcBorders>
              <w:tl2br w:val="nil"/>
              <w:tr2bl w:val="nil"/>
            </w:tcBorders>
            <w:shd w:val="clear" w:color="auto" w:fill="auto"/>
            <w:noWrap/>
          </w:tcPr>
          <w:p w14:paraId="03D2AB77"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No</w:t>
            </w:r>
          </w:p>
        </w:tc>
        <w:tc>
          <w:tcPr>
            <w:tcW w:w="940" w:type="pct"/>
            <w:tcBorders>
              <w:tl2br w:val="nil"/>
              <w:tr2bl w:val="nil"/>
            </w:tcBorders>
            <w:vAlign w:val="center"/>
          </w:tcPr>
          <w:p w14:paraId="44089EDD"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9/60(15.0)</w:t>
            </w:r>
          </w:p>
        </w:tc>
        <w:tc>
          <w:tcPr>
            <w:tcW w:w="2323" w:type="pct"/>
            <w:tcBorders>
              <w:tl2br w:val="nil"/>
              <w:tr2bl w:val="nil"/>
            </w:tcBorders>
            <w:shd w:val="clear" w:color="auto" w:fill="auto"/>
            <w:noWrap/>
            <w:vAlign w:val="center"/>
          </w:tcPr>
          <w:p w14:paraId="19C36BB0"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17/240(7.1)</w:t>
            </w:r>
          </w:p>
        </w:tc>
        <w:tc>
          <w:tcPr>
            <w:tcW w:w="644" w:type="pct"/>
            <w:tcBorders>
              <w:tl2br w:val="nil"/>
              <w:tr2bl w:val="nil"/>
            </w:tcBorders>
            <w:shd w:val="clear" w:color="auto" w:fill="auto"/>
            <w:vAlign w:val="center"/>
          </w:tcPr>
          <w:p w14:paraId="79070BE3"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56F3BA7A" w14:textId="77777777">
        <w:trPr>
          <w:trHeight w:val="283"/>
        </w:trPr>
        <w:tc>
          <w:tcPr>
            <w:tcW w:w="4356" w:type="pct"/>
            <w:gridSpan w:val="3"/>
            <w:tcBorders>
              <w:tl2br w:val="nil"/>
              <w:tr2bl w:val="nil"/>
            </w:tcBorders>
            <w:shd w:val="clear" w:color="auto" w:fill="E7E6E6" w:themeFill="background2"/>
            <w:noWrap/>
          </w:tcPr>
          <w:p w14:paraId="61DBC713" w14:textId="77777777" w:rsidR="0081030B" w:rsidRPr="00775C2E" w:rsidRDefault="0067683D">
            <w:pPr>
              <w:spacing w:line="340" w:lineRule="exact"/>
              <w:jc w:val="left"/>
              <w:rPr>
                <w:rFonts w:ascii="Times New Roman" w:eastAsia="Times New Roman Uni" w:hAnsi="Times New Roman" w:cs="Times New Roman"/>
                <w:b/>
                <w:bCs/>
                <w:sz w:val="22"/>
              </w:rPr>
            </w:pPr>
            <w:r w:rsidRPr="00775C2E">
              <w:rPr>
                <w:rFonts w:ascii="Times New Roman" w:eastAsia="Times New Roman Uni" w:hAnsi="Times New Roman" w:cs="Times New Roman"/>
                <w:b/>
                <w:bCs/>
                <w:sz w:val="22"/>
              </w:rPr>
              <w:t>Ever self-tested for HIV</w:t>
            </w:r>
          </w:p>
        </w:tc>
        <w:tc>
          <w:tcPr>
            <w:tcW w:w="644" w:type="pct"/>
            <w:tcBorders>
              <w:tl2br w:val="nil"/>
              <w:tr2bl w:val="nil"/>
            </w:tcBorders>
            <w:shd w:val="clear" w:color="auto" w:fill="E7E6E6" w:themeFill="background2"/>
            <w:vAlign w:val="center"/>
          </w:tcPr>
          <w:p w14:paraId="47710C5A"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0.10114</w:t>
            </w:r>
          </w:p>
        </w:tc>
      </w:tr>
      <w:tr w:rsidR="0081030B" w:rsidRPr="00775C2E" w14:paraId="708A8DEB" w14:textId="77777777">
        <w:trPr>
          <w:trHeight w:val="283"/>
        </w:trPr>
        <w:tc>
          <w:tcPr>
            <w:tcW w:w="1093" w:type="pct"/>
            <w:tcBorders>
              <w:tl2br w:val="nil"/>
              <w:tr2bl w:val="nil"/>
            </w:tcBorders>
            <w:shd w:val="clear" w:color="auto" w:fill="auto"/>
            <w:noWrap/>
          </w:tcPr>
          <w:p w14:paraId="5F45B5BB"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Yes</w:t>
            </w:r>
          </w:p>
        </w:tc>
        <w:tc>
          <w:tcPr>
            <w:tcW w:w="940" w:type="pct"/>
            <w:tcBorders>
              <w:tl2br w:val="nil"/>
              <w:tr2bl w:val="nil"/>
            </w:tcBorders>
            <w:vAlign w:val="center"/>
          </w:tcPr>
          <w:p w14:paraId="1059B7DB"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24/51(47.1)</w:t>
            </w:r>
          </w:p>
        </w:tc>
        <w:tc>
          <w:tcPr>
            <w:tcW w:w="2323" w:type="pct"/>
            <w:tcBorders>
              <w:tl2br w:val="nil"/>
              <w:tr2bl w:val="nil"/>
            </w:tcBorders>
            <w:shd w:val="clear" w:color="auto" w:fill="auto"/>
            <w:noWrap/>
            <w:vAlign w:val="center"/>
          </w:tcPr>
          <w:p w14:paraId="5CEEF5C5"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133/223(59.6)</w:t>
            </w:r>
          </w:p>
        </w:tc>
        <w:tc>
          <w:tcPr>
            <w:tcW w:w="644" w:type="pct"/>
            <w:tcBorders>
              <w:tl2br w:val="nil"/>
              <w:tr2bl w:val="nil"/>
            </w:tcBorders>
            <w:shd w:val="clear" w:color="auto" w:fill="auto"/>
            <w:vAlign w:val="center"/>
          </w:tcPr>
          <w:p w14:paraId="56575CA8"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07FC7AB4" w14:textId="77777777">
        <w:trPr>
          <w:trHeight w:val="283"/>
        </w:trPr>
        <w:tc>
          <w:tcPr>
            <w:tcW w:w="1093" w:type="pct"/>
            <w:tcBorders>
              <w:tl2br w:val="nil"/>
              <w:tr2bl w:val="nil"/>
            </w:tcBorders>
            <w:shd w:val="clear" w:color="auto" w:fill="auto"/>
            <w:noWrap/>
          </w:tcPr>
          <w:p w14:paraId="0E735800"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No</w:t>
            </w:r>
          </w:p>
        </w:tc>
        <w:tc>
          <w:tcPr>
            <w:tcW w:w="940" w:type="pct"/>
            <w:tcBorders>
              <w:tl2br w:val="nil"/>
              <w:tr2bl w:val="nil"/>
            </w:tcBorders>
            <w:vAlign w:val="center"/>
          </w:tcPr>
          <w:p w14:paraId="7A03B391"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27/51(52.9)</w:t>
            </w:r>
          </w:p>
        </w:tc>
        <w:tc>
          <w:tcPr>
            <w:tcW w:w="2323" w:type="pct"/>
            <w:tcBorders>
              <w:tl2br w:val="nil"/>
              <w:tr2bl w:val="nil"/>
            </w:tcBorders>
            <w:shd w:val="clear" w:color="auto" w:fill="auto"/>
            <w:noWrap/>
            <w:vAlign w:val="center"/>
          </w:tcPr>
          <w:p w14:paraId="7B0CAB06"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90/223(40.4)</w:t>
            </w:r>
          </w:p>
        </w:tc>
        <w:tc>
          <w:tcPr>
            <w:tcW w:w="644" w:type="pct"/>
            <w:tcBorders>
              <w:tl2br w:val="nil"/>
              <w:tr2bl w:val="nil"/>
            </w:tcBorders>
            <w:shd w:val="clear" w:color="auto" w:fill="auto"/>
            <w:vAlign w:val="center"/>
          </w:tcPr>
          <w:p w14:paraId="3009EE01"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5D32F6DB" w14:textId="77777777">
        <w:trPr>
          <w:trHeight w:val="283"/>
        </w:trPr>
        <w:tc>
          <w:tcPr>
            <w:tcW w:w="4356" w:type="pct"/>
            <w:gridSpan w:val="3"/>
            <w:tcBorders>
              <w:tl2br w:val="nil"/>
              <w:tr2bl w:val="nil"/>
            </w:tcBorders>
            <w:shd w:val="clear" w:color="auto" w:fill="E7E6E6" w:themeFill="background2"/>
            <w:noWrap/>
          </w:tcPr>
          <w:p w14:paraId="7BFBF2CD" w14:textId="77777777" w:rsidR="0081030B" w:rsidRPr="00775C2E" w:rsidRDefault="0067683D">
            <w:pPr>
              <w:spacing w:line="340" w:lineRule="exact"/>
              <w:jc w:val="left"/>
              <w:rPr>
                <w:rFonts w:ascii="Times New Roman" w:eastAsia="Times New Roman Uni" w:hAnsi="Times New Roman" w:cs="Times New Roman"/>
                <w:b/>
                <w:bCs/>
                <w:sz w:val="22"/>
              </w:rPr>
            </w:pPr>
            <w:r w:rsidRPr="00775C2E">
              <w:rPr>
                <w:rFonts w:ascii="Times New Roman" w:eastAsia="Times New Roman Uni" w:hAnsi="Times New Roman" w:cs="Times New Roman"/>
                <w:b/>
                <w:bCs/>
                <w:sz w:val="22"/>
              </w:rPr>
              <w:t>Ever infected with HIV</w:t>
            </w:r>
          </w:p>
        </w:tc>
        <w:tc>
          <w:tcPr>
            <w:tcW w:w="644" w:type="pct"/>
            <w:tcBorders>
              <w:tl2br w:val="nil"/>
              <w:tr2bl w:val="nil"/>
            </w:tcBorders>
            <w:shd w:val="clear" w:color="auto" w:fill="E7E6E6" w:themeFill="background2"/>
            <w:vAlign w:val="center"/>
          </w:tcPr>
          <w:p w14:paraId="0B9E9125" w14:textId="77777777" w:rsidR="0081030B" w:rsidRPr="00775C2E" w:rsidRDefault="0067683D">
            <w:pPr>
              <w:spacing w:line="340" w:lineRule="exact"/>
              <w:jc w:val="center"/>
              <w:rPr>
                <w:rFonts w:ascii="Times New Roman" w:eastAsia="Times New Roman Uni" w:hAnsi="Times New Roman" w:cs="Times New Roman"/>
                <w:b/>
                <w:bCs/>
                <w:sz w:val="22"/>
              </w:rPr>
            </w:pPr>
            <w:r w:rsidRPr="00775C2E">
              <w:rPr>
                <w:rFonts w:ascii="Times New Roman" w:eastAsia="Times New Roman Uni" w:hAnsi="Times New Roman" w:cs="Times New Roman"/>
                <w:b/>
                <w:bCs/>
                <w:sz w:val="22"/>
              </w:rPr>
              <w:t>&lt;0.001***</w:t>
            </w:r>
          </w:p>
        </w:tc>
      </w:tr>
      <w:tr w:rsidR="0081030B" w:rsidRPr="00775C2E" w14:paraId="59CD19E7" w14:textId="77777777">
        <w:trPr>
          <w:trHeight w:val="283"/>
        </w:trPr>
        <w:tc>
          <w:tcPr>
            <w:tcW w:w="1093" w:type="pct"/>
            <w:tcBorders>
              <w:tl2br w:val="nil"/>
              <w:tr2bl w:val="nil"/>
            </w:tcBorders>
            <w:shd w:val="clear" w:color="auto" w:fill="auto"/>
            <w:noWrap/>
          </w:tcPr>
          <w:p w14:paraId="0735152A"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Yes</w:t>
            </w:r>
          </w:p>
        </w:tc>
        <w:tc>
          <w:tcPr>
            <w:tcW w:w="940" w:type="pct"/>
            <w:tcBorders>
              <w:tl2br w:val="nil"/>
              <w:tr2bl w:val="nil"/>
            </w:tcBorders>
            <w:vAlign w:val="center"/>
          </w:tcPr>
          <w:p w14:paraId="1A79AB6D"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14/60(23.3)</w:t>
            </w:r>
          </w:p>
        </w:tc>
        <w:tc>
          <w:tcPr>
            <w:tcW w:w="2323" w:type="pct"/>
            <w:tcBorders>
              <w:tl2br w:val="nil"/>
              <w:tr2bl w:val="nil"/>
            </w:tcBorders>
            <w:shd w:val="clear" w:color="auto" w:fill="auto"/>
            <w:noWrap/>
            <w:vAlign w:val="center"/>
          </w:tcPr>
          <w:p w14:paraId="48B22CCB"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18/240(7.5)</w:t>
            </w:r>
          </w:p>
        </w:tc>
        <w:tc>
          <w:tcPr>
            <w:tcW w:w="644" w:type="pct"/>
            <w:tcBorders>
              <w:tl2br w:val="nil"/>
              <w:tr2bl w:val="nil"/>
            </w:tcBorders>
            <w:shd w:val="clear" w:color="auto" w:fill="auto"/>
            <w:vAlign w:val="center"/>
          </w:tcPr>
          <w:p w14:paraId="766D4A6C"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5846E21E" w14:textId="77777777">
        <w:trPr>
          <w:trHeight w:val="283"/>
        </w:trPr>
        <w:tc>
          <w:tcPr>
            <w:tcW w:w="1093" w:type="pct"/>
            <w:tcBorders>
              <w:tl2br w:val="nil"/>
              <w:tr2bl w:val="nil"/>
            </w:tcBorders>
            <w:shd w:val="clear" w:color="auto" w:fill="auto"/>
            <w:noWrap/>
          </w:tcPr>
          <w:p w14:paraId="2C6798BF"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No</w:t>
            </w:r>
          </w:p>
        </w:tc>
        <w:tc>
          <w:tcPr>
            <w:tcW w:w="940" w:type="pct"/>
            <w:tcBorders>
              <w:tl2br w:val="nil"/>
              <w:tr2bl w:val="nil"/>
            </w:tcBorders>
            <w:vAlign w:val="center"/>
          </w:tcPr>
          <w:p w14:paraId="1D5BAB75"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46/60(76.7)</w:t>
            </w:r>
          </w:p>
        </w:tc>
        <w:tc>
          <w:tcPr>
            <w:tcW w:w="2323" w:type="pct"/>
            <w:tcBorders>
              <w:tl2br w:val="nil"/>
              <w:tr2bl w:val="nil"/>
            </w:tcBorders>
            <w:shd w:val="clear" w:color="auto" w:fill="auto"/>
            <w:noWrap/>
            <w:vAlign w:val="center"/>
          </w:tcPr>
          <w:p w14:paraId="60CD79B3"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222/240(92.5)</w:t>
            </w:r>
          </w:p>
        </w:tc>
        <w:tc>
          <w:tcPr>
            <w:tcW w:w="644" w:type="pct"/>
            <w:tcBorders>
              <w:tl2br w:val="nil"/>
              <w:tr2bl w:val="nil"/>
            </w:tcBorders>
            <w:shd w:val="clear" w:color="auto" w:fill="auto"/>
            <w:vAlign w:val="center"/>
          </w:tcPr>
          <w:p w14:paraId="45C2ABD5"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4FAAAB04" w14:textId="77777777">
        <w:trPr>
          <w:trHeight w:val="283"/>
        </w:trPr>
        <w:tc>
          <w:tcPr>
            <w:tcW w:w="4356" w:type="pct"/>
            <w:gridSpan w:val="3"/>
            <w:tcBorders>
              <w:tl2br w:val="nil"/>
              <w:tr2bl w:val="nil"/>
            </w:tcBorders>
            <w:shd w:val="clear" w:color="auto" w:fill="E7E6E6" w:themeFill="background2"/>
            <w:noWrap/>
            <w:vAlign w:val="center"/>
          </w:tcPr>
          <w:p w14:paraId="325D8DA3" w14:textId="77777777" w:rsidR="0081030B" w:rsidRPr="00775C2E" w:rsidRDefault="0067683D">
            <w:pPr>
              <w:spacing w:line="340" w:lineRule="exact"/>
              <w:rPr>
                <w:rFonts w:ascii="Times New Roman" w:hAnsi="Times New Roman" w:cs="Times New Roman"/>
                <w:sz w:val="22"/>
              </w:rPr>
            </w:pPr>
            <w:r w:rsidRPr="00775C2E">
              <w:rPr>
                <w:rFonts w:ascii="Times New Roman" w:eastAsia="Times New Roman Uni" w:hAnsi="Times New Roman" w:cs="Times New Roman"/>
                <w:b/>
                <w:bCs/>
                <w:sz w:val="22"/>
              </w:rPr>
              <w:t>Ever tested for syphilis</w:t>
            </w:r>
          </w:p>
        </w:tc>
        <w:tc>
          <w:tcPr>
            <w:tcW w:w="644" w:type="pct"/>
            <w:tcBorders>
              <w:tl2br w:val="nil"/>
              <w:tr2bl w:val="nil"/>
            </w:tcBorders>
            <w:shd w:val="clear" w:color="auto" w:fill="E7E6E6" w:themeFill="background2"/>
            <w:vAlign w:val="center"/>
          </w:tcPr>
          <w:p w14:paraId="4A0F7FE7" w14:textId="77777777" w:rsidR="0081030B" w:rsidRPr="00775C2E" w:rsidRDefault="0067683D">
            <w:pPr>
              <w:spacing w:line="340" w:lineRule="exact"/>
              <w:jc w:val="center"/>
              <w:rPr>
                <w:rFonts w:ascii="Times New Roman" w:eastAsia="Times New Roman Uni" w:hAnsi="Times New Roman" w:cs="Times New Roman"/>
                <w:sz w:val="22"/>
              </w:rPr>
            </w:pPr>
            <w:r w:rsidRPr="00775C2E">
              <w:rPr>
                <w:rFonts w:ascii="Times New Roman" w:eastAsia="Times New Roman Uni" w:hAnsi="Times New Roman" w:cs="Times New Roman"/>
                <w:sz w:val="22"/>
              </w:rPr>
              <w:t>0.185</w:t>
            </w:r>
          </w:p>
        </w:tc>
      </w:tr>
      <w:tr w:rsidR="0081030B" w:rsidRPr="00775C2E" w14:paraId="387E694E" w14:textId="77777777">
        <w:trPr>
          <w:trHeight w:val="283"/>
        </w:trPr>
        <w:tc>
          <w:tcPr>
            <w:tcW w:w="1093" w:type="pct"/>
            <w:tcBorders>
              <w:tl2br w:val="nil"/>
              <w:tr2bl w:val="nil"/>
            </w:tcBorders>
            <w:shd w:val="clear" w:color="auto" w:fill="auto"/>
            <w:noWrap/>
          </w:tcPr>
          <w:p w14:paraId="616F9A15"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Yes</w:t>
            </w:r>
          </w:p>
        </w:tc>
        <w:tc>
          <w:tcPr>
            <w:tcW w:w="940" w:type="pct"/>
            <w:tcBorders>
              <w:tl2br w:val="nil"/>
              <w:tr2bl w:val="nil"/>
            </w:tcBorders>
            <w:vAlign w:val="center"/>
          </w:tcPr>
          <w:p w14:paraId="11770B79"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38/60(63.3)</w:t>
            </w:r>
          </w:p>
        </w:tc>
        <w:tc>
          <w:tcPr>
            <w:tcW w:w="2323" w:type="pct"/>
            <w:tcBorders>
              <w:tl2br w:val="nil"/>
              <w:tr2bl w:val="nil"/>
            </w:tcBorders>
            <w:shd w:val="clear" w:color="auto" w:fill="auto"/>
            <w:noWrap/>
            <w:vAlign w:val="center"/>
          </w:tcPr>
          <w:p w14:paraId="1EFFCD64"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173/240(72.1)</w:t>
            </w:r>
          </w:p>
        </w:tc>
        <w:tc>
          <w:tcPr>
            <w:tcW w:w="644" w:type="pct"/>
            <w:tcBorders>
              <w:tl2br w:val="nil"/>
              <w:tr2bl w:val="nil"/>
            </w:tcBorders>
            <w:shd w:val="clear" w:color="auto" w:fill="auto"/>
            <w:vAlign w:val="center"/>
          </w:tcPr>
          <w:p w14:paraId="56774427" w14:textId="77777777" w:rsidR="0081030B" w:rsidRPr="00775C2E" w:rsidRDefault="0081030B">
            <w:pPr>
              <w:widowControl/>
              <w:spacing w:line="340" w:lineRule="exact"/>
              <w:jc w:val="center"/>
              <w:textAlignment w:val="top"/>
              <w:rPr>
                <w:rFonts w:ascii="Times New Roman" w:eastAsia="Times New Roman Uni" w:hAnsi="Times New Roman" w:cs="Times New Roman"/>
                <w:sz w:val="22"/>
              </w:rPr>
            </w:pPr>
          </w:p>
        </w:tc>
      </w:tr>
      <w:tr w:rsidR="0081030B" w:rsidRPr="00775C2E" w14:paraId="46395CD1" w14:textId="77777777">
        <w:trPr>
          <w:trHeight w:val="283"/>
        </w:trPr>
        <w:tc>
          <w:tcPr>
            <w:tcW w:w="1093" w:type="pct"/>
            <w:tcBorders>
              <w:tl2br w:val="nil"/>
              <w:tr2bl w:val="nil"/>
            </w:tcBorders>
            <w:shd w:val="clear" w:color="auto" w:fill="auto"/>
            <w:noWrap/>
          </w:tcPr>
          <w:p w14:paraId="649AA6B5"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No</w:t>
            </w:r>
          </w:p>
        </w:tc>
        <w:tc>
          <w:tcPr>
            <w:tcW w:w="940" w:type="pct"/>
            <w:tcBorders>
              <w:tl2br w:val="nil"/>
              <w:tr2bl w:val="nil"/>
            </w:tcBorders>
            <w:vAlign w:val="center"/>
          </w:tcPr>
          <w:p w14:paraId="1BFA51A3"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22/60(36.7)</w:t>
            </w:r>
          </w:p>
        </w:tc>
        <w:tc>
          <w:tcPr>
            <w:tcW w:w="2323" w:type="pct"/>
            <w:tcBorders>
              <w:tl2br w:val="nil"/>
              <w:tr2bl w:val="nil"/>
            </w:tcBorders>
            <w:shd w:val="clear" w:color="auto" w:fill="auto"/>
            <w:noWrap/>
            <w:vAlign w:val="center"/>
          </w:tcPr>
          <w:p w14:paraId="6D1A928F"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67/240(27.9)</w:t>
            </w:r>
          </w:p>
        </w:tc>
        <w:tc>
          <w:tcPr>
            <w:tcW w:w="644" w:type="pct"/>
            <w:tcBorders>
              <w:tl2br w:val="nil"/>
              <w:tr2bl w:val="nil"/>
            </w:tcBorders>
            <w:shd w:val="clear" w:color="auto" w:fill="auto"/>
            <w:vAlign w:val="center"/>
          </w:tcPr>
          <w:p w14:paraId="2F756891"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03906AFE" w14:textId="77777777">
        <w:trPr>
          <w:trHeight w:val="283"/>
        </w:trPr>
        <w:tc>
          <w:tcPr>
            <w:tcW w:w="4356" w:type="pct"/>
            <w:gridSpan w:val="3"/>
            <w:tcBorders>
              <w:tl2br w:val="nil"/>
              <w:tr2bl w:val="nil"/>
            </w:tcBorders>
            <w:shd w:val="clear" w:color="auto" w:fill="E7E6E6" w:themeFill="background2"/>
            <w:noWrap/>
            <w:vAlign w:val="center"/>
          </w:tcPr>
          <w:p w14:paraId="21AA851C" w14:textId="77777777" w:rsidR="0081030B" w:rsidRPr="00775C2E" w:rsidRDefault="0067683D">
            <w:pPr>
              <w:spacing w:line="340" w:lineRule="exact"/>
              <w:rPr>
                <w:rFonts w:ascii="Times New Roman" w:hAnsi="Times New Roman" w:cs="Times New Roman"/>
                <w:sz w:val="22"/>
              </w:rPr>
            </w:pPr>
            <w:r w:rsidRPr="00775C2E">
              <w:rPr>
                <w:rFonts w:ascii="Times New Roman" w:hAnsi="Times New Roman" w:cs="Times New Roman"/>
                <w:b/>
                <w:bCs/>
                <w:sz w:val="22"/>
              </w:rPr>
              <w:t>Ever self-tested for syphilis</w:t>
            </w:r>
          </w:p>
        </w:tc>
        <w:tc>
          <w:tcPr>
            <w:tcW w:w="644" w:type="pct"/>
            <w:tcBorders>
              <w:tl2br w:val="nil"/>
              <w:tr2bl w:val="nil"/>
            </w:tcBorders>
            <w:shd w:val="clear" w:color="auto" w:fill="E7E6E6" w:themeFill="background2"/>
            <w:vAlign w:val="center"/>
          </w:tcPr>
          <w:p w14:paraId="25C14C14" w14:textId="77777777" w:rsidR="0081030B" w:rsidRPr="00775C2E" w:rsidRDefault="0067683D">
            <w:pPr>
              <w:widowControl/>
              <w:spacing w:line="340" w:lineRule="exact"/>
              <w:jc w:val="center"/>
              <w:textAlignment w:val="top"/>
              <w:rPr>
                <w:rFonts w:ascii="Times New Roman" w:eastAsia="Times New Roman Uni" w:hAnsi="Times New Roman" w:cs="Times New Roman"/>
                <w:sz w:val="22"/>
              </w:rPr>
            </w:pPr>
            <w:r w:rsidRPr="00775C2E">
              <w:rPr>
                <w:rFonts w:ascii="Times New Roman" w:eastAsia="Times New Roman Uni" w:hAnsi="Times New Roman" w:cs="Times New Roman"/>
                <w:sz w:val="22"/>
              </w:rPr>
              <w:t>0.650</w:t>
            </w:r>
          </w:p>
        </w:tc>
      </w:tr>
      <w:tr w:rsidR="0081030B" w:rsidRPr="00775C2E" w14:paraId="0584EAA3" w14:textId="77777777">
        <w:trPr>
          <w:trHeight w:val="283"/>
        </w:trPr>
        <w:tc>
          <w:tcPr>
            <w:tcW w:w="1093" w:type="pct"/>
            <w:tcBorders>
              <w:tl2br w:val="nil"/>
              <w:tr2bl w:val="nil"/>
            </w:tcBorders>
            <w:shd w:val="clear" w:color="auto" w:fill="auto"/>
            <w:noWrap/>
          </w:tcPr>
          <w:p w14:paraId="56654FF0"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Yes</w:t>
            </w:r>
          </w:p>
        </w:tc>
        <w:tc>
          <w:tcPr>
            <w:tcW w:w="940" w:type="pct"/>
            <w:tcBorders>
              <w:tl2br w:val="nil"/>
              <w:tr2bl w:val="nil"/>
            </w:tcBorders>
            <w:vAlign w:val="center"/>
          </w:tcPr>
          <w:p w14:paraId="07B896D6"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13/38(34.2)</w:t>
            </w:r>
          </w:p>
        </w:tc>
        <w:tc>
          <w:tcPr>
            <w:tcW w:w="2323" w:type="pct"/>
            <w:tcBorders>
              <w:tl2br w:val="nil"/>
              <w:tr2bl w:val="nil"/>
            </w:tcBorders>
            <w:shd w:val="clear" w:color="auto" w:fill="auto"/>
            <w:noWrap/>
            <w:vAlign w:val="center"/>
          </w:tcPr>
          <w:p w14:paraId="4F7F51C1"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66/173(38.2)</w:t>
            </w:r>
          </w:p>
        </w:tc>
        <w:tc>
          <w:tcPr>
            <w:tcW w:w="644" w:type="pct"/>
            <w:tcBorders>
              <w:tl2br w:val="nil"/>
              <w:tr2bl w:val="nil"/>
            </w:tcBorders>
            <w:shd w:val="clear" w:color="auto" w:fill="auto"/>
            <w:vAlign w:val="center"/>
          </w:tcPr>
          <w:p w14:paraId="627033ED" w14:textId="77777777" w:rsidR="0081030B" w:rsidRPr="00775C2E" w:rsidRDefault="0081030B">
            <w:pPr>
              <w:spacing w:line="340" w:lineRule="exact"/>
              <w:jc w:val="center"/>
              <w:rPr>
                <w:rFonts w:ascii="Times New Roman" w:eastAsia="Times New Roman Uni" w:hAnsi="Times New Roman" w:cs="Times New Roman"/>
                <w:sz w:val="22"/>
              </w:rPr>
            </w:pPr>
          </w:p>
        </w:tc>
      </w:tr>
      <w:tr w:rsidR="0081030B" w:rsidRPr="00775C2E" w14:paraId="1B000416" w14:textId="77777777">
        <w:trPr>
          <w:trHeight w:val="283"/>
        </w:trPr>
        <w:tc>
          <w:tcPr>
            <w:tcW w:w="1093" w:type="pct"/>
            <w:tcBorders>
              <w:tl2br w:val="nil"/>
              <w:tr2bl w:val="nil"/>
            </w:tcBorders>
            <w:shd w:val="clear" w:color="auto" w:fill="auto"/>
            <w:noWrap/>
          </w:tcPr>
          <w:p w14:paraId="572A1308" w14:textId="77777777" w:rsidR="0081030B" w:rsidRPr="00775C2E" w:rsidRDefault="0067683D">
            <w:pPr>
              <w:spacing w:line="340" w:lineRule="exact"/>
              <w:jc w:val="left"/>
              <w:rPr>
                <w:rFonts w:ascii="Times New Roman" w:hAnsi="Times New Roman" w:cs="Times New Roman"/>
                <w:sz w:val="22"/>
              </w:rPr>
            </w:pPr>
            <w:r w:rsidRPr="00775C2E">
              <w:rPr>
                <w:rFonts w:ascii="Times New Roman" w:hAnsi="Times New Roman" w:cs="Times New Roman"/>
                <w:sz w:val="22"/>
              </w:rPr>
              <w:t xml:space="preserve"> No</w:t>
            </w:r>
          </w:p>
        </w:tc>
        <w:tc>
          <w:tcPr>
            <w:tcW w:w="940" w:type="pct"/>
            <w:tcBorders>
              <w:tl2br w:val="nil"/>
              <w:tr2bl w:val="nil"/>
            </w:tcBorders>
            <w:vAlign w:val="center"/>
          </w:tcPr>
          <w:p w14:paraId="0428ED01"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25/38(65.8)</w:t>
            </w:r>
          </w:p>
        </w:tc>
        <w:tc>
          <w:tcPr>
            <w:tcW w:w="2323" w:type="pct"/>
            <w:tcBorders>
              <w:tl2br w:val="nil"/>
              <w:tr2bl w:val="nil"/>
            </w:tcBorders>
            <w:shd w:val="clear" w:color="auto" w:fill="auto"/>
            <w:noWrap/>
            <w:vAlign w:val="center"/>
          </w:tcPr>
          <w:p w14:paraId="311903B3" w14:textId="77777777" w:rsidR="0081030B" w:rsidRPr="00775C2E" w:rsidRDefault="0067683D">
            <w:pPr>
              <w:spacing w:line="340" w:lineRule="exact"/>
              <w:jc w:val="center"/>
              <w:rPr>
                <w:rFonts w:ascii="Times New Roman" w:hAnsi="Times New Roman" w:cs="Times New Roman"/>
                <w:sz w:val="22"/>
              </w:rPr>
            </w:pPr>
            <w:r w:rsidRPr="00775C2E">
              <w:rPr>
                <w:rFonts w:ascii="Times New Roman" w:hAnsi="Times New Roman" w:cs="Times New Roman"/>
                <w:sz w:val="22"/>
              </w:rPr>
              <w:t>107/173(61.8)</w:t>
            </w:r>
          </w:p>
        </w:tc>
        <w:tc>
          <w:tcPr>
            <w:tcW w:w="644" w:type="pct"/>
            <w:tcBorders>
              <w:tl2br w:val="nil"/>
              <w:tr2bl w:val="nil"/>
            </w:tcBorders>
            <w:shd w:val="clear" w:color="auto" w:fill="auto"/>
            <w:vAlign w:val="center"/>
          </w:tcPr>
          <w:p w14:paraId="27AFB6AE" w14:textId="77777777" w:rsidR="0081030B" w:rsidRPr="00775C2E" w:rsidRDefault="0081030B">
            <w:pPr>
              <w:spacing w:line="340" w:lineRule="exact"/>
              <w:jc w:val="center"/>
              <w:rPr>
                <w:rFonts w:ascii="Times New Roman" w:eastAsia="Times New Roman Uni" w:hAnsi="Times New Roman" w:cs="Times New Roman"/>
                <w:sz w:val="22"/>
              </w:rPr>
            </w:pPr>
          </w:p>
        </w:tc>
      </w:tr>
    </w:tbl>
    <w:p w14:paraId="6AA96F6B" w14:textId="77777777" w:rsidR="0081030B" w:rsidRPr="00775C2E" w:rsidRDefault="0067683D" w:rsidP="006475D4">
      <w:pPr>
        <w:rPr>
          <w:rFonts w:ascii="Times New Roman" w:hAnsi="Times New Roman" w:cs="Times New Roman"/>
          <w:b/>
          <w:bCs/>
          <w:sz w:val="22"/>
        </w:rPr>
      </w:pPr>
      <w:bookmarkStart w:id="38" w:name="_Toc92377846"/>
      <w:proofErr w:type="spellStart"/>
      <w:r w:rsidRPr="00775C2E">
        <w:rPr>
          <w:rFonts w:ascii="Times New Roman" w:hAnsi="Times New Roman" w:cs="Times New Roman"/>
          <w:sz w:val="22"/>
          <w:vertAlign w:val="superscript"/>
        </w:rPr>
        <w:t>a</w:t>
      </w:r>
      <w:r w:rsidRPr="00775C2E">
        <w:rPr>
          <w:rFonts w:ascii="Times New Roman" w:hAnsi="Times New Roman" w:cs="Times New Roman"/>
          <w:sz w:val="22"/>
        </w:rPr>
        <w:t>Data</w:t>
      </w:r>
      <w:proofErr w:type="spellEnd"/>
      <w:r w:rsidRPr="00775C2E">
        <w:rPr>
          <w:rFonts w:ascii="Times New Roman" w:hAnsi="Times New Roman" w:cs="Times New Roman"/>
          <w:sz w:val="22"/>
        </w:rPr>
        <w:t xml:space="preserve"> are n/N (%) unless otherwise indicated. </w:t>
      </w:r>
      <w:r w:rsidRPr="00775C2E">
        <w:rPr>
          <w:rFonts w:ascii="Times New Roman" w:hAnsi="Times New Roman" w:cs="Times New Roman"/>
          <w:sz w:val="22"/>
          <w:vertAlign w:val="superscript"/>
        </w:rPr>
        <w:t>b</w:t>
      </w:r>
      <w:r w:rsidRPr="00775C2E">
        <w:rPr>
          <w:rFonts w:ascii="Times New Roman" w:hAnsi="Times New Roman" w:cs="Times New Roman"/>
          <w:i/>
          <w:sz w:val="22"/>
        </w:rPr>
        <w:t>p</w:t>
      </w:r>
      <w:r w:rsidRPr="00775C2E">
        <w:rPr>
          <w:rFonts w:ascii="Times New Roman" w:hAnsi="Times New Roman" w:cs="Times New Roman"/>
          <w:sz w:val="22"/>
        </w:rPr>
        <w:t>-value computed using a two-sided Fisher’s exact test.</w:t>
      </w:r>
      <w:bookmarkStart w:id="39" w:name="_Toc7919"/>
      <w:bookmarkStart w:id="40" w:name="_Toc49265192"/>
      <w:bookmarkStart w:id="41" w:name="_Toc52202747"/>
      <w:bookmarkStart w:id="42" w:name="_Toc11317"/>
      <w:bookmarkEnd w:id="38"/>
    </w:p>
    <w:p w14:paraId="6ACD77FF" w14:textId="77777777" w:rsidR="0081030B" w:rsidRPr="00775C2E" w:rsidRDefault="0067683D">
      <w:pPr>
        <w:widowControl/>
        <w:spacing w:after="0" w:line="240" w:lineRule="auto"/>
        <w:jc w:val="left"/>
        <w:rPr>
          <w:rFonts w:ascii="Times New Roman" w:hAnsi="Times New Roman" w:cs="Times New Roman"/>
          <w:b/>
          <w:bCs/>
          <w:kern w:val="44"/>
          <w:sz w:val="22"/>
        </w:rPr>
      </w:pPr>
      <w:r w:rsidRPr="00775C2E">
        <w:rPr>
          <w:rFonts w:ascii="Times New Roman" w:hAnsi="Times New Roman" w:cs="Times New Roman"/>
          <w:b/>
          <w:bCs/>
          <w:kern w:val="44"/>
          <w:sz w:val="22"/>
        </w:rPr>
        <w:br w:type="page"/>
      </w:r>
      <w:bookmarkEnd w:id="39"/>
      <w:bookmarkEnd w:id="40"/>
      <w:bookmarkEnd w:id="41"/>
      <w:bookmarkEnd w:id="42"/>
    </w:p>
    <w:p w14:paraId="3CC08A3C" w14:textId="07A5A068" w:rsidR="0081030B" w:rsidRPr="00775C2E" w:rsidRDefault="007D44F9" w:rsidP="007D44F9">
      <w:pPr>
        <w:pStyle w:val="Heading1"/>
      </w:pPr>
      <w:bookmarkStart w:id="43" w:name="_Toc101122704"/>
      <w:r w:rsidRPr="007D44F9">
        <w:rPr>
          <w:rFonts w:ascii="Times New Roman" w:hAnsi="Times New Roman" w:cs="Times New Roman"/>
          <w:sz w:val="22"/>
          <w:szCs w:val="22"/>
        </w:rPr>
        <w:lastRenderedPageBreak/>
        <w:t>Table S3. Cost items included</w:t>
      </w:r>
      <w:bookmarkEnd w:id="43"/>
      <w:r w:rsidRPr="007D44F9">
        <w:rPr>
          <w:rFonts w:ascii="Times New Roman" w:hAnsi="Times New Roman" w:cs="Times New Roman"/>
          <w:sz w:val="22"/>
          <w:szCs w:val="22"/>
        </w:rPr>
        <w:t xml:space="preserve"> </w:t>
      </w:r>
    </w:p>
    <w:p w14:paraId="4183F9C9" w14:textId="02A0D92F" w:rsidR="0081030B" w:rsidRPr="006141D2" w:rsidRDefault="007D44F9" w:rsidP="006141D2">
      <w:pPr>
        <w:rPr>
          <w:rFonts w:ascii="Times New Roman" w:hAnsi="Times New Roman" w:cs="Times New Roman"/>
          <w:sz w:val="22"/>
        </w:rPr>
      </w:pPr>
      <w:bookmarkStart w:id="44" w:name="_Hlk101042891"/>
      <w:r w:rsidRPr="007D44F9">
        <w:rPr>
          <w:rFonts w:ascii="Times New Roman" w:hAnsi="Times New Roman" w:cs="Times New Roman"/>
          <w:sz w:val="22"/>
        </w:rPr>
        <w:t>Table S3 summarizes the unit costs for the economic model using a healthcare provider perspective with a time horizon of 3 months (</w:t>
      </w:r>
      <w:proofErr w:type="gramStart"/>
      <w:r w:rsidRPr="007D44F9">
        <w:rPr>
          <w:rFonts w:ascii="Times New Roman" w:hAnsi="Times New Roman" w:cs="Times New Roman"/>
          <w:sz w:val="22"/>
        </w:rPr>
        <w:t>i.e.</w:t>
      </w:r>
      <w:proofErr w:type="gramEnd"/>
      <w:r w:rsidRPr="007D44F9">
        <w:rPr>
          <w:rFonts w:ascii="Times New Roman" w:hAnsi="Times New Roman" w:cs="Times New Roman"/>
          <w:sz w:val="22"/>
        </w:rPr>
        <w:t xml:space="preserve"> the study duration).</w:t>
      </w:r>
    </w:p>
    <w:tbl>
      <w:tblPr>
        <w:tblW w:w="83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3097"/>
      </w:tblGrid>
      <w:tr w:rsidR="0081030B" w:rsidRPr="00775C2E" w14:paraId="24BA1444" w14:textId="77777777" w:rsidTr="006913DC">
        <w:trPr>
          <w:trHeight w:hRule="exact" w:val="340"/>
        </w:trPr>
        <w:tc>
          <w:tcPr>
            <w:tcW w:w="5245" w:type="dxa"/>
            <w:shd w:val="clear" w:color="auto" w:fill="F2F2F2" w:themeFill="background1" w:themeFillShade="F2"/>
            <w:noWrap/>
            <w:vAlign w:val="bottom"/>
          </w:tcPr>
          <w:bookmarkEnd w:id="44"/>
          <w:p w14:paraId="7F1273A0"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b/>
                <w:bCs/>
                <w:color w:val="000000"/>
                <w:kern w:val="0"/>
                <w:sz w:val="22"/>
                <w:lang w:val="en-GB"/>
              </w:rPr>
              <w:t>Variable costs</w:t>
            </w:r>
          </w:p>
        </w:tc>
        <w:tc>
          <w:tcPr>
            <w:tcW w:w="3097" w:type="dxa"/>
            <w:shd w:val="clear" w:color="auto" w:fill="F2F2F2" w:themeFill="background1" w:themeFillShade="F2"/>
            <w:noWrap/>
            <w:vAlign w:val="bottom"/>
          </w:tcPr>
          <w:p w14:paraId="01EAB8A4" w14:textId="566C7EB2" w:rsidR="0081030B" w:rsidRPr="00775C2E" w:rsidRDefault="0067683D">
            <w:pPr>
              <w:widowControl/>
              <w:jc w:val="center"/>
              <w:rPr>
                <w:rFonts w:ascii="Times New Roman" w:eastAsia="Times New Roman" w:hAnsi="Times New Roman" w:cs="Times New Roman"/>
                <w:b/>
                <w:bCs/>
                <w:color w:val="000000"/>
                <w:kern w:val="0"/>
                <w:sz w:val="22"/>
                <w:lang w:val="en-GB"/>
              </w:rPr>
            </w:pPr>
            <w:r w:rsidRPr="00775C2E">
              <w:rPr>
                <w:rFonts w:ascii="Times New Roman" w:eastAsia="Times New Roman" w:hAnsi="Times New Roman" w:cs="Times New Roman"/>
                <w:b/>
                <w:bCs/>
                <w:color w:val="000000"/>
                <w:kern w:val="0"/>
                <w:sz w:val="22"/>
                <w:lang w:val="en-GB"/>
              </w:rPr>
              <w:t>Unit cost (</w:t>
            </w:r>
            <w:r w:rsidR="005C16F7">
              <w:rPr>
                <w:rFonts w:ascii="Times New Roman" w:eastAsia="Times New Roman" w:hAnsi="Times New Roman" w:cs="Times New Roman"/>
                <w:b/>
                <w:bCs/>
                <w:color w:val="000000"/>
                <w:kern w:val="0"/>
                <w:sz w:val="22"/>
                <w:lang w:val="en-GB"/>
              </w:rPr>
              <w:t>USD</w:t>
            </w:r>
            <w:r w:rsidRPr="00775C2E">
              <w:rPr>
                <w:rFonts w:ascii="Times New Roman" w:eastAsia="Times New Roman" w:hAnsi="Times New Roman" w:cs="Times New Roman"/>
                <w:b/>
                <w:bCs/>
                <w:color w:val="000000"/>
                <w:kern w:val="0"/>
                <w:sz w:val="22"/>
                <w:lang w:val="en-GB"/>
              </w:rPr>
              <w:t>)</w:t>
            </w:r>
          </w:p>
        </w:tc>
      </w:tr>
      <w:tr w:rsidR="0081030B" w:rsidRPr="00775C2E" w14:paraId="5F2221F8" w14:textId="77777777" w:rsidTr="006913DC">
        <w:trPr>
          <w:trHeight w:hRule="exact" w:val="340"/>
        </w:trPr>
        <w:tc>
          <w:tcPr>
            <w:tcW w:w="5245" w:type="dxa"/>
            <w:shd w:val="clear" w:color="auto" w:fill="auto"/>
            <w:noWrap/>
            <w:vAlign w:val="bottom"/>
          </w:tcPr>
          <w:p w14:paraId="11A84063"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Packaging</w:t>
            </w:r>
          </w:p>
        </w:tc>
        <w:tc>
          <w:tcPr>
            <w:tcW w:w="3097" w:type="dxa"/>
            <w:shd w:val="clear" w:color="auto" w:fill="auto"/>
            <w:noWrap/>
            <w:vAlign w:val="bottom"/>
          </w:tcPr>
          <w:p w14:paraId="7EBACB9C" w14:textId="698671EE" w:rsidR="0081030B" w:rsidRPr="00775C2E" w:rsidRDefault="005C16F7">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0.43</w:t>
            </w:r>
          </w:p>
        </w:tc>
      </w:tr>
      <w:tr w:rsidR="0081030B" w:rsidRPr="00775C2E" w14:paraId="6AFE0A8A" w14:textId="77777777" w:rsidTr="006913DC">
        <w:trPr>
          <w:trHeight w:hRule="exact" w:val="340"/>
        </w:trPr>
        <w:tc>
          <w:tcPr>
            <w:tcW w:w="5245" w:type="dxa"/>
            <w:shd w:val="clear" w:color="auto" w:fill="auto"/>
            <w:noWrap/>
            <w:vAlign w:val="bottom"/>
          </w:tcPr>
          <w:p w14:paraId="3B7E2280"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Instruction booklet</w:t>
            </w:r>
          </w:p>
        </w:tc>
        <w:tc>
          <w:tcPr>
            <w:tcW w:w="3097" w:type="dxa"/>
            <w:shd w:val="clear" w:color="auto" w:fill="auto"/>
            <w:noWrap/>
            <w:vAlign w:val="bottom"/>
          </w:tcPr>
          <w:p w14:paraId="70FE688E" w14:textId="37DBD31C" w:rsidR="0081030B" w:rsidRPr="00775C2E" w:rsidRDefault="005C16F7">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0.12</w:t>
            </w:r>
          </w:p>
        </w:tc>
      </w:tr>
      <w:tr w:rsidR="0081030B" w:rsidRPr="00775C2E" w14:paraId="6C62B61C" w14:textId="77777777" w:rsidTr="006913DC">
        <w:trPr>
          <w:trHeight w:hRule="exact" w:val="340"/>
        </w:trPr>
        <w:tc>
          <w:tcPr>
            <w:tcW w:w="5245" w:type="dxa"/>
            <w:shd w:val="clear" w:color="auto" w:fill="auto"/>
            <w:noWrap/>
            <w:vAlign w:val="bottom"/>
          </w:tcPr>
          <w:p w14:paraId="2EE7532F"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Syphilis test kit</w:t>
            </w:r>
          </w:p>
        </w:tc>
        <w:tc>
          <w:tcPr>
            <w:tcW w:w="3097" w:type="dxa"/>
            <w:shd w:val="clear" w:color="auto" w:fill="auto"/>
            <w:noWrap/>
            <w:vAlign w:val="bottom"/>
          </w:tcPr>
          <w:p w14:paraId="7B6F0012" w14:textId="393FF92D" w:rsidR="0081030B" w:rsidRPr="00775C2E" w:rsidRDefault="005C16F7">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2.32</w:t>
            </w:r>
          </w:p>
        </w:tc>
      </w:tr>
      <w:tr w:rsidR="0081030B" w:rsidRPr="00775C2E" w14:paraId="5EC6224E" w14:textId="77777777" w:rsidTr="006913DC">
        <w:trPr>
          <w:trHeight w:hRule="exact" w:val="340"/>
        </w:trPr>
        <w:tc>
          <w:tcPr>
            <w:tcW w:w="5245" w:type="dxa"/>
            <w:shd w:val="clear" w:color="auto" w:fill="auto"/>
            <w:noWrap/>
            <w:vAlign w:val="bottom"/>
          </w:tcPr>
          <w:p w14:paraId="21F14EE1"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Blood taking needle</w:t>
            </w:r>
          </w:p>
        </w:tc>
        <w:tc>
          <w:tcPr>
            <w:tcW w:w="3097" w:type="dxa"/>
            <w:shd w:val="clear" w:color="auto" w:fill="auto"/>
            <w:noWrap/>
            <w:vAlign w:val="bottom"/>
          </w:tcPr>
          <w:p w14:paraId="416BC735" w14:textId="293A5270" w:rsidR="0081030B" w:rsidRPr="00775C2E" w:rsidRDefault="005C16F7">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0.07</w:t>
            </w:r>
          </w:p>
        </w:tc>
      </w:tr>
      <w:tr w:rsidR="0081030B" w:rsidRPr="00775C2E" w14:paraId="60AD7B1E" w14:textId="77777777" w:rsidTr="006913DC">
        <w:trPr>
          <w:trHeight w:hRule="exact" w:val="340"/>
        </w:trPr>
        <w:tc>
          <w:tcPr>
            <w:tcW w:w="5245" w:type="dxa"/>
            <w:shd w:val="clear" w:color="auto" w:fill="auto"/>
            <w:noWrap/>
            <w:vAlign w:val="bottom"/>
          </w:tcPr>
          <w:p w14:paraId="721EF34F" w14:textId="77777777" w:rsidR="0081030B" w:rsidRPr="00775C2E" w:rsidRDefault="0067683D">
            <w:pPr>
              <w:widowControl/>
              <w:jc w:val="left"/>
              <w:rPr>
                <w:rFonts w:ascii="Times New Roman" w:eastAsia="Times New Roman" w:hAnsi="Times New Roman" w:cs="Times New Roman"/>
                <w:color w:val="000000"/>
                <w:kern w:val="0"/>
                <w:sz w:val="22"/>
                <w:lang w:val="en-GB"/>
              </w:rPr>
            </w:pPr>
            <w:proofErr w:type="spellStart"/>
            <w:r w:rsidRPr="00775C2E">
              <w:rPr>
                <w:rFonts w:ascii="Times New Roman" w:eastAsia="Times New Roman" w:hAnsi="Times New Roman" w:cs="Times New Roman"/>
                <w:color w:val="000000"/>
                <w:kern w:val="0"/>
                <w:sz w:val="22"/>
                <w:lang w:val="en-GB"/>
              </w:rPr>
              <w:t>Woundplast</w:t>
            </w:r>
            <w:proofErr w:type="spellEnd"/>
          </w:p>
        </w:tc>
        <w:tc>
          <w:tcPr>
            <w:tcW w:w="3097" w:type="dxa"/>
            <w:shd w:val="clear" w:color="auto" w:fill="auto"/>
            <w:noWrap/>
            <w:vAlign w:val="bottom"/>
          </w:tcPr>
          <w:p w14:paraId="286909E6" w14:textId="72CC1515" w:rsidR="0081030B" w:rsidRPr="00775C2E" w:rsidRDefault="005C16F7">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0.01</w:t>
            </w:r>
          </w:p>
        </w:tc>
      </w:tr>
      <w:tr w:rsidR="0081030B" w:rsidRPr="00775C2E" w14:paraId="57CD09D7" w14:textId="77777777" w:rsidTr="006913DC">
        <w:trPr>
          <w:trHeight w:hRule="exact" w:val="340"/>
        </w:trPr>
        <w:tc>
          <w:tcPr>
            <w:tcW w:w="5245" w:type="dxa"/>
            <w:shd w:val="clear" w:color="auto" w:fill="auto"/>
            <w:noWrap/>
            <w:vAlign w:val="bottom"/>
          </w:tcPr>
          <w:p w14:paraId="7A59216F"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Alcohol pad</w:t>
            </w:r>
          </w:p>
        </w:tc>
        <w:tc>
          <w:tcPr>
            <w:tcW w:w="3097" w:type="dxa"/>
            <w:shd w:val="clear" w:color="auto" w:fill="auto"/>
            <w:noWrap/>
            <w:vAlign w:val="bottom"/>
          </w:tcPr>
          <w:p w14:paraId="4864A2F9" w14:textId="1AFB6BFA" w:rsidR="0081030B" w:rsidRPr="00775C2E" w:rsidRDefault="005C16F7">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0.01</w:t>
            </w:r>
          </w:p>
        </w:tc>
      </w:tr>
      <w:tr w:rsidR="005C16F7" w:rsidRPr="00775C2E" w14:paraId="1BDE8B55" w14:textId="77777777" w:rsidTr="006913DC">
        <w:trPr>
          <w:trHeight w:hRule="exact" w:val="340"/>
        </w:trPr>
        <w:tc>
          <w:tcPr>
            <w:tcW w:w="5245" w:type="dxa"/>
            <w:shd w:val="clear" w:color="auto" w:fill="auto"/>
            <w:noWrap/>
            <w:vAlign w:val="bottom"/>
          </w:tcPr>
          <w:p w14:paraId="4B219689" w14:textId="650FBD4B" w:rsidR="005C16F7" w:rsidRPr="00775C2E" w:rsidRDefault="00E46775">
            <w:pPr>
              <w:widowControl/>
              <w:jc w:val="left"/>
              <w:rPr>
                <w:rFonts w:ascii="Times New Roman" w:eastAsia="Times New Roman" w:hAnsi="Times New Roman" w:cs="Times New Roman"/>
                <w:color w:val="000000"/>
                <w:kern w:val="0"/>
                <w:sz w:val="22"/>
                <w:lang w:val="en-GB"/>
              </w:rPr>
            </w:pPr>
            <w:r w:rsidRPr="00E46775">
              <w:rPr>
                <w:rFonts w:ascii="Times New Roman" w:eastAsia="Times New Roman" w:hAnsi="Times New Roman" w:cs="Times New Roman"/>
                <w:color w:val="000000"/>
                <w:kern w:val="0"/>
                <w:sz w:val="22"/>
                <w:lang w:val="en-GB"/>
              </w:rPr>
              <w:t>Kraft bag</w:t>
            </w:r>
          </w:p>
        </w:tc>
        <w:tc>
          <w:tcPr>
            <w:tcW w:w="3097" w:type="dxa"/>
            <w:shd w:val="clear" w:color="auto" w:fill="auto"/>
            <w:noWrap/>
            <w:vAlign w:val="bottom"/>
          </w:tcPr>
          <w:p w14:paraId="6298D2DE" w14:textId="615434AF" w:rsidR="005C16F7" w:rsidRPr="00E46775" w:rsidRDefault="00E46775">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0</w:t>
            </w:r>
            <w:r>
              <w:rPr>
                <w:rFonts w:ascii="Times New Roman" w:hAnsi="Times New Roman" w:cs="Times New Roman"/>
                <w:color w:val="000000"/>
                <w:kern w:val="0"/>
                <w:sz w:val="22"/>
                <w:lang w:val="en-GB"/>
              </w:rPr>
              <w:t>.08</w:t>
            </w:r>
          </w:p>
        </w:tc>
      </w:tr>
      <w:tr w:rsidR="005C16F7" w:rsidRPr="00775C2E" w14:paraId="6F8F2C5E" w14:textId="77777777" w:rsidTr="006913DC">
        <w:trPr>
          <w:trHeight w:hRule="exact" w:val="340"/>
        </w:trPr>
        <w:tc>
          <w:tcPr>
            <w:tcW w:w="5245" w:type="dxa"/>
            <w:shd w:val="clear" w:color="auto" w:fill="auto"/>
            <w:noWrap/>
            <w:vAlign w:val="bottom"/>
          </w:tcPr>
          <w:p w14:paraId="27878950" w14:textId="216ED641" w:rsidR="005C16F7" w:rsidRPr="00775C2E" w:rsidRDefault="00E46775">
            <w:pPr>
              <w:widowControl/>
              <w:jc w:val="left"/>
              <w:rPr>
                <w:rFonts w:ascii="Times New Roman" w:eastAsia="Times New Roman" w:hAnsi="Times New Roman" w:cs="Times New Roman"/>
                <w:color w:val="000000"/>
                <w:kern w:val="0"/>
                <w:sz w:val="22"/>
                <w:lang w:val="en-GB"/>
              </w:rPr>
            </w:pPr>
            <w:r w:rsidRPr="00E46775">
              <w:rPr>
                <w:rFonts w:ascii="Times New Roman" w:eastAsia="Times New Roman" w:hAnsi="Times New Roman" w:cs="Times New Roman"/>
                <w:color w:val="000000"/>
                <w:kern w:val="0"/>
                <w:sz w:val="22"/>
                <w:lang w:val="en-GB"/>
              </w:rPr>
              <w:t>Activity flow chart</w:t>
            </w:r>
          </w:p>
        </w:tc>
        <w:tc>
          <w:tcPr>
            <w:tcW w:w="3097" w:type="dxa"/>
            <w:shd w:val="clear" w:color="auto" w:fill="auto"/>
            <w:noWrap/>
            <w:vAlign w:val="bottom"/>
          </w:tcPr>
          <w:p w14:paraId="15AB8161" w14:textId="14E10D94" w:rsidR="005C16F7" w:rsidRPr="00E46775" w:rsidRDefault="00E46775">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0</w:t>
            </w:r>
            <w:r>
              <w:rPr>
                <w:rFonts w:ascii="Times New Roman" w:hAnsi="Times New Roman" w:cs="Times New Roman"/>
                <w:color w:val="000000"/>
                <w:kern w:val="0"/>
                <w:sz w:val="22"/>
                <w:lang w:val="en-GB"/>
              </w:rPr>
              <w:t>.77</w:t>
            </w:r>
          </w:p>
        </w:tc>
      </w:tr>
      <w:tr w:rsidR="005C16F7" w:rsidRPr="00775C2E" w14:paraId="7D485E10" w14:textId="77777777" w:rsidTr="006913DC">
        <w:trPr>
          <w:trHeight w:hRule="exact" w:val="340"/>
        </w:trPr>
        <w:tc>
          <w:tcPr>
            <w:tcW w:w="5245" w:type="dxa"/>
            <w:shd w:val="clear" w:color="auto" w:fill="auto"/>
            <w:noWrap/>
            <w:vAlign w:val="bottom"/>
          </w:tcPr>
          <w:p w14:paraId="5590081D" w14:textId="6F7FF65E" w:rsidR="005C16F7" w:rsidRPr="00775C2E" w:rsidRDefault="00E46775">
            <w:pPr>
              <w:widowControl/>
              <w:jc w:val="left"/>
              <w:rPr>
                <w:rFonts w:ascii="Times New Roman" w:eastAsia="Times New Roman" w:hAnsi="Times New Roman" w:cs="Times New Roman"/>
                <w:color w:val="000000"/>
                <w:kern w:val="0"/>
                <w:sz w:val="22"/>
                <w:lang w:val="en-GB"/>
              </w:rPr>
            </w:pPr>
            <w:r w:rsidRPr="00E46775">
              <w:rPr>
                <w:rFonts w:ascii="Times New Roman" w:eastAsia="Times New Roman" w:hAnsi="Times New Roman" w:cs="Times New Roman"/>
                <w:color w:val="000000"/>
                <w:kern w:val="0"/>
                <w:sz w:val="22"/>
                <w:lang w:val="en-GB"/>
              </w:rPr>
              <w:t>Peer notification card</w:t>
            </w:r>
          </w:p>
        </w:tc>
        <w:tc>
          <w:tcPr>
            <w:tcW w:w="3097" w:type="dxa"/>
            <w:shd w:val="clear" w:color="auto" w:fill="auto"/>
            <w:noWrap/>
            <w:vAlign w:val="bottom"/>
          </w:tcPr>
          <w:p w14:paraId="119431D4" w14:textId="31CBC3DD" w:rsidR="005C16F7" w:rsidRPr="00E46775" w:rsidRDefault="00E46775">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0</w:t>
            </w:r>
            <w:r>
              <w:rPr>
                <w:rFonts w:ascii="Times New Roman" w:hAnsi="Times New Roman" w:cs="Times New Roman"/>
                <w:color w:val="000000"/>
                <w:kern w:val="0"/>
                <w:sz w:val="22"/>
                <w:lang w:val="en-GB"/>
              </w:rPr>
              <w:t>.62</w:t>
            </w:r>
          </w:p>
        </w:tc>
      </w:tr>
      <w:tr w:rsidR="0081030B" w:rsidRPr="00775C2E" w14:paraId="473CE02A" w14:textId="77777777" w:rsidTr="006913DC">
        <w:trPr>
          <w:trHeight w:hRule="exact" w:val="340"/>
        </w:trPr>
        <w:tc>
          <w:tcPr>
            <w:tcW w:w="5245" w:type="dxa"/>
            <w:shd w:val="clear" w:color="auto" w:fill="auto"/>
            <w:noWrap/>
            <w:vAlign w:val="bottom"/>
          </w:tcPr>
          <w:p w14:paraId="6FFF5FB5"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Information card</w:t>
            </w:r>
          </w:p>
        </w:tc>
        <w:tc>
          <w:tcPr>
            <w:tcW w:w="3097" w:type="dxa"/>
            <w:shd w:val="clear" w:color="auto" w:fill="auto"/>
            <w:noWrap/>
            <w:vAlign w:val="bottom"/>
          </w:tcPr>
          <w:p w14:paraId="3307A475" w14:textId="3A979C56" w:rsidR="0081030B" w:rsidRPr="00775C2E" w:rsidRDefault="00E46775">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0.05</w:t>
            </w:r>
          </w:p>
        </w:tc>
      </w:tr>
      <w:tr w:rsidR="0081030B" w:rsidRPr="00775C2E" w14:paraId="351E0F4D" w14:textId="77777777" w:rsidTr="006913DC">
        <w:trPr>
          <w:trHeight w:hRule="exact" w:val="340"/>
        </w:trPr>
        <w:tc>
          <w:tcPr>
            <w:tcW w:w="5245" w:type="dxa"/>
            <w:shd w:val="clear" w:color="auto" w:fill="auto"/>
            <w:noWrap/>
            <w:vAlign w:val="bottom"/>
          </w:tcPr>
          <w:p w14:paraId="057085ED"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Result upload card</w:t>
            </w:r>
          </w:p>
        </w:tc>
        <w:tc>
          <w:tcPr>
            <w:tcW w:w="3097" w:type="dxa"/>
            <w:shd w:val="clear" w:color="auto" w:fill="auto"/>
            <w:noWrap/>
            <w:vAlign w:val="bottom"/>
          </w:tcPr>
          <w:p w14:paraId="48CE8055" w14:textId="54A1BB77" w:rsidR="0081030B" w:rsidRPr="00775C2E" w:rsidRDefault="00E46775">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0.05</w:t>
            </w:r>
          </w:p>
        </w:tc>
      </w:tr>
      <w:tr w:rsidR="0081030B" w:rsidRPr="00775C2E" w14:paraId="74A8691E" w14:textId="77777777" w:rsidTr="006913DC">
        <w:trPr>
          <w:trHeight w:hRule="exact" w:val="340"/>
        </w:trPr>
        <w:tc>
          <w:tcPr>
            <w:tcW w:w="5245" w:type="dxa"/>
            <w:shd w:val="clear" w:color="auto" w:fill="auto"/>
            <w:noWrap/>
            <w:vAlign w:val="bottom"/>
          </w:tcPr>
          <w:p w14:paraId="5D3DCF51" w14:textId="3F1DA871" w:rsidR="0081030B" w:rsidRPr="00775C2E" w:rsidRDefault="004E687F">
            <w:pPr>
              <w:widowControl/>
              <w:jc w:val="left"/>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L</w:t>
            </w:r>
            <w:r w:rsidR="0067683D" w:rsidRPr="00775C2E">
              <w:rPr>
                <w:rFonts w:ascii="Times New Roman" w:eastAsia="Times New Roman" w:hAnsi="Times New Roman" w:cs="Times New Roman"/>
                <w:color w:val="000000"/>
                <w:kern w:val="0"/>
                <w:sz w:val="22"/>
                <w:lang w:val="en-GB"/>
              </w:rPr>
              <w:t>ist</w:t>
            </w:r>
            <w:r w:rsidRPr="004E687F">
              <w:rPr>
                <w:rFonts w:ascii="Times New Roman" w:eastAsia="Times New Roman" w:hAnsi="Times New Roman" w:cs="Times New Roman"/>
                <w:color w:val="000000"/>
                <w:kern w:val="0"/>
                <w:sz w:val="22"/>
                <w:lang w:val="en-GB"/>
              </w:rPr>
              <w:t>ing page</w:t>
            </w:r>
          </w:p>
        </w:tc>
        <w:tc>
          <w:tcPr>
            <w:tcW w:w="3097" w:type="dxa"/>
            <w:shd w:val="clear" w:color="auto" w:fill="auto"/>
            <w:noWrap/>
            <w:vAlign w:val="bottom"/>
          </w:tcPr>
          <w:p w14:paraId="2747482B" w14:textId="1D04AD96" w:rsidR="0081030B" w:rsidRPr="00775C2E" w:rsidRDefault="00E46775">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0.02</w:t>
            </w:r>
          </w:p>
        </w:tc>
      </w:tr>
      <w:tr w:rsidR="004E687F" w:rsidRPr="00775C2E" w14:paraId="4114071E" w14:textId="77777777" w:rsidTr="006913DC">
        <w:trPr>
          <w:trHeight w:hRule="exact" w:val="340"/>
        </w:trPr>
        <w:tc>
          <w:tcPr>
            <w:tcW w:w="5245" w:type="dxa"/>
            <w:shd w:val="clear" w:color="auto" w:fill="auto"/>
            <w:noWrap/>
            <w:vAlign w:val="bottom"/>
          </w:tcPr>
          <w:p w14:paraId="04447A86" w14:textId="108F532F" w:rsidR="004E687F" w:rsidRPr="00775C2E" w:rsidRDefault="004E687F" w:rsidP="004E687F">
            <w:pPr>
              <w:widowControl/>
              <w:jc w:val="left"/>
              <w:rPr>
                <w:rFonts w:ascii="Times New Roman" w:eastAsia="Times New Roman" w:hAnsi="Times New Roman" w:cs="Times New Roman"/>
                <w:color w:val="000000"/>
                <w:kern w:val="0"/>
                <w:sz w:val="22"/>
                <w:lang w:val="en-GB"/>
              </w:rPr>
            </w:pPr>
            <w:r>
              <w:rPr>
                <w:rFonts w:ascii="Times New Roman" w:eastAsia="DengXian" w:hAnsi="Times New Roman" w:cs="Times New Roman"/>
                <w:color w:val="000000"/>
                <w:sz w:val="22"/>
              </w:rPr>
              <w:t>Baseline questionnaire subsidy</w:t>
            </w:r>
          </w:p>
        </w:tc>
        <w:tc>
          <w:tcPr>
            <w:tcW w:w="3097" w:type="dxa"/>
            <w:shd w:val="clear" w:color="auto" w:fill="auto"/>
            <w:noWrap/>
            <w:vAlign w:val="bottom"/>
          </w:tcPr>
          <w:p w14:paraId="521D174F" w14:textId="738F13A3" w:rsidR="004E687F" w:rsidRPr="006913DC" w:rsidRDefault="006913DC" w:rsidP="004E687F">
            <w:pPr>
              <w:widowControl/>
              <w:jc w:val="center"/>
              <w:rPr>
                <w:rFonts w:ascii="Times New Roman" w:hAnsi="Times New Roman" w:cs="Times New Roman"/>
                <w:color w:val="000000"/>
                <w:kern w:val="0"/>
                <w:sz w:val="22"/>
                <w:lang w:val="en-GB"/>
              </w:rPr>
            </w:pPr>
            <w:r>
              <w:rPr>
                <w:rFonts w:ascii="Times New Roman" w:hAnsi="Times New Roman" w:cs="Times New Roman"/>
                <w:color w:val="000000"/>
                <w:kern w:val="0"/>
                <w:sz w:val="22"/>
                <w:lang w:val="en-GB"/>
              </w:rPr>
              <w:t>3</w:t>
            </w:r>
            <w:r w:rsidR="00E30CFE">
              <w:rPr>
                <w:rFonts w:ascii="Times New Roman" w:hAnsi="Times New Roman" w:cs="Times New Roman"/>
                <w:color w:val="000000"/>
                <w:kern w:val="0"/>
                <w:sz w:val="22"/>
                <w:lang w:val="en-GB"/>
              </w:rPr>
              <w:t>.00</w:t>
            </w:r>
          </w:p>
        </w:tc>
      </w:tr>
      <w:tr w:rsidR="004E687F" w:rsidRPr="00775C2E" w14:paraId="40AFA441" w14:textId="77777777" w:rsidTr="006913DC">
        <w:trPr>
          <w:trHeight w:hRule="exact" w:val="340"/>
        </w:trPr>
        <w:tc>
          <w:tcPr>
            <w:tcW w:w="5245" w:type="dxa"/>
            <w:shd w:val="clear" w:color="auto" w:fill="auto"/>
            <w:noWrap/>
            <w:vAlign w:val="bottom"/>
          </w:tcPr>
          <w:p w14:paraId="47041558" w14:textId="6576FE59" w:rsidR="004E687F" w:rsidRPr="00775C2E" w:rsidRDefault="004E687F" w:rsidP="004E687F">
            <w:pPr>
              <w:widowControl/>
              <w:jc w:val="left"/>
              <w:rPr>
                <w:rFonts w:ascii="Times New Roman" w:eastAsia="Times New Roman" w:hAnsi="Times New Roman" w:cs="Times New Roman"/>
                <w:color w:val="000000"/>
                <w:kern w:val="0"/>
                <w:sz w:val="22"/>
                <w:lang w:val="en-GB"/>
              </w:rPr>
            </w:pPr>
            <w:r>
              <w:rPr>
                <w:rFonts w:ascii="Times New Roman" w:eastAsia="DengXian" w:hAnsi="Times New Roman" w:cs="Times New Roman"/>
                <w:color w:val="000000"/>
                <w:sz w:val="22"/>
              </w:rPr>
              <w:t>Alter questionnaire subsidy</w:t>
            </w:r>
          </w:p>
        </w:tc>
        <w:tc>
          <w:tcPr>
            <w:tcW w:w="3097" w:type="dxa"/>
            <w:shd w:val="clear" w:color="auto" w:fill="auto"/>
            <w:noWrap/>
            <w:vAlign w:val="bottom"/>
          </w:tcPr>
          <w:p w14:paraId="02B3A438" w14:textId="161C6AEC" w:rsidR="004E687F" w:rsidRPr="006913DC" w:rsidRDefault="006913DC" w:rsidP="004E687F">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3</w:t>
            </w:r>
            <w:r w:rsidR="00E30CFE">
              <w:rPr>
                <w:rFonts w:ascii="Times New Roman" w:hAnsi="Times New Roman" w:cs="Times New Roman"/>
                <w:color w:val="000000"/>
                <w:kern w:val="0"/>
                <w:sz w:val="22"/>
                <w:lang w:val="en-GB"/>
              </w:rPr>
              <w:t>.00</w:t>
            </w:r>
          </w:p>
        </w:tc>
      </w:tr>
      <w:tr w:rsidR="004E687F" w:rsidRPr="00775C2E" w14:paraId="22CA7100" w14:textId="77777777" w:rsidTr="006913DC">
        <w:trPr>
          <w:trHeight w:hRule="exact" w:val="340"/>
        </w:trPr>
        <w:tc>
          <w:tcPr>
            <w:tcW w:w="5245" w:type="dxa"/>
            <w:shd w:val="clear" w:color="auto" w:fill="auto"/>
            <w:noWrap/>
            <w:vAlign w:val="bottom"/>
          </w:tcPr>
          <w:p w14:paraId="7BD59962" w14:textId="21089917" w:rsidR="004E687F" w:rsidRPr="00775C2E" w:rsidRDefault="004E687F" w:rsidP="004E687F">
            <w:pPr>
              <w:widowControl/>
              <w:jc w:val="left"/>
              <w:rPr>
                <w:rFonts w:ascii="Times New Roman" w:eastAsia="SimSun" w:hAnsi="Times New Roman" w:cs="Times New Roman"/>
                <w:color w:val="000000"/>
                <w:kern w:val="0"/>
                <w:sz w:val="22"/>
                <w:lang w:val="en-GB"/>
              </w:rPr>
            </w:pPr>
            <w:r>
              <w:rPr>
                <w:rFonts w:ascii="Times New Roman" w:eastAsia="DengXian" w:hAnsi="Times New Roman" w:cs="Times New Roman"/>
                <w:color w:val="000000"/>
                <w:sz w:val="22"/>
              </w:rPr>
              <w:t>Follow-up questionnaire subsidy</w:t>
            </w:r>
          </w:p>
        </w:tc>
        <w:tc>
          <w:tcPr>
            <w:tcW w:w="3097" w:type="dxa"/>
            <w:shd w:val="clear" w:color="auto" w:fill="auto"/>
            <w:noWrap/>
            <w:vAlign w:val="bottom"/>
          </w:tcPr>
          <w:p w14:paraId="4C6A3D9C" w14:textId="6FCD27C0" w:rsidR="004E687F" w:rsidRPr="006913DC" w:rsidRDefault="006913DC" w:rsidP="004E687F">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4</w:t>
            </w:r>
            <w:r w:rsidR="00E30CFE">
              <w:rPr>
                <w:rFonts w:ascii="Times New Roman" w:hAnsi="Times New Roman" w:cs="Times New Roman"/>
                <w:color w:val="000000"/>
                <w:kern w:val="0"/>
                <w:sz w:val="22"/>
                <w:lang w:val="en-GB"/>
              </w:rPr>
              <w:t>.00</w:t>
            </w:r>
          </w:p>
        </w:tc>
      </w:tr>
      <w:tr w:rsidR="004E687F" w:rsidRPr="00775C2E" w14:paraId="1C80E9A9" w14:textId="77777777" w:rsidTr="006913DC">
        <w:trPr>
          <w:trHeight w:hRule="exact" w:val="340"/>
        </w:trPr>
        <w:tc>
          <w:tcPr>
            <w:tcW w:w="5245" w:type="dxa"/>
            <w:shd w:val="clear" w:color="auto" w:fill="auto"/>
            <w:noWrap/>
            <w:vAlign w:val="bottom"/>
          </w:tcPr>
          <w:p w14:paraId="4B5DD2FC" w14:textId="61E5CB63" w:rsidR="004E687F" w:rsidRPr="00775C2E" w:rsidRDefault="004E687F" w:rsidP="004E687F">
            <w:pPr>
              <w:widowControl/>
              <w:jc w:val="left"/>
              <w:rPr>
                <w:rFonts w:ascii="Times New Roman" w:eastAsia="Times New Roman" w:hAnsi="Times New Roman" w:cs="Times New Roman"/>
                <w:color w:val="000000"/>
                <w:kern w:val="0"/>
                <w:sz w:val="22"/>
                <w:lang w:val="en-GB"/>
              </w:rPr>
            </w:pPr>
            <w:r>
              <w:rPr>
                <w:rFonts w:ascii="Times New Roman" w:hAnsi="Times New Roman" w:cs="Times New Roman"/>
                <w:color w:val="000000"/>
                <w:sz w:val="22"/>
              </w:rPr>
              <w:t>Successful distribution subsidy for indexes</w:t>
            </w:r>
          </w:p>
        </w:tc>
        <w:tc>
          <w:tcPr>
            <w:tcW w:w="3097" w:type="dxa"/>
            <w:shd w:val="clear" w:color="auto" w:fill="auto"/>
            <w:noWrap/>
            <w:vAlign w:val="bottom"/>
          </w:tcPr>
          <w:p w14:paraId="6973DA0C" w14:textId="048AF07E" w:rsidR="004E687F" w:rsidRPr="006913DC" w:rsidRDefault="006913DC" w:rsidP="004E687F">
            <w:pPr>
              <w:widowControl/>
              <w:jc w:val="center"/>
              <w:rPr>
                <w:rFonts w:ascii="Times New Roman" w:hAnsi="Times New Roman" w:cs="Times New Roman"/>
                <w:color w:val="000000"/>
                <w:kern w:val="0"/>
                <w:sz w:val="22"/>
              </w:rPr>
            </w:pPr>
            <w:r>
              <w:rPr>
                <w:rFonts w:ascii="Times New Roman" w:hAnsi="Times New Roman" w:cs="Times New Roman" w:hint="eastAsia"/>
                <w:color w:val="000000"/>
                <w:kern w:val="0"/>
                <w:sz w:val="22"/>
              </w:rPr>
              <w:t>3</w:t>
            </w:r>
            <w:r w:rsidR="00E30CFE">
              <w:rPr>
                <w:rFonts w:ascii="Times New Roman" w:hAnsi="Times New Roman" w:cs="Times New Roman"/>
                <w:color w:val="000000"/>
                <w:kern w:val="0"/>
                <w:sz w:val="22"/>
              </w:rPr>
              <w:t>.00</w:t>
            </w:r>
          </w:p>
        </w:tc>
      </w:tr>
      <w:tr w:rsidR="004E687F" w:rsidRPr="00775C2E" w14:paraId="24174BD8" w14:textId="77777777" w:rsidTr="006913DC">
        <w:trPr>
          <w:trHeight w:hRule="exact" w:val="340"/>
        </w:trPr>
        <w:tc>
          <w:tcPr>
            <w:tcW w:w="5245" w:type="dxa"/>
            <w:shd w:val="clear" w:color="auto" w:fill="auto"/>
            <w:noWrap/>
            <w:vAlign w:val="bottom"/>
          </w:tcPr>
          <w:p w14:paraId="1890B012" w14:textId="47B89278" w:rsidR="004E687F" w:rsidRPr="00775C2E" w:rsidRDefault="004E687F" w:rsidP="004E687F">
            <w:pPr>
              <w:widowControl/>
              <w:jc w:val="left"/>
              <w:rPr>
                <w:rFonts w:ascii="Times New Roman" w:eastAsia="Times New Roman" w:hAnsi="Times New Roman" w:cs="Times New Roman"/>
                <w:color w:val="000000"/>
                <w:kern w:val="0"/>
                <w:sz w:val="22"/>
                <w:lang w:val="en-GB"/>
              </w:rPr>
            </w:pPr>
            <w:r>
              <w:rPr>
                <w:rFonts w:ascii="Times New Roman" w:eastAsia="DengXian" w:hAnsi="Times New Roman" w:cs="Times New Roman"/>
                <w:color w:val="000000"/>
                <w:sz w:val="22"/>
              </w:rPr>
              <w:t>Delivery cost of syphilis kits</w:t>
            </w:r>
          </w:p>
        </w:tc>
        <w:tc>
          <w:tcPr>
            <w:tcW w:w="3097" w:type="dxa"/>
            <w:shd w:val="clear" w:color="auto" w:fill="auto"/>
            <w:noWrap/>
            <w:vAlign w:val="bottom"/>
          </w:tcPr>
          <w:p w14:paraId="01BF5472" w14:textId="1302673B" w:rsidR="004E687F" w:rsidRPr="006913DC" w:rsidRDefault="006913DC" w:rsidP="004E687F">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2</w:t>
            </w:r>
          </w:p>
        </w:tc>
      </w:tr>
      <w:tr w:rsidR="004E687F" w:rsidRPr="00775C2E" w14:paraId="6467F590" w14:textId="77777777" w:rsidTr="006913DC">
        <w:trPr>
          <w:trHeight w:hRule="exact" w:val="340"/>
        </w:trPr>
        <w:tc>
          <w:tcPr>
            <w:tcW w:w="5245" w:type="dxa"/>
            <w:shd w:val="clear" w:color="auto" w:fill="auto"/>
            <w:noWrap/>
            <w:vAlign w:val="bottom"/>
          </w:tcPr>
          <w:p w14:paraId="5C546B6B" w14:textId="5E3F02B8" w:rsidR="004E687F" w:rsidRPr="00775C2E" w:rsidRDefault="004E687F" w:rsidP="004E687F">
            <w:pPr>
              <w:widowControl/>
              <w:jc w:val="left"/>
              <w:rPr>
                <w:rFonts w:ascii="Times New Roman" w:eastAsia="Times New Roman" w:hAnsi="Times New Roman" w:cs="Times New Roman"/>
                <w:color w:val="000000"/>
                <w:kern w:val="0"/>
                <w:sz w:val="22"/>
                <w:lang w:val="en-GB"/>
              </w:rPr>
            </w:pPr>
            <w:r>
              <w:rPr>
                <w:rFonts w:ascii="Times New Roman" w:eastAsia="DengXian" w:hAnsi="Times New Roman" w:cs="Times New Roman"/>
                <w:color w:val="000000"/>
                <w:sz w:val="22"/>
              </w:rPr>
              <w:t>Personnel recruitment</w:t>
            </w:r>
          </w:p>
        </w:tc>
        <w:tc>
          <w:tcPr>
            <w:tcW w:w="3097" w:type="dxa"/>
            <w:shd w:val="clear" w:color="auto" w:fill="auto"/>
            <w:noWrap/>
            <w:vAlign w:val="bottom"/>
          </w:tcPr>
          <w:p w14:paraId="2DA9C143" w14:textId="32584734" w:rsidR="004E687F" w:rsidRPr="006913DC" w:rsidRDefault="006913DC" w:rsidP="004E687F">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8</w:t>
            </w:r>
          </w:p>
        </w:tc>
      </w:tr>
      <w:tr w:rsidR="004E687F" w:rsidRPr="00775C2E" w14:paraId="6F05CD73" w14:textId="77777777" w:rsidTr="006913DC">
        <w:trPr>
          <w:trHeight w:hRule="exact" w:val="340"/>
        </w:trPr>
        <w:tc>
          <w:tcPr>
            <w:tcW w:w="5245" w:type="dxa"/>
            <w:shd w:val="clear" w:color="auto" w:fill="auto"/>
            <w:noWrap/>
            <w:vAlign w:val="bottom"/>
          </w:tcPr>
          <w:p w14:paraId="78751FF0" w14:textId="7FB0611D" w:rsidR="004E687F" w:rsidRPr="00775C2E" w:rsidRDefault="004E687F" w:rsidP="004E687F">
            <w:pPr>
              <w:widowControl/>
              <w:jc w:val="left"/>
              <w:rPr>
                <w:rFonts w:ascii="Times New Roman" w:eastAsia="Times New Roman" w:hAnsi="Times New Roman" w:cs="Times New Roman"/>
                <w:color w:val="000000"/>
                <w:kern w:val="0"/>
                <w:sz w:val="22"/>
                <w:lang w:val="en-GB"/>
              </w:rPr>
            </w:pPr>
            <w:r>
              <w:rPr>
                <w:rFonts w:ascii="Times New Roman" w:hAnsi="Times New Roman" w:cs="Times New Roman"/>
                <w:color w:val="000000"/>
                <w:sz w:val="22"/>
              </w:rPr>
              <w:t>Travel for recruitment</w:t>
            </w:r>
          </w:p>
        </w:tc>
        <w:tc>
          <w:tcPr>
            <w:tcW w:w="3097" w:type="dxa"/>
            <w:shd w:val="clear" w:color="auto" w:fill="auto"/>
            <w:noWrap/>
            <w:vAlign w:val="bottom"/>
          </w:tcPr>
          <w:p w14:paraId="4057452E" w14:textId="0A0E531A" w:rsidR="004E687F" w:rsidRPr="006913DC" w:rsidRDefault="000E693E" w:rsidP="004E687F">
            <w:pPr>
              <w:widowControl/>
              <w:jc w:val="center"/>
              <w:rPr>
                <w:rFonts w:ascii="Times New Roman" w:hAnsi="Times New Roman" w:cs="Times New Roman"/>
                <w:color w:val="000000"/>
                <w:kern w:val="0"/>
                <w:sz w:val="22"/>
                <w:lang w:val="en-GB"/>
              </w:rPr>
            </w:pPr>
            <w:r>
              <w:rPr>
                <w:rFonts w:ascii="Times New Roman" w:hAnsi="Times New Roman" w:cs="Times New Roman"/>
                <w:color w:val="000000"/>
                <w:kern w:val="0"/>
                <w:sz w:val="22"/>
                <w:lang w:val="en-GB"/>
              </w:rPr>
              <w:t>120</w:t>
            </w:r>
          </w:p>
        </w:tc>
      </w:tr>
      <w:tr w:rsidR="004E687F" w:rsidRPr="00775C2E" w14:paraId="23E5F183" w14:textId="77777777" w:rsidTr="006913DC">
        <w:trPr>
          <w:trHeight w:hRule="exact" w:val="340"/>
        </w:trPr>
        <w:tc>
          <w:tcPr>
            <w:tcW w:w="5245" w:type="dxa"/>
            <w:shd w:val="clear" w:color="auto" w:fill="auto"/>
            <w:noWrap/>
            <w:vAlign w:val="bottom"/>
          </w:tcPr>
          <w:p w14:paraId="2CC55A50" w14:textId="403BCAEB" w:rsidR="004E687F" w:rsidRPr="00775C2E" w:rsidRDefault="00FB0537" w:rsidP="004E687F">
            <w:pPr>
              <w:widowControl/>
              <w:jc w:val="left"/>
              <w:rPr>
                <w:rFonts w:ascii="Times New Roman" w:eastAsia="Times New Roman" w:hAnsi="Times New Roman" w:cs="Times New Roman"/>
                <w:color w:val="000000"/>
                <w:kern w:val="0"/>
                <w:sz w:val="22"/>
                <w:lang w:val="en-GB"/>
              </w:rPr>
            </w:pPr>
            <w:r>
              <w:rPr>
                <w:rFonts w:ascii="Times New Roman" w:eastAsia="DengXian" w:hAnsi="Times New Roman" w:cs="Times New Roman"/>
                <w:color w:val="000000"/>
                <w:sz w:val="22"/>
              </w:rPr>
              <w:t>P</w:t>
            </w:r>
            <w:r w:rsidR="004E687F">
              <w:rPr>
                <w:rFonts w:ascii="Times New Roman" w:eastAsia="DengXian" w:hAnsi="Times New Roman" w:cs="Times New Roman"/>
                <w:color w:val="000000"/>
                <w:sz w:val="22"/>
              </w:rPr>
              <w:t>en</w:t>
            </w:r>
          </w:p>
        </w:tc>
        <w:tc>
          <w:tcPr>
            <w:tcW w:w="3097" w:type="dxa"/>
            <w:shd w:val="clear" w:color="auto" w:fill="auto"/>
            <w:noWrap/>
            <w:vAlign w:val="bottom"/>
          </w:tcPr>
          <w:p w14:paraId="2A268C6D" w14:textId="6F421292" w:rsidR="004E687F" w:rsidRPr="006913DC" w:rsidRDefault="006913DC" w:rsidP="004E687F">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0</w:t>
            </w:r>
            <w:r>
              <w:rPr>
                <w:rFonts w:ascii="Times New Roman" w:hAnsi="Times New Roman" w:cs="Times New Roman"/>
                <w:color w:val="000000"/>
                <w:kern w:val="0"/>
                <w:sz w:val="22"/>
                <w:lang w:val="en-GB"/>
              </w:rPr>
              <w:t>.15</w:t>
            </w:r>
          </w:p>
        </w:tc>
      </w:tr>
      <w:tr w:rsidR="006913DC" w:rsidRPr="00775C2E" w14:paraId="79A40956" w14:textId="77777777" w:rsidTr="006913DC">
        <w:trPr>
          <w:trHeight w:hRule="exact" w:val="340"/>
        </w:trPr>
        <w:tc>
          <w:tcPr>
            <w:tcW w:w="5245" w:type="dxa"/>
            <w:shd w:val="clear" w:color="auto" w:fill="auto"/>
            <w:noWrap/>
            <w:vAlign w:val="bottom"/>
          </w:tcPr>
          <w:p w14:paraId="039E667B" w14:textId="2A06744C" w:rsidR="006913DC" w:rsidRDefault="006913DC" w:rsidP="004E687F">
            <w:pPr>
              <w:widowControl/>
              <w:jc w:val="left"/>
              <w:rPr>
                <w:rFonts w:ascii="Times New Roman" w:eastAsia="DengXian" w:hAnsi="Times New Roman" w:cs="Times New Roman"/>
                <w:color w:val="000000"/>
                <w:sz w:val="22"/>
              </w:rPr>
            </w:pPr>
            <w:r>
              <w:rPr>
                <w:rFonts w:ascii="Times New Roman" w:eastAsia="DengXian" w:hAnsi="Times New Roman" w:cs="Times New Roman" w:hint="eastAsia"/>
                <w:color w:val="000000"/>
                <w:sz w:val="22"/>
              </w:rPr>
              <w:t>A</w:t>
            </w:r>
            <w:r>
              <w:rPr>
                <w:rFonts w:ascii="Times New Roman" w:eastAsia="DengXian" w:hAnsi="Times New Roman" w:cs="Times New Roman"/>
                <w:color w:val="000000"/>
                <w:sz w:val="22"/>
              </w:rPr>
              <w:t>4 paper</w:t>
            </w:r>
          </w:p>
        </w:tc>
        <w:tc>
          <w:tcPr>
            <w:tcW w:w="3097" w:type="dxa"/>
            <w:shd w:val="clear" w:color="auto" w:fill="auto"/>
            <w:noWrap/>
            <w:vAlign w:val="bottom"/>
          </w:tcPr>
          <w:p w14:paraId="6ECE4117" w14:textId="65E08620" w:rsidR="006913DC" w:rsidRDefault="006913DC" w:rsidP="004E687F">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0</w:t>
            </w:r>
            <w:r>
              <w:rPr>
                <w:rFonts w:ascii="Times New Roman" w:hAnsi="Times New Roman" w:cs="Times New Roman"/>
                <w:color w:val="000000"/>
                <w:kern w:val="0"/>
                <w:sz w:val="22"/>
                <w:lang w:val="en-GB"/>
              </w:rPr>
              <w:t>.08</w:t>
            </w:r>
          </w:p>
        </w:tc>
      </w:tr>
      <w:tr w:rsidR="0081030B" w:rsidRPr="00775C2E" w14:paraId="7AC68EA1" w14:textId="77777777" w:rsidTr="006913DC">
        <w:trPr>
          <w:trHeight w:hRule="exact" w:val="340"/>
        </w:trPr>
        <w:tc>
          <w:tcPr>
            <w:tcW w:w="5245" w:type="dxa"/>
            <w:shd w:val="clear" w:color="auto" w:fill="F2F2F2" w:themeFill="background1" w:themeFillShade="F2"/>
            <w:noWrap/>
            <w:vAlign w:val="bottom"/>
          </w:tcPr>
          <w:p w14:paraId="476F061B" w14:textId="77777777" w:rsidR="0081030B" w:rsidRPr="00775C2E" w:rsidRDefault="0067683D">
            <w:pPr>
              <w:widowControl/>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b/>
                <w:bCs/>
                <w:color w:val="000000"/>
                <w:kern w:val="0"/>
                <w:sz w:val="22"/>
                <w:lang w:val="en-GB"/>
              </w:rPr>
              <w:t>Fixed costs</w:t>
            </w:r>
            <w:r w:rsidRPr="00775C2E">
              <w:rPr>
                <w:rFonts w:ascii="Times New Roman" w:eastAsia="Times New Roman" w:hAnsi="Times New Roman" w:cs="Times New Roman"/>
                <w:color w:val="000000"/>
                <w:kern w:val="0"/>
                <w:sz w:val="22"/>
                <w:lang w:val="en-GB"/>
              </w:rPr>
              <w:t> </w:t>
            </w:r>
          </w:p>
        </w:tc>
        <w:tc>
          <w:tcPr>
            <w:tcW w:w="3097" w:type="dxa"/>
            <w:shd w:val="clear" w:color="auto" w:fill="F2F2F2" w:themeFill="background1" w:themeFillShade="F2"/>
            <w:noWrap/>
            <w:vAlign w:val="bottom"/>
          </w:tcPr>
          <w:p w14:paraId="094A19A5" w14:textId="226D5393" w:rsidR="0081030B" w:rsidRPr="00775C2E" w:rsidRDefault="0067683D">
            <w:pPr>
              <w:widowControl/>
              <w:jc w:val="center"/>
              <w:rPr>
                <w:rFonts w:ascii="Times New Roman" w:eastAsia="Times New Roman" w:hAnsi="Times New Roman" w:cs="Times New Roman"/>
                <w:b/>
                <w:bCs/>
                <w:color w:val="000000"/>
                <w:kern w:val="0"/>
                <w:sz w:val="22"/>
                <w:lang w:val="en-GB"/>
              </w:rPr>
            </w:pPr>
            <w:r w:rsidRPr="00775C2E">
              <w:rPr>
                <w:rFonts w:ascii="Times New Roman" w:eastAsia="Times New Roman" w:hAnsi="Times New Roman" w:cs="Times New Roman"/>
                <w:b/>
                <w:bCs/>
                <w:color w:val="000000"/>
                <w:kern w:val="0"/>
                <w:sz w:val="22"/>
                <w:lang w:val="en-GB"/>
              </w:rPr>
              <w:t>Per month</w:t>
            </w:r>
            <w:r w:rsidR="000E693E">
              <w:rPr>
                <w:rFonts w:ascii="Times New Roman" w:eastAsia="Times New Roman" w:hAnsi="Times New Roman" w:cs="Times New Roman"/>
                <w:b/>
                <w:bCs/>
                <w:color w:val="000000"/>
                <w:kern w:val="0"/>
                <w:sz w:val="22"/>
                <w:lang w:val="en-GB"/>
              </w:rPr>
              <w:t xml:space="preserve"> (USD)</w:t>
            </w:r>
          </w:p>
        </w:tc>
      </w:tr>
      <w:tr w:rsidR="0081030B" w:rsidRPr="00775C2E" w14:paraId="5D9DC52F" w14:textId="77777777" w:rsidTr="006913DC">
        <w:trPr>
          <w:trHeight w:hRule="exact" w:val="340"/>
        </w:trPr>
        <w:tc>
          <w:tcPr>
            <w:tcW w:w="5245" w:type="dxa"/>
            <w:shd w:val="clear" w:color="auto" w:fill="auto"/>
            <w:noWrap/>
            <w:vAlign w:val="bottom"/>
          </w:tcPr>
          <w:p w14:paraId="6C6D6016"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Internet</w:t>
            </w:r>
          </w:p>
        </w:tc>
        <w:tc>
          <w:tcPr>
            <w:tcW w:w="3097" w:type="dxa"/>
            <w:shd w:val="clear" w:color="auto" w:fill="auto"/>
            <w:noWrap/>
            <w:vAlign w:val="bottom"/>
          </w:tcPr>
          <w:p w14:paraId="3B0C3017" w14:textId="0E47EDC1" w:rsidR="0081030B" w:rsidRPr="00775C2E" w:rsidRDefault="000E693E">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30.96</w:t>
            </w:r>
          </w:p>
        </w:tc>
      </w:tr>
      <w:tr w:rsidR="0081030B" w:rsidRPr="00775C2E" w14:paraId="664490E8" w14:textId="77777777" w:rsidTr="006913DC">
        <w:trPr>
          <w:trHeight w:hRule="exact" w:val="340"/>
        </w:trPr>
        <w:tc>
          <w:tcPr>
            <w:tcW w:w="5245" w:type="dxa"/>
            <w:shd w:val="clear" w:color="auto" w:fill="auto"/>
            <w:noWrap/>
            <w:vAlign w:val="bottom"/>
          </w:tcPr>
          <w:p w14:paraId="08A28C52" w14:textId="37C5EF5C" w:rsidR="0081030B" w:rsidRPr="00775C2E" w:rsidRDefault="000E693E">
            <w:pPr>
              <w:widowControl/>
              <w:jc w:val="left"/>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Power expense</w:t>
            </w:r>
          </w:p>
        </w:tc>
        <w:tc>
          <w:tcPr>
            <w:tcW w:w="3097" w:type="dxa"/>
            <w:shd w:val="clear" w:color="auto" w:fill="auto"/>
            <w:noWrap/>
            <w:vAlign w:val="bottom"/>
          </w:tcPr>
          <w:p w14:paraId="5EEDDD02" w14:textId="7B5BD7E1" w:rsidR="0081030B" w:rsidRPr="00775C2E" w:rsidRDefault="000E693E">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7.74</w:t>
            </w:r>
          </w:p>
        </w:tc>
      </w:tr>
      <w:tr w:rsidR="0081030B" w:rsidRPr="00775C2E" w14:paraId="48D71BD0" w14:textId="77777777" w:rsidTr="006913DC">
        <w:trPr>
          <w:trHeight w:hRule="exact" w:val="340"/>
        </w:trPr>
        <w:tc>
          <w:tcPr>
            <w:tcW w:w="5245" w:type="dxa"/>
            <w:shd w:val="clear" w:color="auto" w:fill="auto"/>
            <w:noWrap/>
            <w:vAlign w:val="bottom"/>
          </w:tcPr>
          <w:p w14:paraId="6F7805CC"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Property management fee</w:t>
            </w:r>
          </w:p>
        </w:tc>
        <w:tc>
          <w:tcPr>
            <w:tcW w:w="3097" w:type="dxa"/>
            <w:shd w:val="clear" w:color="auto" w:fill="auto"/>
            <w:noWrap/>
            <w:vAlign w:val="bottom"/>
          </w:tcPr>
          <w:p w14:paraId="6A834410" w14:textId="74A2E2D4" w:rsidR="0081030B" w:rsidRPr="00775C2E" w:rsidRDefault="000E693E">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12.38</w:t>
            </w:r>
          </w:p>
        </w:tc>
      </w:tr>
      <w:tr w:rsidR="0081030B" w:rsidRPr="00775C2E" w14:paraId="3F27629F" w14:textId="77777777" w:rsidTr="006913DC">
        <w:trPr>
          <w:trHeight w:hRule="exact" w:val="340"/>
        </w:trPr>
        <w:tc>
          <w:tcPr>
            <w:tcW w:w="5245" w:type="dxa"/>
            <w:shd w:val="clear" w:color="auto" w:fill="auto"/>
            <w:noWrap/>
            <w:vAlign w:val="bottom"/>
          </w:tcPr>
          <w:p w14:paraId="7F52DA05"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Telephone bill</w:t>
            </w:r>
          </w:p>
        </w:tc>
        <w:tc>
          <w:tcPr>
            <w:tcW w:w="3097" w:type="dxa"/>
            <w:shd w:val="clear" w:color="auto" w:fill="auto"/>
            <w:noWrap/>
            <w:vAlign w:val="bottom"/>
          </w:tcPr>
          <w:p w14:paraId="2882DB64" w14:textId="5DA4970E" w:rsidR="0081030B" w:rsidRPr="00775C2E" w:rsidRDefault="000E693E">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15.48</w:t>
            </w:r>
          </w:p>
        </w:tc>
      </w:tr>
      <w:tr w:rsidR="0081030B" w:rsidRPr="00775C2E" w14:paraId="4F4A268C" w14:textId="77777777" w:rsidTr="006913DC">
        <w:trPr>
          <w:trHeight w:hRule="exact" w:val="340"/>
        </w:trPr>
        <w:tc>
          <w:tcPr>
            <w:tcW w:w="5245" w:type="dxa"/>
            <w:shd w:val="clear" w:color="auto" w:fill="auto"/>
            <w:noWrap/>
            <w:vAlign w:val="bottom"/>
          </w:tcPr>
          <w:p w14:paraId="64FF38B0" w14:textId="332FD83F" w:rsidR="0081030B" w:rsidRPr="00775C2E" w:rsidRDefault="0067683D">
            <w:pPr>
              <w:widowControl/>
              <w:jc w:val="left"/>
              <w:rPr>
                <w:rFonts w:ascii="Times New Roman" w:eastAsia="Times New Roman" w:hAnsi="Times New Roman" w:cs="Times New Roman"/>
                <w:color w:val="000000"/>
                <w:kern w:val="0"/>
                <w:sz w:val="22"/>
                <w:lang w:val="en-GB"/>
              </w:rPr>
            </w:pPr>
            <w:proofErr w:type="spellStart"/>
            <w:r w:rsidRPr="00775C2E">
              <w:rPr>
                <w:rFonts w:ascii="Times New Roman" w:eastAsia="Times New Roman" w:hAnsi="Times New Roman" w:cs="Times New Roman"/>
                <w:color w:val="000000"/>
                <w:kern w:val="0"/>
                <w:sz w:val="22"/>
                <w:lang w:val="en-GB"/>
              </w:rPr>
              <w:t>Wen</w:t>
            </w:r>
            <w:r w:rsidR="00FB0537">
              <w:rPr>
                <w:rFonts w:ascii="Times New Roman" w:eastAsia="Times New Roman" w:hAnsi="Times New Roman" w:cs="Times New Roman"/>
                <w:color w:val="000000"/>
                <w:kern w:val="0"/>
                <w:sz w:val="22"/>
                <w:lang w:val="en-GB"/>
              </w:rPr>
              <w:t>j</w:t>
            </w:r>
            <w:r w:rsidRPr="00775C2E">
              <w:rPr>
                <w:rFonts w:ascii="Times New Roman" w:eastAsia="Times New Roman" w:hAnsi="Times New Roman" w:cs="Times New Roman"/>
                <w:color w:val="000000"/>
                <w:kern w:val="0"/>
                <w:sz w:val="22"/>
                <w:lang w:val="en-GB"/>
              </w:rPr>
              <w:t>uan</w:t>
            </w:r>
            <w:r w:rsidR="00FB0537">
              <w:rPr>
                <w:rFonts w:ascii="Times New Roman" w:eastAsia="Times New Roman" w:hAnsi="Times New Roman" w:cs="Times New Roman"/>
                <w:color w:val="000000"/>
                <w:kern w:val="0"/>
                <w:sz w:val="22"/>
                <w:lang w:val="en-GB"/>
              </w:rPr>
              <w:t>x</w:t>
            </w:r>
            <w:r w:rsidRPr="00775C2E">
              <w:rPr>
                <w:rFonts w:ascii="Times New Roman" w:eastAsia="Times New Roman" w:hAnsi="Times New Roman" w:cs="Times New Roman"/>
                <w:color w:val="000000"/>
                <w:kern w:val="0"/>
                <w:sz w:val="22"/>
                <w:lang w:val="en-GB"/>
              </w:rPr>
              <w:t>ing</w:t>
            </w:r>
            <w:proofErr w:type="spellEnd"/>
            <w:r w:rsidRPr="00775C2E">
              <w:rPr>
                <w:rFonts w:ascii="Times New Roman" w:eastAsia="Times New Roman" w:hAnsi="Times New Roman" w:cs="Times New Roman"/>
                <w:color w:val="000000"/>
                <w:kern w:val="0"/>
                <w:sz w:val="22"/>
                <w:lang w:val="en-GB"/>
              </w:rPr>
              <w:t xml:space="preserve"> platform rent for data collection</w:t>
            </w:r>
          </w:p>
        </w:tc>
        <w:tc>
          <w:tcPr>
            <w:tcW w:w="3097" w:type="dxa"/>
            <w:shd w:val="clear" w:color="auto" w:fill="auto"/>
            <w:noWrap/>
            <w:vAlign w:val="bottom"/>
          </w:tcPr>
          <w:p w14:paraId="2E2EAA5B" w14:textId="142A10AA" w:rsidR="0081030B" w:rsidRPr="00775C2E" w:rsidRDefault="000E693E">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37.15</w:t>
            </w:r>
          </w:p>
        </w:tc>
      </w:tr>
      <w:tr w:rsidR="000E693E" w:rsidRPr="00775C2E" w14:paraId="452493B0" w14:textId="77777777" w:rsidTr="006913DC">
        <w:trPr>
          <w:trHeight w:hRule="exact" w:val="340"/>
        </w:trPr>
        <w:tc>
          <w:tcPr>
            <w:tcW w:w="5245" w:type="dxa"/>
            <w:shd w:val="clear" w:color="auto" w:fill="auto"/>
            <w:noWrap/>
            <w:vAlign w:val="center"/>
          </w:tcPr>
          <w:p w14:paraId="642C32C1" w14:textId="7263EDC7" w:rsidR="000E693E" w:rsidRPr="000E693E" w:rsidRDefault="000E693E">
            <w:pPr>
              <w:widowControl/>
              <w:jc w:val="left"/>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H</w:t>
            </w:r>
            <w:r>
              <w:rPr>
                <w:rFonts w:ascii="Times New Roman" w:hAnsi="Times New Roman" w:cs="Times New Roman"/>
                <w:color w:val="000000"/>
                <w:kern w:val="0"/>
                <w:sz w:val="22"/>
                <w:lang w:val="en-GB"/>
              </w:rPr>
              <w:t>uman cost</w:t>
            </w:r>
          </w:p>
        </w:tc>
        <w:tc>
          <w:tcPr>
            <w:tcW w:w="3097" w:type="dxa"/>
            <w:shd w:val="clear" w:color="auto" w:fill="auto"/>
            <w:noWrap/>
            <w:vAlign w:val="center"/>
          </w:tcPr>
          <w:p w14:paraId="0EA40370" w14:textId="7B552606" w:rsidR="000E693E" w:rsidRPr="000E693E" w:rsidRDefault="000E693E">
            <w:pPr>
              <w:widowControl/>
              <w:jc w:val="center"/>
              <w:rPr>
                <w:rFonts w:ascii="Times New Roman" w:hAnsi="Times New Roman" w:cs="Times New Roman"/>
                <w:color w:val="000000"/>
                <w:kern w:val="0"/>
                <w:sz w:val="22"/>
                <w:lang w:val="en-GB"/>
              </w:rPr>
            </w:pPr>
            <w:r>
              <w:rPr>
                <w:rFonts w:ascii="Times New Roman" w:hAnsi="Times New Roman" w:cs="Times New Roman" w:hint="eastAsia"/>
                <w:color w:val="000000"/>
                <w:kern w:val="0"/>
                <w:sz w:val="22"/>
                <w:lang w:val="en-GB"/>
              </w:rPr>
              <w:t>3</w:t>
            </w:r>
            <w:r>
              <w:rPr>
                <w:rFonts w:ascii="Times New Roman" w:hAnsi="Times New Roman" w:cs="Times New Roman"/>
                <w:color w:val="000000"/>
                <w:kern w:val="0"/>
                <w:sz w:val="22"/>
                <w:lang w:val="en-GB"/>
              </w:rPr>
              <w:t xml:space="preserve">00 </w:t>
            </w:r>
            <w:r w:rsidRPr="00775C2E">
              <w:rPr>
                <w:rFonts w:ascii="Times New Roman" w:eastAsia="Times New Roman" w:hAnsi="Times New Roman" w:cs="Times New Roman"/>
                <w:color w:val="000000"/>
                <w:kern w:val="0"/>
                <w:sz w:val="22"/>
                <w:lang w:val="en-GB"/>
              </w:rPr>
              <w:t>per person</w:t>
            </w:r>
          </w:p>
        </w:tc>
      </w:tr>
      <w:tr w:rsidR="0081030B" w:rsidRPr="00775C2E" w14:paraId="53745431" w14:textId="77777777" w:rsidTr="006913DC">
        <w:trPr>
          <w:trHeight w:hRule="exact" w:val="340"/>
        </w:trPr>
        <w:tc>
          <w:tcPr>
            <w:tcW w:w="5245" w:type="dxa"/>
            <w:shd w:val="clear" w:color="auto" w:fill="auto"/>
            <w:noWrap/>
            <w:vAlign w:val="center"/>
          </w:tcPr>
          <w:p w14:paraId="6AB59941" w14:textId="07E67A85" w:rsidR="0081030B" w:rsidRPr="00775C2E" w:rsidRDefault="000E693E">
            <w:pPr>
              <w:widowControl/>
              <w:jc w:val="left"/>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Working area</w:t>
            </w:r>
            <w:r w:rsidR="0067683D" w:rsidRPr="00775C2E">
              <w:rPr>
                <w:rFonts w:ascii="Times New Roman" w:eastAsia="Times New Roman" w:hAnsi="Times New Roman" w:cs="Times New Roman"/>
                <w:color w:val="000000"/>
                <w:kern w:val="0"/>
                <w:sz w:val="22"/>
                <w:lang w:val="en-GB"/>
              </w:rPr>
              <w:t xml:space="preserve"> rental</w:t>
            </w:r>
          </w:p>
        </w:tc>
        <w:tc>
          <w:tcPr>
            <w:tcW w:w="3097" w:type="dxa"/>
            <w:shd w:val="clear" w:color="auto" w:fill="auto"/>
            <w:noWrap/>
            <w:vAlign w:val="center"/>
          </w:tcPr>
          <w:p w14:paraId="53C54EFE" w14:textId="23A8985D" w:rsidR="0081030B" w:rsidRPr="00775C2E" w:rsidRDefault="000E693E">
            <w:pPr>
              <w:widowControl/>
              <w:jc w:val="center"/>
              <w:rPr>
                <w:rFonts w:ascii="Times New Roman" w:eastAsia="Times New Roman" w:hAnsi="Times New Roman" w:cs="Times New Roman"/>
                <w:color w:val="000000"/>
                <w:kern w:val="0"/>
                <w:sz w:val="22"/>
                <w:lang w:val="en-GB"/>
              </w:rPr>
            </w:pPr>
            <w:r>
              <w:rPr>
                <w:rFonts w:ascii="Times New Roman" w:eastAsia="Times New Roman" w:hAnsi="Times New Roman" w:cs="Times New Roman"/>
                <w:color w:val="000000"/>
                <w:kern w:val="0"/>
                <w:sz w:val="22"/>
                <w:lang w:val="en-GB"/>
              </w:rPr>
              <w:t>309.6</w:t>
            </w:r>
          </w:p>
        </w:tc>
      </w:tr>
      <w:tr w:rsidR="0081030B" w:rsidRPr="00775C2E" w14:paraId="71541A81" w14:textId="77777777" w:rsidTr="006913DC">
        <w:trPr>
          <w:trHeight w:hRule="exact" w:val="340"/>
        </w:trPr>
        <w:tc>
          <w:tcPr>
            <w:tcW w:w="5245" w:type="dxa"/>
            <w:shd w:val="clear" w:color="auto" w:fill="auto"/>
            <w:noWrap/>
            <w:vAlign w:val="center"/>
          </w:tcPr>
          <w:p w14:paraId="30CEC78D"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Computers</w:t>
            </w:r>
          </w:p>
        </w:tc>
        <w:tc>
          <w:tcPr>
            <w:tcW w:w="3097" w:type="dxa"/>
            <w:shd w:val="clear" w:color="auto" w:fill="auto"/>
            <w:noWrap/>
            <w:vAlign w:val="center"/>
          </w:tcPr>
          <w:p w14:paraId="07CA2758" w14:textId="22487CA5" w:rsidR="0081030B" w:rsidRPr="00775C2E" w:rsidRDefault="000E693E">
            <w:pPr>
              <w:widowControl/>
              <w:jc w:val="center"/>
              <w:rPr>
                <w:rFonts w:ascii="Times New Roman" w:eastAsia="Times New Roman" w:hAnsi="Times New Roman" w:cs="Times New Roman"/>
                <w:color w:val="000000"/>
                <w:kern w:val="0"/>
                <w:sz w:val="22"/>
                <w:lang w:val="en-GB"/>
              </w:rPr>
            </w:pPr>
            <w:r>
              <w:rPr>
                <w:rFonts w:ascii="Times New Roman" w:hAnsi="Times New Roman" w:cs="Times New Roman"/>
                <w:color w:val="000000"/>
                <w:sz w:val="22"/>
              </w:rPr>
              <w:t>619.2</w:t>
            </w:r>
          </w:p>
        </w:tc>
      </w:tr>
      <w:tr w:rsidR="00E30CFE" w:rsidRPr="00775C2E" w14:paraId="3ED00F4E" w14:textId="77777777" w:rsidTr="006913DC">
        <w:trPr>
          <w:trHeight w:hRule="exact" w:val="340"/>
        </w:trPr>
        <w:tc>
          <w:tcPr>
            <w:tcW w:w="5245" w:type="dxa"/>
            <w:shd w:val="clear" w:color="auto" w:fill="auto"/>
            <w:noWrap/>
            <w:vAlign w:val="center"/>
          </w:tcPr>
          <w:p w14:paraId="3EC91E7A" w14:textId="6ED64F78" w:rsidR="00E30CFE" w:rsidRPr="00E30CFE" w:rsidRDefault="00E30CFE">
            <w:pPr>
              <w:widowControl/>
              <w:jc w:val="left"/>
              <w:rPr>
                <w:rFonts w:ascii="Times New Roman" w:hAnsi="Times New Roman" w:cs="Times New Roman"/>
                <w:color w:val="000000"/>
                <w:kern w:val="0"/>
                <w:sz w:val="22"/>
                <w:lang w:val="en-GB"/>
              </w:rPr>
            </w:pPr>
            <w:proofErr w:type="spellStart"/>
            <w:r>
              <w:rPr>
                <w:rFonts w:ascii="Times New Roman" w:hAnsi="Times New Roman" w:cs="Times New Roman" w:hint="eastAsia"/>
                <w:color w:val="000000"/>
                <w:kern w:val="0"/>
                <w:sz w:val="22"/>
                <w:lang w:val="en-GB"/>
              </w:rPr>
              <w:t>C</w:t>
            </w:r>
            <w:r>
              <w:rPr>
                <w:rFonts w:ascii="Times New Roman" w:hAnsi="Times New Roman" w:cs="Times New Roman"/>
                <w:color w:val="000000"/>
                <w:kern w:val="0"/>
                <w:sz w:val="22"/>
                <w:lang w:val="en-GB"/>
              </w:rPr>
              <w:t>ellphone</w:t>
            </w:r>
            <w:proofErr w:type="spellEnd"/>
          </w:p>
        </w:tc>
        <w:tc>
          <w:tcPr>
            <w:tcW w:w="3097" w:type="dxa"/>
            <w:shd w:val="clear" w:color="auto" w:fill="auto"/>
            <w:noWrap/>
            <w:vAlign w:val="center"/>
          </w:tcPr>
          <w:p w14:paraId="44A31100" w14:textId="1E0A7E3C" w:rsidR="00E30CFE" w:rsidRDefault="00E30CFE">
            <w:pPr>
              <w:widowControl/>
              <w:jc w:val="center"/>
              <w:rPr>
                <w:rFonts w:ascii="Times New Roman" w:hAnsi="Times New Roman" w:cs="Times New Roman"/>
                <w:color w:val="000000"/>
                <w:sz w:val="22"/>
              </w:rPr>
            </w:pPr>
            <w:r>
              <w:rPr>
                <w:rFonts w:ascii="Times New Roman" w:hAnsi="Times New Roman" w:cs="Times New Roman" w:hint="eastAsia"/>
                <w:color w:val="000000"/>
                <w:sz w:val="22"/>
              </w:rPr>
              <w:t>1</w:t>
            </w:r>
            <w:r>
              <w:rPr>
                <w:rFonts w:ascii="Times New Roman" w:hAnsi="Times New Roman" w:cs="Times New Roman"/>
                <w:color w:val="000000"/>
                <w:sz w:val="22"/>
              </w:rPr>
              <w:t>54.80</w:t>
            </w:r>
          </w:p>
        </w:tc>
      </w:tr>
      <w:tr w:rsidR="0081030B" w:rsidRPr="00775C2E" w14:paraId="0B11E459" w14:textId="77777777" w:rsidTr="006913DC">
        <w:trPr>
          <w:trHeight w:hRule="exact" w:val="340"/>
        </w:trPr>
        <w:tc>
          <w:tcPr>
            <w:tcW w:w="5245" w:type="dxa"/>
            <w:shd w:val="clear" w:color="auto" w:fill="auto"/>
            <w:noWrap/>
            <w:vAlign w:val="center"/>
          </w:tcPr>
          <w:p w14:paraId="4289C844"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Desks</w:t>
            </w:r>
          </w:p>
        </w:tc>
        <w:tc>
          <w:tcPr>
            <w:tcW w:w="3097" w:type="dxa"/>
            <w:shd w:val="clear" w:color="auto" w:fill="auto"/>
            <w:noWrap/>
            <w:vAlign w:val="center"/>
          </w:tcPr>
          <w:p w14:paraId="3AD4A6DB" w14:textId="18A17276" w:rsidR="0081030B" w:rsidRPr="00775C2E" w:rsidRDefault="00E30CFE">
            <w:pPr>
              <w:widowControl/>
              <w:jc w:val="center"/>
              <w:rPr>
                <w:rFonts w:ascii="Times New Roman" w:eastAsia="Times New Roman" w:hAnsi="Times New Roman" w:cs="Times New Roman"/>
                <w:color w:val="000000"/>
                <w:kern w:val="0"/>
                <w:sz w:val="22"/>
                <w:lang w:val="en-GB"/>
              </w:rPr>
            </w:pPr>
            <w:r>
              <w:rPr>
                <w:rFonts w:ascii="Times New Roman" w:hAnsi="Times New Roman" w:cs="Times New Roman"/>
                <w:color w:val="000000"/>
                <w:sz w:val="22"/>
              </w:rPr>
              <w:t>77.71</w:t>
            </w:r>
          </w:p>
        </w:tc>
      </w:tr>
      <w:tr w:rsidR="0081030B" w:rsidRPr="00775C2E" w14:paraId="50ACC19D" w14:textId="77777777" w:rsidTr="006913DC">
        <w:trPr>
          <w:trHeight w:hRule="exact" w:val="340"/>
        </w:trPr>
        <w:tc>
          <w:tcPr>
            <w:tcW w:w="5245" w:type="dxa"/>
            <w:shd w:val="clear" w:color="auto" w:fill="auto"/>
            <w:noWrap/>
            <w:vAlign w:val="center"/>
          </w:tcPr>
          <w:p w14:paraId="4871D411" w14:textId="77777777" w:rsidR="0081030B" w:rsidRPr="00775C2E" w:rsidRDefault="0067683D">
            <w:pPr>
              <w:widowControl/>
              <w:jc w:val="left"/>
              <w:rPr>
                <w:rFonts w:ascii="Times New Roman" w:eastAsia="Times New Roman" w:hAnsi="Times New Roman" w:cs="Times New Roman"/>
                <w:color w:val="000000"/>
                <w:kern w:val="0"/>
                <w:sz w:val="22"/>
                <w:lang w:val="en-GB"/>
              </w:rPr>
            </w:pPr>
            <w:r w:rsidRPr="00775C2E">
              <w:rPr>
                <w:rFonts w:ascii="Times New Roman" w:eastAsia="Times New Roman" w:hAnsi="Times New Roman" w:cs="Times New Roman"/>
                <w:color w:val="000000"/>
                <w:kern w:val="0"/>
                <w:sz w:val="22"/>
                <w:lang w:val="en-GB"/>
              </w:rPr>
              <w:t>Desk chairs</w:t>
            </w:r>
          </w:p>
        </w:tc>
        <w:tc>
          <w:tcPr>
            <w:tcW w:w="3097" w:type="dxa"/>
            <w:shd w:val="clear" w:color="auto" w:fill="auto"/>
            <w:noWrap/>
            <w:vAlign w:val="center"/>
          </w:tcPr>
          <w:p w14:paraId="51E170AF" w14:textId="1D48653D" w:rsidR="0081030B" w:rsidRPr="00775C2E" w:rsidRDefault="00E30CFE">
            <w:pPr>
              <w:widowControl/>
              <w:jc w:val="center"/>
              <w:rPr>
                <w:rFonts w:ascii="Times New Roman" w:eastAsia="Times New Roman" w:hAnsi="Times New Roman" w:cs="Times New Roman"/>
                <w:color w:val="000000"/>
                <w:kern w:val="0"/>
                <w:sz w:val="22"/>
                <w:lang w:val="en-GB"/>
              </w:rPr>
            </w:pPr>
            <w:r>
              <w:rPr>
                <w:rFonts w:ascii="Times New Roman" w:hAnsi="Times New Roman" w:cs="Times New Roman"/>
                <w:color w:val="000000"/>
                <w:sz w:val="22"/>
              </w:rPr>
              <w:t>42.41</w:t>
            </w:r>
          </w:p>
        </w:tc>
      </w:tr>
      <w:tr w:rsidR="00E30CFE" w:rsidRPr="00775C2E" w14:paraId="5C024737" w14:textId="77777777" w:rsidTr="004C5B7B">
        <w:trPr>
          <w:trHeight w:hRule="exact" w:val="340"/>
        </w:trPr>
        <w:tc>
          <w:tcPr>
            <w:tcW w:w="5245" w:type="dxa"/>
            <w:shd w:val="clear" w:color="auto" w:fill="D9D9D9" w:themeFill="background1" w:themeFillShade="D9"/>
            <w:noWrap/>
            <w:vAlign w:val="center"/>
          </w:tcPr>
          <w:p w14:paraId="164908A3" w14:textId="0E1AE31A" w:rsidR="00E30CFE" w:rsidRPr="00E30CFE" w:rsidRDefault="00E30CFE">
            <w:pPr>
              <w:widowControl/>
              <w:jc w:val="left"/>
              <w:rPr>
                <w:rFonts w:ascii="Times New Roman" w:hAnsi="Times New Roman" w:cs="Times New Roman"/>
                <w:color w:val="000000"/>
                <w:kern w:val="0"/>
                <w:sz w:val="22"/>
                <w:lang w:val="en-GB"/>
              </w:rPr>
            </w:pPr>
            <w:r>
              <w:rPr>
                <w:rFonts w:ascii="Times New Roman" w:hAnsi="Times New Roman" w:cs="Times New Roman"/>
                <w:color w:val="000000"/>
                <w:kern w:val="0"/>
                <w:sz w:val="22"/>
                <w:lang w:val="en-GB"/>
              </w:rPr>
              <w:t>Start-up Costs</w:t>
            </w:r>
          </w:p>
        </w:tc>
        <w:tc>
          <w:tcPr>
            <w:tcW w:w="3097" w:type="dxa"/>
            <w:shd w:val="clear" w:color="auto" w:fill="D9D9D9" w:themeFill="background1" w:themeFillShade="D9"/>
            <w:noWrap/>
            <w:vAlign w:val="center"/>
          </w:tcPr>
          <w:p w14:paraId="0ADD0480" w14:textId="4F06EF61" w:rsidR="00E30CFE" w:rsidRPr="004C5B7B" w:rsidRDefault="004C5B7B">
            <w:pPr>
              <w:widowControl/>
              <w:jc w:val="center"/>
              <w:rPr>
                <w:rFonts w:ascii="Times New Roman" w:hAnsi="Times New Roman" w:cs="Times New Roman"/>
                <w:b/>
                <w:bCs/>
                <w:color w:val="000000"/>
                <w:sz w:val="22"/>
              </w:rPr>
            </w:pPr>
            <w:r>
              <w:rPr>
                <w:rFonts w:ascii="Times New Roman" w:hAnsi="Times New Roman" w:cs="Times New Roman"/>
                <w:b/>
                <w:bCs/>
                <w:color w:val="000000"/>
                <w:sz w:val="22"/>
              </w:rPr>
              <w:t>Total</w:t>
            </w:r>
            <w:r w:rsidRPr="004C5B7B">
              <w:rPr>
                <w:rFonts w:ascii="Times New Roman" w:hAnsi="Times New Roman" w:cs="Times New Roman"/>
                <w:b/>
                <w:bCs/>
                <w:color w:val="000000"/>
                <w:sz w:val="22"/>
              </w:rPr>
              <w:t xml:space="preserve"> cost (USD)</w:t>
            </w:r>
          </w:p>
        </w:tc>
      </w:tr>
      <w:tr w:rsidR="000E693E" w:rsidRPr="00775C2E" w14:paraId="5F983A0A" w14:textId="77777777" w:rsidTr="006913DC">
        <w:trPr>
          <w:trHeight w:hRule="exact" w:val="340"/>
        </w:trPr>
        <w:tc>
          <w:tcPr>
            <w:tcW w:w="5245" w:type="dxa"/>
            <w:shd w:val="clear" w:color="auto" w:fill="auto"/>
            <w:noWrap/>
            <w:vAlign w:val="bottom"/>
          </w:tcPr>
          <w:p w14:paraId="732B4D61" w14:textId="68EB2DF6" w:rsidR="000E693E" w:rsidRPr="004C5B7B" w:rsidRDefault="004C5B7B" w:rsidP="000E693E">
            <w:pPr>
              <w:widowControl/>
              <w:jc w:val="left"/>
              <w:rPr>
                <w:rFonts w:ascii="Times New Roman" w:hAnsi="Times New Roman" w:cs="Times New Roman"/>
                <w:kern w:val="0"/>
                <w:sz w:val="22"/>
                <w:lang w:val="en-GB"/>
              </w:rPr>
            </w:pPr>
            <w:r>
              <w:rPr>
                <w:rFonts w:ascii="Times New Roman" w:hAnsi="Times New Roman" w:cs="Times New Roman" w:hint="eastAsia"/>
                <w:kern w:val="0"/>
                <w:sz w:val="22"/>
                <w:lang w:val="en-GB"/>
              </w:rPr>
              <w:t>S</w:t>
            </w:r>
            <w:r>
              <w:rPr>
                <w:rFonts w:ascii="Times New Roman" w:hAnsi="Times New Roman" w:cs="Times New Roman"/>
                <w:kern w:val="0"/>
                <w:sz w:val="22"/>
                <w:lang w:val="en-GB"/>
              </w:rPr>
              <w:t>ites coordination</w:t>
            </w:r>
          </w:p>
        </w:tc>
        <w:tc>
          <w:tcPr>
            <w:tcW w:w="3097" w:type="dxa"/>
            <w:shd w:val="clear" w:color="auto" w:fill="auto"/>
          </w:tcPr>
          <w:p w14:paraId="5F447062" w14:textId="4CBE5AA7" w:rsidR="000E693E" w:rsidRPr="004C5B7B" w:rsidRDefault="004C5B7B" w:rsidP="000E693E">
            <w:pPr>
              <w:widowControl/>
              <w:jc w:val="center"/>
              <w:rPr>
                <w:rFonts w:ascii="Times New Roman" w:hAnsi="Times New Roman" w:cs="Times New Roman"/>
                <w:color w:val="000000"/>
                <w:sz w:val="22"/>
              </w:rPr>
            </w:pPr>
            <w:r w:rsidRPr="004C5B7B">
              <w:rPr>
                <w:rFonts w:ascii="Times New Roman" w:hAnsi="Times New Roman" w:cs="Times New Roman" w:hint="eastAsia"/>
                <w:color w:val="000000"/>
                <w:sz w:val="22"/>
              </w:rPr>
              <w:t>2</w:t>
            </w:r>
            <w:r w:rsidRPr="004C5B7B">
              <w:rPr>
                <w:rFonts w:ascii="Times New Roman" w:hAnsi="Times New Roman" w:cs="Times New Roman"/>
                <w:color w:val="000000"/>
                <w:sz w:val="22"/>
              </w:rPr>
              <w:t>32.2</w:t>
            </w:r>
            <w:r>
              <w:rPr>
                <w:rFonts w:ascii="Times New Roman" w:hAnsi="Times New Roman" w:cs="Times New Roman"/>
                <w:color w:val="000000"/>
                <w:sz w:val="22"/>
              </w:rPr>
              <w:t>0</w:t>
            </w:r>
          </w:p>
        </w:tc>
      </w:tr>
      <w:tr w:rsidR="004C5B7B" w:rsidRPr="00775C2E" w14:paraId="4B6200B3" w14:textId="77777777" w:rsidTr="006913DC">
        <w:trPr>
          <w:trHeight w:hRule="exact" w:val="340"/>
        </w:trPr>
        <w:tc>
          <w:tcPr>
            <w:tcW w:w="5245" w:type="dxa"/>
            <w:shd w:val="clear" w:color="auto" w:fill="auto"/>
            <w:noWrap/>
            <w:vAlign w:val="bottom"/>
          </w:tcPr>
          <w:p w14:paraId="7A8FC63B" w14:textId="38131F66" w:rsidR="004C5B7B" w:rsidRPr="004C5B7B" w:rsidRDefault="004C5B7B" w:rsidP="000E693E">
            <w:pPr>
              <w:widowControl/>
              <w:jc w:val="left"/>
              <w:rPr>
                <w:rFonts w:ascii="Times New Roman" w:hAnsi="Times New Roman" w:cs="Times New Roman"/>
                <w:kern w:val="0"/>
                <w:sz w:val="22"/>
                <w:lang w:val="en-GB"/>
              </w:rPr>
            </w:pPr>
            <w:r>
              <w:rPr>
                <w:rFonts w:ascii="Times New Roman" w:hAnsi="Times New Roman" w:cs="Times New Roman" w:hint="eastAsia"/>
                <w:kern w:val="0"/>
                <w:sz w:val="22"/>
                <w:lang w:val="en-GB"/>
              </w:rPr>
              <w:lastRenderedPageBreak/>
              <w:t>P</w:t>
            </w:r>
            <w:r>
              <w:rPr>
                <w:rFonts w:ascii="Times New Roman" w:hAnsi="Times New Roman" w:cs="Times New Roman"/>
                <w:kern w:val="0"/>
                <w:sz w:val="22"/>
                <w:lang w:val="en-GB"/>
              </w:rPr>
              <w:t>ersonnel training</w:t>
            </w:r>
          </w:p>
        </w:tc>
        <w:tc>
          <w:tcPr>
            <w:tcW w:w="3097" w:type="dxa"/>
            <w:shd w:val="clear" w:color="auto" w:fill="auto"/>
          </w:tcPr>
          <w:p w14:paraId="78B4CE79" w14:textId="50AE4012" w:rsidR="004C5B7B" w:rsidRPr="004C5B7B" w:rsidRDefault="004C5B7B" w:rsidP="000E693E">
            <w:pPr>
              <w:widowControl/>
              <w:jc w:val="center"/>
              <w:rPr>
                <w:rFonts w:ascii="Times New Roman" w:hAnsi="Times New Roman" w:cs="Times New Roman"/>
                <w:color w:val="000000"/>
                <w:sz w:val="22"/>
              </w:rPr>
            </w:pPr>
            <w:r>
              <w:rPr>
                <w:rFonts w:ascii="Times New Roman" w:hAnsi="Times New Roman" w:cs="Times New Roman" w:hint="eastAsia"/>
                <w:color w:val="000000"/>
                <w:sz w:val="22"/>
              </w:rPr>
              <w:t>9</w:t>
            </w:r>
            <w:r>
              <w:rPr>
                <w:rFonts w:ascii="Times New Roman" w:hAnsi="Times New Roman" w:cs="Times New Roman"/>
                <w:color w:val="000000"/>
                <w:sz w:val="22"/>
              </w:rPr>
              <w:t>2.88</w:t>
            </w:r>
          </w:p>
        </w:tc>
      </w:tr>
      <w:tr w:rsidR="004C5B7B" w:rsidRPr="00775C2E" w14:paraId="08E43977" w14:textId="77777777" w:rsidTr="006913DC">
        <w:trPr>
          <w:trHeight w:hRule="exact" w:val="340"/>
        </w:trPr>
        <w:tc>
          <w:tcPr>
            <w:tcW w:w="5245" w:type="dxa"/>
            <w:shd w:val="clear" w:color="auto" w:fill="auto"/>
            <w:noWrap/>
            <w:vAlign w:val="bottom"/>
          </w:tcPr>
          <w:p w14:paraId="685AFB51" w14:textId="0F7B57D7" w:rsidR="004C5B7B" w:rsidRPr="004C5B7B" w:rsidRDefault="004C5B7B" w:rsidP="000E693E">
            <w:pPr>
              <w:widowControl/>
              <w:jc w:val="left"/>
              <w:rPr>
                <w:rFonts w:ascii="Times New Roman" w:hAnsi="Times New Roman" w:cs="Times New Roman"/>
                <w:kern w:val="0"/>
                <w:sz w:val="22"/>
                <w:lang w:val="en-GB"/>
              </w:rPr>
            </w:pPr>
            <w:r>
              <w:rPr>
                <w:rFonts w:ascii="Times New Roman" w:hAnsi="Times New Roman" w:cs="Times New Roman" w:hint="eastAsia"/>
                <w:kern w:val="0"/>
                <w:sz w:val="22"/>
                <w:lang w:val="en-GB"/>
              </w:rPr>
              <w:t>P</w:t>
            </w:r>
            <w:r>
              <w:rPr>
                <w:rFonts w:ascii="Times New Roman" w:hAnsi="Times New Roman" w:cs="Times New Roman"/>
                <w:kern w:val="0"/>
                <w:sz w:val="22"/>
                <w:lang w:val="en-GB"/>
              </w:rPr>
              <w:t>ilot study</w:t>
            </w:r>
          </w:p>
        </w:tc>
        <w:tc>
          <w:tcPr>
            <w:tcW w:w="3097" w:type="dxa"/>
            <w:shd w:val="clear" w:color="auto" w:fill="auto"/>
          </w:tcPr>
          <w:p w14:paraId="05682F1E" w14:textId="705B7812" w:rsidR="004C5B7B" w:rsidRPr="004C5B7B" w:rsidRDefault="004C5B7B" w:rsidP="000E693E">
            <w:pPr>
              <w:widowControl/>
              <w:jc w:val="center"/>
              <w:rPr>
                <w:rFonts w:ascii="Times New Roman" w:hAnsi="Times New Roman" w:cs="Times New Roman"/>
                <w:color w:val="000000"/>
                <w:sz w:val="22"/>
              </w:rPr>
            </w:pPr>
            <w:r w:rsidRPr="004C5B7B">
              <w:rPr>
                <w:rFonts w:ascii="Times New Roman" w:hAnsi="Times New Roman" w:cs="Times New Roman" w:hint="eastAsia"/>
                <w:color w:val="000000"/>
                <w:sz w:val="22"/>
              </w:rPr>
              <w:t>2</w:t>
            </w:r>
            <w:r w:rsidRPr="004C5B7B">
              <w:rPr>
                <w:rFonts w:ascii="Times New Roman" w:hAnsi="Times New Roman" w:cs="Times New Roman"/>
                <w:color w:val="000000"/>
                <w:sz w:val="22"/>
              </w:rPr>
              <w:t>321.98</w:t>
            </w:r>
          </w:p>
        </w:tc>
      </w:tr>
      <w:tr w:rsidR="000E693E" w:rsidRPr="00775C2E" w14:paraId="4B05864C" w14:textId="77777777" w:rsidTr="006913DC">
        <w:trPr>
          <w:trHeight w:hRule="exact" w:val="340"/>
        </w:trPr>
        <w:tc>
          <w:tcPr>
            <w:tcW w:w="5245" w:type="dxa"/>
            <w:shd w:val="clear" w:color="auto" w:fill="auto"/>
            <w:noWrap/>
            <w:vAlign w:val="bottom"/>
          </w:tcPr>
          <w:p w14:paraId="428CC8F7" w14:textId="166ABC2B" w:rsidR="000E693E" w:rsidRPr="00775C2E" w:rsidRDefault="004C5B7B" w:rsidP="000E693E">
            <w:pPr>
              <w:widowControl/>
              <w:jc w:val="left"/>
              <w:rPr>
                <w:rFonts w:ascii="Times New Roman" w:eastAsia="SimSun" w:hAnsi="Times New Roman" w:cs="Times New Roman"/>
                <w:kern w:val="0"/>
                <w:sz w:val="22"/>
              </w:rPr>
            </w:pPr>
            <w:r w:rsidRPr="004C5B7B">
              <w:rPr>
                <w:rFonts w:ascii="Times New Roman" w:eastAsia="SimSun" w:hAnsi="Times New Roman" w:cs="Times New Roman"/>
                <w:kern w:val="0"/>
                <w:sz w:val="22"/>
              </w:rPr>
              <w:t>Crowdsourced activities</w:t>
            </w:r>
          </w:p>
        </w:tc>
        <w:tc>
          <w:tcPr>
            <w:tcW w:w="3097" w:type="dxa"/>
            <w:shd w:val="clear" w:color="auto" w:fill="auto"/>
            <w:vAlign w:val="bottom"/>
          </w:tcPr>
          <w:p w14:paraId="2E068413" w14:textId="5C2549F7" w:rsidR="000E693E" w:rsidRPr="004C5B7B" w:rsidRDefault="004C5B7B" w:rsidP="004C5B7B">
            <w:pPr>
              <w:widowControl/>
              <w:jc w:val="center"/>
              <w:rPr>
                <w:rFonts w:ascii="Times New Roman" w:hAnsi="Times New Roman" w:cs="Times New Roman"/>
                <w:color w:val="000000"/>
                <w:sz w:val="22"/>
              </w:rPr>
            </w:pPr>
            <w:r w:rsidRPr="004C5B7B">
              <w:rPr>
                <w:rFonts w:ascii="Times New Roman" w:hAnsi="Times New Roman" w:cs="Times New Roman"/>
                <w:color w:val="000000"/>
                <w:sz w:val="22"/>
              </w:rPr>
              <w:t>247.68</w:t>
            </w:r>
          </w:p>
        </w:tc>
      </w:tr>
    </w:tbl>
    <w:p w14:paraId="2DFDF0B2" w14:textId="77777777" w:rsidR="0081030B" w:rsidRPr="00775C2E" w:rsidRDefault="0081030B">
      <w:pPr>
        <w:rPr>
          <w:rFonts w:ascii="Times New Roman" w:hAnsi="Times New Roman" w:cs="Times New Roman"/>
          <w:b/>
          <w:bCs/>
          <w:sz w:val="22"/>
        </w:rPr>
      </w:pPr>
    </w:p>
    <w:p w14:paraId="0207A367" w14:textId="77777777" w:rsidR="0081030B" w:rsidRPr="00775C2E" w:rsidRDefault="0081030B">
      <w:pPr>
        <w:rPr>
          <w:rFonts w:ascii="Times New Roman" w:hAnsi="Times New Roman" w:cs="Times New Roman"/>
          <w:b/>
          <w:bCs/>
          <w:sz w:val="22"/>
        </w:rPr>
      </w:pPr>
    </w:p>
    <w:p w14:paraId="2D2145CE" w14:textId="70E70D5D" w:rsidR="00AA3520" w:rsidRPr="00775C2E" w:rsidRDefault="00AA3520" w:rsidP="00AA3520">
      <w:pPr>
        <w:widowControl/>
        <w:spacing w:after="0" w:line="240" w:lineRule="auto"/>
        <w:jc w:val="left"/>
        <w:rPr>
          <w:rFonts w:ascii="Times New Roman" w:hAnsi="Times New Roman" w:cs="Times New Roman"/>
          <w:sz w:val="22"/>
        </w:rPr>
      </w:pPr>
      <w:r w:rsidRPr="00775C2E">
        <w:rPr>
          <w:rFonts w:ascii="Times New Roman" w:hAnsi="Times New Roman" w:cs="Times New Roman"/>
          <w:sz w:val="22"/>
        </w:rPr>
        <w:br w:type="page"/>
      </w:r>
    </w:p>
    <w:p w14:paraId="6AF89069" w14:textId="01A3A56B" w:rsidR="00AA3520" w:rsidRPr="00775C2E" w:rsidRDefault="00C13950" w:rsidP="00AA3520">
      <w:pPr>
        <w:pStyle w:val="Heading1"/>
        <w:rPr>
          <w:rFonts w:ascii="Times New Roman" w:hAnsi="Times New Roman" w:cs="Times New Roman"/>
          <w:sz w:val="22"/>
          <w:szCs w:val="22"/>
        </w:rPr>
      </w:pPr>
      <w:bookmarkStart w:id="45" w:name="_Toc101122705"/>
      <w:r w:rsidRPr="00775C2E">
        <w:rPr>
          <w:rFonts w:ascii="Times New Roman" w:hAnsi="Times New Roman" w:cs="Times New Roman"/>
          <w:sz w:val="22"/>
          <w:szCs w:val="22"/>
        </w:rPr>
        <w:lastRenderedPageBreak/>
        <w:t xml:space="preserve">Table S4. </w:t>
      </w:r>
      <w:r w:rsidR="00AA3520" w:rsidRPr="00775C2E">
        <w:rPr>
          <w:rFonts w:ascii="Times New Roman" w:hAnsi="Times New Roman" w:cs="Times New Roman"/>
          <w:sz w:val="22"/>
          <w:szCs w:val="22"/>
        </w:rPr>
        <w:t>Sample size calculation</w:t>
      </w:r>
      <w:bookmarkEnd w:id="45"/>
    </w:p>
    <w:p w14:paraId="50B7FD89" w14:textId="77777777" w:rsidR="00AA3520" w:rsidRPr="00775C2E" w:rsidRDefault="00AA3520" w:rsidP="00AA3520">
      <w:pPr>
        <w:spacing w:after="0" w:line="240" w:lineRule="auto"/>
        <w:jc w:val="center"/>
        <w:rPr>
          <w:rFonts w:ascii="Times New Roman" w:hAnsi="Times New Roman" w:cs="Times New Roman"/>
          <w:b/>
          <w:bCs/>
          <w:sz w:val="22"/>
        </w:rPr>
      </w:pPr>
      <w:r w:rsidRPr="00775C2E">
        <w:rPr>
          <w:rFonts w:ascii="Times New Roman" w:hAnsi="Times New Roman" w:cs="Times New Roman"/>
          <w:b/>
          <w:bCs/>
          <w:sz w:val="22"/>
        </w:rPr>
        <w:t>Sample size</w:t>
      </w:r>
    </w:p>
    <w:tbl>
      <w:tblPr>
        <w:tblW w:w="10094" w:type="dxa"/>
        <w:jc w:val="center"/>
        <w:tblCellMar>
          <w:left w:w="0" w:type="dxa"/>
          <w:right w:w="0" w:type="dxa"/>
        </w:tblCellMar>
        <w:tblLook w:val="04A0" w:firstRow="1" w:lastRow="0" w:firstColumn="1" w:lastColumn="0" w:noHBand="0" w:noVBand="1"/>
      </w:tblPr>
      <w:tblGrid>
        <w:gridCol w:w="4324"/>
        <w:gridCol w:w="4340"/>
        <w:gridCol w:w="1430"/>
      </w:tblGrid>
      <w:tr w:rsidR="00AA3520" w:rsidRPr="00775C2E" w14:paraId="50F1089C" w14:textId="77777777" w:rsidTr="00DD1462">
        <w:trPr>
          <w:trHeight w:val="236"/>
          <w:jc w:val="center"/>
        </w:trPr>
        <w:tc>
          <w:tcPr>
            <w:tcW w:w="4324" w:type="dxa"/>
            <w:tcBorders>
              <w:top w:val="single" w:sz="8" w:space="0" w:color="000000"/>
              <w:left w:val="single" w:sz="8" w:space="0" w:color="FFFFFF"/>
              <w:bottom w:val="single" w:sz="24" w:space="0" w:color="FFFFFF"/>
              <w:right w:val="single" w:sz="8" w:space="0" w:color="FFFFFF"/>
            </w:tcBorders>
            <w:shd w:val="clear" w:color="auto" w:fill="auto"/>
            <w:tcMar>
              <w:top w:w="15" w:type="dxa"/>
              <w:left w:w="108" w:type="dxa"/>
              <w:bottom w:w="0" w:type="dxa"/>
              <w:right w:w="108" w:type="dxa"/>
            </w:tcMar>
            <w:vAlign w:val="center"/>
          </w:tcPr>
          <w:p w14:paraId="3D865F4A"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SST and standard of care</w:t>
            </w:r>
          </w:p>
        </w:tc>
        <w:tc>
          <w:tcPr>
            <w:tcW w:w="4340" w:type="dxa"/>
            <w:tcBorders>
              <w:top w:val="single" w:sz="8" w:space="0" w:color="000000"/>
              <w:left w:val="single" w:sz="8" w:space="0" w:color="FFFFFF"/>
              <w:bottom w:val="single" w:sz="24" w:space="0" w:color="FFFFFF"/>
              <w:right w:val="single" w:sz="8" w:space="0" w:color="FFFFFF"/>
            </w:tcBorders>
            <w:shd w:val="clear" w:color="auto" w:fill="auto"/>
            <w:tcMar>
              <w:top w:w="15" w:type="dxa"/>
              <w:left w:w="108" w:type="dxa"/>
              <w:bottom w:w="0" w:type="dxa"/>
              <w:right w:w="108" w:type="dxa"/>
            </w:tcMar>
            <w:vAlign w:val="center"/>
          </w:tcPr>
          <w:p w14:paraId="670270A6"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µ1</w:t>
            </w:r>
          </w:p>
        </w:tc>
        <w:tc>
          <w:tcPr>
            <w:tcW w:w="1430" w:type="dxa"/>
            <w:tcBorders>
              <w:top w:val="single" w:sz="8" w:space="0" w:color="000000"/>
              <w:left w:val="single" w:sz="8" w:space="0" w:color="FFFFFF"/>
              <w:bottom w:val="single" w:sz="24" w:space="0" w:color="FFFFFF"/>
              <w:right w:val="single" w:sz="8" w:space="0" w:color="FFFFFF"/>
            </w:tcBorders>
            <w:vAlign w:val="bottom"/>
          </w:tcPr>
          <w:p w14:paraId="63A8772E"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0.05</w:t>
            </w:r>
          </w:p>
        </w:tc>
      </w:tr>
      <w:tr w:rsidR="00AA3520" w:rsidRPr="00775C2E" w14:paraId="0DE0DEFC" w14:textId="77777777" w:rsidTr="00DD1462">
        <w:trPr>
          <w:trHeight w:val="236"/>
          <w:jc w:val="center"/>
        </w:trPr>
        <w:tc>
          <w:tcPr>
            <w:tcW w:w="4324"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49E42DE6"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1C1B99A"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µ2</w:t>
            </w:r>
          </w:p>
        </w:tc>
        <w:tc>
          <w:tcPr>
            <w:tcW w:w="1430" w:type="dxa"/>
            <w:tcBorders>
              <w:top w:val="single" w:sz="24" w:space="0" w:color="FFFFFF"/>
              <w:left w:val="single" w:sz="8" w:space="0" w:color="FFFFFF"/>
              <w:bottom w:val="single" w:sz="8" w:space="0" w:color="FFFFFF"/>
              <w:right w:val="single" w:sz="8" w:space="0" w:color="FFFFFF"/>
            </w:tcBorders>
            <w:vAlign w:val="bottom"/>
          </w:tcPr>
          <w:p w14:paraId="0FFA3C1D"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0.45</w:t>
            </w:r>
          </w:p>
        </w:tc>
      </w:tr>
      <w:tr w:rsidR="00AA3520" w:rsidRPr="00775C2E" w14:paraId="1E1C1B77"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06D710BD"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03A9D611"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Standard deviation</w:t>
            </w:r>
          </w:p>
        </w:tc>
        <w:tc>
          <w:tcPr>
            <w:tcW w:w="1430" w:type="dxa"/>
            <w:tcBorders>
              <w:top w:val="single" w:sz="8" w:space="0" w:color="FFFFFF"/>
              <w:left w:val="single" w:sz="8" w:space="0" w:color="FFFFFF"/>
              <w:bottom w:val="single" w:sz="8" w:space="0" w:color="FFFFFF"/>
              <w:right w:val="single" w:sz="8" w:space="0" w:color="FFFFFF"/>
            </w:tcBorders>
            <w:vAlign w:val="bottom"/>
          </w:tcPr>
          <w:p w14:paraId="2585EE85"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0.8</w:t>
            </w:r>
          </w:p>
        </w:tc>
      </w:tr>
      <w:tr w:rsidR="00AA3520" w:rsidRPr="00775C2E" w14:paraId="2E7FA183"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37567215"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0A635EE8"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 xml:space="preserve">Alpha </w:t>
            </w:r>
          </w:p>
        </w:tc>
        <w:tc>
          <w:tcPr>
            <w:tcW w:w="1430" w:type="dxa"/>
            <w:tcBorders>
              <w:top w:val="single" w:sz="8" w:space="0" w:color="FFFFFF"/>
              <w:left w:val="single" w:sz="8" w:space="0" w:color="FFFFFF"/>
              <w:bottom w:val="single" w:sz="8" w:space="0" w:color="FFFFFF"/>
              <w:right w:val="single" w:sz="8" w:space="0" w:color="FFFFFF"/>
            </w:tcBorders>
            <w:vAlign w:val="bottom"/>
          </w:tcPr>
          <w:p w14:paraId="213CA481"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0.05</w:t>
            </w:r>
          </w:p>
        </w:tc>
      </w:tr>
      <w:tr w:rsidR="00AA3520" w:rsidRPr="00775C2E" w14:paraId="1629BEEE"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163DE5A"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F5612A4"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 xml:space="preserve">Power </w:t>
            </w:r>
          </w:p>
        </w:tc>
        <w:tc>
          <w:tcPr>
            <w:tcW w:w="1430" w:type="dxa"/>
            <w:tcBorders>
              <w:top w:val="single" w:sz="8" w:space="0" w:color="FFFFFF"/>
              <w:left w:val="single" w:sz="8" w:space="0" w:color="FFFFFF"/>
              <w:bottom w:val="single" w:sz="8" w:space="0" w:color="FFFFFF"/>
              <w:right w:val="single" w:sz="8" w:space="0" w:color="FFFFFF"/>
            </w:tcBorders>
            <w:vAlign w:val="bottom"/>
          </w:tcPr>
          <w:p w14:paraId="4415DF71"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0.85</w:t>
            </w:r>
          </w:p>
        </w:tc>
      </w:tr>
      <w:tr w:rsidR="00AA3520" w:rsidRPr="00775C2E" w14:paraId="5D4AF500"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A8E71DF"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25B367CF"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Total sample size per arm</w:t>
            </w:r>
          </w:p>
        </w:tc>
        <w:tc>
          <w:tcPr>
            <w:tcW w:w="1430" w:type="dxa"/>
            <w:tcBorders>
              <w:top w:val="single" w:sz="8" w:space="0" w:color="FFFFFF"/>
              <w:left w:val="single" w:sz="8" w:space="0" w:color="FFFFFF"/>
              <w:bottom w:val="single" w:sz="8" w:space="0" w:color="FFFFFF"/>
              <w:right w:val="single" w:sz="8" w:space="0" w:color="FFFFFF"/>
            </w:tcBorders>
            <w:vAlign w:val="bottom"/>
          </w:tcPr>
          <w:p w14:paraId="6EA223F9"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39</w:t>
            </w:r>
          </w:p>
        </w:tc>
      </w:tr>
      <w:tr w:rsidR="00AA3520" w:rsidRPr="00775C2E" w14:paraId="3071B433"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FA5F06C"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LINK and standard of care</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3C051688"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µ</w:t>
            </w:r>
            <w:r w:rsidRPr="00775C2E">
              <w:rPr>
                <w:rFonts w:ascii="Times New Roman" w:hAnsi="Times New Roman" w:cs="Times New Roman"/>
                <w:sz w:val="22"/>
                <w:vertAlign w:val="subscript"/>
              </w:rPr>
              <w:t>1</w:t>
            </w:r>
          </w:p>
        </w:tc>
        <w:tc>
          <w:tcPr>
            <w:tcW w:w="1430" w:type="dxa"/>
            <w:tcBorders>
              <w:top w:val="single" w:sz="8" w:space="0" w:color="FFFFFF"/>
              <w:left w:val="single" w:sz="8" w:space="0" w:color="FFFFFF"/>
              <w:bottom w:val="single" w:sz="8" w:space="0" w:color="FFFFFF"/>
              <w:right w:val="single" w:sz="8" w:space="0" w:color="FFFFFF"/>
            </w:tcBorders>
            <w:vAlign w:val="bottom"/>
          </w:tcPr>
          <w:p w14:paraId="2A3E3B32"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0.05</w:t>
            </w:r>
          </w:p>
        </w:tc>
      </w:tr>
      <w:tr w:rsidR="00AA3520" w:rsidRPr="00775C2E" w14:paraId="6D3603E5"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51AC380"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3ECAB71A"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µ</w:t>
            </w:r>
            <w:r w:rsidRPr="00775C2E">
              <w:rPr>
                <w:rFonts w:ascii="Times New Roman" w:hAnsi="Times New Roman" w:cs="Times New Roman"/>
                <w:sz w:val="22"/>
                <w:vertAlign w:val="subscript"/>
              </w:rPr>
              <w:t>2</w:t>
            </w:r>
          </w:p>
        </w:tc>
        <w:tc>
          <w:tcPr>
            <w:tcW w:w="1430" w:type="dxa"/>
            <w:tcBorders>
              <w:top w:val="single" w:sz="8" w:space="0" w:color="FFFFFF"/>
              <w:left w:val="single" w:sz="8" w:space="0" w:color="FFFFFF"/>
              <w:bottom w:val="single" w:sz="8" w:space="0" w:color="FFFFFF"/>
              <w:right w:val="single" w:sz="8" w:space="0" w:color="FFFFFF"/>
            </w:tcBorders>
            <w:vAlign w:val="bottom"/>
          </w:tcPr>
          <w:p w14:paraId="01DF43BB"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0.45</w:t>
            </w:r>
          </w:p>
        </w:tc>
      </w:tr>
      <w:tr w:rsidR="00AA3520" w:rsidRPr="00775C2E" w14:paraId="0F36713C"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4C40536A"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ACCF793"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Standard deviation</w:t>
            </w:r>
          </w:p>
        </w:tc>
        <w:tc>
          <w:tcPr>
            <w:tcW w:w="1430" w:type="dxa"/>
            <w:tcBorders>
              <w:top w:val="single" w:sz="8" w:space="0" w:color="FFFFFF"/>
              <w:left w:val="single" w:sz="8" w:space="0" w:color="FFFFFF"/>
              <w:bottom w:val="single" w:sz="8" w:space="0" w:color="FFFFFF"/>
              <w:right w:val="single" w:sz="8" w:space="0" w:color="FFFFFF"/>
            </w:tcBorders>
            <w:vAlign w:val="bottom"/>
          </w:tcPr>
          <w:p w14:paraId="0442BC17"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0.8</w:t>
            </w:r>
          </w:p>
        </w:tc>
      </w:tr>
      <w:tr w:rsidR="00AA3520" w:rsidRPr="00775C2E" w14:paraId="5BAD35A4"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36A2CB16"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E55DEFD"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 xml:space="preserve">Alpha </w:t>
            </w:r>
          </w:p>
        </w:tc>
        <w:tc>
          <w:tcPr>
            <w:tcW w:w="1430" w:type="dxa"/>
            <w:tcBorders>
              <w:top w:val="single" w:sz="8" w:space="0" w:color="FFFFFF"/>
              <w:left w:val="single" w:sz="8" w:space="0" w:color="FFFFFF"/>
              <w:bottom w:val="single" w:sz="8" w:space="0" w:color="FFFFFF"/>
              <w:right w:val="single" w:sz="8" w:space="0" w:color="FFFFFF"/>
            </w:tcBorders>
            <w:vAlign w:val="bottom"/>
          </w:tcPr>
          <w:p w14:paraId="5F585B23"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0.05</w:t>
            </w:r>
          </w:p>
        </w:tc>
      </w:tr>
      <w:tr w:rsidR="00AA3520" w:rsidRPr="00775C2E" w14:paraId="0A79E501" w14:textId="77777777" w:rsidTr="00DD1462">
        <w:trPr>
          <w:trHeight w:val="236"/>
          <w:jc w:val="center"/>
        </w:trPr>
        <w:tc>
          <w:tcPr>
            <w:tcW w:w="4324"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EEFABF2"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6BA434CF"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 xml:space="preserve">Power </w:t>
            </w:r>
          </w:p>
        </w:tc>
        <w:tc>
          <w:tcPr>
            <w:tcW w:w="1430" w:type="dxa"/>
            <w:tcBorders>
              <w:top w:val="single" w:sz="8" w:space="0" w:color="FFFFFF"/>
              <w:left w:val="single" w:sz="8" w:space="0" w:color="FFFFFF"/>
              <w:bottom w:val="single" w:sz="8" w:space="0" w:color="FFFFFF"/>
              <w:right w:val="single" w:sz="8" w:space="0" w:color="FFFFFF"/>
            </w:tcBorders>
            <w:vAlign w:val="bottom"/>
          </w:tcPr>
          <w:p w14:paraId="158AD77F"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0.85</w:t>
            </w:r>
          </w:p>
        </w:tc>
      </w:tr>
      <w:tr w:rsidR="00AA3520" w:rsidRPr="00775C2E" w14:paraId="05E74230" w14:textId="77777777" w:rsidTr="00DD1462">
        <w:trPr>
          <w:trHeight w:val="236"/>
          <w:jc w:val="center"/>
        </w:trPr>
        <w:tc>
          <w:tcPr>
            <w:tcW w:w="4324"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tcPr>
          <w:p w14:paraId="0152FDE1"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b/>
                <w:bCs/>
                <w:sz w:val="22"/>
              </w:rPr>
              <w:t> </w:t>
            </w:r>
          </w:p>
        </w:tc>
        <w:tc>
          <w:tcPr>
            <w:tcW w:w="4340" w:type="dxa"/>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tcPr>
          <w:p w14:paraId="67E26226"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Total sample size per arm</w:t>
            </w:r>
          </w:p>
        </w:tc>
        <w:tc>
          <w:tcPr>
            <w:tcW w:w="1430" w:type="dxa"/>
            <w:tcBorders>
              <w:top w:val="single" w:sz="8" w:space="0" w:color="FFFFFF"/>
              <w:left w:val="single" w:sz="8" w:space="0" w:color="FFFFFF"/>
              <w:bottom w:val="single" w:sz="4" w:space="0" w:color="auto"/>
              <w:right w:val="single" w:sz="8" w:space="0" w:color="FFFFFF"/>
            </w:tcBorders>
            <w:vAlign w:val="bottom"/>
          </w:tcPr>
          <w:p w14:paraId="72DC3B99" w14:textId="77777777" w:rsidR="00AA3520" w:rsidRPr="00775C2E" w:rsidRDefault="00AA3520" w:rsidP="00DD1462">
            <w:pPr>
              <w:jc w:val="center"/>
              <w:rPr>
                <w:rFonts w:ascii="Times New Roman" w:hAnsi="Times New Roman" w:cs="Times New Roman"/>
                <w:sz w:val="22"/>
              </w:rPr>
            </w:pPr>
            <w:r w:rsidRPr="00775C2E">
              <w:rPr>
                <w:rFonts w:ascii="Times New Roman" w:hAnsi="Times New Roman" w:cs="Times New Roman"/>
                <w:sz w:val="22"/>
              </w:rPr>
              <w:t>73</w:t>
            </w:r>
          </w:p>
        </w:tc>
      </w:tr>
    </w:tbl>
    <w:p w14:paraId="7B26678F" w14:textId="77777777" w:rsidR="00C13950" w:rsidRPr="00775C2E" w:rsidRDefault="00C13950">
      <w:pPr>
        <w:widowControl/>
        <w:jc w:val="left"/>
        <w:rPr>
          <w:rFonts w:ascii="Times New Roman" w:hAnsi="Times New Roman" w:cs="Times New Roman"/>
          <w:sz w:val="22"/>
        </w:rPr>
      </w:pPr>
    </w:p>
    <w:p w14:paraId="0B5FD40F" w14:textId="77777777" w:rsidR="00C13950" w:rsidRPr="00775C2E" w:rsidRDefault="00C13950" w:rsidP="00C13950">
      <w:pPr>
        <w:spacing w:line="360" w:lineRule="auto"/>
        <w:rPr>
          <w:rFonts w:ascii="Times New Roman" w:hAnsi="Times New Roman" w:cs="Times New Roman"/>
          <w:sz w:val="22"/>
        </w:rPr>
      </w:pPr>
      <w:r w:rsidRPr="00775C2E">
        <w:rPr>
          <w:rFonts w:ascii="Times New Roman" w:hAnsi="Times New Roman" w:cs="Times New Roman"/>
          <w:sz w:val="22"/>
        </w:rPr>
        <w:t>We used an inequality test to calculate the sample size (PASS 15.0, NCSS, LLC). The details of the sample size calculation are shown in Table S4. Preliminary study results from the pilot RCT showed that the number of alters by an index was 0.05 through standard of care delivery, 0.60 through standard SST delivery, and 0.45 through SST link delivery. Based on the above data, we assumed that the variances of the three groups were equal with the same standard deviation of 0.8. Assuming alpha of 0.05, power of 0.85, lost to follow-up rate of 0.20, we will need a minimum of 92 indexes per arm. To integrate the sample size calculations and to consider practicality, the final sample size would be 100 indexes in standard SST delivery arm, 100 indexes in SST referral link delivery arm, and 100 indexes in standard of care arm, with a total cluster size of 300 participants.</w:t>
      </w:r>
    </w:p>
    <w:p w14:paraId="7A144583" w14:textId="6DCA0B75" w:rsidR="0081030B" w:rsidRPr="00775C2E" w:rsidRDefault="0067683D">
      <w:pPr>
        <w:widowControl/>
        <w:jc w:val="left"/>
        <w:rPr>
          <w:rFonts w:ascii="Times New Roman" w:hAnsi="Times New Roman" w:cs="Times New Roman"/>
          <w:b/>
          <w:bCs/>
          <w:kern w:val="44"/>
          <w:sz w:val="22"/>
        </w:rPr>
      </w:pPr>
      <w:r w:rsidRPr="00775C2E">
        <w:rPr>
          <w:rFonts w:ascii="Times New Roman" w:hAnsi="Times New Roman" w:cs="Times New Roman"/>
          <w:sz w:val="22"/>
        </w:rPr>
        <w:br w:type="page"/>
      </w:r>
    </w:p>
    <w:p w14:paraId="19EE3F4F" w14:textId="77777777" w:rsidR="00DC6F7E" w:rsidRPr="00775C2E" w:rsidRDefault="00DC6F7E" w:rsidP="00DC6F7E">
      <w:pPr>
        <w:pStyle w:val="Heading1"/>
        <w:rPr>
          <w:rFonts w:ascii="Times New Roman" w:hAnsi="Times New Roman" w:cs="Times New Roman"/>
          <w:sz w:val="22"/>
          <w:szCs w:val="22"/>
        </w:rPr>
      </w:pPr>
      <w:bookmarkStart w:id="46" w:name="_Toc101122706"/>
      <w:r w:rsidRPr="00775C2E">
        <w:rPr>
          <w:rFonts w:ascii="Times New Roman" w:hAnsi="Times New Roman" w:cs="Times New Roman"/>
          <w:sz w:val="22"/>
          <w:szCs w:val="22"/>
        </w:rPr>
        <w:lastRenderedPageBreak/>
        <w:t>Table S5 Break-down of adverse events among indexes at 3-month follow up survey</w:t>
      </w:r>
      <w:bookmarkEnd w:id="46"/>
      <w:r w:rsidRPr="00775C2E">
        <w:rPr>
          <w:rFonts w:ascii="Times New Roman" w:hAnsi="Times New Roman" w:cs="Times New Roman"/>
          <w:sz w:val="22"/>
          <w:szCs w:val="22"/>
        </w:rPr>
        <w:t xml:space="preserve"> </w:t>
      </w:r>
    </w:p>
    <w:tbl>
      <w:tblPr>
        <w:tblStyle w:val="TableGrid"/>
        <w:tblW w:w="0" w:type="auto"/>
        <w:tblLook w:val="04A0" w:firstRow="1" w:lastRow="0" w:firstColumn="1" w:lastColumn="0" w:noHBand="0" w:noVBand="1"/>
      </w:tblPr>
      <w:tblGrid>
        <w:gridCol w:w="3337"/>
        <w:gridCol w:w="1587"/>
        <w:gridCol w:w="1630"/>
        <w:gridCol w:w="1735"/>
      </w:tblGrid>
      <w:tr w:rsidR="00DC6F7E" w:rsidRPr="00775C2E" w14:paraId="5A7E582F" w14:textId="77777777" w:rsidTr="008321B3">
        <w:trPr>
          <w:trHeight w:val="629"/>
        </w:trPr>
        <w:tc>
          <w:tcPr>
            <w:tcW w:w="3553" w:type="dxa"/>
          </w:tcPr>
          <w:p w14:paraId="63FF8C45"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 xml:space="preserve">Self-reported adverse events among indexes </w:t>
            </w:r>
          </w:p>
        </w:tc>
        <w:tc>
          <w:tcPr>
            <w:tcW w:w="1662" w:type="dxa"/>
          </w:tcPr>
          <w:p w14:paraId="5DB51359"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RL-SST</w:t>
            </w:r>
          </w:p>
          <w:p w14:paraId="06B426D6"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(n=42)</w:t>
            </w:r>
          </w:p>
        </w:tc>
        <w:tc>
          <w:tcPr>
            <w:tcW w:w="1710" w:type="dxa"/>
          </w:tcPr>
          <w:p w14:paraId="484289A0"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SOC</w:t>
            </w:r>
          </w:p>
          <w:p w14:paraId="3BA6AD92"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(n=</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045D89D7"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S-SST</w:t>
            </w:r>
          </w:p>
          <w:p w14:paraId="137DC1BE"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(n=</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458B3A2B" w14:textId="77777777" w:rsidTr="008321B3">
        <w:trPr>
          <w:trHeight w:val="1046"/>
        </w:trPr>
        <w:tc>
          <w:tcPr>
            <w:tcW w:w="3553" w:type="dxa"/>
          </w:tcPr>
          <w:p w14:paraId="3C09EBD3"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Alters</w:t>
            </w:r>
            <w:r w:rsidRPr="00775C2E">
              <w:rPr>
                <w:rFonts w:ascii="Times New Roman" w:hAnsi="Times New Roman" w:cs="Times New Roman"/>
                <w:color w:val="000000" w:themeColor="text1"/>
                <w:sz w:val="22"/>
              </w:rPr>
              <w:t xml:space="preserve"> didn’t know the reason why he was given the SST package, 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63A8D4F1"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47.6% (20/42)</w:t>
            </w:r>
          </w:p>
        </w:tc>
        <w:tc>
          <w:tcPr>
            <w:tcW w:w="1710" w:type="dxa"/>
          </w:tcPr>
          <w:p w14:paraId="5EFE12D7"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35</w:t>
            </w:r>
            <w:r w:rsidRPr="00775C2E">
              <w:rPr>
                <w:rFonts w:ascii="Times New Roman" w:hAnsi="Times New Roman" w:cs="Times New Roman"/>
                <w:color w:val="000000" w:themeColor="text1"/>
                <w:sz w:val="22"/>
              </w:rPr>
              <w:t>.1% (13/</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5425B485"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29.2</w:t>
            </w:r>
            <w:r w:rsidRPr="00775C2E">
              <w:rPr>
                <w:rFonts w:ascii="Times New Roman" w:hAnsi="Times New Roman" w:cs="Times New Roman"/>
                <w:color w:val="000000" w:themeColor="text1"/>
                <w:sz w:val="22"/>
              </w:rPr>
              <w:t>% (14/</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0186F56A" w14:textId="77777777" w:rsidTr="008321B3">
        <w:trPr>
          <w:trHeight w:val="1046"/>
        </w:trPr>
        <w:tc>
          <w:tcPr>
            <w:tcW w:w="3553" w:type="dxa"/>
          </w:tcPr>
          <w:p w14:paraId="09435406"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Alter</w:t>
            </w:r>
            <w:r w:rsidRPr="00775C2E">
              <w:rPr>
                <w:rFonts w:ascii="Times New Roman" w:hAnsi="Times New Roman" w:cs="Times New Roman"/>
                <w:color w:val="000000" w:themeColor="text1"/>
                <w:sz w:val="22"/>
              </w:rPr>
              <w:t xml:space="preserve"> fe</w:t>
            </w:r>
            <w:r>
              <w:rPr>
                <w:rFonts w:ascii="Times New Roman" w:hAnsi="Times New Roman" w:cs="Times New Roman"/>
                <w:color w:val="000000" w:themeColor="text1"/>
                <w:sz w:val="22"/>
              </w:rPr>
              <w:t>lt</w:t>
            </w:r>
            <w:r w:rsidRPr="00775C2E">
              <w:rPr>
                <w:rFonts w:ascii="Times New Roman" w:hAnsi="Times New Roman" w:cs="Times New Roman"/>
                <w:color w:val="000000" w:themeColor="text1"/>
                <w:sz w:val="22"/>
              </w:rPr>
              <w:t xml:space="preserve"> being humiliated for </w:t>
            </w:r>
            <w:r>
              <w:rPr>
                <w:rFonts w:ascii="Times New Roman" w:hAnsi="Times New Roman" w:cs="Times New Roman"/>
                <w:color w:val="000000" w:themeColor="text1"/>
                <w:sz w:val="22"/>
              </w:rPr>
              <w:t xml:space="preserve">being </w:t>
            </w:r>
            <w:r w:rsidRPr="00775C2E">
              <w:rPr>
                <w:rFonts w:ascii="Times New Roman" w:hAnsi="Times New Roman" w:cs="Times New Roman"/>
                <w:color w:val="000000" w:themeColor="text1"/>
                <w:sz w:val="22"/>
              </w:rPr>
              <w:t>giv</w:t>
            </w:r>
            <w:r>
              <w:rPr>
                <w:rFonts w:ascii="Times New Roman" w:hAnsi="Times New Roman" w:cs="Times New Roman"/>
                <w:color w:val="000000" w:themeColor="text1"/>
                <w:sz w:val="22"/>
              </w:rPr>
              <w:t>en</w:t>
            </w:r>
            <w:r w:rsidRPr="00775C2E">
              <w:rPr>
                <w:rFonts w:ascii="Times New Roman" w:hAnsi="Times New Roman" w:cs="Times New Roman"/>
                <w:color w:val="000000" w:themeColor="text1"/>
                <w:sz w:val="22"/>
              </w:rPr>
              <w:t xml:space="preserve"> the SST package,</w:t>
            </w:r>
            <w:r>
              <w:rPr>
                <w:rFonts w:ascii="Times New Roman" w:hAnsi="Times New Roman" w:cs="Times New Roman"/>
                <w:color w:val="000000" w:themeColor="text1"/>
                <w:sz w:val="22"/>
              </w:rPr>
              <w:t xml:space="preserve"> online</w:t>
            </w:r>
            <w:r w:rsidRPr="00775C2E">
              <w:rPr>
                <w:rFonts w:ascii="Times New Roman" w:hAnsi="Times New Roman" w:cs="Times New Roman"/>
                <w:color w:val="000000" w:themeColor="text1"/>
                <w:sz w:val="22"/>
              </w:rPr>
              <w:t xml:space="preserve"> 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76FB19D5"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 (2/42)</w:t>
            </w:r>
          </w:p>
        </w:tc>
        <w:tc>
          <w:tcPr>
            <w:tcW w:w="1710" w:type="dxa"/>
          </w:tcPr>
          <w:p w14:paraId="1A1AEE4D"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1</w:t>
            </w:r>
            <w:r>
              <w:rPr>
                <w:rFonts w:ascii="Times New Roman" w:hAnsi="Times New Roman" w:cs="Times New Roman"/>
                <w:color w:val="000000" w:themeColor="text1"/>
                <w:sz w:val="22"/>
              </w:rPr>
              <w:t>0.8</w:t>
            </w:r>
            <w:r w:rsidRPr="00775C2E">
              <w:rPr>
                <w:rFonts w:ascii="Times New Roman" w:hAnsi="Times New Roman" w:cs="Times New Roman"/>
                <w:color w:val="000000" w:themeColor="text1"/>
                <w:sz w:val="22"/>
              </w:rPr>
              <w:t>% (4/</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1634C56F"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4</w:t>
            </w:r>
            <w:r w:rsidRPr="00775C2E">
              <w:rPr>
                <w:rFonts w:ascii="Times New Roman" w:hAnsi="Times New Roman" w:cs="Times New Roman"/>
                <w:color w:val="000000" w:themeColor="text1"/>
                <w:sz w:val="22"/>
              </w:rPr>
              <w:t>.</w:t>
            </w:r>
            <w:r>
              <w:rPr>
                <w:rFonts w:ascii="Times New Roman" w:hAnsi="Times New Roman" w:cs="Times New Roman"/>
                <w:color w:val="000000" w:themeColor="text1"/>
                <w:sz w:val="22"/>
              </w:rPr>
              <w:t>2</w:t>
            </w:r>
            <w:r w:rsidRPr="00775C2E">
              <w:rPr>
                <w:rFonts w:ascii="Times New Roman" w:hAnsi="Times New Roman" w:cs="Times New Roman"/>
                <w:color w:val="000000" w:themeColor="text1"/>
                <w:sz w:val="22"/>
              </w:rPr>
              <w:t>% (2/</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0A3311B4" w14:textId="77777777" w:rsidTr="008321B3">
        <w:trPr>
          <w:trHeight w:val="1066"/>
        </w:trPr>
        <w:tc>
          <w:tcPr>
            <w:tcW w:w="3553" w:type="dxa"/>
          </w:tcPr>
          <w:p w14:paraId="31819EED"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Alter</w:t>
            </w:r>
            <w:r w:rsidRPr="00775C2E">
              <w:rPr>
                <w:rFonts w:ascii="Times New Roman" w:hAnsi="Times New Roman" w:cs="Times New Roman"/>
                <w:color w:val="000000" w:themeColor="text1"/>
                <w:sz w:val="22"/>
              </w:rPr>
              <w:t xml:space="preserve"> fe</w:t>
            </w:r>
            <w:r>
              <w:rPr>
                <w:rFonts w:ascii="Times New Roman" w:hAnsi="Times New Roman" w:cs="Times New Roman"/>
                <w:color w:val="000000" w:themeColor="text1"/>
                <w:sz w:val="22"/>
              </w:rPr>
              <w:t>lt</w:t>
            </w:r>
            <w:r w:rsidRPr="00775C2E">
              <w:rPr>
                <w:rFonts w:ascii="Times New Roman" w:hAnsi="Times New Roman" w:cs="Times New Roman"/>
                <w:color w:val="000000" w:themeColor="text1"/>
                <w:sz w:val="22"/>
              </w:rPr>
              <w:t xml:space="preserve"> being mistrusted for giving the SST package,</w:t>
            </w:r>
            <w:r>
              <w:rPr>
                <w:rFonts w:ascii="Times New Roman" w:hAnsi="Times New Roman" w:cs="Times New Roman"/>
                <w:color w:val="000000" w:themeColor="text1"/>
                <w:sz w:val="22"/>
              </w:rPr>
              <w:t xml:space="preserve"> online</w:t>
            </w:r>
            <w:r w:rsidRPr="00775C2E">
              <w:rPr>
                <w:rFonts w:ascii="Times New Roman" w:hAnsi="Times New Roman" w:cs="Times New Roman"/>
                <w:color w:val="000000" w:themeColor="text1"/>
                <w:sz w:val="22"/>
              </w:rPr>
              <w:t xml:space="preserve"> 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54BAC583"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26.2</w:t>
            </w:r>
            <w:r w:rsidRPr="00775C2E">
              <w:rPr>
                <w:rFonts w:ascii="Times New Roman" w:hAnsi="Times New Roman" w:cs="Times New Roman"/>
                <w:color w:val="000000" w:themeColor="text1"/>
                <w:sz w:val="22"/>
              </w:rPr>
              <w:t>% (11 /42)</w:t>
            </w:r>
          </w:p>
        </w:tc>
        <w:tc>
          <w:tcPr>
            <w:tcW w:w="1710" w:type="dxa"/>
          </w:tcPr>
          <w:p w14:paraId="1C3808A6"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27.0%</w:t>
            </w:r>
            <w:r w:rsidRPr="00775C2E">
              <w:rPr>
                <w:rFonts w:ascii="Times New Roman" w:hAnsi="Times New Roman" w:cs="Times New Roman"/>
                <w:color w:val="000000" w:themeColor="text1"/>
                <w:sz w:val="22"/>
              </w:rPr>
              <w:t xml:space="preserve"> (10 /</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2CB08034"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14</w:t>
            </w:r>
            <w:r w:rsidRPr="00775C2E">
              <w:rPr>
                <w:rFonts w:ascii="Times New Roman" w:hAnsi="Times New Roman" w:cs="Times New Roman"/>
                <w:color w:val="000000" w:themeColor="text1"/>
                <w:sz w:val="22"/>
              </w:rPr>
              <w:t>.</w:t>
            </w:r>
            <w:r>
              <w:rPr>
                <w:rFonts w:ascii="Times New Roman" w:hAnsi="Times New Roman" w:cs="Times New Roman"/>
                <w:color w:val="000000" w:themeColor="text1"/>
                <w:sz w:val="22"/>
              </w:rPr>
              <w:t>6</w:t>
            </w:r>
            <w:r w:rsidRPr="00775C2E">
              <w:rPr>
                <w:rFonts w:ascii="Times New Roman" w:hAnsi="Times New Roman" w:cs="Times New Roman"/>
                <w:color w:val="000000" w:themeColor="text1"/>
                <w:sz w:val="22"/>
              </w:rPr>
              <w:t>% (7/</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7A51E7E3" w14:textId="77777777" w:rsidTr="008321B3">
        <w:trPr>
          <w:trHeight w:val="691"/>
        </w:trPr>
        <w:tc>
          <w:tcPr>
            <w:tcW w:w="3553" w:type="dxa"/>
          </w:tcPr>
          <w:p w14:paraId="643ACC74"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Index</w:t>
            </w:r>
            <w:r w:rsidRPr="00775C2E">
              <w:rPr>
                <w:rFonts w:ascii="Times New Roman" w:hAnsi="Times New Roman" w:cs="Times New Roman"/>
                <w:color w:val="000000" w:themeColor="text1"/>
                <w:sz w:val="22"/>
              </w:rPr>
              <w:t xml:space="preserve"> receive</w:t>
            </w:r>
            <w:r>
              <w:rPr>
                <w:rFonts w:ascii="Times New Roman" w:hAnsi="Times New Roman" w:cs="Times New Roman"/>
                <w:color w:val="000000" w:themeColor="text1"/>
                <w:sz w:val="22"/>
              </w:rPr>
              <w:t>d</w:t>
            </w:r>
            <w:r w:rsidRPr="00775C2E">
              <w:rPr>
                <w:rFonts w:ascii="Times New Roman" w:hAnsi="Times New Roman" w:cs="Times New Roman"/>
                <w:color w:val="000000" w:themeColor="text1"/>
                <w:sz w:val="22"/>
              </w:rPr>
              <w:t xml:space="preserve"> verbal abuse, </w:t>
            </w:r>
            <w:proofErr w:type="spellStart"/>
            <w:r w:rsidRPr="00775C2E">
              <w:rPr>
                <w:rFonts w:ascii="Times New Roman" w:hAnsi="Times New Roman" w:cs="Times New Roman"/>
                <w:color w:val="000000" w:themeColor="text1"/>
                <w:sz w:val="22"/>
              </w:rPr>
              <w:t>e.g</w:t>
            </w:r>
            <w:proofErr w:type="spellEnd"/>
            <w:r w:rsidRPr="00775C2E">
              <w:rPr>
                <w:rFonts w:ascii="Times New Roman" w:hAnsi="Times New Roman" w:cs="Times New Roman"/>
                <w:color w:val="000000" w:themeColor="text1"/>
                <w:sz w:val="22"/>
              </w:rPr>
              <w:t xml:space="preserve"> argument, being shouted at when giving the SST package, </w:t>
            </w:r>
            <w:r>
              <w:rPr>
                <w:rFonts w:ascii="Times New Roman" w:hAnsi="Times New Roman" w:cs="Times New Roman"/>
                <w:color w:val="000000" w:themeColor="text1"/>
                <w:sz w:val="22"/>
              </w:rPr>
              <w:t xml:space="preserve">online </w:t>
            </w:r>
            <w:r w:rsidRPr="00775C2E">
              <w:rPr>
                <w:rFonts w:ascii="Times New Roman" w:hAnsi="Times New Roman" w:cs="Times New Roman"/>
                <w:color w:val="000000" w:themeColor="text1"/>
                <w:sz w:val="22"/>
              </w:rPr>
              <w:t xml:space="preserve">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3EC26278"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 (2/42)</w:t>
            </w:r>
          </w:p>
        </w:tc>
        <w:tc>
          <w:tcPr>
            <w:tcW w:w="1710" w:type="dxa"/>
          </w:tcPr>
          <w:p w14:paraId="424877C0"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6.3</w:t>
            </w:r>
            <w:r w:rsidRPr="00775C2E">
              <w:rPr>
                <w:rFonts w:ascii="Times New Roman" w:hAnsi="Times New Roman" w:cs="Times New Roman"/>
                <w:color w:val="000000" w:themeColor="text1"/>
                <w:sz w:val="22"/>
              </w:rPr>
              <w:t>% (3/</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7126D8A3"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0</w:t>
            </w:r>
            <w:r>
              <w:rPr>
                <w:rFonts w:ascii="Times New Roman" w:hAnsi="Times New Roman" w:cs="Times New Roman"/>
                <w:color w:val="000000" w:themeColor="text1"/>
                <w:sz w:val="22"/>
              </w:rPr>
              <w:t>.0%</w:t>
            </w:r>
            <w:r w:rsidRPr="00775C2E">
              <w:rPr>
                <w:rFonts w:ascii="Times New Roman" w:hAnsi="Times New Roman" w:cs="Times New Roman"/>
                <w:color w:val="000000" w:themeColor="text1"/>
                <w:sz w:val="22"/>
              </w:rPr>
              <w:t xml:space="preserve"> (0/</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31DCDD2E" w14:textId="77777777" w:rsidTr="008321B3">
        <w:trPr>
          <w:trHeight w:val="1066"/>
        </w:trPr>
        <w:tc>
          <w:tcPr>
            <w:tcW w:w="3553" w:type="dxa"/>
          </w:tcPr>
          <w:p w14:paraId="3339E747"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Index receive</w:t>
            </w:r>
            <w:r>
              <w:rPr>
                <w:rFonts w:ascii="Times New Roman" w:hAnsi="Times New Roman" w:cs="Times New Roman"/>
                <w:color w:val="000000" w:themeColor="text1"/>
                <w:sz w:val="22"/>
              </w:rPr>
              <w:t>d</w:t>
            </w:r>
            <w:r w:rsidRPr="00775C2E">
              <w:rPr>
                <w:rFonts w:ascii="Times New Roman" w:hAnsi="Times New Roman" w:cs="Times New Roman"/>
                <w:color w:val="000000" w:themeColor="text1"/>
                <w:sz w:val="22"/>
              </w:rPr>
              <w:t xml:space="preserve"> physical abuse, </w:t>
            </w:r>
            <w:proofErr w:type="spellStart"/>
            <w:r w:rsidRPr="00775C2E">
              <w:rPr>
                <w:rFonts w:ascii="Times New Roman" w:hAnsi="Times New Roman" w:cs="Times New Roman"/>
                <w:color w:val="000000" w:themeColor="text1"/>
                <w:sz w:val="22"/>
              </w:rPr>
              <w:t>e.g</w:t>
            </w:r>
            <w:proofErr w:type="spellEnd"/>
            <w:r w:rsidRPr="00775C2E">
              <w:rPr>
                <w:rFonts w:ascii="Times New Roman" w:hAnsi="Times New Roman" w:cs="Times New Roman"/>
                <w:color w:val="000000" w:themeColor="text1"/>
                <w:sz w:val="22"/>
              </w:rPr>
              <w:t xml:space="preserve"> being pushed or pulled or beaten up when giving the SST package, </w:t>
            </w:r>
            <w:r>
              <w:rPr>
                <w:rFonts w:ascii="Times New Roman" w:hAnsi="Times New Roman" w:cs="Times New Roman"/>
                <w:color w:val="000000" w:themeColor="text1"/>
                <w:sz w:val="22"/>
              </w:rPr>
              <w:t xml:space="preserve">online </w:t>
            </w:r>
            <w:r w:rsidRPr="00775C2E">
              <w:rPr>
                <w:rFonts w:ascii="Times New Roman" w:hAnsi="Times New Roman" w:cs="Times New Roman"/>
                <w:color w:val="000000" w:themeColor="text1"/>
                <w:sz w:val="22"/>
              </w:rPr>
              <w:t xml:space="preserve">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4F6A535A"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2</w:t>
            </w:r>
            <w:r w:rsidRPr="00775C2E">
              <w:rPr>
                <w:rFonts w:ascii="Times New Roman" w:hAnsi="Times New Roman" w:cs="Times New Roman"/>
                <w:color w:val="000000" w:themeColor="text1"/>
                <w:sz w:val="22"/>
              </w:rPr>
              <w:t>.</w:t>
            </w:r>
            <w:r>
              <w:rPr>
                <w:rFonts w:ascii="Times New Roman" w:hAnsi="Times New Roman" w:cs="Times New Roman"/>
                <w:color w:val="000000" w:themeColor="text1"/>
                <w:sz w:val="22"/>
              </w:rPr>
              <w:t>4</w:t>
            </w:r>
            <w:r w:rsidRPr="00775C2E">
              <w:rPr>
                <w:rFonts w:ascii="Times New Roman" w:hAnsi="Times New Roman" w:cs="Times New Roman"/>
                <w:color w:val="000000" w:themeColor="text1"/>
                <w:sz w:val="22"/>
              </w:rPr>
              <w:t>% (1/42)</w:t>
            </w:r>
          </w:p>
        </w:tc>
        <w:tc>
          <w:tcPr>
            <w:tcW w:w="1710" w:type="dxa"/>
          </w:tcPr>
          <w:p w14:paraId="3D0C8541"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2</w:t>
            </w:r>
            <w:r w:rsidRPr="00775C2E">
              <w:rPr>
                <w:rFonts w:ascii="Times New Roman" w:hAnsi="Times New Roman" w:cs="Times New Roman"/>
                <w:color w:val="000000" w:themeColor="text1"/>
                <w:sz w:val="22"/>
              </w:rPr>
              <w:t>.</w:t>
            </w:r>
            <w:r>
              <w:rPr>
                <w:rFonts w:ascii="Times New Roman" w:hAnsi="Times New Roman" w:cs="Times New Roman"/>
                <w:color w:val="000000" w:themeColor="text1"/>
                <w:sz w:val="22"/>
              </w:rPr>
              <w:t>7</w:t>
            </w:r>
            <w:r w:rsidRPr="00775C2E">
              <w:rPr>
                <w:rFonts w:ascii="Times New Roman" w:hAnsi="Times New Roman" w:cs="Times New Roman"/>
                <w:color w:val="000000" w:themeColor="text1"/>
                <w:sz w:val="22"/>
              </w:rPr>
              <w:t>% (1/</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2460D51F"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0</w:t>
            </w:r>
            <w:r>
              <w:rPr>
                <w:rFonts w:ascii="Times New Roman" w:hAnsi="Times New Roman" w:cs="Times New Roman"/>
                <w:color w:val="000000" w:themeColor="text1"/>
                <w:sz w:val="22"/>
              </w:rPr>
              <w:t>.0%</w:t>
            </w:r>
            <w:r w:rsidRPr="00775C2E">
              <w:rPr>
                <w:rFonts w:ascii="Times New Roman" w:hAnsi="Times New Roman" w:cs="Times New Roman"/>
                <w:color w:val="000000" w:themeColor="text1"/>
                <w:sz w:val="22"/>
              </w:rPr>
              <w:t xml:space="preserve"> (0/</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213FDFAE" w14:textId="77777777" w:rsidTr="008321B3">
        <w:trPr>
          <w:trHeight w:val="1402"/>
        </w:trPr>
        <w:tc>
          <w:tcPr>
            <w:tcW w:w="3553" w:type="dxa"/>
          </w:tcPr>
          <w:p w14:paraId="011DFC2A"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Index forced alter into testing using threatening, violence or negligence</w:t>
            </w:r>
          </w:p>
        </w:tc>
        <w:tc>
          <w:tcPr>
            <w:tcW w:w="1662" w:type="dxa"/>
          </w:tcPr>
          <w:p w14:paraId="765F918D"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0</w:t>
            </w:r>
            <w:r>
              <w:rPr>
                <w:rFonts w:ascii="Times New Roman" w:hAnsi="Times New Roman" w:cs="Times New Roman"/>
                <w:color w:val="000000" w:themeColor="text1"/>
                <w:sz w:val="22"/>
              </w:rPr>
              <w:t>.0%</w:t>
            </w:r>
            <w:r w:rsidRPr="00775C2E">
              <w:rPr>
                <w:rFonts w:ascii="Times New Roman" w:hAnsi="Times New Roman" w:cs="Times New Roman"/>
                <w:color w:val="000000" w:themeColor="text1"/>
                <w:sz w:val="22"/>
              </w:rPr>
              <w:t xml:space="preserve"> (0/42)</w:t>
            </w:r>
          </w:p>
        </w:tc>
        <w:tc>
          <w:tcPr>
            <w:tcW w:w="1710" w:type="dxa"/>
          </w:tcPr>
          <w:p w14:paraId="4B5FB433"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2</w:t>
            </w:r>
            <w:r w:rsidRPr="00775C2E">
              <w:rPr>
                <w:rFonts w:ascii="Times New Roman" w:hAnsi="Times New Roman" w:cs="Times New Roman"/>
                <w:color w:val="000000" w:themeColor="text1"/>
                <w:sz w:val="22"/>
              </w:rPr>
              <w:t>.</w:t>
            </w:r>
            <w:r>
              <w:rPr>
                <w:rFonts w:ascii="Times New Roman" w:hAnsi="Times New Roman" w:cs="Times New Roman"/>
                <w:color w:val="000000" w:themeColor="text1"/>
                <w:sz w:val="22"/>
              </w:rPr>
              <w:t>7</w:t>
            </w:r>
            <w:r w:rsidRPr="00775C2E">
              <w:rPr>
                <w:rFonts w:ascii="Times New Roman" w:hAnsi="Times New Roman" w:cs="Times New Roman"/>
                <w:color w:val="000000" w:themeColor="text1"/>
                <w:sz w:val="22"/>
              </w:rPr>
              <w:t>% (1/</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3190F626"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0</w:t>
            </w:r>
            <w:r>
              <w:rPr>
                <w:rFonts w:ascii="Times New Roman" w:hAnsi="Times New Roman" w:cs="Times New Roman"/>
                <w:color w:val="000000" w:themeColor="text1"/>
                <w:sz w:val="22"/>
              </w:rPr>
              <w:t>.0%</w:t>
            </w:r>
            <w:r w:rsidRPr="00775C2E">
              <w:rPr>
                <w:rFonts w:ascii="Times New Roman" w:hAnsi="Times New Roman" w:cs="Times New Roman"/>
                <w:color w:val="000000" w:themeColor="text1"/>
                <w:sz w:val="22"/>
              </w:rPr>
              <w:t xml:space="preserve"> (0/</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2B21AC35" w14:textId="77777777" w:rsidTr="008321B3">
        <w:trPr>
          <w:trHeight w:val="335"/>
        </w:trPr>
        <w:tc>
          <w:tcPr>
            <w:tcW w:w="3553" w:type="dxa"/>
          </w:tcPr>
          <w:p w14:paraId="2A74E1D1"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Index was b</w:t>
            </w:r>
            <w:r w:rsidRPr="00775C2E">
              <w:rPr>
                <w:rFonts w:ascii="Times New Roman" w:hAnsi="Times New Roman" w:cs="Times New Roman"/>
                <w:color w:val="000000" w:themeColor="text1"/>
                <w:sz w:val="22"/>
              </w:rPr>
              <w:t>eing alienated</w:t>
            </w:r>
            <w:r>
              <w:rPr>
                <w:rFonts w:ascii="Times New Roman" w:hAnsi="Times New Roman" w:cs="Times New Roman"/>
                <w:color w:val="000000" w:themeColor="text1"/>
                <w:sz w:val="22"/>
              </w:rPr>
              <w:t xml:space="preserve"> for giving</w:t>
            </w:r>
            <w:r w:rsidRPr="00775C2E">
              <w:rPr>
                <w:rFonts w:ascii="Times New Roman" w:hAnsi="Times New Roman" w:cs="Times New Roman"/>
                <w:color w:val="000000" w:themeColor="text1"/>
                <w:sz w:val="22"/>
              </w:rPr>
              <w:t xml:space="preserve"> the SST package, </w:t>
            </w:r>
            <w:r>
              <w:rPr>
                <w:rFonts w:ascii="Times New Roman" w:hAnsi="Times New Roman" w:cs="Times New Roman"/>
                <w:color w:val="000000" w:themeColor="text1"/>
                <w:sz w:val="22"/>
              </w:rPr>
              <w:t xml:space="preserve">online </w:t>
            </w:r>
            <w:r w:rsidRPr="00775C2E">
              <w:rPr>
                <w:rFonts w:ascii="Times New Roman" w:hAnsi="Times New Roman" w:cs="Times New Roman"/>
                <w:color w:val="000000" w:themeColor="text1"/>
                <w:sz w:val="22"/>
              </w:rPr>
              <w:t xml:space="preserve">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r>
              <w:rPr>
                <w:rFonts w:ascii="Times New Roman" w:hAnsi="Times New Roman" w:cs="Times New Roman"/>
                <w:color w:val="000000" w:themeColor="text1"/>
                <w:sz w:val="22"/>
              </w:rPr>
              <w:t xml:space="preserve"> </w:t>
            </w:r>
          </w:p>
        </w:tc>
        <w:tc>
          <w:tcPr>
            <w:tcW w:w="1662" w:type="dxa"/>
          </w:tcPr>
          <w:p w14:paraId="6107CCF7"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1</w:t>
            </w:r>
            <w:r w:rsidRPr="00775C2E">
              <w:rPr>
                <w:rFonts w:ascii="Times New Roman" w:hAnsi="Times New Roman" w:cs="Times New Roman"/>
                <w:color w:val="000000" w:themeColor="text1"/>
                <w:sz w:val="22"/>
              </w:rPr>
              <w:t>.</w:t>
            </w:r>
            <w:r>
              <w:rPr>
                <w:rFonts w:ascii="Times New Roman" w:hAnsi="Times New Roman" w:cs="Times New Roman"/>
                <w:color w:val="000000" w:themeColor="text1"/>
                <w:sz w:val="22"/>
              </w:rPr>
              <w:t>4</w:t>
            </w:r>
            <w:r w:rsidRPr="00775C2E">
              <w:rPr>
                <w:rFonts w:ascii="Times New Roman" w:hAnsi="Times New Roman" w:cs="Times New Roman"/>
                <w:color w:val="000000" w:themeColor="text1"/>
                <w:sz w:val="22"/>
              </w:rPr>
              <w:t>% (6/42)</w:t>
            </w:r>
          </w:p>
        </w:tc>
        <w:tc>
          <w:tcPr>
            <w:tcW w:w="1710" w:type="dxa"/>
          </w:tcPr>
          <w:p w14:paraId="034F08DC"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10</w:t>
            </w:r>
            <w:r w:rsidRPr="00775C2E">
              <w:rPr>
                <w:rFonts w:ascii="Times New Roman" w:hAnsi="Times New Roman" w:cs="Times New Roman"/>
                <w:color w:val="000000" w:themeColor="text1"/>
                <w:sz w:val="22"/>
              </w:rPr>
              <w:t>.</w:t>
            </w:r>
            <w:r>
              <w:rPr>
                <w:rFonts w:ascii="Times New Roman" w:hAnsi="Times New Roman" w:cs="Times New Roman"/>
                <w:color w:val="000000" w:themeColor="text1"/>
                <w:sz w:val="22"/>
              </w:rPr>
              <w:t>8</w:t>
            </w:r>
            <w:r w:rsidRPr="00775C2E">
              <w:rPr>
                <w:rFonts w:ascii="Times New Roman" w:hAnsi="Times New Roman" w:cs="Times New Roman"/>
                <w:color w:val="000000" w:themeColor="text1"/>
                <w:sz w:val="22"/>
              </w:rPr>
              <w:t>% (4/</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0A138D55"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1</w:t>
            </w:r>
            <w:r w:rsidRPr="00775C2E">
              <w:rPr>
                <w:rFonts w:ascii="Times New Roman" w:hAnsi="Times New Roman" w:cs="Times New Roman"/>
                <w:color w:val="000000" w:themeColor="text1"/>
                <w:sz w:val="22"/>
              </w:rPr>
              <w:t>0.</w:t>
            </w:r>
            <w:r>
              <w:rPr>
                <w:rFonts w:ascii="Times New Roman" w:hAnsi="Times New Roman" w:cs="Times New Roman"/>
                <w:color w:val="000000" w:themeColor="text1"/>
                <w:sz w:val="22"/>
              </w:rPr>
              <w:t>4</w:t>
            </w:r>
            <w:r w:rsidRPr="00775C2E">
              <w:rPr>
                <w:rFonts w:ascii="Times New Roman" w:hAnsi="Times New Roman" w:cs="Times New Roman"/>
                <w:color w:val="000000" w:themeColor="text1"/>
                <w:sz w:val="22"/>
              </w:rPr>
              <w:t>% (5/</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13876B08" w14:textId="77777777" w:rsidTr="008321B3">
        <w:trPr>
          <w:trHeight w:val="335"/>
        </w:trPr>
        <w:tc>
          <w:tcPr>
            <w:tcW w:w="3553" w:type="dxa"/>
          </w:tcPr>
          <w:p w14:paraId="45D82BCF"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None</w:t>
            </w:r>
            <w:r>
              <w:rPr>
                <w:rFonts w:ascii="Times New Roman" w:hAnsi="Times New Roman" w:cs="Times New Roman"/>
                <w:color w:val="000000" w:themeColor="text1"/>
                <w:sz w:val="22"/>
              </w:rPr>
              <w:t xml:space="preserve"> of these above</w:t>
            </w:r>
          </w:p>
        </w:tc>
        <w:tc>
          <w:tcPr>
            <w:tcW w:w="1662" w:type="dxa"/>
          </w:tcPr>
          <w:p w14:paraId="1115887E"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45.2% (19/42)</w:t>
            </w:r>
          </w:p>
        </w:tc>
        <w:tc>
          <w:tcPr>
            <w:tcW w:w="1710" w:type="dxa"/>
          </w:tcPr>
          <w:p w14:paraId="0222154E"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r>
              <w:rPr>
                <w:rFonts w:ascii="Times New Roman" w:hAnsi="Times New Roman" w:cs="Times New Roman"/>
                <w:color w:val="000000" w:themeColor="text1"/>
                <w:sz w:val="22"/>
              </w:rPr>
              <w:t>6</w:t>
            </w:r>
            <w:r w:rsidRPr="00775C2E">
              <w:rPr>
                <w:rFonts w:ascii="Times New Roman" w:hAnsi="Times New Roman" w:cs="Times New Roman"/>
                <w:color w:val="000000" w:themeColor="text1"/>
                <w:sz w:val="22"/>
              </w:rPr>
              <w:t>% (18/</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70980868"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60.4</w:t>
            </w:r>
            <w:r w:rsidRPr="00775C2E">
              <w:rPr>
                <w:rFonts w:ascii="Times New Roman" w:hAnsi="Times New Roman" w:cs="Times New Roman"/>
                <w:color w:val="000000" w:themeColor="text1"/>
                <w:sz w:val="22"/>
              </w:rPr>
              <w:t>% (29/</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r w:rsidR="00DC6F7E" w:rsidRPr="00775C2E" w14:paraId="7C0BA59F" w14:textId="77777777" w:rsidTr="008321B3">
        <w:trPr>
          <w:trHeight w:val="355"/>
        </w:trPr>
        <w:tc>
          <w:tcPr>
            <w:tcW w:w="3553" w:type="dxa"/>
          </w:tcPr>
          <w:p w14:paraId="4D21D604"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 xml:space="preserve">Total adverse events  </w:t>
            </w:r>
          </w:p>
        </w:tc>
        <w:tc>
          <w:tcPr>
            <w:tcW w:w="1662" w:type="dxa"/>
          </w:tcPr>
          <w:p w14:paraId="261C3591"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54.8% (23/42)</w:t>
            </w:r>
          </w:p>
        </w:tc>
        <w:tc>
          <w:tcPr>
            <w:tcW w:w="1710" w:type="dxa"/>
          </w:tcPr>
          <w:p w14:paraId="233FB48C"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51.3</w:t>
            </w:r>
            <w:r w:rsidRPr="00775C2E">
              <w:rPr>
                <w:rFonts w:ascii="Times New Roman" w:hAnsi="Times New Roman" w:cs="Times New Roman"/>
                <w:color w:val="000000" w:themeColor="text1"/>
                <w:sz w:val="22"/>
              </w:rPr>
              <w:t>% (19/</w:t>
            </w:r>
            <w:r>
              <w:rPr>
                <w:rFonts w:ascii="Times New Roman" w:hAnsi="Times New Roman" w:cs="Times New Roman"/>
                <w:color w:val="000000" w:themeColor="text1"/>
                <w:sz w:val="22"/>
              </w:rPr>
              <w:t>37</w:t>
            </w:r>
            <w:r w:rsidRPr="00775C2E">
              <w:rPr>
                <w:rFonts w:ascii="Times New Roman" w:hAnsi="Times New Roman" w:cs="Times New Roman"/>
                <w:color w:val="000000" w:themeColor="text1"/>
                <w:sz w:val="22"/>
              </w:rPr>
              <w:t>)</w:t>
            </w:r>
          </w:p>
        </w:tc>
        <w:tc>
          <w:tcPr>
            <w:tcW w:w="1825" w:type="dxa"/>
          </w:tcPr>
          <w:p w14:paraId="5DFE3387"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39.6</w:t>
            </w:r>
            <w:r w:rsidRPr="00775C2E">
              <w:rPr>
                <w:rFonts w:ascii="Times New Roman" w:hAnsi="Times New Roman" w:cs="Times New Roman"/>
                <w:color w:val="000000" w:themeColor="text1"/>
                <w:sz w:val="22"/>
              </w:rPr>
              <w:t>% (19/</w:t>
            </w:r>
            <w:r>
              <w:rPr>
                <w:rFonts w:ascii="Times New Roman" w:hAnsi="Times New Roman" w:cs="Times New Roman"/>
                <w:color w:val="000000" w:themeColor="text1"/>
                <w:sz w:val="22"/>
              </w:rPr>
              <w:t>48</w:t>
            </w:r>
            <w:r w:rsidRPr="00775C2E">
              <w:rPr>
                <w:rFonts w:ascii="Times New Roman" w:hAnsi="Times New Roman" w:cs="Times New Roman"/>
                <w:color w:val="000000" w:themeColor="text1"/>
                <w:sz w:val="22"/>
              </w:rPr>
              <w:t>)</w:t>
            </w:r>
          </w:p>
        </w:tc>
      </w:tr>
    </w:tbl>
    <w:p w14:paraId="0467911C" w14:textId="77777777" w:rsidR="00DC6F7E" w:rsidRPr="00775C2E" w:rsidRDefault="00DC6F7E" w:rsidP="00DC6F7E">
      <w:pPr>
        <w:widowControl/>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br w:type="page"/>
      </w:r>
    </w:p>
    <w:p w14:paraId="14369160" w14:textId="77777777" w:rsidR="00DC6F7E" w:rsidRPr="00775C2E" w:rsidRDefault="00DC6F7E" w:rsidP="00DC6F7E">
      <w:pPr>
        <w:pStyle w:val="Heading1"/>
        <w:rPr>
          <w:rFonts w:ascii="Times New Roman" w:hAnsi="Times New Roman" w:cs="Times New Roman"/>
          <w:sz w:val="22"/>
          <w:szCs w:val="22"/>
        </w:rPr>
      </w:pPr>
      <w:bookmarkStart w:id="47" w:name="_Toc101122707"/>
      <w:r w:rsidRPr="00775C2E">
        <w:rPr>
          <w:rFonts w:ascii="Times New Roman" w:hAnsi="Times New Roman" w:cs="Times New Roman"/>
          <w:sz w:val="22"/>
          <w:szCs w:val="22"/>
        </w:rPr>
        <w:lastRenderedPageBreak/>
        <w:t>Table S6 Break-down of adverse events among alters at alter survey</w:t>
      </w:r>
      <w:bookmarkEnd w:id="47"/>
    </w:p>
    <w:tbl>
      <w:tblPr>
        <w:tblStyle w:val="TableGrid"/>
        <w:tblW w:w="0" w:type="auto"/>
        <w:tblLook w:val="04A0" w:firstRow="1" w:lastRow="0" w:firstColumn="1" w:lastColumn="0" w:noHBand="0" w:noVBand="1"/>
      </w:tblPr>
      <w:tblGrid>
        <w:gridCol w:w="3341"/>
        <w:gridCol w:w="1588"/>
        <w:gridCol w:w="1624"/>
        <w:gridCol w:w="1736"/>
      </w:tblGrid>
      <w:tr w:rsidR="00DC6F7E" w:rsidRPr="00775C2E" w14:paraId="27A3CC43" w14:textId="77777777" w:rsidTr="008321B3">
        <w:trPr>
          <w:trHeight w:val="629"/>
        </w:trPr>
        <w:tc>
          <w:tcPr>
            <w:tcW w:w="3553" w:type="dxa"/>
          </w:tcPr>
          <w:p w14:paraId="0C73DE2E"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 xml:space="preserve">Self-reported adverse events among alters </w:t>
            </w:r>
          </w:p>
        </w:tc>
        <w:tc>
          <w:tcPr>
            <w:tcW w:w="1662" w:type="dxa"/>
          </w:tcPr>
          <w:p w14:paraId="541F3711"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RL-SST</w:t>
            </w:r>
          </w:p>
          <w:p w14:paraId="4C907565"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(n=</w:t>
            </w:r>
            <w:r>
              <w:rPr>
                <w:rFonts w:ascii="Times New Roman" w:hAnsi="Times New Roman" w:cs="Times New Roman"/>
                <w:color w:val="000000" w:themeColor="text1"/>
                <w:sz w:val="22"/>
              </w:rPr>
              <w:t>31</w:t>
            </w:r>
            <w:r w:rsidRPr="00775C2E">
              <w:rPr>
                <w:rFonts w:ascii="Times New Roman" w:hAnsi="Times New Roman" w:cs="Times New Roman"/>
                <w:color w:val="000000" w:themeColor="text1"/>
                <w:sz w:val="22"/>
              </w:rPr>
              <w:t>)</w:t>
            </w:r>
          </w:p>
        </w:tc>
        <w:tc>
          <w:tcPr>
            <w:tcW w:w="1710" w:type="dxa"/>
          </w:tcPr>
          <w:p w14:paraId="5CF484F2"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SOC</w:t>
            </w:r>
          </w:p>
          <w:p w14:paraId="2B9D2F47"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(n=</w:t>
            </w:r>
            <w:r>
              <w:rPr>
                <w:rFonts w:ascii="Times New Roman" w:hAnsi="Times New Roman" w:cs="Times New Roman"/>
                <w:color w:val="000000" w:themeColor="text1"/>
                <w:sz w:val="22"/>
              </w:rPr>
              <w:t>5</w:t>
            </w:r>
            <w:r w:rsidRPr="00775C2E">
              <w:rPr>
                <w:rFonts w:ascii="Times New Roman" w:hAnsi="Times New Roman" w:cs="Times New Roman"/>
                <w:color w:val="000000" w:themeColor="text1"/>
                <w:sz w:val="22"/>
              </w:rPr>
              <w:t>)</w:t>
            </w:r>
          </w:p>
        </w:tc>
        <w:tc>
          <w:tcPr>
            <w:tcW w:w="1825" w:type="dxa"/>
          </w:tcPr>
          <w:p w14:paraId="482B77D5"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S-SST</w:t>
            </w:r>
          </w:p>
          <w:p w14:paraId="46A0F355"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(n=</w:t>
            </w:r>
            <w:r>
              <w:rPr>
                <w:rFonts w:ascii="Times New Roman" w:hAnsi="Times New Roman" w:cs="Times New Roman"/>
                <w:color w:val="000000" w:themeColor="text1"/>
                <w:sz w:val="22"/>
              </w:rPr>
              <w:t>46</w:t>
            </w:r>
            <w:r w:rsidRPr="00775C2E">
              <w:rPr>
                <w:rFonts w:ascii="Times New Roman" w:hAnsi="Times New Roman" w:cs="Times New Roman"/>
                <w:color w:val="000000" w:themeColor="text1"/>
                <w:sz w:val="22"/>
              </w:rPr>
              <w:t>)</w:t>
            </w:r>
          </w:p>
        </w:tc>
      </w:tr>
      <w:tr w:rsidR="00DC6F7E" w:rsidRPr="00775C2E" w14:paraId="6CE0734C" w14:textId="77777777" w:rsidTr="008321B3">
        <w:trPr>
          <w:trHeight w:val="1046"/>
        </w:trPr>
        <w:tc>
          <w:tcPr>
            <w:tcW w:w="3553" w:type="dxa"/>
          </w:tcPr>
          <w:p w14:paraId="51DFEBA6"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Alter didn’t know the reason why he was given the SST</w:t>
            </w:r>
          </w:p>
        </w:tc>
        <w:tc>
          <w:tcPr>
            <w:tcW w:w="1662" w:type="dxa"/>
          </w:tcPr>
          <w:p w14:paraId="166019D2"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r>
              <w:rPr>
                <w:rFonts w:ascii="Times New Roman" w:hAnsi="Times New Roman" w:cs="Times New Roman"/>
                <w:color w:val="000000" w:themeColor="text1"/>
                <w:sz w:val="22"/>
              </w:rPr>
              <w:t>9.0%</w:t>
            </w:r>
            <w:r>
              <w:rPr>
                <w:rFonts w:ascii="Times New Roman" w:hAnsi="Times New Roman" w:cs="Times New Roman" w:hint="eastAsia"/>
                <w:color w:val="000000" w:themeColor="text1"/>
                <w:sz w:val="22"/>
              </w:rPr>
              <w:t xml:space="preserve"> (</w:t>
            </w:r>
            <w:r>
              <w:rPr>
                <w:rFonts w:ascii="Times New Roman" w:hAnsi="Times New Roman" w:cs="Times New Roman"/>
                <w:color w:val="000000" w:themeColor="text1"/>
                <w:sz w:val="22"/>
              </w:rPr>
              <w:t>9/31)</w:t>
            </w:r>
          </w:p>
        </w:tc>
        <w:tc>
          <w:tcPr>
            <w:tcW w:w="1710" w:type="dxa"/>
          </w:tcPr>
          <w:p w14:paraId="7FCB50F2"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r>
              <w:rPr>
                <w:rFonts w:ascii="Times New Roman" w:hAnsi="Times New Roman" w:cs="Times New Roman"/>
                <w:color w:val="000000" w:themeColor="text1"/>
                <w:sz w:val="22"/>
              </w:rPr>
              <w:t>0.0% (1/5)</w:t>
            </w:r>
          </w:p>
        </w:tc>
        <w:tc>
          <w:tcPr>
            <w:tcW w:w="1825" w:type="dxa"/>
          </w:tcPr>
          <w:p w14:paraId="35ED54F1"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21.7%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10/46)</w:t>
            </w:r>
          </w:p>
        </w:tc>
      </w:tr>
      <w:tr w:rsidR="00DC6F7E" w:rsidRPr="00775C2E" w14:paraId="2F7E70FC" w14:textId="77777777" w:rsidTr="008321B3">
        <w:trPr>
          <w:trHeight w:val="1046"/>
        </w:trPr>
        <w:tc>
          <w:tcPr>
            <w:tcW w:w="3553" w:type="dxa"/>
          </w:tcPr>
          <w:p w14:paraId="79B40AF7"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Alter fe</w:t>
            </w:r>
            <w:r>
              <w:rPr>
                <w:rFonts w:ascii="Times New Roman" w:hAnsi="Times New Roman" w:cs="Times New Roman"/>
                <w:color w:val="000000" w:themeColor="text1"/>
                <w:sz w:val="22"/>
              </w:rPr>
              <w:t>lt</w:t>
            </w:r>
            <w:r w:rsidRPr="00775C2E">
              <w:rPr>
                <w:rFonts w:ascii="Times New Roman" w:hAnsi="Times New Roman" w:cs="Times New Roman"/>
                <w:color w:val="000000" w:themeColor="text1"/>
                <w:sz w:val="22"/>
              </w:rPr>
              <w:t xml:space="preserve"> being humiliated when received the SST package, 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0B15965A"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6.5%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2/31)</w:t>
            </w:r>
          </w:p>
        </w:tc>
        <w:tc>
          <w:tcPr>
            <w:tcW w:w="1710" w:type="dxa"/>
          </w:tcPr>
          <w:p w14:paraId="5635AE78"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w:t>
            </w:r>
            <w:r>
              <w:rPr>
                <w:rFonts w:ascii="Times New Roman" w:hAnsi="Times New Roman" w:cs="Times New Roman"/>
                <w:color w:val="000000" w:themeColor="text1"/>
                <w:sz w:val="22"/>
              </w:rPr>
              <w:t>.0% (0/5)</w:t>
            </w:r>
          </w:p>
        </w:tc>
        <w:tc>
          <w:tcPr>
            <w:tcW w:w="1825" w:type="dxa"/>
          </w:tcPr>
          <w:p w14:paraId="64731F23"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2.2%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1/46)</w:t>
            </w:r>
          </w:p>
        </w:tc>
      </w:tr>
      <w:tr w:rsidR="00DC6F7E" w:rsidRPr="00775C2E" w14:paraId="4B55BEB5" w14:textId="77777777" w:rsidTr="008321B3">
        <w:trPr>
          <w:trHeight w:val="1066"/>
        </w:trPr>
        <w:tc>
          <w:tcPr>
            <w:tcW w:w="3553" w:type="dxa"/>
          </w:tcPr>
          <w:p w14:paraId="20C14346"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Alter fe</w:t>
            </w:r>
            <w:r>
              <w:rPr>
                <w:rFonts w:ascii="Times New Roman" w:hAnsi="Times New Roman" w:cs="Times New Roman"/>
                <w:color w:val="000000" w:themeColor="text1"/>
                <w:sz w:val="22"/>
              </w:rPr>
              <w:t>lt</w:t>
            </w:r>
            <w:r w:rsidRPr="00775C2E">
              <w:rPr>
                <w:rFonts w:ascii="Times New Roman" w:hAnsi="Times New Roman" w:cs="Times New Roman"/>
                <w:color w:val="000000" w:themeColor="text1"/>
                <w:sz w:val="22"/>
              </w:rPr>
              <w:t xml:space="preserve"> being mistrusted when received the SST package, 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313E9219"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3.2%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1/31)</w:t>
            </w:r>
          </w:p>
        </w:tc>
        <w:tc>
          <w:tcPr>
            <w:tcW w:w="1710" w:type="dxa"/>
          </w:tcPr>
          <w:p w14:paraId="48778F5D"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w:t>
            </w:r>
            <w:r>
              <w:rPr>
                <w:rFonts w:ascii="Times New Roman" w:hAnsi="Times New Roman" w:cs="Times New Roman"/>
                <w:color w:val="000000" w:themeColor="text1"/>
                <w:sz w:val="22"/>
              </w:rPr>
              <w:t>.0% (0/5)</w:t>
            </w:r>
          </w:p>
        </w:tc>
        <w:tc>
          <w:tcPr>
            <w:tcW w:w="1825" w:type="dxa"/>
          </w:tcPr>
          <w:p w14:paraId="2DC3CB29"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8.7%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4/46)</w:t>
            </w:r>
          </w:p>
        </w:tc>
      </w:tr>
      <w:tr w:rsidR="00DC6F7E" w:rsidRPr="00775C2E" w14:paraId="720C11D5" w14:textId="77777777" w:rsidTr="008321B3">
        <w:trPr>
          <w:trHeight w:val="691"/>
        </w:trPr>
        <w:tc>
          <w:tcPr>
            <w:tcW w:w="3553" w:type="dxa"/>
          </w:tcPr>
          <w:p w14:paraId="3382054A"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 xml:space="preserve">Alter had verbal conflict, </w:t>
            </w:r>
            <w:proofErr w:type="spellStart"/>
            <w:r w:rsidRPr="00775C2E">
              <w:rPr>
                <w:rFonts w:ascii="Times New Roman" w:hAnsi="Times New Roman" w:cs="Times New Roman"/>
                <w:color w:val="000000" w:themeColor="text1"/>
                <w:sz w:val="22"/>
              </w:rPr>
              <w:t>e.g</w:t>
            </w:r>
            <w:proofErr w:type="spellEnd"/>
            <w:r w:rsidRPr="00775C2E">
              <w:rPr>
                <w:rFonts w:ascii="Times New Roman" w:hAnsi="Times New Roman" w:cs="Times New Roman"/>
                <w:color w:val="000000" w:themeColor="text1"/>
                <w:sz w:val="22"/>
              </w:rPr>
              <w:t xml:space="preserve"> ha</w:t>
            </w:r>
            <w:r>
              <w:rPr>
                <w:rFonts w:ascii="Times New Roman" w:hAnsi="Times New Roman" w:cs="Times New Roman"/>
                <w:color w:val="000000" w:themeColor="text1"/>
                <w:sz w:val="22"/>
              </w:rPr>
              <w:t>d</w:t>
            </w:r>
            <w:r w:rsidRPr="00775C2E">
              <w:rPr>
                <w:rFonts w:ascii="Times New Roman" w:hAnsi="Times New Roman" w:cs="Times New Roman"/>
                <w:color w:val="000000" w:themeColor="text1"/>
                <w:sz w:val="22"/>
              </w:rPr>
              <w:t xml:space="preserve"> an argument or shout at </w:t>
            </w:r>
            <w:r>
              <w:rPr>
                <w:rFonts w:ascii="Times New Roman" w:hAnsi="Times New Roman" w:cs="Times New Roman"/>
                <w:color w:val="000000" w:themeColor="text1"/>
                <w:sz w:val="22"/>
              </w:rPr>
              <w:t>indexes</w:t>
            </w:r>
            <w:r w:rsidRPr="00775C2E">
              <w:rPr>
                <w:rFonts w:ascii="Times New Roman" w:hAnsi="Times New Roman" w:cs="Times New Roman"/>
                <w:color w:val="000000" w:themeColor="text1"/>
                <w:sz w:val="22"/>
              </w:rPr>
              <w:t xml:space="preserve"> when received the SST package, 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1E11B210"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3.2%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1/31)</w:t>
            </w:r>
          </w:p>
        </w:tc>
        <w:tc>
          <w:tcPr>
            <w:tcW w:w="1710" w:type="dxa"/>
          </w:tcPr>
          <w:p w14:paraId="27E8E2E9"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w:t>
            </w:r>
            <w:r>
              <w:rPr>
                <w:rFonts w:ascii="Times New Roman" w:hAnsi="Times New Roman" w:cs="Times New Roman"/>
                <w:color w:val="000000" w:themeColor="text1"/>
                <w:sz w:val="22"/>
              </w:rPr>
              <w:t>.0% (0/5)</w:t>
            </w:r>
          </w:p>
        </w:tc>
        <w:tc>
          <w:tcPr>
            <w:tcW w:w="1825" w:type="dxa"/>
          </w:tcPr>
          <w:p w14:paraId="2C55C8FB"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2.2%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1/46)</w:t>
            </w:r>
          </w:p>
        </w:tc>
      </w:tr>
      <w:tr w:rsidR="00DC6F7E" w:rsidRPr="00775C2E" w14:paraId="35BBB66F" w14:textId="77777777" w:rsidTr="008321B3">
        <w:trPr>
          <w:trHeight w:val="1066"/>
        </w:trPr>
        <w:tc>
          <w:tcPr>
            <w:tcW w:w="3553" w:type="dxa"/>
          </w:tcPr>
          <w:p w14:paraId="5415119D"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 xml:space="preserve">Alter had physical conflict, </w:t>
            </w:r>
            <w:proofErr w:type="spellStart"/>
            <w:r w:rsidRPr="00775C2E">
              <w:rPr>
                <w:rFonts w:ascii="Times New Roman" w:hAnsi="Times New Roman" w:cs="Times New Roman"/>
                <w:color w:val="000000" w:themeColor="text1"/>
                <w:sz w:val="22"/>
              </w:rPr>
              <w:t>e.g</w:t>
            </w:r>
            <w:proofErr w:type="spellEnd"/>
            <w:r w:rsidRPr="00775C2E">
              <w:rPr>
                <w:rFonts w:ascii="Times New Roman" w:hAnsi="Times New Roman" w:cs="Times New Roman"/>
                <w:color w:val="000000" w:themeColor="text1"/>
                <w:sz w:val="22"/>
              </w:rPr>
              <w:t xml:space="preserve"> push or pull or beat up when received the SST package, 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475189FA"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6.5%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2/31)</w:t>
            </w:r>
          </w:p>
        </w:tc>
        <w:tc>
          <w:tcPr>
            <w:tcW w:w="1710" w:type="dxa"/>
          </w:tcPr>
          <w:p w14:paraId="1E2722C6"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w:t>
            </w:r>
            <w:r>
              <w:rPr>
                <w:rFonts w:ascii="Times New Roman" w:hAnsi="Times New Roman" w:cs="Times New Roman"/>
                <w:color w:val="000000" w:themeColor="text1"/>
                <w:sz w:val="22"/>
              </w:rPr>
              <w:t>.0% (0/5)</w:t>
            </w:r>
          </w:p>
        </w:tc>
        <w:tc>
          <w:tcPr>
            <w:tcW w:w="1825" w:type="dxa"/>
          </w:tcPr>
          <w:p w14:paraId="5E6DCF6F"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4.3%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2/46)</w:t>
            </w:r>
          </w:p>
        </w:tc>
      </w:tr>
      <w:tr w:rsidR="00DC6F7E" w:rsidRPr="00775C2E" w14:paraId="74982497" w14:textId="77777777" w:rsidTr="008321B3">
        <w:trPr>
          <w:trHeight w:val="1402"/>
        </w:trPr>
        <w:tc>
          <w:tcPr>
            <w:tcW w:w="3553" w:type="dxa"/>
          </w:tcPr>
          <w:p w14:paraId="7D528362"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Alter being forced into testing using threatening, violence or negligence</w:t>
            </w:r>
          </w:p>
        </w:tc>
        <w:tc>
          <w:tcPr>
            <w:tcW w:w="1662" w:type="dxa"/>
          </w:tcPr>
          <w:p w14:paraId="6187363E"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0.0%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0/31)</w:t>
            </w:r>
          </w:p>
        </w:tc>
        <w:tc>
          <w:tcPr>
            <w:tcW w:w="1710" w:type="dxa"/>
          </w:tcPr>
          <w:p w14:paraId="1B38DB3E"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w:t>
            </w:r>
            <w:r>
              <w:rPr>
                <w:rFonts w:ascii="Times New Roman" w:hAnsi="Times New Roman" w:cs="Times New Roman"/>
                <w:color w:val="000000" w:themeColor="text1"/>
                <w:sz w:val="22"/>
              </w:rPr>
              <w:t>.0% (0/5)</w:t>
            </w:r>
          </w:p>
        </w:tc>
        <w:tc>
          <w:tcPr>
            <w:tcW w:w="1825" w:type="dxa"/>
          </w:tcPr>
          <w:p w14:paraId="6F3F9085"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4.3%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2/46)</w:t>
            </w:r>
          </w:p>
        </w:tc>
      </w:tr>
      <w:tr w:rsidR="00DC6F7E" w:rsidRPr="00775C2E" w14:paraId="0F543C15" w14:textId="77777777" w:rsidTr="008321B3">
        <w:trPr>
          <w:trHeight w:val="335"/>
        </w:trPr>
        <w:tc>
          <w:tcPr>
            <w:tcW w:w="3553" w:type="dxa"/>
          </w:tcPr>
          <w:p w14:paraId="0BC0B2D0"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Index was b</w:t>
            </w:r>
            <w:r w:rsidRPr="00775C2E">
              <w:rPr>
                <w:rFonts w:ascii="Times New Roman" w:hAnsi="Times New Roman" w:cs="Times New Roman"/>
                <w:color w:val="000000" w:themeColor="text1"/>
                <w:sz w:val="22"/>
              </w:rPr>
              <w:t>eing alienated</w:t>
            </w:r>
            <w:r>
              <w:rPr>
                <w:rFonts w:ascii="Times New Roman" w:hAnsi="Times New Roman" w:cs="Times New Roman"/>
                <w:color w:val="000000" w:themeColor="text1"/>
                <w:sz w:val="22"/>
              </w:rPr>
              <w:t xml:space="preserve"> for giving</w:t>
            </w:r>
            <w:r w:rsidRPr="00775C2E">
              <w:rPr>
                <w:rFonts w:ascii="Times New Roman" w:hAnsi="Times New Roman" w:cs="Times New Roman"/>
                <w:color w:val="000000" w:themeColor="text1"/>
                <w:sz w:val="22"/>
              </w:rPr>
              <w:t xml:space="preserve"> the SST package, </w:t>
            </w:r>
            <w:r>
              <w:rPr>
                <w:rFonts w:ascii="Times New Roman" w:hAnsi="Times New Roman" w:cs="Times New Roman"/>
                <w:color w:val="000000" w:themeColor="text1"/>
                <w:sz w:val="22"/>
              </w:rPr>
              <w:t xml:space="preserve">online </w:t>
            </w:r>
            <w:r w:rsidRPr="00775C2E">
              <w:rPr>
                <w:rFonts w:ascii="Times New Roman" w:hAnsi="Times New Roman" w:cs="Times New Roman"/>
                <w:color w:val="000000" w:themeColor="text1"/>
                <w:sz w:val="22"/>
              </w:rPr>
              <w:t xml:space="preserve">link or </w:t>
            </w:r>
            <w:r>
              <w:rPr>
                <w:rFonts w:ascii="Times New Roman" w:hAnsi="Times New Roman" w:cs="Times New Roman"/>
                <w:color w:val="000000" w:themeColor="text1"/>
                <w:sz w:val="22"/>
              </w:rPr>
              <w:t>notification</w:t>
            </w:r>
            <w:r w:rsidRPr="00775C2E">
              <w:rPr>
                <w:rFonts w:ascii="Times New Roman" w:hAnsi="Times New Roman" w:cs="Times New Roman"/>
                <w:color w:val="000000" w:themeColor="text1"/>
                <w:sz w:val="22"/>
              </w:rPr>
              <w:t xml:space="preserve"> card</w:t>
            </w:r>
          </w:p>
        </w:tc>
        <w:tc>
          <w:tcPr>
            <w:tcW w:w="1662" w:type="dxa"/>
          </w:tcPr>
          <w:p w14:paraId="7A989613"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0.0%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0/31)</w:t>
            </w:r>
          </w:p>
        </w:tc>
        <w:tc>
          <w:tcPr>
            <w:tcW w:w="1710" w:type="dxa"/>
          </w:tcPr>
          <w:p w14:paraId="4AC23FCD"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0</w:t>
            </w:r>
            <w:r>
              <w:rPr>
                <w:rFonts w:ascii="Times New Roman" w:hAnsi="Times New Roman" w:cs="Times New Roman"/>
                <w:color w:val="000000" w:themeColor="text1"/>
                <w:sz w:val="22"/>
              </w:rPr>
              <w:t>.0% (0/5)</w:t>
            </w:r>
          </w:p>
        </w:tc>
        <w:tc>
          <w:tcPr>
            <w:tcW w:w="1825" w:type="dxa"/>
          </w:tcPr>
          <w:p w14:paraId="191680B4"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2.2% </w:t>
            </w:r>
            <w:r>
              <w:rPr>
                <w:rFonts w:ascii="Times New Roman" w:hAnsi="Times New Roman" w:cs="Times New Roman" w:hint="eastAsia"/>
                <w:color w:val="000000" w:themeColor="text1"/>
                <w:sz w:val="22"/>
              </w:rPr>
              <w:t>(</w:t>
            </w:r>
            <w:r>
              <w:rPr>
                <w:rFonts w:ascii="Times New Roman" w:hAnsi="Times New Roman" w:cs="Times New Roman"/>
                <w:color w:val="000000" w:themeColor="text1"/>
                <w:sz w:val="22"/>
              </w:rPr>
              <w:t>1/46)</w:t>
            </w:r>
          </w:p>
        </w:tc>
      </w:tr>
      <w:tr w:rsidR="00DC6F7E" w:rsidRPr="00775C2E" w14:paraId="2537948A" w14:textId="77777777" w:rsidTr="008321B3">
        <w:trPr>
          <w:trHeight w:val="335"/>
        </w:trPr>
        <w:tc>
          <w:tcPr>
            <w:tcW w:w="3553" w:type="dxa"/>
          </w:tcPr>
          <w:p w14:paraId="2D919812"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None</w:t>
            </w:r>
            <w:r>
              <w:rPr>
                <w:rFonts w:ascii="Times New Roman" w:hAnsi="Times New Roman" w:cs="Times New Roman"/>
                <w:color w:val="000000" w:themeColor="text1"/>
                <w:sz w:val="22"/>
              </w:rPr>
              <w:t xml:space="preserve"> of these above</w:t>
            </w:r>
          </w:p>
        </w:tc>
        <w:tc>
          <w:tcPr>
            <w:tcW w:w="1662" w:type="dxa"/>
          </w:tcPr>
          <w:p w14:paraId="4583A4FC"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w:t>
            </w:r>
            <w:r>
              <w:rPr>
                <w:rFonts w:ascii="Times New Roman" w:hAnsi="Times New Roman" w:cs="Times New Roman"/>
                <w:color w:val="000000" w:themeColor="text1"/>
                <w:sz w:val="22"/>
              </w:rPr>
              <w:t>1.0% (22/31)</w:t>
            </w:r>
          </w:p>
        </w:tc>
        <w:tc>
          <w:tcPr>
            <w:tcW w:w="1710" w:type="dxa"/>
          </w:tcPr>
          <w:p w14:paraId="665D2518"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8</w:t>
            </w:r>
            <w:r>
              <w:rPr>
                <w:rFonts w:ascii="Times New Roman" w:hAnsi="Times New Roman" w:cs="Times New Roman"/>
                <w:color w:val="000000" w:themeColor="text1"/>
                <w:sz w:val="22"/>
              </w:rPr>
              <w:t>0.0% (4/5)</w:t>
            </w:r>
          </w:p>
        </w:tc>
        <w:tc>
          <w:tcPr>
            <w:tcW w:w="1825" w:type="dxa"/>
          </w:tcPr>
          <w:p w14:paraId="1E6509D9"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7</w:t>
            </w:r>
            <w:r>
              <w:rPr>
                <w:rFonts w:ascii="Times New Roman" w:hAnsi="Times New Roman" w:cs="Times New Roman"/>
                <w:color w:val="000000" w:themeColor="text1"/>
                <w:sz w:val="22"/>
              </w:rPr>
              <w:t>3.9% (34/46)</w:t>
            </w:r>
          </w:p>
        </w:tc>
      </w:tr>
      <w:tr w:rsidR="00DC6F7E" w:rsidRPr="00775C2E" w14:paraId="78480023" w14:textId="77777777" w:rsidTr="008321B3">
        <w:trPr>
          <w:trHeight w:val="355"/>
        </w:trPr>
        <w:tc>
          <w:tcPr>
            <w:tcW w:w="3553" w:type="dxa"/>
          </w:tcPr>
          <w:p w14:paraId="604A2947" w14:textId="77777777" w:rsidR="00DC6F7E" w:rsidRPr="00775C2E" w:rsidRDefault="00DC6F7E" w:rsidP="008321B3">
            <w:pPr>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 xml:space="preserve">Total adverse events  </w:t>
            </w:r>
          </w:p>
        </w:tc>
        <w:tc>
          <w:tcPr>
            <w:tcW w:w="1662" w:type="dxa"/>
          </w:tcPr>
          <w:p w14:paraId="181E7D02"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r>
              <w:rPr>
                <w:rFonts w:ascii="Times New Roman" w:hAnsi="Times New Roman" w:cs="Times New Roman"/>
                <w:color w:val="000000" w:themeColor="text1"/>
                <w:sz w:val="22"/>
              </w:rPr>
              <w:t>9.0% (9/31)</w:t>
            </w:r>
          </w:p>
        </w:tc>
        <w:tc>
          <w:tcPr>
            <w:tcW w:w="1710" w:type="dxa"/>
          </w:tcPr>
          <w:p w14:paraId="64AE8500"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r>
              <w:rPr>
                <w:rFonts w:ascii="Times New Roman" w:hAnsi="Times New Roman" w:cs="Times New Roman"/>
                <w:color w:val="000000" w:themeColor="text1"/>
                <w:sz w:val="22"/>
              </w:rPr>
              <w:t>0.0% (1/5)</w:t>
            </w:r>
          </w:p>
        </w:tc>
        <w:tc>
          <w:tcPr>
            <w:tcW w:w="1825" w:type="dxa"/>
          </w:tcPr>
          <w:p w14:paraId="16313196" w14:textId="77777777" w:rsidR="00DC6F7E" w:rsidRPr="00775C2E" w:rsidRDefault="00DC6F7E" w:rsidP="008321B3">
            <w:pP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2</w:t>
            </w:r>
            <w:r>
              <w:rPr>
                <w:rFonts w:ascii="Times New Roman" w:hAnsi="Times New Roman" w:cs="Times New Roman"/>
                <w:color w:val="000000" w:themeColor="text1"/>
                <w:sz w:val="22"/>
              </w:rPr>
              <w:t>6.1% (12/46)</w:t>
            </w:r>
          </w:p>
        </w:tc>
      </w:tr>
    </w:tbl>
    <w:p w14:paraId="7D3A24D7" w14:textId="77777777" w:rsidR="00DC6F7E" w:rsidRPr="00775C2E" w:rsidRDefault="00DC6F7E" w:rsidP="00DC6F7E">
      <w:pPr>
        <w:widowControl/>
        <w:spacing w:after="0" w:line="240" w:lineRule="auto"/>
        <w:jc w:val="left"/>
        <w:rPr>
          <w:rFonts w:ascii="Times New Roman" w:hAnsi="Times New Roman" w:cs="Times New Roman"/>
          <w:b/>
          <w:bCs/>
          <w:kern w:val="44"/>
          <w:sz w:val="22"/>
        </w:rPr>
      </w:pPr>
      <w:r w:rsidRPr="00775C2E">
        <w:rPr>
          <w:rFonts w:ascii="Times New Roman" w:hAnsi="Times New Roman" w:cs="Times New Roman"/>
          <w:sz w:val="22"/>
        </w:rPr>
        <w:br w:type="page"/>
      </w:r>
    </w:p>
    <w:p w14:paraId="71719BCE" w14:textId="75972EF6" w:rsidR="0081030B" w:rsidRPr="00775C2E" w:rsidRDefault="0067683D">
      <w:pPr>
        <w:pStyle w:val="Heading1"/>
        <w:rPr>
          <w:rFonts w:ascii="Times New Roman" w:hAnsi="Times New Roman" w:cs="Times New Roman"/>
          <w:sz w:val="22"/>
          <w:szCs w:val="22"/>
        </w:rPr>
      </w:pPr>
      <w:bookmarkStart w:id="48" w:name="_Toc53863261"/>
      <w:bookmarkStart w:id="49" w:name="_Toc30363"/>
      <w:bookmarkStart w:id="50" w:name="_Toc26899"/>
      <w:bookmarkStart w:id="51" w:name="_Toc52202752"/>
      <w:bookmarkStart w:id="52" w:name="_Toc72151000"/>
      <w:bookmarkStart w:id="53" w:name="_Toc101122708"/>
      <w:r w:rsidRPr="00775C2E">
        <w:rPr>
          <w:rFonts w:ascii="Times New Roman" w:hAnsi="Times New Roman" w:cs="Times New Roman"/>
          <w:sz w:val="22"/>
          <w:szCs w:val="22"/>
        </w:rPr>
        <w:lastRenderedPageBreak/>
        <w:t>Table S</w:t>
      </w:r>
      <w:r w:rsidR="00842416" w:rsidRPr="00775C2E">
        <w:rPr>
          <w:rFonts w:ascii="Times New Roman" w:hAnsi="Times New Roman" w:cs="Times New Roman"/>
          <w:sz w:val="22"/>
          <w:szCs w:val="22"/>
        </w:rPr>
        <w:t>7</w:t>
      </w:r>
      <w:r w:rsidRPr="00775C2E">
        <w:rPr>
          <w:rFonts w:ascii="Times New Roman" w:hAnsi="Times New Roman" w:cs="Times New Roman"/>
          <w:sz w:val="22"/>
          <w:szCs w:val="22"/>
        </w:rPr>
        <w:t xml:space="preserve">. </w:t>
      </w:r>
      <w:r w:rsidRPr="003C4665">
        <w:rPr>
          <w:rFonts w:ascii="Times New Roman" w:hAnsi="Times New Roman" w:cs="Times New Roman"/>
          <w:sz w:val="22"/>
          <w:szCs w:val="22"/>
        </w:rPr>
        <w:t xml:space="preserve">CONSORT 2010 checklist of information to include when reporting a </w:t>
      </w:r>
      <w:proofErr w:type="spellStart"/>
      <w:r w:rsidRPr="003C4665">
        <w:rPr>
          <w:rFonts w:ascii="Times New Roman" w:hAnsi="Times New Roman" w:cs="Times New Roman"/>
          <w:sz w:val="22"/>
          <w:szCs w:val="22"/>
        </w:rPr>
        <w:t>randomised</w:t>
      </w:r>
      <w:proofErr w:type="spellEnd"/>
      <w:r w:rsidRPr="003C4665">
        <w:rPr>
          <w:rFonts w:ascii="Times New Roman" w:hAnsi="Times New Roman" w:cs="Times New Roman"/>
          <w:sz w:val="22"/>
          <w:szCs w:val="22"/>
        </w:rPr>
        <w:t xml:space="preserve"> trial*</w:t>
      </w:r>
      <w:bookmarkEnd w:id="48"/>
      <w:bookmarkEnd w:id="49"/>
      <w:bookmarkEnd w:id="50"/>
      <w:bookmarkEnd w:id="51"/>
      <w:r w:rsidRPr="003C4665">
        <w:rPr>
          <w:rFonts w:ascii="Times New Roman" w:hAnsi="Times New Roman" w:cs="Times New Roman"/>
          <w:sz w:val="22"/>
          <w:szCs w:val="22"/>
        </w:rPr>
        <w:t>.</w:t>
      </w:r>
      <w:bookmarkEnd w:id="52"/>
      <w:bookmarkEnd w:id="53"/>
    </w:p>
    <w:tbl>
      <w:tblPr>
        <w:tblW w:w="5000" w:type="pct"/>
        <w:tblLook w:val="04A0" w:firstRow="1" w:lastRow="0" w:firstColumn="1" w:lastColumn="0" w:noHBand="0" w:noVBand="1"/>
      </w:tblPr>
      <w:tblGrid>
        <w:gridCol w:w="1868"/>
        <w:gridCol w:w="656"/>
        <w:gridCol w:w="4679"/>
        <w:gridCol w:w="1096"/>
      </w:tblGrid>
      <w:tr w:rsidR="0081030B" w:rsidRPr="00775C2E" w14:paraId="59D46F2B" w14:textId="77777777">
        <w:tc>
          <w:tcPr>
            <w:tcW w:w="674" w:type="pct"/>
            <w:tcBorders>
              <w:top w:val="single" w:sz="12" w:space="0" w:color="auto"/>
              <w:left w:val="nil"/>
              <w:bottom w:val="single" w:sz="4" w:space="0" w:color="auto"/>
              <w:right w:val="nil"/>
            </w:tcBorders>
            <w:shd w:val="clear" w:color="auto" w:fill="C6D9F1"/>
            <w:vAlign w:val="bottom"/>
          </w:tcPr>
          <w:p w14:paraId="2E732041" w14:textId="77777777" w:rsidR="0081030B" w:rsidRPr="00775C2E" w:rsidRDefault="0067683D">
            <w:pPr>
              <w:pStyle w:val="TableHeader"/>
              <w:rPr>
                <w:rFonts w:ascii="Times New Roman" w:hAnsi="Times New Roman" w:cs="Times New Roman"/>
                <w:sz w:val="22"/>
                <w:szCs w:val="22"/>
              </w:rPr>
            </w:pPr>
            <w:r w:rsidRPr="00775C2E">
              <w:rPr>
                <w:rFonts w:ascii="Times New Roman" w:hAnsi="Times New Roman" w:cs="Times New Roman"/>
                <w:sz w:val="22"/>
                <w:szCs w:val="22"/>
              </w:rPr>
              <w:t>Section/Topic</w:t>
            </w:r>
          </w:p>
        </w:tc>
        <w:tc>
          <w:tcPr>
            <w:tcW w:w="232" w:type="pct"/>
            <w:tcBorders>
              <w:top w:val="single" w:sz="12" w:space="0" w:color="auto"/>
              <w:left w:val="nil"/>
              <w:bottom w:val="single" w:sz="4" w:space="0" w:color="auto"/>
              <w:right w:val="nil"/>
            </w:tcBorders>
            <w:shd w:val="clear" w:color="auto" w:fill="C6D9F1"/>
            <w:vAlign w:val="bottom"/>
          </w:tcPr>
          <w:p w14:paraId="11A91F2E" w14:textId="77777777" w:rsidR="0081030B" w:rsidRPr="00775C2E" w:rsidRDefault="0067683D">
            <w:pPr>
              <w:pStyle w:val="TableHeader"/>
              <w:jc w:val="center"/>
              <w:rPr>
                <w:rFonts w:ascii="Times New Roman" w:hAnsi="Times New Roman" w:cs="Times New Roman"/>
                <w:sz w:val="22"/>
                <w:szCs w:val="22"/>
              </w:rPr>
            </w:pPr>
            <w:r w:rsidRPr="00775C2E">
              <w:rPr>
                <w:rFonts w:ascii="Times New Roman" w:hAnsi="Times New Roman" w:cs="Times New Roman"/>
                <w:sz w:val="22"/>
                <w:szCs w:val="22"/>
              </w:rPr>
              <w:t>Item No</w:t>
            </w:r>
          </w:p>
        </w:tc>
        <w:tc>
          <w:tcPr>
            <w:tcW w:w="3571" w:type="pct"/>
            <w:tcBorders>
              <w:top w:val="single" w:sz="12" w:space="0" w:color="auto"/>
              <w:left w:val="nil"/>
              <w:bottom w:val="single" w:sz="4" w:space="0" w:color="auto"/>
              <w:right w:val="nil"/>
            </w:tcBorders>
            <w:shd w:val="clear" w:color="auto" w:fill="C6D9F1"/>
            <w:vAlign w:val="bottom"/>
          </w:tcPr>
          <w:p w14:paraId="201DD8B7" w14:textId="77777777" w:rsidR="0081030B" w:rsidRPr="00775C2E" w:rsidRDefault="0067683D">
            <w:pPr>
              <w:pStyle w:val="TableHeader"/>
              <w:rPr>
                <w:rFonts w:ascii="Times New Roman" w:hAnsi="Times New Roman" w:cs="Times New Roman"/>
                <w:sz w:val="22"/>
                <w:szCs w:val="22"/>
              </w:rPr>
            </w:pPr>
            <w:r w:rsidRPr="00775C2E">
              <w:rPr>
                <w:rFonts w:ascii="Times New Roman" w:hAnsi="Times New Roman" w:cs="Times New Roman"/>
                <w:sz w:val="22"/>
                <w:szCs w:val="22"/>
              </w:rPr>
              <w:t>Checklist item</w:t>
            </w:r>
          </w:p>
        </w:tc>
        <w:tc>
          <w:tcPr>
            <w:tcW w:w="523" w:type="pct"/>
            <w:tcBorders>
              <w:top w:val="single" w:sz="12" w:space="0" w:color="auto"/>
              <w:left w:val="nil"/>
              <w:bottom w:val="single" w:sz="4" w:space="0" w:color="auto"/>
              <w:right w:val="nil"/>
            </w:tcBorders>
            <w:shd w:val="clear" w:color="auto" w:fill="C6D9F1"/>
            <w:vAlign w:val="bottom"/>
          </w:tcPr>
          <w:p w14:paraId="340FB661" w14:textId="77777777" w:rsidR="0081030B" w:rsidRPr="00775C2E" w:rsidRDefault="0067683D">
            <w:pPr>
              <w:pStyle w:val="TableHeader"/>
              <w:jc w:val="center"/>
              <w:rPr>
                <w:rFonts w:ascii="Times New Roman" w:hAnsi="Times New Roman" w:cs="Times New Roman"/>
                <w:sz w:val="22"/>
                <w:szCs w:val="22"/>
              </w:rPr>
            </w:pPr>
            <w:r w:rsidRPr="00775C2E">
              <w:rPr>
                <w:rFonts w:ascii="Times New Roman" w:hAnsi="Times New Roman" w:cs="Times New Roman"/>
                <w:sz w:val="22"/>
                <w:szCs w:val="22"/>
              </w:rPr>
              <w:t>Reported on page No</w:t>
            </w:r>
          </w:p>
        </w:tc>
      </w:tr>
      <w:tr w:rsidR="0081030B" w:rsidRPr="00775C2E" w14:paraId="7F28CDB4" w14:textId="77777777">
        <w:tc>
          <w:tcPr>
            <w:tcW w:w="5000" w:type="pct"/>
            <w:gridSpan w:val="4"/>
            <w:tcBorders>
              <w:top w:val="single" w:sz="4" w:space="0" w:color="auto"/>
              <w:left w:val="nil"/>
              <w:bottom w:val="nil"/>
              <w:right w:val="nil"/>
            </w:tcBorders>
          </w:tcPr>
          <w:p w14:paraId="45B9ACD9" w14:textId="77777777" w:rsidR="0081030B" w:rsidRPr="00775C2E" w:rsidRDefault="0067683D">
            <w:pPr>
              <w:pStyle w:val="TableSubHead"/>
              <w:rPr>
                <w:rFonts w:ascii="Times New Roman" w:hAnsi="Times New Roman" w:cs="Times New Roman"/>
                <w:sz w:val="22"/>
                <w:szCs w:val="22"/>
              </w:rPr>
            </w:pPr>
            <w:r w:rsidRPr="00775C2E">
              <w:rPr>
                <w:rFonts w:ascii="Times New Roman" w:hAnsi="Times New Roman" w:cs="Times New Roman"/>
                <w:sz w:val="22"/>
                <w:szCs w:val="22"/>
              </w:rPr>
              <w:t>Title and abstract</w:t>
            </w:r>
          </w:p>
        </w:tc>
      </w:tr>
      <w:tr w:rsidR="0081030B" w:rsidRPr="00775C2E" w14:paraId="79DDCFA0" w14:textId="77777777">
        <w:tc>
          <w:tcPr>
            <w:tcW w:w="674" w:type="pct"/>
            <w:vMerge w:val="restart"/>
            <w:tcBorders>
              <w:top w:val="nil"/>
              <w:left w:val="nil"/>
              <w:bottom w:val="nil"/>
              <w:right w:val="nil"/>
            </w:tcBorders>
          </w:tcPr>
          <w:p w14:paraId="5B688087" w14:textId="77777777" w:rsidR="0081030B" w:rsidRPr="00775C2E" w:rsidRDefault="0081030B">
            <w:pPr>
              <w:spacing w:line="300" w:lineRule="exact"/>
              <w:rPr>
                <w:rFonts w:ascii="Times New Roman" w:eastAsia="SimSun" w:hAnsi="Times New Roman" w:cs="Times New Roman"/>
                <w:sz w:val="22"/>
              </w:rPr>
            </w:pPr>
          </w:p>
        </w:tc>
        <w:tc>
          <w:tcPr>
            <w:tcW w:w="232" w:type="pct"/>
            <w:tcBorders>
              <w:top w:val="nil"/>
              <w:left w:val="nil"/>
              <w:bottom w:val="nil"/>
              <w:right w:val="nil"/>
            </w:tcBorders>
          </w:tcPr>
          <w:p w14:paraId="5317AAE9"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1a</w:t>
            </w:r>
          </w:p>
        </w:tc>
        <w:tc>
          <w:tcPr>
            <w:tcW w:w="3571" w:type="pct"/>
            <w:tcBorders>
              <w:top w:val="nil"/>
              <w:left w:val="nil"/>
              <w:bottom w:val="nil"/>
              <w:right w:val="nil"/>
            </w:tcBorders>
          </w:tcPr>
          <w:p w14:paraId="4E048DC0"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 xml:space="preserve">Identification as a </w:t>
            </w:r>
            <w:proofErr w:type="spellStart"/>
            <w:r w:rsidRPr="00775C2E">
              <w:rPr>
                <w:rFonts w:ascii="Times New Roman" w:hAnsi="Times New Roman" w:cs="Times New Roman"/>
                <w:sz w:val="22"/>
              </w:rPr>
              <w:t>randomised</w:t>
            </w:r>
            <w:proofErr w:type="spellEnd"/>
            <w:r w:rsidRPr="00775C2E">
              <w:rPr>
                <w:rFonts w:ascii="Times New Roman" w:hAnsi="Times New Roman" w:cs="Times New Roman"/>
                <w:sz w:val="22"/>
              </w:rPr>
              <w:t xml:space="preserve"> trial in the title</w:t>
            </w:r>
          </w:p>
        </w:tc>
        <w:tc>
          <w:tcPr>
            <w:tcW w:w="523" w:type="pct"/>
            <w:tcBorders>
              <w:top w:val="nil"/>
              <w:left w:val="nil"/>
              <w:bottom w:val="single" w:sz="4" w:space="0" w:color="auto"/>
              <w:right w:val="nil"/>
            </w:tcBorders>
          </w:tcPr>
          <w:p w14:paraId="1FBEE82D" w14:textId="1926BCA1" w:rsidR="0081030B" w:rsidRPr="00775C2E" w:rsidRDefault="0078330A">
            <w:pPr>
              <w:spacing w:line="300" w:lineRule="exact"/>
              <w:rPr>
                <w:rFonts w:ascii="Times New Roman" w:eastAsia="SimSun" w:hAnsi="Times New Roman" w:cs="Times New Roman"/>
                <w:sz w:val="22"/>
              </w:rPr>
            </w:pPr>
            <w:r>
              <w:rPr>
                <w:rFonts w:ascii="Times New Roman" w:eastAsia="SimSun" w:hAnsi="Times New Roman" w:cs="Times New Roman"/>
                <w:sz w:val="22"/>
              </w:rPr>
              <w:t>1</w:t>
            </w:r>
          </w:p>
        </w:tc>
      </w:tr>
      <w:tr w:rsidR="0081030B" w:rsidRPr="00775C2E" w14:paraId="340C4F53" w14:textId="77777777">
        <w:tc>
          <w:tcPr>
            <w:tcW w:w="674" w:type="pct"/>
            <w:vMerge/>
            <w:tcBorders>
              <w:top w:val="nil"/>
              <w:left w:val="nil"/>
              <w:bottom w:val="nil"/>
              <w:right w:val="nil"/>
            </w:tcBorders>
            <w:vAlign w:val="center"/>
          </w:tcPr>
          <w:p w14:paraId="4D731FB1"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549398CC"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1b</w:t>
            </w:r>
          </w:p>
        </w:tc>
        <w:tc>
          <w:tcPr>
            <w:tcW w:w="3571" w:type="pct"/>
            <w:tcBorders>
              <w:top w:val="nil"/>
              <w:left w:val="nil"/>
              <w:bottom w:val="nil"/>
              <w:right w:val="nil"/>
            </w:tcBorders>
          </w:tcPr>
          <w:p w14:paraId="3D59BF99"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Structured summary of trial design, methods, results, and conclusions (for specific guidance see CONSORT for abstracts)</w:t>
            </w:r>
          </w:p>
        </w:tc>
        <w:tc>
          <w:tcPr>
            <w:tcW w:w="523" w:type="pct"/>
            <w:tcBorders>
              <w:top w:val="nil"/>
              <w:left w:val="nil"/>
              <w:bottom w:val="single" w:sz="4" w:space="0" w:color="auto"/>
              <w:right w:val="nil"/>
            </w:tcBorders>
          </w:tcPr>
          <w:p w14:paraId="3718233B" w14:textId="7E1F3D42" w:rsidR="0081030B" w:rsidRPr="00775C2E" w:rsidRDefault="0078330A">
            <w:pPr>
              <w:spacing w:line="300" w:lineRule="exact"/>
              <w:rPr>
                <w:rFonts w:ascii="Times New Roman" w:eastAsia="SimSun" w:hAnsi="Times New Roman" w:cs="Times New Roman"/>
                <w:sz w:val="22"/>
              </w:rPr>
            </w:pPr>
            <w:r>
              <w:rPr>
                <w:rFonts w:ascii="Times New Roman" w:eastAsia="SimSun" w:hAnsi="Times New Roman" w:cs="Times New Roman"/>
                <w:sz w:val="22"/>
              </w:rPr>
              <w:t>3</w:t>
            </w:r>
            <w:r>
              <w:rPr>
                <w:rFonts w:ascii="Times New Roman" w:eastAsia="SimSun" w:hAnsi="Times New Roman" w:cs="Times New Roman" w:hint="eastAsia"/>
                <w:sz w:val="22"/>
              </w:rPr>
              <w:t>-</w:t>
            </w:r>
            <w:r>
              <w:rPr>
                <w:rFonts w:ascii="Times New Roman" w:eastAsia="SimSun" w:hAnsi="Times New Roman" w:cs="Times New Roman"/>
                <w:sz w:val="22"/>
              </w:rPr>
              <w:t>4</w:t>
            </w:r>
          </w:p>
        </w:tc>
      </w:tr>
      <w:tr w:rsidR="0081030B" w:rsidRPr="00775C2E" w14:paraId="15305C3F" w14:textId="77777777">
        <w:tc>
          <w:tcPr>
            <w:tcW w:w="5000" w:type="pct"/>
            <w:gridSpan w:val="4"/>
            <w:tcBorders>
              <w:top w:val="nil"/>
              <w:left w:val="nil"/>
              <w:bottom w:val="nil"/>
              <w:right w:val="nil"/>
            </w:tcBorders>
          </w:tcPr>
          <w:p w14:paraId="574BE22A" w14:textId="77777777" w:rsidR="0081030B" w:rsidRPr="00775C2E" w:rsidRDefault="0067683D">
            <w:pPr>
              <w:pStyle w:val="TableSubHead"/>
              <w:rPr>
                <w:rFonts w:ascii="Times New Roman" w:hAnsi="Times New Roman" w:cs="Times New Roman"/>
                <w:sz w:val="22"/>
                <w:szCs w:val="22"/>
              </w:rPr>
            </w:pPr>
            <w:r w:rsidRPr="00775C2E">
              <w:rPr>
                <w:rFonts w:ascii="Times New Roman" w:hAnsi="Times New Roman" w:cs="Times New Roman"/>
                <w:sz w:val="22"/>
                <w:szCs w:val="22"/>
              </w:rPr>
              <w:t>Introduction</w:t>
            </w:r>
          </w:p>
        </w:tc>
      </w:tr>
      <w:tr w:rsidR="0081030B" w:rsidRPr="00775C2E" w14:paraId="054B398A" w14:textId="77777777">
        <w:tc>
          <w:tcPr>
            <w:tcW w:w="674" w:type="pct"/>
            <w:vMerge w:val="restart"/>
            <w:tcBorders>
              <w:top w:val="nil"/>
              <w:left w:val="nil"/>
              <w:bottom w:val="nil"/>
              <w:right w:val="nil"/>
            </w:tcBorders>
          </w:tcPr>
          <w:p w14:paraId="7B4FA171"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Background and objectives</w:t>
            </w:r>
          </w:p>
        </w:tc>
        <w:tc>
          <w:tcPr>
            <w:tcW w:w="232" w:type="pct"/>
            <w:tcBorders>
              <w:top w:val="nil"/>
              <w:left w:val="nil"/>
              <w:bottom w:val="nil"/>
              <w:right w:val="nil"/>
            </w:tcBorders>
          </w:tcPr>
          <w:p w14:paraId="38F173F9"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2a</w:t>
            </w:r>
          </w:p>
        </w:tc>
        <w:tc>
          <w:tcPr>
            <w:tcW w:w="3571" w:type="pct"/>
            <w:tcBorders>
              <w:top w:val="nil"/>
              <w:left w:val="nil"/>
              <w:bottom w:val="nil"/>
              <w:right w:val="nil"/>
            </w:tcBorders>
          </w:tcPr>
          <w:p w14:paraId="21FADE1E"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Scientific background and explanation of rationale</w:t>
            </w:r>
          </w:p>
        </w:tc>
        <w:tc>
          <w:tcPr>
            <w:tcW w:w="523" w:type="pct"/>
            <w:tcBorders>
              <w:top w:val="nil"/>
              <w:left w:val="nil"/>
              <w:bottom w:val="single" w:sz="4" w:space="0" w:color="auto"/>
              <w:right w:val="nil"/>
            </w:tcBorders>
          </w:tcPr>
          <w:p w14:paraId="3027E364" w14:textId="0F7E05D7" w:rsidR="0081030B" w:rsidRPr="00775C2E" w:rsidRDefault="0078330A">
            <w:pPr>
              <w:spacing w:line="300" w:lineRule="exact"/>
              <w:rPr>
                <w:rFonts w:ascii="Times New Roman" w:eastAsia="SimSun" w:hAnsi="Times New Roman" w:cs="Times New Roman"/>
                <w:sz w:val="22"/>
              </w:rPr>
            </w:pPr>
            <w:r>
              <w:rPr>
                <w:rFonts w:ascii="Times New Roman" w:eastAsia="SimSun" w:hAnsi="Times New Roman" w:cs="Times New Roman"/>
                <w:sz w:val="22"/>
              </w:rPr>
              <w:t>6</w:t>
            </w:r>
            <w:r>
              <w:rPr>
                <w:rFonts w:ascii="Times New Roman" w:eastAsia="SimSun" w:hAnsi="Times New Roman" w:cs="Times New Roman" w:hint="eastAsia"/>
                <w:sz w:val="22"/>
              </w:rPr>
              <w:t>-</w:t>
            </w:r>
            <w:r>
              <w:rPr>
                <w:rFonts w:ascii="Times New Roman" w:eastAsia="SimSun" w:hAnsi="Times New Roman" w:cs="Times New Roman"/>
                <w:sz w:val="22"/>
              </w:rPr>
              <w:t>7</w:t>
            </w:r>
          </w:p>
        </w:tc>
      </w:tr>
      <w:tr w:rsidR="0081030B" w:rsidRPr="00775C2E" w14:paraId="564F8054" w14:textId="77777777">
        <w:trPr>
          <w:trHeight w:val="413"/>
        </w:trPr>
        <w:tc>
          <w:tcPr>
            <w:tcW w:w="674" w:type="pct"/>
            <w:vMerge/>
            <w:tcBorders>
              <w:top w:val="nil"/>
              <w:left w:val="nil"/>
              <w:bottom w:val="nil"/>
              <w:right w:val="nil"/>
            </w:tcBorders>
            <w:vAlign w:val="center"/>
          </w:tcPr>
          <w:p w14:paraId="31EB1E2D"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23F18349"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2b</w:t>
            </w:r>
          </w:p>
        </w:tc>
        <w:tc>
          <w:tcPr>
            <w:tcW w:w="3571" w:type="pct"/>
            <w:tcBorders>
              <w:top w:val="nil"/>
              <w:left w:val="nil"/>
              <w:bottom w:val="nil"/>
              <w:right w:val="nil"/>
            </w:tcBorders>
          </w:tcPr>
          <w:p w14:paraId="03464052"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Specific objectives or hypotheses</w:t>
            </w:r>
          </w:p>
        </w:tc>
        <w:tc>
          <w:tcPr>
            <w:tcW w:w="523" w:type="pct"/>
            <w:tcBorders>
              <w:top w:val="single" w:sz="4" w:space="0" w:color="auto"/>
              <w:left w:val="nil"/>
              <w:bottom w:val="single" w:sz="4" w:space="0" w:color="auto"/>
              <w:right w:val="nil"/>
            </w:tcBorders>
          </w:tcPr>
          <w:p w14:paraId="391E3121" w14:textId="70B2BC21" w:rsidR="0081030B" w:rsidRPr="00775C2E" w:rsidRDefault="0078330A">
            <w:pPr>
              <w:spacing w:line="300" w:lineRule="exact"/>
              <w:rPr>
                <w:rFonts w:ascii="Times New Roman" w:eastAsia="SimSun" w:hAnsi="Times New Roman" w:cs="Times New Roman"/>
                <w:sz w:val="22"/>
              </w:rPr>
            </w:pPr>
            <w:r>
              <w:rPr>
                <w:rFonts w:ascii="Times New Roman" w:eastAsia="SimSun" w:hAnsi="Times New Roman" w:cs="Times New Roman"/>
                <w:sz w:val="22"/>
              </w:rPr>
              <w:t>7</w:t>
            </w:r>
          </w:p>
        </w:tc>
      </w:tr>
      <w:tr w:rsidR="0081030B" w:rsidRPr="00775C2E" w14:paraId="2FD54561" w14:textId="77777777">
        <w:tc>
          <w:tcPr>
            <w:tcW w:w="5000" w:type="pct"/>
            <w:gridSpan w:val="4"/>
            <w:tcBorders>
              <w:top w:val="nil"/>
              <w:left w:val="nil"/>
              <w:bottom w:val="nil"/>
              <w:right w:val="nil"/>
            </w:tcBorders>
          </w:tcPr>
          <w:p w14:paraId="42FAEFFB" w14:textId="77777777" w:rsidR="0081030B" w:rsidRPr="00775C2E" w:rsidRDefault="0067683D">
            <w:pPr>
              <w:pStyle w:val="TableSubHead"/>
              <w:rPr>
                <w:rFonts w:ascii="Times New Roman" w:hAnsi="Times New Roman" w:cs="Times New Roman"/>
                <w:sz w:val="22"/>
                <w:szCs w:val="22"/>
              </w:rPr>
            </w:pPr>
            <w:r w:rsidRPr="00775C2E">
              <w:rPr>
                <w:rFonts w:ascii="Times New Roman" w:hAnsi="Times New Roman" w:cs="Times New Roman"/>
                <w:sz w:val="22"/>
                <w:szCs w:val="22"/>
              </w:rPr>
              <w:t>Methods</w:t>
            </w:r>
          </w:p>
        </w:tc>
      </w:tr>
      <w:tr w:rsidR="0081030B" w:rsidRPr="00775C2E" w14:paraId="1583701B" w14:textId="77777777">
        <w:tc>
          <w:tcPr>
            <w:tcW w:w="674" w:type="pct"/>
            <w:vMerge w:val="restart"/>
            <w:tcBorders>
              <w:top w:val="nil"/>
              <w:left w:val="nil"/>
              <w:bottom w:val="nil"/>
              <w:right w:val="nil"/>
            </w:tcBorders>
          </w:tcPr>
          <w:p w14:paraId="23D361DF"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Trial design</w:t>
            </w:r>
          </w:p>
        </w:tc>
        <w:tc>
          <w:tcPr>
            <w:tcW w:w="232" w:type="pct"/>
            <w:tcBorders>
              <w:top w:val="nil"/>
              <w:left w:val="nil"/>
              <w:bottom w:val="nil"/>
              <w:right w:val="nil"/>
            </w:tcBorders>
          </w:tcPr>
          <w:p w14:paraId="7F5E745C"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3a</w:t>
            </w:r>
          </w:p>
        </w:tc>
        <w:tc>
          <w:tcPr>
            <w:tcW w:w="3571" w:type="pct"/>
            <w:tcBorders>
              <w:top w:val="nil"/>
              <w:left w:val="nil"/>
              <w:bottom w:val="nil"/>
              <w:right w:val="nil"/>
            </w:tcBorders>
          </w:tcPr>
          <w:p w14:paraId="65A2F125"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Description of trial design (such as parallel, factorial) including allocation ratio</w:t>
            </w:r>
          </w:p>
        </w:tc>
        <w:tc>
          <w:tcPr>
            <w:tcW w:w="523" w:type="pct"/>
            <w:tcBorders>
              <w:top w:val="nil"/>
              <w:left w:val="nil"/>
              <w:bottom w:val="single" w:sz="4" w:space="0" w:color="auto"/>
              <w:right w:val="nil"/>
            </w:tcBorders>
          </w:tcPr>
          <w:p w14:paraId="3709FEDF" w14:textId="13E83294" w:rsidR="0081030B" w:rsidRPr="00775C2E" w:rsidRDefault="0078330A">
            <w:pPr>
              <w:spacing w:line="300" w:lineRule="exact"/>
              <w:rPr>
                <w:rFonts w:ascii="Times New Roman" w:eastAsia="SimSun" w:hAnsi="Times New Roman" w:cs="Times New Roman"/>
                <w:sz w:val="22"/>
              </w:rPr>
            </w:pPr>
            <w:r>
              <w:rPr>
                <w:rFonts w:ascii="Times New Roman" w:eastAsia="SimSun" w:hAnsi="Times New Roman" w:cs="Times New Roman"/>
                <w:sz w:val="22"/>
              </w:rPr>
              <w:t>7</w:t>
            </w:r>
          </w:p>
        </w:tc>
      </w:tr>
      <w:tr w:rsidR="0081030B" w:rsidRPr="00775C2E" w14:paraId="25AC4B3A" w14:textId="77777777">
        <w:trPr>
          <w:trHeight w:val="305"/>
        </w:trPr>
        <w:tc>
          <w:tcPr>
            <w:tcW w:w="674" w:type="pct"/>
            <w:vMerge/>
            <w:tcBorders>
              <w:top w:val="nil"/>
              <w:left w:val="nil"/>
              <w:bottom w:val="nil"/>
              <w:right w:val="nil"/>
            </w:tcBorders>
            <w:vAlign w:val="center"/>
          </w:tcPr>
          <w:p w14:paraId="6E706D09"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6A13D912"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3b</w:t>
            </w:r>
          </w:p>
        </w:tc>
        <w:tc>
          <w:tcPr>
            <w:tcW w:w="3571" w:type="pct"/>
            <w:tcBorders>
              <w:top w:val="nil"/>
              <w:left w:val="nil"/>
              <w:bottom w:val="nil"/>
              <w:right w:val="nil"/>
            </w:tcBorders>
          </w:tcPr>
          <w:p w14:paraId="167B6979"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Important changes to methods after trial commencement (such as eligibility criteria), with reasons</w:t>
            </w:r>
          </w:p>
        </w:tc>
        <w:tc>
          <w:tcPr>
            <w:tcW w:w="523" w:type="pct"/>
            <w:tcBorders>
              <w:top w:val="single" w:sz="4" w:space="0" w:color="auto"/>
              <w:left w:val="nil"/>
              <w:bottom w:val="single" w:sz="4" w:space="0" w:color="auto"/>
              <w:right w:val="nil"/>
            </w:tcBorders>
          </w:tcPr>
          <w:p w14:paraId="178A09F2" w14:textId="4DE92385" w:rsidR="0081030B" w:rsidRPr="00775C2E" w:rsidRDefault="002B14AB">
            <w:pPr>
              <w:spacing w:line="300" w:lineRule="exact"/>
              <w:rPr>
                <w:rFonts w:ascii="Times New Roman" w:eastAsia="SimSun" w:hAnsi="Times New Roman" w:cs="Times New Roman"/>
                <w:sz w:val="22"/>
              </w:rPr>
            </w:pPr>
            <w:r>
              <w:rPr>
                <w:rFonts w:ascii="Times New Roman" w:hAnsi="Times New Roman" w:cs="Times New Roman"/>
                <w:sz w:val="22"/>
              </w:rPr>
              <w:t>NA</w:t>
            </w:r>
          </w:p>
        </w:tc>
      </w:tr>
      <w:tr w:rsidR="0081030B" w:rsidRPr="00775C2E" w14:paraId="29390D0F" w14:textId="77777777">
        <w:tc>
          <w:tcPr>
            <w:tcW w:w="674" w:type="pct"/>
            <w:vMerge w:val="restart"/>
            <w:tcBorders>
              <w:top w:val="nil"/>
              <w:left w:val="nil"/>
              <w:bottom w:val="nil"/>
              <w:right w:val="nil"/>
            </w:tcBorders>
          </w:tcPr>
          <w:p w14:paraId="5DCEC064"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Participants</w:t>
            </w:r>
          </w:p>
        </w:tc>
        <w:tc>
          <w:tcPr>
            <w:tcW w:w="232" w:type="pct"/>
            <w:tcBorders>
              <w:top w:val="nil"/>
              <w:left w:val="nil"/>
              <w:bottom w:val="nil"/>
              <w:right w:val="nil"/>
            </w:tcBorders>
          </w:tcPr>
          <w:p w14:paraId="5FB7B1BD"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4a</w:t>
            </w:r>
          </w:p>
        </w:tc>
        <w:tc>
          <w:tcPr>
            <w:tcW w:w="3571" w:type="pct"/>
            <w:tcBorders>
              <w:top w:val="nil"/>
              <w:left w:val="nil"/>
              <w:bottom w:val="nil"/>
              <w:right w:val="nil"/>
            </w:tcBorders>
          </w:tcPr>
          <w:p w14:paraId="252A91B4"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Eligibility criteria for participants</w:t>
            </w:r>
          </w:p>
        </w:tc>
        <w:tc>
          <w:tcPr>
            <w:tcW w:w="523" w:type="pct"/>
            <w:tcBorders>
              <w:top w:val="single" w:sz="4" w:space="0" w:color="auto"/>
              <w:left w:val="nil"/>
              <w:bottom w:val="single" w:sz="4" w:space="0" w:color="auto"/>
              <w:right w:val="nil"/>
            </w:tcBorders>
          </w:tcPr>
          <w:p w14:paraId="6D246B66" w14:textId="0404714C" w:rsidR="0081030B" w:rsidRPr="00775C2E" w:rsidRDefault="002A745B">
            <w:pPr>
              <w:spacing w:line="300" w:lineRule="exact"/>
              <w:rPr>
                <w:rFonts w:ascii="Times New Roman" w:eastAsia="SimSun" w:hAnsi="Times New Roman" w:cs="Times New Roman"/>
                <w:sz w:val="22"/>
              </w:rPr>
            </w:pPr>
            <w:r>
              <w:rPr>
                <w:rFonts w:ascii="Times New Roman" w:eastAsia="SimSun" w:hAnsi="Times New Roman" w:cs="Times New Roman"/>
                <w:sz w:val="22"/>
              </w:rPr>
              <w:t>8</w:t>
            </w:r>
          </w:p>
        </w:tc>
      </w:tr>
      <w:tr w:rsidR="0081030B" w:rsidRPr="00775C2E" w14:paraId="76B1D311" w14:textId="77777777">
        <w:tc>
          <w:tcPr>
            <w:tcW w:w="674" w:type="pct"/>
            <w:vMerge/>
            <w:tcBorders>
              <w:top w:val="nil"/>
              <w:left w:val="nil"/>
              <w:bottom w:val="nil"/>
              <w:right w:val="nil"/>
            </w:tcBorders>
            <w:vAlign w:val="center"/>
          </w:tcPr>
          <w:p w14:paraId="0CB6CC99"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5BD3BC62"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4b</w:t>
            </w:r>
          </w:p>
        </w:tc>
        <w:tc>
          <w:tcPr>
            <w:tcW w:w="3571" w:type="pct"/>
            <w:tcBorders>
              <w:top w:val="nil"/>
              <w:left w:val="nil"/>
              <w:bottom w:val="nil"/>
              <w:right w:val="nil"/>
            </w:tcBorders>
          </w:tcPr>
          <w:p w14:paraId="64EEDB48"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Settings and locations where the data were collected</w:t>
            </w:r>
          </w:p>
        </w:tc>
        <w:tc>
          <w:tcPr>
            <w:tcW w:w="523" w:type="pct"/>
            <w:tcBorders>
              <w:top w:val="single" w:sz="4" w:space="0" w:color="auto"/>
              <w:left w:val="nil"/>
              <w:bottom w:val="single" w:sz="4" w:space="0" w:color="auto"/>
              <w:right w:val="nil"/>
            </w:tcBorders>
          </w:tcPr>
          <w:p w14:paraId="3A5F57A3" w14:textId="397B2B21"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7</w:t>
            </w:r>
          </w:p>
        </w:tc>
      </w:tr>
      <w:tr w:rsidR="0081030B" w:rsidRPr="00775C2E" w14:paraId="0C44DF16" w14:textId="77777777">
        <w:tc>
          <w:tcPr>
            <w:tcW w:w="674" w:type="pct"/>
            <w:tcBorders>
              <w:top w:val="nil"/>
              <w:left w:val="nil"/>
              <w:bottom w:val="nil"/>
              <w:right w:val="nil"/>
            </w:tcBorders>
          </w:tcPr>
          <w:p w14:paraId="1EFB1EA0"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Interventions</w:t>
            </w:r>
          </w:p>
        </w:tc>
        <w:tc>
          <w:tcPr>
            <w:tcW w:w="232" w:type="pct"/>
            <w:tcBorders>
              <w:top w:val="nil"/>
              <w:left w:val="nil"/>
              <w:bottom w:val="nil"/>
              <w:right w:val="nil"/>
            </w:tcBorders>
          </w:tcPr>
          <w:p w14:paraId="22D2A5E3"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5</w:t>
            </w:r>
          </w:p>
        </w:tc>
        <w:tc>
          <w:tcPr>
            <w:tcW w:w="3571" w:type="pct"/>
            <w:tcBorders>
              <w:top w:val="nil"/>
              <w:left w:val="nil"/>
              <w:bottom w:val="nil"/>
              <w:right w:val="nil"/>
            </w:tcBorders>
          </w:tcPr>
          <w:p w14:paraId="0632AD11"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The interventions for each group with sufficient details to allow replication, including how and when they were actually administered</w:t>
            </w:r>
          </w:p>
        </w:tc>
        <w:tc>
          <w:tcPr>
            <w:tcW w:w="523" w:type="pct"/>
            <w:tcBorders>
              <w:top w:val="single" w:sz="4" w:space="0" w:color="auto"/>
              <w:left w:val="nil"/>
              <w:bottom w:val="single" w:sz="4" w:space="0" w:color="auto"/>
              <w:right w:val="nil"/>
            </w:tcBorders>
          </w:tcPr>
          <w:p w14:paraId="6126101C" w14:textId="396D01DF"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9</w:t>
            </w:r>
            <w:r w:rsidR="0067683D" w:rsidRPr="00775C2E">
              <w:rPr>
                <w:rFonts w:ascii="Times New Roman" w:eastAsia="SimSun" w:hAnsi="Times New Roman" w:cs="Times New Roman"/>
                <w:sz w:val="22"/>
              </w:rPr>
              <w:t>-10</w:t>
            </w:r>
          </w:p>
        </w:tc>
      </w:tr>
      <w:tr w:rsidR="0081030B" w:rsidRPr="00775C2E" w14:paraId="30188EF3" w14:textId="77777777">
        <w:tc>
          <w:tcPr>
            <w:tcW w:w="674" w:type="pct"/>
            <w:vMerge w:val="restart"/>
            <w:tcBorders>
              <w:top w:val="nil"/>
              <w:left w:val="nil"/>
              <w:bottom w:val="nil"/>
              <w:right w:val="nil"/>
            </w:tcBorders>
          </w:tcPr>
          <w:p w14:paraId="492F0B76"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Outcomes</w:t>
            </w:r>
          </w:p>
        </w:tc>
        <w:tc>
          <w:tcPr>
            <w:tcW w:w="232" w:type="pct"/>
            <w:tcBorders>
              <w:top w:val="nil"/>
              <w:left w:val="nil"/>
              <w:bottom w:val="nil"/>
              <w:right w:val="nil"/>
            </w:tcBorders>
          </w:tcPr>
          <w:p w14:paraId="2CD777BF"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6a</w:t>
            </w:r>
          </w:p>
        </w:tc>
        <w:tc>
          <w:tcPr>
            <w:tcW w:w="3571" w:type="pct"/>
            <w:tcBorders>
              <w:top w:val="nil"/>
              <w:left w:val="nil"/>
              <w:bottom w:val="nil"/>
              <w:right w:val="nil"/>
            </w:tcBorders>
          </w:tcPr>
          <w:p w14:paraId="6119B7F8"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Completely defined pre-specified primary and secondary outcome measures, including how and when they were assessed</w:t>
            </w:r>
          </w:p>
        </w:tc>
        <w:tc>
          <w:tcPr>
            <w:tcW w:w="523" w:type="pct"/>
            <w:tcBorders>
              <w:top w:val="single" w:sz="4" w:space="0" w:color="auto"/>
              <w:left w:val="nil"/>
              <w:bottom w:val="single" w:sz="4" w:space="0" w:color="auto"/>
              <w:right w:val="nil"/>
            </w:tcBorders>
          </w:tcPr>
          <w:p w14:paraId="32B3A047" w14:textId="25ED9317"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12</w:t>
            </w:r>
          </w:p>
        </w:tc>
      </w:tr>
      <w:tr w:rsidR="0081030B" w:rsidRPr="00775C2E" w14:paraId="4FB9A265" w14:textId="77777777">
        <w:tc>
          <w:tcPr>
            <w:tcW w:w="674" w:type="pct"/>
            <w:vMerge/>
            <w:tcBorders>
              <w:top w:val="nil"/>
              <w:left w:val="nil"/>
              <w:bottom w:val="nil"/>
              <w:right w:val="nil"/>
            </w:tcBorders>
            <w:vAlign w:val="center"/>
          </w:tcPr>
          <w:p w14:paraId="3930BADF"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1D7DD880"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6b</w:t>
            </w:r>
          </w:p>
        </w:tc>
        <w:tc>
          <w:tcPr>
            <w:tcW w:w="3571" w:type="pct"/>
            <w:tcBorders>
              <w:top w:val="nil"/>
              <w:left w:val="nil"/>
              <w:bottom w:val="nil"/>
              <w:right w:val="nil"/>
            </w:tcBorders>
          </w:tcPr>
          <w:p w14:paraId="7FE77805"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Any changes to trial outcomes after the trial commenced, with reasons</w:t>
            </w:r>
          </w:p>
        </w:tc>
        <w:tc>
          <w:tcPr>
            <w:tcW w:w="523" w:type="pct"/>
            <w:tcBorders>
              <w:top w:val="single" w:sz="4" w:space="0" w:color="auto"/>
              <w:left w:val="nil"/>
              <w:bottom w:val="single" w:sz="4" w:space="0" w:color="auto"/>
              <w:right w:val="nil"/>
            </w:tcBorders>
          </w:tcPr>
          <w:p w14:paraId="6DF449A1" w14:textId="2630B359" w:rsidR="0081030B" w:rsidRPr="00775C2E" w:rsidRDefault="002B14AB">
            <w:pPr>
              <w:spacing w:line="300" w:lineRule="exact"/>
              <w:rPr>
                <w:rFonts w:ascii="Times New Roman" w:eastAsia="SimSun" w:hAnsi="Times New Roman" w:cs="Times New Roman"/>
                <w:sz w:val="22"/>
              </w:rPr>
            </w:pPr>
            <w:r>
              <w:rPr>
                <w:rFonts w:ascii="Times New Roman" w:hAnsi="Times New Roman" w:cs="Times New Roman"/>
                <w:sz w:val="22"/>
              </w:rPr>
              <w:t>NA</w:t>
            </w:r>
          </w:p>
        </w:tc>
      </w:tr>
      <w:tr w:rsidR="0081030B" w:rsidRPr="00775C2E" w14:paraId="2643AD5B" w14:textId="77777777">
        <w:tc>
          <w:tcPr>
            <w:tcW w:w="674" w:type="pct"/>
            <w:vMerge w:val="restart"/>
            <w:tcBorders>
              <w:top w:val="nil"/>
              <w:left w:val="nil"/>
              <w:bottom w:val="nil"/>
              <w:right w:val="nil"/>
            </w:tcBorders>
          </w:tcPr>
          <w:p w14:paraId="1F97CEBD"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Sample size</w:t>
            </w:r>
          </w:p>
        </w:tc>
        <w:tc>
          <w:tcPr>
            <w:tcW w:w="232" w:type="pct"/>
            <w:tcBorders>
              <w:top w:val="nil"/>
              <w:left w:val="nil"/>
              <w:bottom w:val="nil"/>
              <w:right w:val="nil"/>
            </w:tcBorders>
          </w:tcPr>
          <w:p w14:paraId="1DE2FE88"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7a</w:t>
            </w:r>
          </w:p>
        </w:tc>
        <w:tc>
          <w:tcPr>
            <w:tcW w:w="3571" w:type="pct"/>
            <w:tcBorders>
              <w:top w:val="nil"/>
              <w:left w:val="nil"/>
              <w:bottom w:val="nil"/>
              <w:right w:val="nil"/>
            </w:tcBorders>
          </w:tcPr>
          <w:p w14:paraId="284B6107"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How sample size was determined</w:t>
            </w:r>
          </w:p>
        </w:tc>
        <w:tc>
          <w:tcPr>
            <w:tcW w:w="523" w:type="pct"/>
            <w:tcBorders>
              <w:top w:val="single" w:sz="4" w:space="0" w:color="auto"/>
              <w:left w:val="nil"/>
              <w:bottom w:val="single" w:sz="4" w:space="0" w:color="auto"/>
              <w:right w:val="nil"/>
            </w:tcBorders>
          </w:tcPr>
          <w:p w14:paraId="6ED6172B" w14:textId="355D1694"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12</w:t>
            </w:r>
          </w:p>
        </w:tc>
      </w:tr>
      <w:tr w:rsidR="0081030B" w:rsidRPr="00775C2E" w14:paraId="1DD37AE2" w14:textId="77777777">
        <w:tc>
          <w:tcPr>
            <w:tcW w:w="674" w:type="pct"/>
            <w:vMerge/>
            <w:tcBorders>
              <w:top w:val="nil"/>
              <w:left w:val="nil"/>
              <w:bottom w:val="nil"/>
              <w:right w:val="nil"/>
            </w:tcBorders>
            <w:vAlign w:val="center"/>
          </w:tcPr>
          <w:p w14:paraId="0D5E42B8"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74324B55"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7b</w:t>
            </w:r>
          </w:p>
        </w:tc>
        <w:tc>
          <w:tcPr>
            <w:tcW w:w="3571" w:type="pct"/>
            <w:tcBorders>
              <w:top w:val="nil"/>
              <w:left w:val="nil"/>
              <w:bottom w:val="nil"/>
              <w:right w:val="nil"/>
            </w:tcBorders>
          </w:tcPr>
          <w:p w14:paraId="4880E873"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When applicable, explanation of any interim analyses and stopping guidelines</w:t>
            </w:r>
          </w:p>
        </w:tc>
        <w:tc>
          <w:tcPr>
            <w:tcW w:w="523" w:type="pct"/>
            <w:tcBorders>
              <w:top w:val="single" w:sz="4" w:space="0" w:color="auto"/>
              <w:left w:val="nil"/>
              <w:bottom w:val="single" w:sz="4" w:space="0" w:color="auto"/>
              <w:right w:val="nil"/>
            </w:tcBorders>
          </w:tcPr>
          <w:p w14:paraId="14626543" w14:textId="4F37FCEA" w:rsidR="0081030B" w:rsidRPr="00775C2E" w:rsidRDefault="002B14AB">
            <w:pPr>
              <w:spacing w:line="300" w:lineRule="exact"/>
              <w:rPr>
                <w:rFonts w:ascii="Times New Roman" w:eastAsia="SimSun" w:hAnsi="Times New Roman" w:cs="Times New Roman"/>
                <w:sz w:val="22"/>
              </w:rPr>
            </w:pPr>
            <w:r>
              <w:rPr>
                <w:rFonts w:ascii="Times New Roman" w:hAnsi="Times New Roman" w:cs="Times New Roman"/>
                <w:sz w:val="22"/>
              </w:rPr>
              <w:t>NA</w:t>
            </w:r>
          </w:p>
        </w:tc>
      </w:tr>
      <w:tr w:rsidR="0081030B" w:rsidRPr="00775C2E" w14:paraId="2ADBFC4D" w14:textId="77777777">
        <w:tc>
          <w:tcPr>
            <w:tcW w:w="674" w:type="pct"/>
            <w:tcBorders>
              <w:top w:val="nil"/>
              <w:left w:val="nil"/>
              <w:bottom w:val="nil"/>
              <w:right w:val="nil"/>
            </w:tcBorders>
          </w:tcPr>
          <w:p w14:paraId="551DE4C6" w14:textId="77777777" w:rsidR="0081030B" w:rsidRPr="00775C2E" w:rsidRDefault="0067683D">
            <w:pPr>
              <w:spacing w:line="300" w:lineRule="exact"/>
              <w:rPr>
                <w:rFonts w:ascii="Times New Roman" w:eastAsia="SimSun" w:hAnsi="Times New Roman" w:cs="Times New Roman"/>
                <w:sz w:val="22"/>
              </w:rPr>
            </w:pPr>
            <w:proofErr w:type="spellStart"/>
            <w:r w:rsidRPr="00775C2E">
              <w:rPr>
                <w:rFonts w:ascii="Times New Roman" w:hAnsi="Times New Roman" w:cs="Times New Roman"/>
                <w:sz w:val="22"/>
              </w:rPr>
              <w:t>Randomisation</w:t>
            </w:r>
            <w:proofErr w:type="spellEnd"/>
            <w:r w:rsidRPr="00775C2E">
              <w:rPr>
                <w:rFonts w:ascii="Times New Roman" w:hAnsi="Times New Roman" w:cs="Times New Roman"/>
                <w:sz w:val="22"/>
              </w:rPr>
              <w:t>:</w:t>
            </w:r>
          </w:p>
        </w:tc>
        <w:tc>
          <w:tcPr>
            <w:tcW w:w="232" w:type="pct"/>
            <w:tcBorders>
              <w:top w:val="nil"/>
              <w:left w:val="nil"/>
              <w:bottom w:val="nil"/>
              <w:right w:val="nil"/>
            </w:tcBorders>
          </w:tcPr>
          <w:p w14:paraId="76DE745D" w14:textId="77777777" w:rsidR="0081030B" w:rsidRPr="00775C2E" w:rsidRDefault="0081030B">
            <w:pPr>
              <w:spacing w:line="300" w:lineRule="exact"/>
              <w:jc w:val="center"/>
              <w:rPr>
                <w:rFonts w:ascii="Times New Roman" w:eastAsia="SimSun" w:hAnsi="Times New Roman" w:cs="Times New Roman"/>
                <w:sz w:val="22"/>
              </w:rPr>
            </w:pPr>
          </w:p>
        </w:tc>
        <w:tc>
          <w:tcPr>
            <w:tcW w:w="3571" w:type="pct"/>
            <w:tcBorders>
              <w:top w:val="nil"/>
              <w:left w:val="nil"/>
              <w:bottom w:val="nil"/>
              <w:right w:val="nil"/>
            </w:tcBorders>
          </w:tcPr>
          <w:p w14:paraId="4F231E54" w14:textId="77777777" w:rsidR="0081030B" w:rsidRPr="00775C2E" w:rsidRDefault="0081030B">
            <w:pPr>
              <w:spacing w:line="300" w:lineRule="exact"/>
              <w:rPr>
                <w:rFonts w:ascii="Times New Roman" w:eastAsia="SimSun" w:hAnsi="Times New Roman" w:cs="Times New Roman"/>
                <w:sz w:val="22"/>
              </w:rPr>
            </w:pPr>
          </w:p>
        </w:tc>
        <w:tc>
          <w:tcPr>
            <w:tcW w:w="523" w:type="pct"/>
            <w:tcBorders>
              <w:top w:val="single" w:sz="4" w:space="0" w:color="auto"/>
              <w:left w:val="nil"/>
              <w:bottom w:val="nil"/>
              <w:right w:val="nil"/>
            </w:tcBorders>
          </w:tcPr>
          <w:p w14:paraId="114F50D0" w14:textId="77777777" w:rsidR="0081030B" w:rsidRPr="00775C2E" w:rsidRDefault="0081030B">
            <w:pPr>
              <w:spacing w:line="300" w:lineRule="exact"/>
              <w:rPr>
                <w:rFonts w:ascii="Times New Roman" w:eastAsia="SimSun" w:hAnsi="Times New Roman" w:cs="Times New Roman"/>
                <w:sz w:val="22"/>
              </w:rPr>
            </w:pPr>
          </w:p>
        </w:tc>
      </w:tr>
      <w:tr w:rsidR="0081030B" w:rsidRPr="00775C2E" w14:paraId="2003DBB4" w14:textId="77777777">
        <w:tc>
          <w:tcPr>
            <w:tcW w:w="674" w:type="pct"/>
            <w:vMerge w:val="restart"/>
            <w:tcBorders>
              <w:top w:val="nil"/>
              <w:left w:val="nil"/>
              <w:bottom w:val="nil"/>
              <w:right w:val="nil"/>
            </w:tcBorders>
          </w:tcPr>
          <w:p w14:paraId="546AED6A" w14:textId="77777777" w:rsidR="0081030B" w:rsidRPr="00775C2E" w:rsidRDefault="0067683D">
            <w:pPr>
              <w:spacing w:line="300" w:lineRule="exact"/>
              <w:ind w:left="540" w:hanging="540"/>
              <w:rPr>
                <w:rFonts w:ascii="Times New Roman" w:eastAsia="SimSun" w:hAnsi="Times New Roman" w:cs="Times New Roman"/>
                <w:sz w:val="22"/>
              </w:rPr>
            </w:pPr>
            <w:r w:rsidRPr="00775C2E">
              <w:rPr>
                <w:rFonts w:ascii="Times New Roman" w:hAnsi="Times New Roman" w:cs="Times New Roman"/>
                <w:sz w:val="22"/>
              </w:rPr>
              <w:lastRenderedPageBreak/>
              <w:t> </w:t>
            </w:r>
            <w:r w:rsidRPr="00775C2E">
              <w:rPr>
                <w:rFonts w:ascii="Times New Roman" w:hAnsi="Times New Roman" w:cs="Times New Roman"/>
                <w:sz w:val="22"/>
              </w:rPr>
              <w:t>Sequence generation</w:t>
            </w:r>
          </w:p>
        </w:tc>
        <w:tc>
          <w:tcPr>
            <w:tcW w:w="232" w:type="pct"/>
            <w:tcBorders>
              <w:top w:val="nil"/>
              <w:left w:val="nil"/>
              <w:bottom w:val="nil"/>
              <w:right w:val="nil"/>
            </w:tcBorders>
          </w:tcPr>
          <w:p w14:paraId="2522D460"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8a</w:t>
            </w:r>
          </w:p>
        </w:tc>
        <w:tc>
          <w:tcPr>
            <w:tcW w:w="3571" w:type="pct"/>
            <w:tcBorders>
              <w:top w:val="nil"/>
              <w:left w:val="nil"/>
              <w:bottom w:val="nil"/>
              <w:right w:val="nil"/>
            </w:tcBorders>
          </w:tcPr>
          <w:p w14:paraId="443A2AAF"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Method used to generate the random allocation sequence</w:t>
            </w:r>
          </w:p>
        </w:tc>
        <w:tc>
          <w:tcPr>
            <w:tcW w:w="523" w:type="pct"/>
            <w:tcBorders>
              <w:top w:val="nil"/>
              <w:left w:val="nil"/>
              <w:bottom w:val="single" w:sz="4" w:space="0" w:color="auto"/>
              <w:right w:val="nil"/>
            </w:tcBorders>
          </w:tcPr>
          <w:p w14:paraId="0684642E" w14:textId="31EE6BFC"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8-9</w:t>
            </w:r>
          </w:p>
        </w:tc>
      </w:tr>
      <w:tr w:rsidR="0081030B" w:rsidRPr="00775C2E" w14:paraId="632F5E06" w14:textId="77777777">
        <w:tc>
          <w:tcPr>
            <w:tcW w:w="674" w:type="pct"/>
            <w:vMerge/>
            <w:tcBorders>
              <w:top w:val="nil"/>
              <w:left w:val="nil"/>
              <w:bottom w:val="nil"/>
              <w:right w:val="nil"/>
            </w:tcBorders>
            <w:vAlign w:val="center"/>
          </w:tcPr>
          <w:p w14:paraId="4F105B8F"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41956E9E"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8b</w:t>
            </w:r>
          </w:p>
        </w:tc>
        <w:tc>
          <w:tcPr>
            <w:tcW w:w="3571" w:type="pct"/>
            <w:tcBorders>
              <w:top w:val="nil"/>
              <w:left w:val="nil"/>
              <w:bottom w:val="nil"/>
              <w:right w:val="nil"/>
            </w:tcBorders>
          </w:tcPr>
          <w:p w14:paraId="1CC16BEE"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 xml:space="preserve">Type of </w:t>
            </w:r>
            <w:proofErr w:type="spellStart"/>
            <w:r w:rsidRPr="00775C2E">
              <w:rPr>
                <w:rFonts w:ascii="Times New Roman" w:hAnsi="Times New Roman" w:cs="Times New Roman"/>
                <w:sz w:val="22"/>
              </w:rPr>
              <w:t>randomisation</w:t>
            </w:r>
            <w:proofErr w:type="spellEnd"/>
            <w:r w:rsidRPr="00775C2E">
              <w:rPr>
                <w:rFonts w:ascii="Times New Roman" w:hAnsi="Times New Roman" w:cs="Times New Roman"/>
                <w:sz w:val="22"/>
              </w:rPr>
              <w:t>; details of any restriction (such as blocking and block size)</w:t>
            </w:r>
          </w:p>
        </w:tc>
        <w:tc>
          <w:tcPr>
            <w:tcW w:w="523" w:type="pct"/>
            <w:tcBorders>
              <w:top w:val="single" w:sz="4" w:space="0" w:color="auto"/>
              <w:left w:val="nil"/>
              <w:bottom w:val="single" w:sz="4" w:space="0" w:color="auto"/>
              <w:right w:val="nil"/>
            </w:tcBorders>
          </w:tcPr>
          <w:p w14:paraId="43565CB5" w14:textId="22B16742"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8-9</w:t>
            </w:r>
          </w:p>
        </w:tc>
      </w:tr>
      <w:tr w:rsidR="0081030B" w:rsidRPr="00775C2E" w14:paraId="13D31D0C" w14:textId="77777777">
        <w:tc>
          <w:tcPr>
            <w:tcW w:w="674" w:type="pct"/>
            <w:tcBorders>
              <w:top w:val="nil"/>
              <w:left w:val="nil"/>
              <w:bottom w:val="nil"/>
              <w:right w:val="nil"/>
            </w:tcBorders>
          </w:tcPr>
          <w:p w14:paraId="2B36F6F4" w14:textId="77777777" w:rsidR="0081030B" w:rsidRPr="00775C2E" w:rsidRDefault="0067683D">
            <w:pPr>
              <w:spacing w:line="300" w:lineRule="exact"/>
              <w:ind w:left="540" w:hanging="540"/>
              <w:rPr>
                <w:rFonts w:ascii="Times New Roman" w:eastAsia="SimSun" w:hAnsi="Times New Roman" w:cs="Times New Roman"/>
                <w:sz w:val="22"/>
              </w:rPr>
            </w:pPr>
            <w:r w:rsidRPr="00775C2E">
              <w:rPr>
                <w:rFonts w:ascii="Times New Roman" w:hAnsi="Times New Roman" w:cs="Times New Roman"/>
                <w:sz w:val="22"/>
              </w:rPr>
              <w:t> </w:t>
            </w:r>
            <w:r w:rsidRPr="00775C2E">
              <w:rPr>
                <w:rFonts w:ascii="Times New Roman" w:hAnsi="Times New Roman" w:cs="Times New Roman"/>
                <w:sz w:val="22"/>
              </w:rPr>
              <w:t>Allocation concealment mechanism</w:t>
            </w:r>
          </w:p>
        </w:tc>
        <w:tc>
          <w:tcPr>
            <w:tcW w:w="232" w:type="pct"/>
            <w:tcBorders>
              <w:top w:val="nil"/>
              <w:left w:val="nil"/>
              <w:bottom w:val="nil"/>
              <w:right w:val="nil"/>
            </w:tcBorders>
          </w:tcPr>
          <w:p w14:paraId="76ACC242"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9</w:t>
            </w:r>
          </w:p>
        </w:tc>
        <w:tc>
          <w:tcPr>
            <w:tcW w:w="3571" w:type="pct"/>
            <w:tcBorders>
              <w:top w:val="nil"/>
              <w:left w:val="nil"/>
              <w:bottom w:val="nil"/>
              <w:right w:val="nil"/>
            </w:tcBorders>
          </w:tcPr>
          <w:p w14:paraId="5CA55317"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Mechanism used to implement the random allocation sequence (such as sequentially numbered containers), describing any steps taken to conceal the sequence until interventions were assigned</w:t>
            </w:r>
          </w:p>
        </w:tc>
        <w:tc>
          <w:tcPr>
            <w:tcW w:w="523" w:type="pct"/>
            <w:tcBorders>
              <w:top w:val="single" w:sz="4" w:space="0" w:color="auto"/>
              <w:left w:val="nil"/>
              <w:bottom w:val="single" w:sz="4" w:space="0" w:color="auto"/>
              <w:right w:val="nil"/>
            </w:tcBorders>
          </w:tcPr>
          <w:p w14:paraId="4D716F99" w14:textId="0AD3181C"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8-9</w:t>
            </w:r>
          </w:p>
        </w:tc>
      </w:tr>
      <w:tr w:rsidR="0081030B" w:rsidRPr="00775C2E" w14:paraId="0695E0DE" w14:textId="77777777">
        <w:tc>
          <w:tcPr>
            <w:tcW w:w="674" w:type="pct"/>
            <w:tcBorders>
              <w:top w:val="nil"/>
              <w:left w:val="nil"/>
              <w:bottom w:val="nil"/>
              <w:right w:val="nil"/>
            </w:tcBorders>
          </w:tcPr>
          <w:p w14:paraId="250E0E62"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 </w:t>
            </w:r>
            <w:r w:rsidRPr="00775C2E">
              <w:rPr>
                <w:rFonts w:ascii="Times New Roman" w:hAnsi="Times New Roman" w:cs="Times New Roman"/>
                <w:sz w:val="22"/>
              </w:rPr>
              <w:t>Implementation</w:t>
            </w:r>
          </w:p>
        </w:tc>
        <w:tc>
          <w:tcPr>
            <w:tcW w:w="232" w:type="pct"/>
            <w:tcBorders>
              <w:top w:val="nil"/>
              <w:left w:val="nil"/>
              <w:bottom w:val="nil"/>
              <w:right w:val="nil"/>
            </w:tcBorders>
          </w:tcPr>
          <w:p w14:paraId="274A81D9"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10</w:t>
            </w:r>
          </w:p>
        </w:tc>
        <w:tc>
          <w:tcPr>
            <w:tcW w:w="3571" w:type="pct"/>
            <w:tcBorders>
              <w:top w:val="nil"/>
              <w:left w:val="nil"/>
              <w:bottom w:val="nil"/>
              <w:right w:val="nil"/>
            </w:tcBorders>
          </w:tcPr>
          <w:p w14:paraId="706416CE"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Who generated the random allocation sequence, who enrolled participants, and who assigned participants to interventions</w:t>
            </w:r>
          </w:p>
        </w:tc>
        <w:tc>
          <w:tcPr>
            <w:tcW w:w="523" w:type="pct"/>
            <w:tcBorders>
              <w:top w:val="single" w:sz="4" w:space="0" w:color="auto"/>
              <w:left w:val="nil"/>
              <w:bottom w:val="single" w:sz="4" w:space="0" w:color="auto"/>
              <w:right w:val="nil"/>
            </w:tcBorders>
          </w:tcPr>
          <w:p w14:paraId="4ACBC6C9" w14:textId="5F50A870"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8-9</w:t>
            </w:r>
          </w:p>
        </w:tc>
      </w:tr>
      <w:tr w:rsidR="0081030B" w:rsidRPr="00775C2E" w14:paraId="313F562A" w14:textId="77777777">
        <w:tc>
          <w:tcPr>
            <w:tcW w:w="674" w:type="pct"/>
            <w:vMerge w:val="restart"/>
            <w:tcBorders>
              <w:top w:val="nil"/>
              <w:left w:val="nil"/>
              <w:bottom w:val="nil"/>
              <w:right w:val="nil"/>
            </w:tcBorders>
          </w:tcPr>
          <w:p w14:paraId="3EE061F1"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Blinding</w:t>
            </w:r>
          </w:p>
        </w:tc>
        <w:tc>
          <w:tcPr>
            <w:tcW w:w="232" w:type="pct"/>
            <w:tcBorders>
              <w:top w:val="nil"/>
              <w:left w:val="nil"/>
              <w:bottom w:val="nil"/>
              <w:right w:val="nil"/>
            </w:tcBorders>
          </w:tcPr>
          <w:p w14:paraId="411A245B"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11a</w:t>
            </w:r>
          </w:p>
        </w:tc>
        <w:tc>
          <w:tcPr>
            <w:tcW w:w="3571" w:type="pct"/>
            <w:tcBorders>
              <w:top w:val="nil"/>
              <w:left w:val="nil"/>
              <w:bottom w:val="nil"/>
              <w:right w:val="nil"/>
            </w:tcBorders>
          </w:tcPr>
          <w:p w14:paraId="22F18DAE"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If done, who was blinded after assignment to interventions (for example, participants, care providers, those assessing outcomes) and how</w:t>
            </w:r>
          </w:p>
        </w:tc>
        <w:tc>
          <w:tcPr>
            <w:tcW w:w="523" w:type="pct"/>
            <w:tcBorders>
              <w:top w:val="single" w:sz="4" w:space="0" w:color="auto"/>
              <w:left w:val="nil"/>
              <w:bottom w:val="single" w:sz="4" w:space="0" w:color="auto"/>
              <w:right w:val="nil"/>
            </w:tcBorders>
          </w:tcPr>
          <w:p w14:paraId="27D4FECA" w14:textId="345AA85B" w:rsidR="0081030B" w:rsidRPr="00775C2E" w:rsidRDefault="002B14AB">
            <w:pPr>
              <w:spacing w:line="300" w:lineRule="exact"/>
              <w:rPr>
                <w:rFonts w:ascii="Times New Roman" w:eastAsia="SimSun" w:hAnsi="Times New Roman" w:cs="Times New Roman"/>
                <w:sz w:val="22"/>
              </w:rPr>
            </w:pPr>
            <w:r>
              <w:rPr>
                <w:rFonts w:ascii="Times New Roman" w:eastAsia="SimSun" w:hAnsi="Times New Roman" w:cs="Times New Roman"/>
                <w:sz w:val="22"/>
              </w:rPr>
              <w:t>8-9</w:t>
            </w:r>
          </w:p>
        </w:tc>
      </w:tr>
      <w:tr w:rsidR="0081030B" w:rsidRPr="00775C2E" w14:paraId="70D5FE94" w14:textId="77777777">
        <w:tc>
          <w:tcPr>
            <w:tcW w:w="674" w:type="pct"/>
            <w:vMerge/>
            <w:tcBorders>
              <w:top w:val="nil"/>
              <w:left w:val="nil"/>
              <w:bottom w:val="nil"/>
              <w:right w:val="nil"/>
            </w:tcBorders>
            <w:vAlign w:val="center"/>
          </w:tcPr>
          <w:p w14:paraId="65D9475F"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5B93F79A"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11b</w:t>
            </w:r>
          </w:p>
        </w:tc>
        <w:tc>
          <w:tcPr>
            <w:tcW w:w="3571" w:type="pct"/>
            <w:tcBorders>
              <w:top w:val="nil"/>
              <w:left w:val="nil"/>
              <w:bottom w:val="nil"/>
              <w:right w:val="nil"/>
            </w:tcBorders>
          </w:tcPr>
          <w:p w14:paraId="568EC4F5"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If relevant, description of the similarity of interventions</w:t>
            </w:r>
          </w:p>
        </w:tc>
        <w:tc>
          <w:tcPr>
            <w:tcW w:w="523" w:type="pct"/>
            <w:tcBorders>
              <w:top w:val="single" w:sz="4" w:space="0" w:color="auto"/>
              <w:left w:val="nil"/>
              <w:bottom w:val="single" w:sz="4" w:space="0" w:color="auto"/>
              <w:right w:val="nil"/>
            </w:tcBorders>
          </w:tcPr>
          <w:p w14:paraId="3E26C811" w14:textId="14F97278" w:rsidR="0081030B" w:rsidRPr="00775C2E" w:rsidRDefault="00324CB8">
            <w:pPr>
              <w:spacing w:line="300" w:lineRule="exact"/>
              <w:rPr>
                <w:rFonts w:ascii="Times New Roman" w:eastAsia="SimSun" w:hAnsi="Times New Roman" w:cs="Times New Roman"/>
                <w:sz w:val="22"/>
              </w:rPr>
            </w:pPr>
            <w:r>
              <w:rPr>
                <w:rFonts w:ascii="Times New Roman" w:hAnsi="Times New Roman" w:cs="Times New Roman"/>
                <w:sz w:val="22"/>
              </w:rPr>
              <w:t>NA</w:t>
            </w:r>
          </w:p>
        </w:tc>
      </w:tr>
      <w:tr w:rsidR="0081030B" w:rsidRPr="00775C2E" w14:paraId="4E4007FB" w14:textId="77777777">
        <w:tc>
          <w:tcPr>
            <w:tcW w:w="674" w:type="pct"/>
            <w:vMerge w:val="restart"/>
            <w:tcBorders>
              <w:top w:val="nil"/>
              <w:left w:val="nil"/>
              <w:bottom w:val="nil"/>
              <w:right w:val="nil"/>
            </w:tcBorders>
          </w:tcPr>
          <w:p w14:paraId="5C945BC4"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Statistical methods</w:t>
            </w:r>
          </w:p>
        </w:tc>
        <w:tc>
          <w:tcPr>
            <w:tcW w:w="232" w:type="pct"/>
            <w:tcBorders>
              <w:top w:val="nil"/>
              <w:left w:val="nil"/>
              <w:bottom w:val="nil"/>
              <w:right w:val="nil"/>
            </w:tcBorders>
          </w:tcPr>
          <w:p w14:paraId="42914C8A"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12a</w:t>
            </w:r>
          </w:p>
        </w:tc>
        <w:tc>
          <w:tcPr>
            <w:tcW w:w="3571" w:type="pct"/>
            <w:tcBorders>
              <w:top w:val="nil"/>
              <w:left w:val="nil"/>
              <w:bottom w:val="nil"/>
              <w:right w:val="nil"/>
            </w:tcBorders>
          </w:tcPr>
          <w:p w14:paraId="5B3217E8"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Statistical methods used to compare groups for primary and secondary outcomes</w:t>
            </w:r>
          </w:p>
        </w:tc>
        <w:tc>
          <w:tcPr>
            <w:tcW w:w="523" w:type="pct"/>
            <w:tcBorders>
              <w:top w:val="single" w:sz="4" w:space="0" w:color="auto"/>
              <w:left w:val="nil"/>
              <w:bottom w:val="single" w:sz="4" w:space="0" w:color="auto"/>
              <w:right w:val="nil"/>
            </w:tcBorders>
          </w:tcPr>
          <w:p w14:paraId="2BCC0DF4" w14:textId="40A91D0A" w:rsidR="0081030B" w:rsidRPr="00775C2E" w:rsidRDefault="00324CB8">
            <w:pPr>
              <w:spacing w:line="300" w:lineRule="exact"/>
              <w:rPr>
                <w:rFonts w:ascii="Times New Roman" w:eastAsia="SimSun" w:hAnsi="Times New Roman" w:cs="Times New Roman"/>
                <w:sz w:val="22"/>
              </w:rPr>
            </w:pPr>
            <w:r>
              <w:rPr>
                <w:rFonts w:ascii="Times New Roman" w:eastAsia="SimSun" w:hAnsi="Times New Roman" w:cs="Times New Roman"/>
                <w:sz w:val="22"/>
              </w:rPr>
              <w:t>12-13</w:t>
            </w:r>
          </w:p>
        </w:tc>
      </w:tr>
      <w:tr w:rsidR="0081030B" w:rsidRPr="00775C2E" w14:paraId="76CB3735" w14:textId="77777777">
        <w:tc>
          <w:tcPr>
            <w:tcW w:w="674" w:type="pct"/>
            <w:vMerge/>
            <w:tcBorders>
              <w:top w:val="nil"/>
              <w:left w:val="nil"/>
              <w:bottom w:val="nil"/>
              <w:right w:val="nil"/>
            </w:tcBorders>
            <w:vAlign w:val="center"/>
          </w:tcPr>
          <w:p w14:paraId="097F06D2"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69356993"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12b</w:t>
            </w:r>
          </w:p>
        </w:tc>
        <w:tc>
          <w:tcPr>
            <w:tcW w:w="3571" w:type="pct"/>
            <w:tcBorders>
              <w:top w:val="nil"/>
              <w:left w:val="nil"/>
              <w:bottom w:val="nil"/>
              <w:right w:val="nil"/>
            </w:tcBorders>
          </w:tcPr>
          <w:p w14:paraId="41200A96"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Methods for additional analyses, such as subgroup analyses and adjusted analyses</w:t>
            </w:r>
          </w:p>
        </w:tc>
        <w:tc>
          <w:tcPr>
            <w:tcW w:w="523" w:type="pct"/>
            <w:tcBorders>
              <w:top w:val="single" w:sz="4" w:space="0" w:color="auto"/>
              <w:left w:val="nil"/>
              <w:bottom w:val="single" w:sz="4" w:space="0" w:color="auto"/>
              <w:right w:val="nil"/>
            </w:tcBorders>
          </w:tcPr>
          <w:p w14:paraId="054302B3" w14:textId="32CBF25C" w:rsidR="0081030B" w:rsidRPr="00775C2E" w:rsidRDefault="00324CB8">
            <w:pPr>
              <w:spacing w:line="300" w:lineRule="exact"/>
              <w:rPr>
                <w:rFonts w:ascii="Times New Roman" w:eastAsia="SimSun" w:hAnsi="Times New Roman" w:cs="Times New Roman"/>
                <w:sz w:val="22"/>
              </w:rPr>
            </w:pPr>
            <w:r>
              <w:rPr>
                <w:rFonts w:ascii="Times New Roman" w:eastAsia="SimSun" w:hAnsi="Times New Roman" w:cs="Times New Roman"/>
                <w:sz w:val="22"/>
              </w:rPr>
              <w:t>12</w:t>
            </w:r>
          </w:p>
        </w:tc>
      </w:tr>
      <w:tr w:rsidR="0081030B" w:rsidRPr="00775C2E" w14:paraId="652D24DD" w14:textId="77777777">
        <w:tc>
          <w:tcPr>
            <w:tcW w:w="5000" w:type="pct"/>
            <w:gridSpan w:val="4"/>
            <w:tcBorders>
              <w:top w:val="nil"/>
              <w:left w:val="nil"/>
              <w:bottom w:val="nil"/>
              <w:right w:val="nil"/>
            </w:tcBorders>
          </w:tcPr>
          <w:p w14:paraId="6D11F692" w14:textId="77777777" w:rsidR="0081030B" w:rsidRPr="00775C2E" w:rsidRDefault="0067683D">
            <w:pPr>
              <w:pStyle w:val="TableSubHead"/>
              <w:rPr>
                <w:rFonts w:ascii="Times New Roman" w:hAnsi="Times New Roman" w:cs="Times New Roman"/>
                <w:sz w:val="22"/>
                <w:szCs w:val="22"/>
              </w:rPr>
            </w:pPr>
            <w:r w:rsidRPr="00775C2E">
              <w:rPr>
                <w:rFonts w:ascii="Times New Roman" w:hAnsi="Times New Roman" w:cs="Times New Roman"/>
                <w:sz w:val="22"/>
                <w:szCs w:val="22"/>
              </w:rPr>
              <w:t>Results</w:t>
            </w:r>
          </w:p>
        </w:tc>
      </w:tr>
      <w:tr w:rsidR="0081030B" w:rsidRPr="00775C2E" w14:paraId="76DCC193" w14:textId="77777777">
        <w:tc>
          <w:tcPr>
            <w:tcW w:w="674" w:type="pct"/>
            <w:vMerge w:val="restart"/>
            <w:tcBorders>
              <w:top w:val="nil"/>
              <w:left w:val="nil"/>
              <w:bottom w:val="nil"/>
              <w:right w:val="nil"/>
            </w:tcBorders>
          </w:tcPr>
          <w:p w14:paraId="0FEC2CCC"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Participant flow (a diagram is strongly recommended)</w:t>
            </w:r>
          </w:p>
        </w:tc>
        <w:tc>
          <w:tcPr>
            <w:tcW w:w="232" w:type="pct"/>
            <w:tcBorders>
              <w:top w:val="nil"/>
              <w:left w:val="nil"/>
              <w:bottom w:val="nil"/>
              <w:right w:val="nil"/>
            </w:tcBorders>
          </w:tcPr>
          <w:p w14:paraId="727F40E8"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13a</w:t>
            </w:r>
          </w:p>
        </w:tc>
        <w:tc>
          <w:tcPr>
            <w:tcW w:w="3571" w:type="pct"/>
            <w:tcBorders>
              <w:top w:val="nil"/>
              <w:left w:val="nil"/>
              <w:bottom w:val="nil"/>
              <w:right w:val="nil"/>
            </w:tcBorders>
          </w:tcPr>
          <w:p w14:paraId="16EA0A55"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 xml:space="preserve">For each group, the numbers of participants who were randomly assigned, received intended treatment, and were </w:t>
            </w:r>
            <w:proofErr w:type="spellStart"/>
            <w:r w:rsidRPr="00775C2E">
              <w:rPr>
                <w:rFonts w:ascii="Times New Roman" w:hAnsi="Times New Roman" w:cs="Times New Roman"/>
                <w:sz w:val="22"/>
              </w:rPr>
              <w:t>analysed</w:t>
            </w:r>
            <w:proofErr w:type="spellEnd"/>
            <w:r w:rsidRPr="00775C2E">
              <w:rPr>
                <w:rFonts w:ascii="Times New Roman" w:hAnsi="Times New Roman" w:cs="Times New Roman"/>
                <w:sz w:val="22"/>
              </w:rPr>
              <w:t xml:space="preserve"> for the primary outcome</w:t>
            </w:r>
          </w:p>
        </w:tc>
        <w:tc>
          <w:tcPr>
            <w:tcW w:w="523" w:type="pct"/>
            <w:tcBorders>
              <w:top w:val="nil"/>
              <w:left w:val="nil"/>
              <w:bottom w:val="single" w:sz="4" w:space="0" w:color="auto"/>
              <w:right w:val="nil"/>
            </w:tcBorders>
          </w:tcPr>
          <w:p w14:paraId="2B9B10B5" w14:textId="551D7236" w:rsidR="0081030B" w:rsidRPr="00775C2E" w:rsidRDefault="00324CB8">
            <w:pPr>
              <w:spacing w:line="300" w:lineRule="exact"/>
              <w:rPr>
                <w:rFonts w:ascii="Times New Roman" w:eastAsia="SimSun" w:hAnsi="Times New Roman" w:cs="Times New Roman"/>
                <w:sz w:val="22"/>
              </w:rPr>
            </w:pPr>
            <w:r>
              <w:rPr>
                <w:rFonts w:ascii="Times New Roman" w:eastAsia="SimSun" w:hAnsi="Times New Roman" w:cs="Times New Roman"/>
                <w:sz w:val="22"/>
              </w:rPr>
              <w:t>14</w:t>
            </w:r>
          </w:p>
        </w:tc>
      </w:tr>
      <w:tr w:rsidR="0081030B" w:rsidRPr="00775C2E" w14:paraId="69B24FAD" w14:textId="77777777">
        <w:tc>
          <w:tcPr>
            <w:tcW w:w="674" w:type="pct"/>
            <w:vMerge/>
            <w:tcBorders>
              <w:top w:val="nil"/>
              <w:left w:val="nil"/>
              <w:bottom w:val="nil"/>
              <w:right w:val="nil"/>
            </w:tcBorders>
            <w:vAlign w:val="center"/>
          </w:tcPr>
          <w:p w14:paraId="0DFB0BBB"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72FDCAFD"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13b</w:t>
            </w:r>
          </w:p>
        </w:tc>
        <w:tc>
          <w:tcPr>
            <w:tcW w:w="3571" w:type="pct"/>
            <w:tcBorders>
              <w:top w:val="nil"/>
              <w:left w:val="nil"/>
              <w:bottom w:val="nil"/>
              <w:right w:val="nil"/>
            </w:tcBorders>
          </w:tcPr>
          <w:p w14:paraId="0D6145BF"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 xml:space="preserve">For each group, losses and exclusions after </w:t>
            </w:r>
            <w:proofErr w:type="spellStart"/>
            <w:r w:rsidRPr="00775C2E">
              <w:rPr>
                <w:rFonts w:ascii="Times New Roman" w:hAnsi="Times New Roman" w:cs="Times New Roman"/>
                <w:sz w:val="22"/>
              </w:rPr>
              <w:t>randomisation</w:t>
            </w:r>
            <w:proofErr w:type="spellEnd"/>
            <w:r w:rsidRPr="00775C2E">
              <w:rPr>
                <w:rFonts w:ascii="Times New Roman" w:hAnsi="Times New Roman" w:cs="Times New Roman"/>
                <w:sz w:val="22"/>
              </w:rPr>
              <w:t>, together with reasons</w:t>
            </w:r>
          </w:p>
        </w:tc>
        <w:tc>
          <w:tcPr>
            <w:tcW w:w="523" w:type="pct"/>
            <w:tcBorders>
              <w:top w:val="single" w:sz="4" w:space="0" w:color="auto"/>
              <w:left w:val="nil"/>
              <w:bottom w:val="single" w:sz="4" w:space="0" w:color="auto"/>
              <w:right w:val="nil"/>
            </w:tcBorders>
          </w:tcPr>
          <w:p w14:paraId="67BD7159" w14:textId="65B363B2" w:rsidR="0081030B" w:rsidRPr="00775C2E" w:rsidRDefault="00324CB8">
            <w:pPr>
              <w:spacing w:line="300" w:lineRule="exact"/>
              <w:rPr>
                <w:rFonts w:ascii="Times New Roman" w:eastAsia="SimSun" w:hAnsi="Times New Roman" w:cs="Times New Roman"/>
                <w:sz w:val="22"/>
              </w:rPr>
            </w:pPr>
            <w:r>
              <w:rPr>
                <w:rFonts w:ascii="Times New Roman" w:eastAsia="SimSun" w:hAnsi="Times New Roman" w:cs="Times New Roman"/>
                <w:sz w:val="22"/>
              </w:rPr>
              <w:t>14</w:t>
            </w:r>
          </w:p>
        </w:tc>
      </w:tr>
      <w:tr w:rsidR="0081030B" w:rsidRPr="00775C2E" w14:paraId="36DD74A1" w14:textId="77777777">
        <w:tc>
          <w:tcPr>
            <w:tcW w:w="674" w:type="pct"/>
            <w:vMerge w:val="restart"/>
            <w:tcBorders>
              <w:top w:val="nil"/>
              <w:left w:val="nil"/>
              <w:bottom w:val="nil"/>
              <w:right w:val="nil"/>
            </w:tcBorders>
          </w:tcPr>
          <w:p w14:paraId="78A792B6"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Recruitment</w:t>
            </w:r>
          </w:p>
        </w:tc>
        <w:tc>
          <w:tcPr>
            <w:tcW w:w="232" w:type="pct"/>
            <w:tcBorders>
              <w:top w:val="nil"/>
              <w:left w:val="nil"/>
              <w:bottom w:val="nil"/>
              <w:right w:val="nil"/>
            </w:tcBorders>
          </w:tcPr>
          <w:p w14:paraId="4FB43B6A"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14a</w:t>
            </w:r>
          </w:p>
        </w:tc>
        <w:tc>
          <w:tcPr>
            <w:tcW w:w="3571" w:type="pct"/>
            <w:tcBorders>
              <w:top w:val="nil"/>
              <w:left w:val="nil"/>
              <w:bottom w:val="nil"/>
              <w:right w:val="nil"/>
            </w:tcBorders>
          </w:tcPr>
          <w:p w14:paraId="50582F8B"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Dates defining the periods of recruitment and follow-up</w:t>
            </w:r>
          </w:p>
        </w:tc>
        <w:tc>
          <w:tcPr>
            <w:tcW w:w="523" w:type="pct"/>
            <w:tcBorders>
              <w:top w:val="single" w:sz="4" w:space="0" w:color="auto"/>
              <w:left w:val="nil"/>
              <w:bottom w:val="single" w:sz="4" w:space="0" w:color="auto"/>
              <w:right w:val="nil"/>
            </w:tcBorders>
          </w:tcPr>
          <w:p w14:paraId="6224BFC3" w14:textId="2E049AF4" w:rsidR="0081030B" w:rsidRPr="00775C2E" w:rsidRDefault="0034343B">
            <w:pPr>
              <w:spacing w:line="300" w:lineRule="exact"/>
              <w:rPr>
                <w:rFonts w:ascii="Times New Roman" w:eastAsia="SimSun" w:hAnsi="Times New Roman" w:cs="Times New Roman"/>
                <w:sz w:val="22"/>
              </w:rPr>
            </w:pPr>
            <w:r>
              <w:rPr>
                <w:rFonts w:ascii="Times New Roman" w:eastAsia="SimSun" w:hAnsi="Times New Roman" w:cs="Times New Roman"/>
                <w:sz w:val="22"/>
              </w:rPr>
              <w:t>14</w:t>
            </w:r>
          </w:p>
        </w:tc>
      </w:tr>
      <w:tr w:rsidR="0081030B" w:rsidRPr="00775C2E" w14:paraId="7F7A0666" w14:textId="77777777">
        <w:tc>
          <w:tcPr>
            <w:tcW w:w="674" w:type="pct"/>
            <w:vMerge/>
            <w:tcBorders>
              <w:top w:val="nil"/>
              <w:left w:val="nil"/>
              <w:bottom w:val="nil"/>
              <w:right w:val="nil"/>
            </w:tcBorders>
            <w:vAlign w:val="center"/>
          </w:tcPr>
          <w:p w14:paraId="68D027B1"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148F9E06"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14b</w:t>
            </w:r>
          </w:p>
        </w:tc>
        <w:tc>
          <w:tcPr>
            <w:tcW w:w="3571" w:type="pct"/>
            <w:tcBorders>
              <w:top w:val="nil"/>
              <w:left w:val="nil"/>
              <w:bottom w:val="nil"/>
              <w:right w:val="nil"/>
            </w:tcBorders>
          </w:tcPr>
          <w:p w14:paraId="64AE1528"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Why the trial ended or was stopped</w:t>
            </w:r>
          </w:p>
        </w:tc>
        <w:tc>
          <w:tcPr>
            <w:tcW w:w="523" w:type="pct"/>
            <w:tcBorders>
              <w:top w:val="single" w:sz="4" w:space="0" w:color="auto"/>
              <w:left w:val="nil"/>
              <w:bottom w:val="single" w:sz="4" w:space="0" w:color="auto"/>
              <w:right w:val="nil"/>
            </w:tcBorders>
          </w:tcPr>
          <w:p w14:paraId="056E9C97" w14:textId="01B93CB7" w:rsidR="0081030B" w:rsidRPr="00775C2E" w:rsidRDefault="0034343B">
            <w:pPr>
              <w:spacing w:line="300" w:lineRule="exact"/>
              <w:rPr>
                <w:rFonts w:ascii="Times New Roman" w:eastAsia="SimSun" w:hAnsi="Times New Roman" w:cs="Times New Roman"/>
                <w:sz w:val="22"/>
              </w:rPr>
            </w:pPr>
            <w:r>
              <w:rPr>
                <w:rFonts w:ascii="Times New Roman" w:eastAsia="SimSun" w:hAnsi="Times New Roman" w:cs="Times New Roman"/>
                <w:sz w:val="22"/>
              </w:rPr>
              <w:t>NA</w:t>
            </w:r>
          </w:p>
        </w:tc>
      </w:tr>
      <w:tr w:rsidR="0081030B" w:rsidRPr="00775C2E" w14:paraId="33FA2B66" w14:textId="77777777">
        <w:tc>
          <w:tcPr>
            <w:tcW w:w="674" w:type="pct"/>
            <w:tcBorders>
              <w:top w:val="nil"/>
              <w:left w:val="nil"/>
              <w:bottom w:val="nil"/>
              <w:right w:val="nil"/>
            </w:tcBorders>
          </w:tcPr>
          <w:p w14:paraId="07546414"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Baseline data</w:t>
            </w:r>
          </w:p>
        </w:tc>
        <w:tc>
          <w:tcPr>
            <w:tcW w:w="232" w:type="pct"/>
            <w:tcBorders>
              <w:top w:val="nil"/>
              <w:left w:val="nil"/>
              <w:bottom w:val="nil"/>
              <w:right w:val="nil"/>
            </w:tcBorders>
          </w:tcPr>
          <w:p w14:paraId="4B9011D5"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15</w:t>
            </w:r>
          </w:p>
        </w:tc>
        <w:tc>
          <w:tcPr>
            <w:tcW w:w="3571" w:type="pct"/>
            <w:tcBorders>
              <w:top w:val="nil"/>
              <w:left w:val="nil"/>
              <w:bottom w:val="nil"/>
              <w:right w:val="nil"/>
            </w:tcBorders>
          </w:tcPr>
          <w:p w14:paraId="7108E58D"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A table showing baseline demographic and clinical characteristics for each group</w:t>
            </w:r>
          </w:p>
        </w:tc>
        <w:tc>
          <w:tcPr>
            <w:tcW w:w="523" w:type="pct"/>
            <w:tcBorders>
              <w:top w:val="single" w:sz="4" w:space="0" w:color="auto"/>
              <w:left w:val="nil"/>
              <w:bottom w:val="single" w:sz="4" w:space="0" w:color="auto"/>
              <w:right w:val="nil"/>
            </w:tcBorders>
          </w:tcPr>
          <w:p w14:paraId="7D5B55DE" w14:textId="3A5AE331" w:rsidR="0081030B" w:rsidRPr="00775C2E" w:rsidRDefault="0034343B">
            <w:pPr>
              <w:spacing w:line="300" w:lineRule="exact"/>
              <w:rPr>
                <w:rFonts w:ascii="Times New Roman" w:eastAsia="SimSun" w:hAnsi="Times New Roman" w:cs="Times New Roman"/>
                <w:sz w:val="22"/>
              </w:rPr>
            </w:pPr>
            <w:r>
              <w:rPr>
                <w:rFonts w:ascii="Times New Roman" w:eastAsia="SimSun" w:hAnsi="Times New Roman" w:cs="Times New Roman"/>
                <w:sz w:val="22"/>
              </w:rPr>
              <w:t>28</w:t>
            </w:r>
          </w:p>
        </w:tc>
      </w:tr>
      <w:tr w:rsidR="0081030B" w:rsidRPr="00775C2E" w14:paraId="38194645" w14:textId="77777777">
        <w:tc>
          <w:tcPr>
            <w:tcW w:w="674" w:type="pct"/>
            <w:tcBorders>
              <w:top w:val="nil"/>
              <w:left w:val="nil"/>
              <w:bottom w:val="nil"/>
              <w:right w:val="nil"/>
            </w:tcBorders>
          </w:tcPr>
          <w:p w14:paraId="1F5FA460"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 xml:space="preserve">Numbers </w:t>
            </w:r>
            <w:proofErr w:type="spellStart"/>
            <w:r w:rsidRPr="00775C2E">
              <w:rPr>
                <w:rFonts w:ascii="Times New Roman" w:hAnsi="Times New Roman" w:cs="Times New Roman"/>
                <w:sz w:val="22"/>
              </w:rPr>
              <w:t>analysed</w:t>
            </w:r>
            <w:proofErr w:type="spellEnd"/>
          </w:p>
        </w:tc>
        <w:tc>
          <w:tcPr>
            <w:tcW w:w="232" w:type="pct"/>
            <w:tcBorders>
              <w:top w:val="nil"/>
              <w:left w:val="nil"/>
              <w:bottom w:val="nil"/>
              <w:right w:val="nil"/>
            </w:tcBorders>
          </w:tcPr>
          <w:p w14:paraId="3331B2D2"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16</w:t>
            </w:r>
          </w:p>
        </w:tc>
        <w:tc>
          <w:tcPr>
            <w:tcW w:w="3571" w:type="pct"/>
            <w:tcBorders>
              <w:top w:val="nil"/>
              <w:left w:val="nil"/>
              <w:bottom w:val="nil"/>
              <w:right w:val="nil"/>
            </w:tcBorders>
          </w:tcPr>
          <w:p w14:paraId="14A5E1C2"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For each group, number of participants (denominator) included in each analysis and whether the analysis was by original assigned groups</w:t>
            </w:r>
          </w:p>
        </w:tc>
        <w:tc>
          <w:tcPr>
            <w:tcW w:w="523" w:type="pct"/>
            <w:tcBorders>
              <w:top w:val="single" w:sz="4" w:space="0" w:color="auto"/>
              <w:left w:val="nil"/>
              <w:bottom w:val="single" w:sz="4" w:space="0" w:color="auto"/>
              <w:right w:val="nil"/>
            </w:tcBorders>
          </w:tcPr>
          <w:p w14:paraId="3AD27D2F" w14:textId="4BCA96CF" w:rsidR="0081030B" w:rsidRPr="00775C2E" w:rsidRDefault="0034343B">
            <w:pPr>
              <w:spacing w:line="300" w:lineRule="exact"/>
              <w:rPr>
                <w:rFonts w:ascii="Times New Roman" w:eastAsia="SimSun" w:hAnsi="Times New Roman" w:cs="Times New Roman"/>
                <w:sz w:val="22"/>
              </w:rPr>
            </w:pPr>
            <w:r>
              <w:rPr>
                <w:rFonts w:ascii="Times New Roman" w:eastAsia="SimSun" w:hAnsi="Times New Roman" w:cs="Times New Roman"/>
                <w:sz w:val="22"/>
              </w:rPr>
              <w:t>14</w:t>
            </w:r>
          </w:p>
        </w:tc>
      </w:tr>
      <w:tr w:rsidR="0081030B" w:rsidRPr="00775C2E" w14:paraId="684E462E" w14:textId="77777777">
        <w:tc>
          <w:tcPr>
            <w:tcW w:w="674" w:type="pct"/>
            <w:vMerge w:val="restart"/>
            <w:tcBorders>
              <w:top w:val="nil"/>
              <w:left w:val="nil"/>
              <w:bottom w:val="nil"/>
              <w:right w:val="nil"/>
            </w:tcBorders>
          </w:tcPr>
          <w:p w14:paraId="3CA9A8DF"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lastRenderedPageBreak/>
              <w:t>Outcomes and estimation</w:t>
            </w:r>
          </w:p>
        </w:tc>
        <w:tc>
          <w:tcPr>
            <w:tcW w:w="232" w:type="pct"/>
            <w:tcBorders>
              <w:top w:val="nil"/>
              <w:left w:val="nil"/>
              <w:bottom w:val="nil"/>
              <w:right w:val="nil"/>
            </w:tcBorders>
          </w:tcPr>
          <w:p w14:paraId="53C04AC0"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17a</w:t>
            </w:r>
          </w:p>
        </w:tc>
        <w:tc>
          <w:tcPr>
            <w:tcW w:w="3571" w:type="pct"/>
            <w:tcBorders>
              <w:top w:val="nil"/>
              <w:left w:val="nil"/>
              <w:bottom w:val="nil"/>
              <w:right w:val="nil"/>
            </w:tcBorders>
          </w:tcPr>
          <w:p w14:paraId="13009C7E"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For each primary and secondary outcome, results for each group, and the estimated effect size and its precision (such as 95% confidence interval)</w:t>
            </w:r>
          </w:p>
        </w:tc>
        <w:tc>
          <w:tcPr>
            <w:tcW w:w="523" w:type="pct"/>
            <w:tcBorders>
              <w:top w:val="single" w:sz="4" w:space="0" w:color="auto"/>
              <w:left w:val="nil"/>
              <w:bottom w:val="single" w:sz="4" w:space="0" w:color="auto"/>
              <w:right w:val="nil"/>
            </w:tcBorders>
          </w:tcPr>
          <w:p w14:paraId="1980411A" w14:textId="36086309" w:rsidR="0081030B" w:rsidRPr="00775C2E" w:rsidRDefault="0034343B">
            <w:pPr>
              <w:spacing w:line="300" w:lineRule="exact"/>
              <w:rPr>
                <w:rFonts w:ascii="Times New Roman" w:eastAsia="SimSun" w:hAnsi="Times New Roman" w:cs="Times New Roman"/>
                <w:sz w:val="22"/>
              </w:rPr>
            </w:pPr>
            <w:r>
              <w:rPr>
                <w:rFonts w:ascii="Times New Roman" w:eastAsia="SimSun" w:hAnsi="Times New Roman" w:cs="Times New Roman"/>
                <w:sz w:val="22"/>
              </w:rPr>
              <w:t>14-</w:t>
            </w:r>
            <w:r w:rsidR="006203E0">
              <w:rPr>
                <w:rFonts w:ascii="Times New Roman" w:eastAsia="SimSun" w:hAnsi="Times New Roman" w:cs="Times New Roman"/>
                <w:sz w:val="22"/>
              </w:rPr>
              <w:t>16</w:t>
            </w:r>
          </w:p>
        </w:tc>
      </w:tr>
      <w:tr w:rsidR="0081030B" w:rsidRPr="00775C2E" w14:paraId="4E73E730" w14:textId="77777777">
        <w:tc>
          <w:tcPr>
            <w:tcW w:w="674" w:type="pct"/>
            <w:vMerge/>
            <w:tcBorders>
              <w:top w:val="nil"/>
              <w:left w:val="nil"/>
              <w:bottom w:val="nil"/>
              <w:right w:val="nil"/>
            </w:tcBorders>
            <w:vAlign w:val="center"/>
          </w:tcPr>
          <w:p w14:paraId="1DE73458" w14:textId="77777777" w:rsidR="0081030B" w:rsidRPr="00775C2E" w:rsidRDefault="0081030B">
            <w:pPr>
              <w:rPr>
                <w:rFonts w:ascii="Times New Roman" w:eastAsia="SimSun" w:hAnsi="Times New Roman" w:cs="Times New Roman"/>
                <w:sz w:val="22"/>
              </w:rPr>
            </w:pPr>
          </w:p>
        </w:tc>
        <w:tc>
          <w:tcPr>
            <w:tcW w:w="232" w:type="pct"/>
            <w:tcBorders>
              <w:top w:val="nil"/>
              <w:left w:val="nil"/>
              <w:bottom w:val="nil"/>
              <w:right w:val="nil"/>
            </w:tcBorders>
          </w:tcPr>
          <w:p w14:paraId="49CFE172"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17b</w:t>
            </w:r>
          </w:p>
        </w:tc>
        <w:tc>
          <w:tcPr>
            <w:tcW w:w="3571" w:type="pct"/>
            <w:tcBorders>
              <w:top w:val="nil"/>
              <w:left w:val="nil"/>
              <w:bottom w:val="nil"/>
              <w:right w:val="nil"/>
            </w:tcBorders>
          </w:tcPr>
          <w:p w14:paraId="4708A536"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For binary outcomes, presentation of both absolute and relative effect sizes is recommended</w:t>
            </w:r>
          </w:p>
        </w:tc>
        <w:tc>
          <w:tcPr>
            <w:tcW w:w="523" w:type="pct"/>
            <w:tcBorders>
              <w:top w:val="single" w:sz="4" w:space="0" w:color="auto"/>
              <w:left w:val="nil"/>
              <w:bottom w:val="single" w:sz="4" w:space="0" w:color="auto"/>
              <w:right w:val="nil"/>
            </w:tcBorders>
          </w:tcPr>
          <w:p w14:paraId="31B6D771" w14:textId="7ACC0FF5" w:rsidR="0081030B" w:rsidRPr="00775C2E" w:rsidRDefault="006203E0">
            <w:pPr>
              <w:spacing w:line="300" w:lineRule="exact"/>
              <w:rPr>
                <w:rFonts w:ascii="Times New Roman" w:eastAsia="SimSun" w:hAnsi="Times New Roman" w:cs="Times New Roman"/>
                <w:sz w:val="22"/>
              </w:rPr>
            </w:pPr>
            <w:r>
              <w:rPr>
                <w:rFonts w:ascii="Times New Roman" w:eastAsia="SimSun" w:hAnsi="Times New Roman" w:cs="Times New Roman"/>
                <w:sz w:val="22"/>
              </w:rPr>
              <w:t>14-16</w:t>
            </w:r>
          </w:p>
        </w:tc>
      </w:tr>
      <w:tr w:rsidR="0081030B" w:rsidRPr="00775C2E" w14:paraId="548CDF0A" w14:textId="77777777">
        <w:tc>
          <w:tcPr>
            <w:tcW w:w="674" w:type="pct"/>
            <w:tcBorders>
              <w:top w:val="nil"/>
              <w:left w:val="nil"/>
              <w:bottom w:val="nil"/>
              <w:right w:val="nil"/>
            </w:tcBorders>
          </w:tcPr>
          <w:p w14:paraId="4F78EDCF"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Ancillary analyses</w:t>
            </w:r>
          </w:p>
        </w:tc>
        <w:tc>
          <w:tcPr>
            <w:tcW w:w="232" w:type="pct"/>
            <w:tcBorders>
              <w:top w:val="nil"/>
              <w:left w:val="nil"/>
              <w:bottom w:val="nil"/>
              <w:right w:val="nil"/>
            </w:tcBorders>
          </w:tcPr>
          <w:p w14:paraId="6D480214"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18</w:t>
            </w:r>
          </w:p>
        </w:tc>
        <w:tc>
          <w:tcPr>
            <w:tcW w:w="3571" w:type="pct"/>
            <w:tcBorders>
              <w:top w:val="nil"/>
              <w:left w:val="nil"/>
              <w:bottom w:val="nil"/>
              <w:right w:val="nil"/>
            </w:tcBorders>
          </w:tcPr>
          <w:p w14:paraId="7E8497F9"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Results of any other analyses performed, including subgroup analyses and adjusted analyses, distinguishing pre-specified from exploratory</w:t>
            </w:r>
          </w:p>
        </w:tc>
        <w:tc>
          <w:tcPr>
            <w:tcW w:w="523" w:type="pct"/>
            <w:tcBorders>
              <w:top w:val="single" w:sz="4" w:space="0" w:color="auto"/>
              <w:left w:val="nil"/>
              <w:bottom w:val="single" w:sz="4" w:space="0" w:color="auto"/>
              <w:right w:val="nil"/>
            </w:tcBorders>
          </w:tcPr>
          <w:p w14:paraId="3FC71C13" w14:textId="018D12FC" w:rsidR="0081030B" w:rsidRPr="00775C2E" w:rsidRDefault="006203E0">
            <w:pPr>
              <w:spacing w:line="300" w:lineRule="exact"/>
              <w:rPr>
                <w:rFonts w:ascii="Times New Roman" w:eastAsia="SimSun" w:hAnsi="Times New Roman" w:cs="Times New Roman"/>
                <w:sz w:val="22"/>
              </w:rPr>
            </w:pPr>
            <w:r>
              <w:rPr>
                <w:rFonts w:ascii="Times New Roman" w:eastAsia="SimSun" w:hAnsi="Times New Roman" w:cs="Times New Roman"/>
                <w:sz w:val="22"/>
              </w:rPr>
              <w:t>15</w:t>
            </w:r>
          </w:p>
        </w:tc>
      </w:tr>
      <w:tr w:rsidR="0081030B" w:rsidRPr="00775C2E" w14:paraId="5C16BE87" w14:textId="77777777">
        <w:tc>
          <w:tcPr>
            <w:tcW w:w="674" w:type="pct"/>
            <w:tcBorders>
              <w:top w:val="nil"/>
              <w:left w:val="nil"/>
              <w:bottom w:val="nil"/>
              <w:right w:val="nil"/>
            </w:tcBorders>
          </w:tcPr>
          <w:p w14:paraId="3B55702E"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Harms</w:t>
            </w:r>
          </w:p>
        </w:tc>
        <w:tc>
          <w:tcPr>
            <w:tcW w:w="232" w:type="pct"/>
            <w:tcBorders>
              <w:top w:val="nil"/>
              <w:left w:val="nil"/>
              <w:bottom w:val="nil"/>
              <w:right w:val="nil"/>
            </w:tcBorders>
          </w:tcPr>
          <w:p w14:paraId="57BD5D9D"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19</w:t>
            </w:r>
          </w:p>
        </w:tc>
        <w:tc>
          <w:tcPr>
            <w:tcW w:w="3571" w:type="pct"/>
            <w:tcBorders>
              <w:top w:val="nil"/>
              <w:left w:val="nil"/>
              <w:bottom w:val="nil"/>
              <w:right w:val="nil"/>
            </w:tcBorders>
          </w:tcPr>
          <w:p w14:paraId="16BD4620"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All important harms or unintended effects in each group (for specific guidance see CONSORT for harms)</w:t>
            </w:r>
          </w:p>
        </w:tc>
        <w:tc>
          <w:tcPr>
            <w:tcW w:w="523" w:type="pct"/>
            <w:tcBorders>
              <w:top w:val="single" w:sz="4" w:space="0" w:color="auto"/>
              <w:left w:val="nil"/>
              <w:bottom w:val="single" w:sz="4" w:space="0" w:color="auto"/>
              <w:right w:val="nil"/>
            </w:tcBorders>
          </w:tcPr>
          <w:p w14:paraId="7637F74A" w14:textId="1C1DED18" w:rsidR="0081030B" w:rsidRPr="00775C2E" w:rsidRDefault="006203E0">
            <w:pPr>
              <w:spacing w:line="300" w:lineRule="exact"/>
              <w:rPr>
                <w:rFonts w:ascii="Times New Roman" w:eastAsia="SimSun" w:hAnsi="Times New Roman" w:cs="Times New Roman"/>
                <w:sz w:val="22"/>
              </w:rPr>
            </w:pPr>
            <w:r>
              <w:rPr>
                <w:rFonts w:ascii="Times New Roman" w:hAnsi="Times New Roman" w:cs="Times New Roman"/>
                <w:sz w:val="22"/>
              </w:rPr>
              <w:t>16</w:t>
            </w:r>
          </w:p>
        </w:tc>
      </w:tr>
      <w:tr w:rsidR="0081030B" w:rsidRPr="00775C2E" w14:paraId="3B7F886D" w14:textId="77777777">
        <w:tc>
          <w:tcPr>
            <w:tcW w:w="5000" w:type="pct"/>
            <w:gridSpan w:val="4"/>
            <w:tcBorders>
              <w:top w:val="nil"/>
              <w:left w:val="nil"/>
              <w:bottom w:val="nil"/>
              <w:right w:val="nil"/>
            </w:tcBorders>
          </w:tcPr>
          <w:p w14:paraId="6F982991" w14:textId="77777777" w:rsidR="0081030B" w:rsidRPr="00775C2E" w:rsidRDefault="0067683D">
            <w:pPr>
              <w:pStyle w:val="TableSubHead"/>
              <w:rPr>
                <w:rFonts w:ascii="Times New Roman" w:hAnsi="Times New Roman" w:cs="Times New Roman"/>
                <w:sz w:val="22"/>
                <w:szCs w:val="22"/>
              </w:rPr>
            </w:pPr>
            <w:r w:rsidRPr="00775C2E">
              <w:rPr>
                <w:rFonts w:ascii="Times New Roman" w:hAnsi="Times New Roman" w:cs="Times New Roman"/>
                <w:sz w:val="22"/>
                <w:szCs w:val="22"/>
              </w:rPr>
              <w:t>Discussion</w:t>
            </w:r>
          </w:p>
        </w:tc>
      </w:tr>
      <w:tr w:rsidR="0081030B" w:rsidRPr="00775C2E" w14:paraId="00141555" w14:textId="77777777">
        <w:tc>
          <w:tcPr>
            <w:tcW w:w="674" w:type="pct"/>
            <w:tcBorders>
              <w:top w:val="nil"/>
              <w:left w:val="nil"/>
              <w:bottom w:val="nil"/>
              <w:right w:val="nil"/>
            </w:tcBorders>
          </w:tcPr>
          <w:p w14:paraId="26A1950A"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Limitations</w:t>
            </w:r>
          </w:p>
        </w:tc>
        <w:tc>
          <w:tcPr>
            <w:tcW w:w="232" w:type="pct"/>
            <w:tcBorders>
              <w:top w:val="nil"/>
              <w:left w:val="nil"/>
              <w:bottom w:val="nil"/>
              <w:right w:val="nil"/>
            </w:tcBorders>
          </w:tcPr>
          <w:p w14:paraId="1FDF7980"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20</w:t>
            </w:r>
          </w:p>
        </w:tc>
        <w:tc>
          <w:tcPr>
            <w:tcW w:w="3571" w:type="pct"/>
            <w:tcBorders>
              <w:top w:val="nil"/>
              <w:left w:val="nil"/>
              <w:bottom w:val="nil"/>
              <w:right w:val="nil"/>
            </w:tcBorders>
          </w:tcPr>
          <w:p w14:paraId="5B44E74F"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Trial limitations, addressing sources of potential bias, imprecision, and, if relevant, multiplicity of analyses</w:t>
            </w:r>
          </w:p>
        </w:tc>
        <w:tc>
          <w:tcPr>
            <w:tcW w:w="523" w:type="pct"/>
            <w:tcBorders>
              <w:top w:val="nil"/>
              <w:left w:val="nil"/>
              <w:bottom w:val="single" w:sz="4" w:space="0" w:color="auto"/>
              <w:right w:val="nil"/>
            </w:tcBorders>
          </w:tcPr>
          <w:p w14:paraId="7D6AAA4C" w14:textId="431D7741" w:rsidR="0081030B" w:rsidRPr="00775C2E" w:rsidRDefault="006203E0">
            <w:pPr>
              <w:spacing w:line="300" w:lineRule="exact"/>
              <w:rPr>
                <w:rFonts w:ascii="Times New Roman" w:eastAsia="SimSun" w:hAnsi="Times New Roman" w:cs="Times New Roman"/>
                <w:sz w:val="22"/>
              </w:rPr>
            </w:pPr>
            <w:r>
              <w:rPr>
                <w:rFonts w:ascii="Times New Roman" w:eastAsia="SimSun" w:hAnsi="Times New Roman" w:cs="Times New Roman"/>
                <w:sz w:val="22"/>
              </w:rPr>
              <w:t>19</w:t>
            </w:r>
          </w:p>
        </w:tc>
      </w:tr>
      <w:tr w:rsidR="0081030B" w:rsidRPr="00775C2E" w14:paraId="73F6569E" w14:textId="77777777">
        <w:tc>
          <w:tcPr>
            <w:tcW w:w="674" w:type="pct"/>
            <w:tcBorders>
              <w:top w:val="nil"/>
              <w:left w:val="nil"/>
              <w:bottom w:val="nil"/>
              <w:right w:val="nil"/>
            </w:tcBorders>
          </w:tcPr>
          <w:p w14:paraId="1D830AC3" w14:textId="77777777" w:rsidR="0081030B" w:rsidRPr="00775C2E" w:rsidRDefault="0067683D">
            <w:pPr>
              <w:spacing w:line="300" w:lineRule="exact"/>
              <w:rPr>
                <w:rFonts w:ascii="Times New Roman" w:eastAsia="SimSun" w:hAnsi="Times New Roman" w:cs="Times New Roman"/>
                <w:sz w:val="22"/>
              </w:rPr>
            </w:pPr>
            <w:proofErr w:type="spellStart"/>
            <w:r w:rsidRPr="00775C2E">
              <w:rPr>
                <w:rFonts w:ascii="Times New Roman" w:hAnsi="Times New Roman" w:cs="Times New Roman"/>
                <w:sz w:val="22"/>
              </w:rPr>
              <w:t>Generalisability</w:t>
            </w:r>
            <w:proofErr w:type="spellEnd"/>
          </w:p>
        </w:tc>
        <w:tc>
          <w:tcPr>
            <w:tcW w:w="232" w:type="pct"/>
            <w:tcBorders>
              <w:top w:val="nil"/>
              <w:left w:val="nil"/>
              <w:bottom w:val="nil"/>
              <w:right w:val="nil"/>
            </w:tcBorders>
          </w:tcPr>
          <w:p w14:paraId="4740AD1D"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21</w:t>
            </w:r>
          </w:p>
        </w:tc>
        <w:tc>
          <w:tcPr>
            <w:tcW w:w="3571" w:type="pct"/>
            <w:tcBorders>
              <w:top w:val="nil"/>
              <w:left w:val="nil"/>
              <w:bottom w:val="nil"/>
              <w:right w:val="nil"/>
            </w:tcBorders>
          </w:tcPr>
          <w:p w14:paraId="173E0396" w14:textId="77777777" w:rsidR="0081030B" w:rsidRPr="00775C2E" w:rsidRDefault="0067683D">
            <w:pPr>
              <w:spacing w:line="300" w:lineRule="exact"/>
              <w:rPr>
                <w:rFonts w:ascii="Times New Roman" w:eastAsia="SimSun" w:hAnsi="Times New Roman" w:cs="Times New Roman"/>
                <w:sz w:val="22"/>
              </w:rPr>
            </w:pPr>
            <w:proofErr w:type="spellStart"/>
            <w:r w:rsidRPr="00775C2E">
              <w:rPr>
                <w:rFonts w:ascii="Times New Roman" w:hAnsi="Times New Roman" w:cs="Times New Roman"/>
                <w:sz w:val="22"/>
              </w:rPr>
              <w:t>Generalisability</w:t>
            </w:r>
            <w:proofErr w:type="spellEnd"/>
            <w:r w:rsidRPr="00775C2E">
              <w:rPr>
                <w:rFonts w:ascii="Times New Roman" w:hAnsi="Times New Roman" w:cs="Times New Roman"/>
                <w:sz w:val="22"/>
              </w:rPr>
              <w:t xml:space="preserve"> (external validity, applicability) of the trial findings</w:t>
            </w:r>
          </w:p>
        </w:tc>
        <w:tc>
          <w:tcPr>
            <w:tcW w:w="523" w:type="pct"/>
            <w:tcBorders>
              <w:top w:val="single" w:sz="4" w:space="0" w:color="auto"/>
              <w:left w:val="nil"/>
              <w:bottom w:val="single" w:sz="4" w:space="0" w:color="auto"/>
              <w:right w:val="nil"/>
            </w:tcBorders>
          </w:tcPr>
          <w:p w14:paraId="411C40FF" w14:textId="5C74CD2B" w:rsidR="0081030B" w:rsidRPr="00775C2E" w:rsidRDefault="00EE002F">
            <w:pPr>
              <w:spacing w:line="300" w:lineRule="exact"/>
              <w:rPr>
                <w:rFonts w:ascii="Times New Roman" w:eastAsia="SimSun" w:hAnsi="Times New Roman" w:cs="Times New Roman"/>
                <w:sz w:val="22"/>
              </w:rPr>
            </w:pPr>
            <w:r>
              <w:rPr>
                <w:rFonts w:ascii="Times New Roman" w:eastAsia="SimSun" w:hAnsi="Times New Roman" w:cs="Times New Roman"/>
                <w:sz w:val="22"/>
              </w:rPr>
              <w:t>18</w:t>
            </w:r>
          </w:p>
        </w:tc>
      </w:tr>
      <w:tr w:rsidR="0081030B" w:rsidRPr="00775C2E" w14:paraId="79313C04" w14:textId="77777777">
        <w:tc>
          <w:tcPr>
            <w:tcW w:w="674" w:type="pct"/>
            <w:tcBorders>
              <w:top w:val="nil"/>
              <w:left w:val="nil"/>
              <w:bottom w:val="nil"/>
              <w:right w:val="nil"/>
            </w:tcBorders>
          </w:tcPr>
          <w:p w14:paraId="4C65DF63"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Interpretation</w:t>
            </w:r>
          </w:p>
        </w:tc>
        <w:tc>
          <w:tcPr>
            <w:tcW w:w="232" w:type="pct"/>
            <w:tcBorders>
              <w:top w:val="nil"/>
              <w:left w:val="nil"/>
              <w:bottom w:val="nil"/>
              <w:right w:val="nil"/>
            </w:tcBorders>
          </w:tcPr>
          <w:p w14:paraId="7B37B9B2"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22</w:t>
            </w:r>
          </w:p>
        </w:tc>
        <w:tc>
          <w:tcPr>
            <w:tcW w:w="3571" w:type="pct"/>
            <w:tcBorders>
              <w:top w:val="nil"/>
              <w:left w:val="nil"/>
              <w:bottom w:val="nil"/>
              <w:right w:val="nil"/>
            </w:tcBorders>
          </w:tcPr>
          <w:p w14:paraId="23DBCE9D"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Interpretation consistent with results, balancing benefits and harms, and considering other relevant evidence</w:t>
            </w:r>
          </w:p>
        </w:tc>
        <w:tc>
          <w:tcPr>
            <w:tcW w:w="523" w:type="pct"/>
            <w:tcBorders>
              <w:top w:val="single" w:sz="4" w:space="0" w:color="auto"/>
              <w:left w:val="nil"/>
              <w:bottom w:val="single" w:sz="4" w:space="0" w:color="auto"/>
              <w:right w:val="nil"/>
            </w:tcBorders>
          </w:tcPr>
          <w:p w14:paraId="429214B5" w14:textId="07EFD6F9" w:rsidR="0081030B" w:rsidRPr="00775C2E" w:rsidRDefault="00EE002F">
            <w:pPr>
              <w:spacing w:line="300" w:lineRule="exact"/>
              <w:rPr>
                <w:rFonts w:ascii="Times New Roman" w:eastAsia="SimSun" w:hAnsi="Times New Roman" w:cs="Times New Roman"/>
                <w:sz w:val="22"/>
              </w:rPr>
            </w:pPr>
            <w:r>
              <w:rPr>
                <w:rFonts w:ascii="Times New Roman" w:eastAsia="SimSun" w:hAnsi="Times New Roman" w:cs="Times New Roman"/>
                <w:sz w:val="22"/>
              </w:rPr>
              <w:t>16-19</w:t>
            </w:r>
          </w:p>
        </w:tc>
      </w:tr>
      <w:tr w:rsidR="0081030B" w:rsidRPr="00775C2E" w14:paraId="4B4A7B42" w14:textId="77777777">
        <w:tc>
          <w:tcPr>
            <w:tcW w:w="4477" w:type="pct"/>
            <w:gridSpan w:val="3"/>
            <w:tcBorders>
              <w:top w:val="nil"/>
              <w:left w:val="nil"/>
              <w:bottom w:val="nil"/>
              <w:right w:val="nil"/>
            </w:tcBorders>
          </w:tcPr>
          <w:p w14:paraId="70D8649B" w14:textId="77777777" w:rsidR="0081030B" w:rsidRPr="00775C2E" w:rsidRDefault="0067683D">
            <w:pPr>
              <w:pStyle w:val="TableSubHead"/>
              <w:rPr>
                <w:rFonts w:ascii="Times New Roman" w:hAnsi="Times New Roman" w:cs="Times New Roman"/>
                <w:sz w:val="22"/>
                <w:szCs w:val="22"/>
              </w:rPr>
            </w:pPr>
            <w:r w:rsidRPr="00775C2E">
              <w:rPr>
                <w:rFonts w:ascii="Times New Roman" w:hAnsi="Times New Roman" w:cs="Times New Roman"/>
                <w:sz w:val="22"/>
                <w:szCs w:val="22"/>
              </w:rPr>
              <w:t>Other information</w:t>
            </w:r>
          </w:p>
        </w:tc>
        <w:tc>
          <w:tcPr>
            <w:tcW w:w="523" w:type="pct"/>
            <w:tcBorders>
              <w:top w:val="single" w:sz="4" w:space="0" w:color="auto"/>
              <w:left w:val="nil"/>
              <w:bottom w:val="nil"/>
              <w:right w:val="nil"/>
            </w:tcBorders>
          </w:tcPr>
          <w:p w14:paraId="38987197" w14:textId="77777777" w:rsidR="0081030B" w:rsidRPr="00775C2E" w:rsidRDefault="0081030B">
            <w:pPr>
              <w:spacing w:line="300" w:lineRule="exact"/>
              <w:rPr>
                <w:rFonts w:ascii="Times New Roman" w:eastAsia="SimSun" w:hAnsi="Times New Roman" w:cs="Times New Roman"/>
                <w:sz w:val="22"/>
              </w:rPr>
            </w:pPr>
          </w:p>
        </w:tc>
      </w:tr>
      <w:tr w:rsidR="0081030B" w:rsidRPr="00775C2E" w14:paraId="47AEEA53" w14:textId="77777777">
        <w:tc>
          <w:tcPr>
            <w:tcW w:w="674" w:type="pct"/>
            <w:tcBorders>
              <w:top w:val="nil"/>
              <w:left w:val="nil"/>
              <w:bottom w:val="nil"/>
              <w:right w:val="nil"/>
            </w:tcBorders>
          </w:tcPr>
          <w:p w14:paraId="03675ECF" w14:textId="77777777" w:rsidR="0081030B" w:rsidRPr="00775C2E" w:rsidRDefault="0067683D">
            <w:pPr>
              <w:spacing w:line="300" w:lineRule="exact"/>
              <w:rPr>
                <w:rFonts w:ascii="Times New Roman" w:eastAsia="SimSun" w:hAnsi="Times New Roman" w:cs="Times New Roman"/>
                <w:i/>
                <w:iCs/>
                <w:caps/>
                <w:sz w:val="22"/>
              </w:rPr>
            </w:pPr>
            <w:r w:rsidRPr="00775C2E">
              <w:rPr>
                <w:rFonts w:ascii="Times New Roman" w:hAnsi="Times New Roman" w:cs="Times New Roman"/>
                <w:sz w:val="22"/>
              </w:rPr>
              <w:t>Registration</w:t>
            </w:r>
          </w:p>
        </w:tc>
        <w:tc>
          <w:tcPr>
            <w:tcW w:w="232" w:type="pct"/>
            <w:tcBorders>
              <w:top w:val="nil"/>
              <w:left w:val="nil"/>
              <w:bottom w:val="nil"/>
              <w:right w:val="nil"/>
            </w:tcBorders>
          </w:tcPr>
          <w:p w14:paraId="2FACD7C8"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23</w:t>
            </w:r>
          </w:p>
        </w:tc>
        <w:tc>
          <w:tcPr>
            <w:tcW w:w="3571" w:type="pct"/>
            <w:tcBorders>
              <w:top w:val="nil"/>
              <w:left w:val="nil"/>
              <w:bottom w:val="nil"/>
              <w:right w:val="nil"/>
            </w:tcBorders>
          </w:tcPr>
          <w:p w14:paraId="14DEF06C"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Registration number and name of trial registry</w:t>
            </w:r>
          </w:p>
        </w:tc>
        <w:tc>
          <w:tcPr>
            <w:tcW w:w="523" w:type="pct"/>
            <w:tcBorders>
              <w:top w:val="nil"/>
              <w:left w:val="nil"/>
              <w:bottom w:val="single" w:sz="4" w:space="0" w:color="auto"/>
              <w:right w:val="nil"/>
            </w:tcBorders>
          </w:tcPr>
          <w:p w14:paraId="47BA0DC4" w14:textId="1716B499" w:rsidR="0081030B" w:rsidRPr="00775C2E" w:rsidRDefault="00EE002F">
            <w:pPr>
              <w:spacing w:line="300" w:lineRule="exact"/>
              <w:rPr>
                <w:rFonts w:ascii="Times New Roman" w:eastAsia="SimSun" w:hAnsi="Times New Roman" w:cs="Times New Roman"/>
                <w:sz w:val="22"/>
              </w:rPr>
            </w:pPr>
            <w:r>
              <w:rPr>
                <w:rFonts w:ascii="Times New Roman" w:eastAsia="SimSun" w:hAnsi="Times New Roman" w:cs="Times New Roman"/>
                <w:sz w:val="22"/>
              </w:rPr>
              <w:t>13</w:t>
            </w:r>
          </w:p>
        </w:tc>
      </w:tr>
      <w:tr w:rsidR="0081030B" w:rsidRPr="00775C2E" w14:paraId="616731D3" w14:textId="77777777">
        <w:tc>
          <w:tcPr>
            <w:tcW w:w="674" w:type="pct"/>
            <w:tcBorders>
              <w:top w:val="nil"/>
              <w:left w:val="nil"/>
              <w:bottom w:val="nil"/>
              <w:right w:val="nil"/>
            </w:tcBorders>
          </w:tcPr>
          <w:p w14:paraId="1C604EFE" w14:textId="77777777" w:rsidR="0081030B" w:rsidRPr="00775C2E" w:rsidRDefault="0067683D">
            <w:pPr>
              <w:spacing w:line="300" w:lineRule="exact"/>
              <w:rPr>
                <w:rFonts w:ascii="Times New Roman" w:eastAsia="SimSun" w:hAnsi="Times New Roman" w:cs="Times New Roman"/>
                <w:i/>
                <w:iCs/>
                <w:caps/>
                <w:sz w:val="22"/>
              </w:rPr>
            </w:pPr>
            <w:r w:rsidRPr="00775C2E">
              <w:rPr>
                <w:rFonts w:ascii="Times New Roman" w:hAnsi="Times New Roman" w:cs="Times New Roman"/>
                <w:sz w:val="22"/>
              </w:rPr>
              <w:t>Protocol</w:t>
            </w:r>
          </w:p>
        </w:tc>
        <w:tc>
          <w:tcPr>
            <w:tcW w:w="232" w:type="pct"/>
            <w:tcBorders>
              <w:top w:val="nil"/>
              <w:left w:val="nil"/>
              <w:bottom w:val="nil"/>
              <w:right w:val="nil"/>
            </w:tcBorders>
          </w:tcPr>
          <w:p w14:paraId="35C31BC6"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24</w:t>
            </w:r>
          </w:p>
        </w:tc>
        <w:tc>
          <w:tcPr>
            <w:tcW w:w="3571" w:type="pct"/>
            <w:tcBorders>
              <w:top w:val="nil"/>
              <w:left w:val="nil"/>
              <w:bottom w:val="nil"/>
              <w:right w:val="nil"/>
            </w:tcBorders>
          </w:tcPr>
          <w:p w14:paraId="190D48EF"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Where the full trial protocol can be accessed, if available</w:t>
            </w:r>
          </w:p>
        </w:tc>
        <w:tc>
          <w:tcPr>
            <w:tcW w:w="523" w:type="pct"/>
            <w:tcBorders>
              <w:top w:val="single" w:sz="4" w:space="0" w:color="auto"/>
              <w:left w:val="nil"/>
              <w:bottom w:val="single" w:sz="4" w:space="0" w:color="auto"/>
              <w:right w:val="nil"/>
            </w:tcBorders>
          </w:tcPr>
          <w:p w14:paraId="2DB3AFAC" w14:textId="5D1B1684" w:rsidR="0081030B" w:rsidRPr="00775C2E" w:rsidRDefault="0067683D">
            <w:pPr>
              <w:spacing w:line="300" w:lineRule="exact"/>
              <w:rPr>
                <w:rFonts w:ascii="Times New Roman" w:hAnsi="Times New Roman" w:cs="Times New Roman"/>
                <w:sz w:val="22"/>
              </w:rPr>
            </w:pPr>
            <w:r w:rsidRPr="00775C2E">
              <w:rPr>
                <w:rFonts w:ascii="Times New Roman" w:hAnsi="Times New Roman" w:cs="Times New Roman"/>
                <w:sz w:val="22"/>
              </w:rPr>
              <w:t>Appendix</w:t>
            </w:r>
            <w:r w:rsidR="00EE002F">
              <w:rPr>
                <w:rFonts w:ascii="Times New Roman" w:hAnsi="Times New Roman" w:cs="Times New Roman"/>
                <w:sz w:val="22"/>
              </w:rPr>
              <w:t xml:space="preserve"> p21</w:t>
            </w:r>
            <w:r w:rsidRPr="00775C2E">
              <w:rPr>
                <w:rFonts w:ascii="Times New Roman" w:hAnsi="Times New Roman" w:cs="Times New Roman"/>
                <w:sz w:val="22"/>
              </w:rPr>
              <w:t xml:space="preserve"> </w:t>
            </w:r>
          </w:p>
        </w:tc>
      </w:tr>
      <w:tr w:rsidR="0081030B" w:rsidRPr="00775C2E" w14:paraId="210432B8" w14:textId="77777777">
        <w:tc>
          <w:tcPr>
            <w:tcW w:w="674" w:type="pct"/>
            <w:tcBorders>
              <w:top w:val="nil"/>
              <w:left w:val="nil"/>
              <w:bottom w:val="single" w:sz="12" w:space="0" w:color="auto"/>
              <w:right w:val="nil"/>
            </w:tcBorders>
          </w:tcPr>
          <w:p w14:paraId="4EEF4B69" w14:textId="77777777" w:rsidR="0081030B" w:rsidRPr="00775C2E" w:rsidRDefault="0067683D">
            <w:pPr>
              <w:spacing w:line="300" w:lineRule="exact"/>
              <w:rPr>
                <w:rFonts w:ascii="Times New Roman" w:eastAsia="SimSun" w:hAnsi="Times New Roman" w:cs="Times New Roman"/>
                <w:i/>
                <w:iCs/>
                <w:caps/>
                <w:sz w:val="22"/>
              </w:rPr>
            </w:pPr>
            <w:r w:rsidRPr="00775C2E">
              <w:rPr>
                <w:rFonts w:ascii="Times New Roman" w:hAnsi="Times New Roman" w:cs="Times New Roman"/>
                <w:sz w:val="22"/>
              </w:rPr>
              <w:t>Funding</w:t>
            </w:r>
          </w:p>
        </w:tc>
        <w:tc>
          <w:tcPr>
            <w:tcW w:w="232" w:type="pct"/>
            <w:tcBorders>
              <w:top w:val="nil"/>
              <w:left w:val="nil"/>
              <w:bottom w:val="single" w:sz="12" w:space="0" w:color="auto"/>
              <w:right w:val="nil"/>
            </w:tcBorders>
          </w:tcPr>
          <w:p w14:paraId="4D2CDA3A" w14:textId="77777777" w:rsidR="0081030B" w:rsidRPr="00775C2E" w:rsidRDefault="0067683D">
            <w:pPr>
              <w:spacing w:line="300" w:lineRule="exact"/>
              <w:jc w:val="center"/>
              <w:rPr>
                <w:rFonts w:ascii="Times New Roman" w:eastAsia="SimSun" w:hAnsi="Times New Roman" w:cs="Times New Roman"/>
                <w:sz w:val="22"/>
              </w:rPr>
            </w:pPr>
            <w:r w:rsidRPr="00775C2E">
              <w:rPr>
                <w:rFonts w:ascii="Times New Roman" w:hAnsi="Times New Roman" w:cs="Times New Roman"/>
                <w:sz w:val="22"/>
              </w:rPr>
              <w:t>25</w:t>
            </w:r>
          </w:p>
        </w:tc>
        <w:tc>
          <w:tcPr>
            <w:tcW w:w="3571" w:type="pct"/>
            <w:tcBorders>
              <w:top w:val="nil"/>
              <w:left w:val="nil"/>
              <w:bottom w:val="single" w:sz="12" w:space="0" w:color="auto"/>
              <w:right w:val="nil"/>
            </w:tcBorders>
          </w:tcPr>
          <w:p w14:paraId="4CBCD02A" w14:textId="77777777" w:rsidR="0081030B" w:rsidRPr="00775C2E" w:rsidRDefault="0067683D">
            <w:pPr>
              <w:spacing w:line="300" w:lineRule="exact"/>
              <w:rPr>
                <w:rFonts w:ascii="Times New Roman" w:eastAsia="SimSun" w:hAnsi="Times New Roman" w:cs="Times New Roman"/>
                <w:sz w:val="22"/>
              </w:rPr>
            </w:pPr>
            <w:r w:rsidRPr="00775C2E">
              <w:rPr>
                <w:rFonts w:ascii="Times New Roman" w:hAnsi="Times New Roman" w:cs="Times New Roman"/>
                <w:sz w:val="22"/>
              </w:rPr>
              <w:t>Sources of funding and other support (such as supply of drugs), role of funders</w:t>
            </w:r>
          </w:p>
        </w:tc>
        <w:tc>
          <w:tcPr>
            <w:tcW w:w="523" w:type="pct"/>
            <w:tcBorders>
              <w:top w:val="single" w:sz="4" w:space="0" w:color="auto"/>
              <w:left w:val="nil"/>
              <w:bottom w:val="single" w:sz="12" w:space="0" w:color="auto"/>
              <w:right w:val="nil"/>
            </w:tcBorders>
          </w:tcPr>
          <w:p w14:paraId="028AC715" w14:textId="733BA3FC" w:rsidR="0081030B" w:rsidRPr="00775C2E" w:rsidRDefault="00EE002F">
            <w:pPr>
              <w:spacing w:line="300" w:lineRule="exact"/>
              <w:rPr>
                <w:rFonts w:ascii="Times New Roman" w:hAnsi="Times New Roman" w:cs="Times New Roman"/>
                <w:sz w:val="22"/>
              </w:rPr>
            </w:pPr>
            <w:r>
              <w:rPr>
                <w:rFonts w:ascii="Times New Roman" w:hAnsi="Times New Roman" w:cs="Times New Roman"/>
                <w:sz w:val="22"/>
              </w:rPr>
              <w:t>13</w:t>
            </w:r>
          </w:p>
        </w:tc>
      </w:tr>
    </w:tbl>
    <w:p w14:paraId="391A7844" w14:textId="77777777" w:rsidR="0081030B" w:rsidRPr="00775C2E" w:rsidRDefault="0067683D">
      <w:pPr>
        <w:rPr>
          <w:rFonts w:ascii="Times New Roman" w:hAnsi="Times New Roman" w:cs="Times New Roman"/>
          <w:sz w:val="22"/>
        </w:rPr>
      </w:pPr>
      <w:r w:rsidRPr="00775C2E">
        <w:rPr>
          <w:rFonts w:ascii="Times New Roman" w:hAnsi="Times New Roman" w:cs="Times New Roman"/>
          <w:color w:val="000000"/>
          <w:sz w:val="22"/>
        </w:rPr>
        <w:t xml:space="preserve">* This checklist was retrieved from </w:t>
      </w:r>
      <w:r w:rsidRPr="00775C2E">
        <w:rPr>
          <w:rFonts w:ascii="Times New Roman" w:hAnsi="Times New Roman" w:cs="Times New Roman"/>
          <w:color w:val="0000FF"/>
          <w:sz w:val="22"/>
        </w:rPr>
        <w:t>www.consort-statement.org</w:t>
      </w:r>
    </w:p>
    <w:p w14:paraId="478494C1" w14:textId="77777777" w:rsidR="0081030B" w:rsidRPr="00775C2E" w:rsidRDefault="0081030B">
      <w:pPr>
        <w:jc w:val="left"/>
        <w:rPr>
          <w:rFonts w:ascii="Times New Roman" w:hAnsi="Times New Roman" w:cs="Times New Roman"/>
          <w:sz w:val="22"/>
        </w:rPr>
      </w:pPr>
    </w:p>
    <w:p w14:paraId="444B97F7" w14:textId="77777777" w:rsidR="0081030B" w:rsidRPr="00775C2E" w:rsidRDefault="0081030B">
      <w:pPr>
        <w:jc w:val="left"/>
        <w:rPr>
          <w:rFonts w:ascii="Times New Roman" w:hAnsi="Times New Roman" w:cs="Times New Roman"/>
          <w:sz w:val="22"/>
        </w:rPr>
      </w:pPr>
    </w:p>
    <w:p w14:paraId="2311AF21" w14:textId="77777777" w:rsidR="0081030B" w:rsidRPr="00775C2E" w:rsidRDefault="0081030B">
      <w:pPr>
        <w:jc w:val="left"/>
        <w:rPr>
          <w:rFonts w:ascii="Times New Roman" w:hAnsi="Times New Roman" w:cs="Times New Roman"/>
          <w:sz w:val="22"/>
        </w:rPr>
      </w:pPr>
    </w:p>
    <w:p w14:paraId="2B279B46" w14:textId="77777777" w:rsidR="0081030B" w:rsidRPr="00775C2E" w:rsidRDefault="0081030B">
      <w:pPr>
        <w:jc w:val="left"/>
        <w:rPr>
          <w:rFonts w:ascii="Times New Roman" w:hAnsi="Times New Roman" w:cs="Times New Roman"/>
          <w:sz w:val="22"/>
        </w:rPr>
      </w:pPr>
    </w:p>
    <w:p w14:paraId="1625385B" w14:textId="77777777" w:rsidR="0081030B" w:rsidRPr="00775C2E" w:rsidRDefault="0081030B">
      <w:pPr>
        <w:jc w:val="left"/>
        <w:rPr>
          <w:rFonts w:ascii="Times New Roman" w:hAnsi="Times New Roman" w:cs="Times New Roman"/>
          <w:sz w:val="22"/>
        </w:rPr>
        <w:sectPr w:rsidR="0081030B" w:rsidRPr="00775C2E">
          <w:footerReference w:type="default" r:id="rId33"/>
          <w:pgSz w:w="11905" w:h="16838"/>
          <w:pgMar w:top="1327" w:right="1803" w:bottom="1327" w:left="1803" w:header="850" w:footer="992" w:gutter="0"/>
          <w:cols w:space="0"/>
          <w:docGrid w:type="lines" w:linePitch="319"/>
        </w:sectPr>
      </w:pPr>
    </w:p>
    <w:p w14:paraId="29A4D8D3" w14:textId="7BDE073C" w:rsidR="0081030B" w:rsidRPr="00775C2E" w:rsidRDefault="00F44B23">
      <w:pPr>
        <w:pStyle w:val="Heading1"/>
        <w:rPr>
          <w:rFonts w:ascii="Times New Roman" w:hAnsi="Times New Roman" w:cs="Times New Roman"/>
          <w:sz w:val="22"/>
          <w:szCs w:val="22"/>
        </w:rPr>
      </w:pPr>
      <w:bookmarkStart w:id="54" w:name="_Toc72151002"/>
      <w:bookmarkStart w:id="55" w:name="_Toc101122709"/>
      <w:r w:rsidRPr="00775C2E">
        <w:rPr>
          <w:rFonts w:ascii="Times New Roman" w:hAnsi="Times New Roman" w:cs="Times New Roman"/>
          <w:sz w:val="22"/>
          <w:szCs w:val="22"/>
        </w:rPr>
        <w:lastRenderedPageBreak/>
        <w:t>File S</w:t>
      </w:r>
      <w:r w:rsidR="00EE002F">
        <w:rPr>
          <w:rFonts w:ascii="Times New Roman" w:hAnsi="Times New Roman" w:cs="Times New Roman"/>
          <w:sz w:val="22"/>
          <w:szCs w:val="22"/>
        </w:rPr>
        <w:t>1</w:t>
      </w:r>
      <w:r w:rsidRPr="00775C2E">
        <w:rPr>
          <w:rFonts w:ascii="Times New Roman" w:hAnsi="Times New Roman" w:cs="Times New Roman"/>
          <w:sz w:val="22"/>
          <w:szCs w:val="22"/>
        </w:rPr>
        <w:t xml:space="preserve"> </w:t>
      </w:r>
      <w:r w:rsidR="0067683D" w:rsidRPr="00775C2E">
        <w:rPr>
          <w:rFonts w:ascii="Times New Roman" w:hAnsi="Times New Roman" w:cs="Times New Roman"/>
          <w:sz w:val="22"/>
          <w:szCs w:val="22"/>
        </w:rPr>
        <w:t>Study protocol</w:t>
      </w:r>
      <w:bookmarkEnd w:id="54"/>
      <w:bookmarkEnd w:id="55"/>
    </w:p>
    <w:p w14:paraId="341ECFE6"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Social network distribution of syphilis self-testing among men who have sex with men in China: study protocol for a cluster randomized control trial</w:t>
      </w:r>
    </w:p>
    <w:p w14:paraId="1D1A7BB4" w14:textId="77777777" w:rsidR="0081030B" w:rsidRPr="00775C2E" w:rsidRDefault="0081030B">
      <w:pPr>
        <w:spacing w:line="360" w:lineRule="auto"/>
        <w:rPr>
          <w:rFonts w:ascii="Times New Roman" w:hAnsi="Times New Roman" w:cs="Times New Roman"/>
          <w:sz w:val="22"/>
        </w:rPr>
      </w:pPr>
    </w:p>
    <w:p w14:paraId="1C08775E"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Yajie Wang</w:t>
      </w:r>
      <w:r w:rsidRPr="00775C2E">
        <w:rPr>
          <w:rFonts w:ascii="Times New Roman" w:hAnsi="Times New Roman" w:cs="Times New Roman"/>
          <w:sz w:val="22"/>
          <w:vertAlign w:val="superscript"/>
        </w:rPr>
        <w:t>1,2,3</w:t>
      </w:r>
      <w:r w:rsidRPr="00775C2E">
        <w:rPr>
          <w:rFonts w:ascii="Times New Roman" w:hAnsi="Times New Roman" w:cs="Times New Roman"/>
          <w:sz w:val="22"/>
        </w:rPr>
        <w:t>*, Wei Zhang</w:t>
      </w:r>
      <w:r w:rsidRPr="00775C2E">
        <w:rPr>
          <w:rFonts w:ascii="Times New Roman" w:hAnsi="Times New Roman" w:cs="Times New Roman"/>
          <w:sz w:val="22"/>
          <w:vertAlign w:val="superscript"/>
        </w:rPr>
        <w:t>4</w:t>
      </w:r>
      <w:r w:rsidRPr="00775C2E">
        <w:rPr>
          <w:rFonts w:ascii="Times New Roman" w:hAnsi="Times New Roman" w:cs="Times New Roman"/>
          <w:sz w:val="22"/>
        </w:rPr>
        <w:t>*, Dongping Bao</w:t>
      </w:r>
      <w:r w:rsidRPr="00775C2E">
        <w:rPr>
          <w:rFonts w:ascii="Times New Roman" w:hAnsi="Times New Roman" w:cs="Times New Roman"/>
          <w:sz w:val="22"/>
          <w:vertAlign w:val="superscript"/>
        </w:rPr>
        <w:t>2</w:t>
      </w:r>
      <w:r w:rsidRPr="00775C2E">
        <w:rPr>
          <w:rFonts w:ascii="Times New Roman" w:hAnsi="Times New Roman" w:cs="Times New Roman"/>
          <w:sz w:val="22"/>
        </w:rPr>
        <w:t>, Jason J. Ong</w:t>
      </w:r>
      <w:r w:rsidRPr="00775C2E">
        <w:rPr>
          <w:rFonts w:ascii="Times New Roman" w:hAnsi="Times New Roman" w:cs="Times New Roman"/>
          <w:sz w:val="22"/>
          <w:vertAlign w:val="superscript"/>
        </w:rPr>
        <w:t>5,6</w:t>
      </w:r>
      <w:r w:rsidRPr="00775C2E">
        <w:rPr>
          <w:rFonts w:ascii="Times New Roman" w:hAnsi="Times New Roman" w:cs="Times New Roman"/>
          <w:sz w:val="22"/>
        </w:rPr>
        <w:t>, Joseph D. Tucker</w:t>
      </w:r>
      <w:r w:rsidRPr="00775C2E">
        <w:rPr>
          <w:rFonts w:ascii="Times New Roman" w:hAnsi="Times New Roman" w:cs="Times New Roman"/>
          <w:sz w:val="22"/>
          <w:vertAlign w:val="superscript"/>
        </w:rPr>
        <w:t>4,6,7</w:t>
      </w:r>
      <w:r w:rsidRPr="00775C2E">
        <w:rPr>
          <w:rFonts w:ascii="Times New Roman" w:hAnsi="Times New Roman" w:cs="Times New Roman"/>
          <w:sz w:val="22"/>
        </w:rPr>
        <w:t xml:space="preserve">, </w:t>
      </w:r>
      <w:proofErr w:type="spellStart"/>
      <w:r w:rsidRPr="00775C2E">
        <w:rPr>
          <w:rFonts w:ascii="Times New Roman" w:hAnsi="Times New Roman" w:cs="Times New Roman"/>
          <w:sz w:val="22"/>
        </w:rPr>
        <w:t>Rouxuan</w:t>
      </w:r>
      <w:proofErr w:type="spellEnd"/>
      <w:r w:rsidRPr="00775C2E">
        <w:rPr>
          <w:rFonts w:ascii="Times New Roman" w:hAnsi="Times New Roman" w:cs="Times New Roman"/>
          <w:sz w:val="22"/>
        </w:rPr>
        <w:t xml:space="preserve"> Ye</w:t>
      </w:r>
      <w:r w:rsidRPr="00775C2E">
        <w:rPr>
          <w:rFonts w:ascii="Times New Roman" w:hAnsi="Times New Roman" w:cs="Times New Roman"/>
          <w:sz w:val="22"/>
          <w:vertAlign w:val="superscript"/>
        </w:rPr>
        <w:t>8</w:t>
      </w:r>
      <w:r w:rsidRPr="00775C2E">
        <w:rPr>
          <w:rFonts w:ascii="Times New Roman" w:hAnsi="Times New Roman" w:cs="Times New Roman"/>
          <w:sz w:val="22"/>
        </w:rPr>
        <w:t>, Cheng Wang</w:t>
      </w:r>
      <w:r w:rsidRPr="00775C2E">
        <w:rPr>
          <w:rFonts w:ascii="Times New Roman" w:hAnsi="Times New Roman" w:cs="Times New Roman"/>
          <w:sz w:val="22"/>
          <w:vertAlign w:val="superscript"/>
        </w:rPr>
        <w:t>1,2,3</w:t>
      </w:r>
    </w:p>
    <w:p w14:paraId="0BD815DC"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1. Dermatology Hospital of Southern Medical University, Guangzhou, Guangdong, China</w:t>
      </w:r>
    </w:p>
    <w:p w14:paraId="7BCB620C"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2. Southern Medical University Institute for Global Health and Sexually Transmitted Diseases, Guangzhou, Guangdong, China</w:t>
      </w:r>
    </w:p>
    <w:p w14:paraId="447D715A"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3. Guangdong Provincial Center for Skin Disease and STI Control, Guangzhou, Guangdong, China</w:t>
      </w:r>
    </w:p>
    <w:p w14:paraId="1B726170"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4. University of North Carolina at Chapel Hill, Project-China, Guangzhou, Guangdong, China</w:t>
      </w:r>
    </w:p>
    <w:p w14:paraId="0E10D411"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5. Faculty of Infectious and Tropical Diseases, London School of Hygiene and Tropical Medicine, London, UK</w:t>
      </w:r>
    </w:p>
    <w:p w14:paraId="36A44381"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6. Central Clinical School, Monash University, Victoria, Melbourne, Australia</w:t>
      </w:r>
    </w:p>
    <w:p w14:paraId="56BE6F99"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7. Institute for Global Health and Infectious Diseases, School of Medicine, University of North Carolina at Chapel Hill, Chapel Hill, USA</w:t>
      </w:r>
    </w:p>
    <w:p w14:paraId="62CC2236"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8. Department of Biostatistics, Southern Medical University, Guangzhou, Guangdong, China</w:t>
      </w:r>
    </w:p>
    <w:p w14:paraId="4C496575" w14:textId="77777777" w:rsidR="0081030B" w:rsidRPr="00775C2E" w:rsidRDefault="0081030B">
      <w:pPr>
        <w:spacing w:line="360" w:lineRule="auto"/>
        <w:rPr>
          <w:rFonts w:ascii="Times New Roman" w:hAnsi="Times New Roman" w:cs="Times New Roman"/>
          <w:sz w:val="22"/>
        </w:rPr>
      </w:pPr>
    </w:p>
    <w:p w14:paraId="36C60C4D"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*These authors contributed equally to this work.</w:t>
      </w:r>
    </w:p>
    <w:p w14:paraId="66D2B4CC"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Corresponding to: Cheng Wang, PhD. Email: wangcheng090705@gmail.com</w:t>
      </w:r>
    </w:p>
    <w:p w14:paraId="3C6ED33F" w14:textId="77777777" w:rsidR="0081030B" w:rsidRPr="00775C2E" w:rsidRDefault="0067683D">
      <w:pPr>
        <w:widowControl/>
        <w:jc w:val="left"/>
        <w:rPr>
          <w:rFonts w:ascii="Times New Roman" w:hAnsi="Times New Roman" w:cs="Times New Roman"/>
          <w:b/>
          <w:bCs/>
          <w:sz w:val="22"/>
        </w:rPr>
      </w:pPr>
      <w:r w:rsidRPr="00775C2E">
        <w:rPr>
          <w:rFonts w:ascii="Times New Roman" w:hAnsi="Times New Roman" w:cs="Times New Roman"/>
          <w:b/>
          <w:bCs/>
          <w:sz w:val="22"/>
        </w:rPr>
        <w:br w:type="page"/>
      </w:r>
    </w:p>
    <w:p w14:paraId="02AAE943"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lastRenderedPageBreak/>
        <w:t>Abstract</w:t>
      </w:r>
    </w:p>
    <w:p w14:paraId="71C36CDA"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b/>
          <w:bCs/>
          <w:sz w:val="22"/>
        </w:rPr>
        <w:t>Background:</w:t>
      </w:r>
      <w:r w:rsidRPr="00775C2E">
        <w:rPr>
          <w:rFonts w:ascii="Times New Roman" w:hAnsi="Times New Roman" w:cs="Times New Roman"/>
          <w:sz w:val="22"/>
        </w:rPr>
        <w:t xml:space="preserve"> Syphilis is a common sexually transmitted infection (STI) among men who have sex with men (MSM). </w:t>
      </w:r>
      <w:bookmarkStart w:id="56" w:name="OLE_LINK7"/>
      <w:r w:rsidRPr="00775C2E">
        <w:rPr>
          <w:rFonts w:ascii="Times New Roman" w:hAnsi="Times New Roman" w:cs="Times New Roman"/>
          <w:sz w:val="22"/>
        </w:rPr>
        <w:t>Increasing syphilis testing</w:t>
      </w:r>
      <w:bookmarkEnd w:id="56"/>
      <w:r w:rsidRPr="00775C2E">
        <w:rPr>
          <w:rFonts w:ascii="Times New Roman" w:hAnsi="Times New Roman" w:cs="Times New Roman"/>
          <w:sz w:val="22"/>
        </w:rPr>
        <w:t xml:space="preserve"> is important to syphilis control. However, in low- and middle-income countries like China, </w:t>
      </w:r>
      <w:bookmarkStart w:id="57" w:name="OLE_LINK4"/>
      <w:r w:rsidRPr="00775C2E">
        <w:rPr>
          <w:rFonts w:ascii="Times New Roman" w:hAnsi="Times New Roman" w:cs="Times New Roman"/>
          <w:sz w:val="22"/>
        </w:rPr>
        <w:t>syphilis testing rate</w:t>
      </w:r>
      <w:bookmarkEnd w:id="57"/>
      <w:r w:rsidRPr="00775C2E">
        <w:rPr>
          <w:rFonts w:ascii="Times New Roman" w:hAnsi="Times New Roman" w:cs="Times New Roman"/>
          <w:sz w:val="22"/>
        </w:rPr>
        <w:t>s remain low among MSM. We describe a randomized controlled trial protocol to examine the effectiveness of social network distribution approaches of syphilis self-testing among MSM in China.</w:t>
      </w:r>
    </w:p>
    <w:p w14:paraId="7133EC45"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b/>
          <w:bCs/>
          <w:sz w:val="22"/>
        </w:rPr>
        <w:t xml:space="preserve">Methods: </w:t>
      </w:r>
      <w:r w:rsidRPr="00775C2E">
        <w:rPr>
          <w:rFonts w:ascii="Times New Roman" w:hAnsi="Times New Roman" w:cs="Times New Roman"/>
          <w:sz w:val="22"/>
        </w:rPr>
        <w:t xml:space="preserve">We will recruit index and alter MSM. Indexes will be eligible if they: are born biologically male; aged 18 years or above; ever had sex with another man; are willing to distribute syphilis testing packages or referral links to their alters; and willing to provide personal contact information for future follow-up. Three hundred MSM will be recruited and randomly assigned in a 1:1:1 ratio into three arms: standard of care (control arm); standard syphilis self-testing (SST) delivery arm; and referral link SST delivery arm. Indexes will distribute SST packages or referral links to encourage alters to receive syphilis testing. All indexes will complete a baseline survey and a 3-month follow-up survey. Syphilis self-test results will be determined by photo verification via a digital platform. The primary outcome is the mean number of alters who returned verified syphilis testing results per index in each arm. </w:t>
      </w:r>
    </w:p>
    <w:p w14:paraId="6FFBF465"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 xml:space="preserve">Discussion: </w:t>
      </w:r>
      <w:r w:rsidRPr="00775C2E">
        <w:rPr>
          <w:rFonts w:ascii="Times New Roman" w:hAnsi="Times New Roman" w:cs="Times New Roman"/>
          <w:sz w:val="22"/>
        </w:rPr>
        <w:t xml:space="preserve">The trial findings will provide practical implications in strengthening syphilis self-testing distribution and increasing syphilis testing uptake among MSM in China. This study also empowers MSM community in expanding syphilis testing by using their own social network. </w:t>
      </w:r>
    </w:p>
    <w:p w14:paraId="2FDBC519" w14:textId="77777777" w:rsidR="0081030B" w:rsidRPr="00775C2E" w:rsidRDefault="0081030B">
      <w:pPr>
        <w:spacing w:line="360" w:lineRule="auto"/>
        <w:rPr>
          <w:rFonts w:ascii="Times New Roman" w:hAnsi="Times New Roman" w:cs="Times New Roman"/>
          <w:b/>
          <w:bCs/>
          <w:sz w:val="22"/>
        </w:rPr>
      </w:pPr>
    </w:p>
    <w:p w14:paraId="1D25140B"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b/>
          <w:bCs/>
          <w:sz w:val="22"/>
        </w:rPr>
        <w:t xml:space="preserve">Keywords: </w:t>
      </w:r>
      <w:r w:rsidRPr="00775C2E">
        <w:rPr>
          <w:rFonts w:ascii="Times New Roman" w:hAnsi="Times New Roman" w:cs="Times New Roman"/>
          <w:sz w:val="22"/>
        </w:rPr>
        <w:t xml:space="preserve">Syphilis, Self-test, MSM, social network distribution, </w:t>
      </w:r>
      <w:proofErr w:type="spellStart"/>
      <w:r w:rsidRPr="00775C2E">
        <w:rPr>
          <w:rFonts w:ascii="Times New Roman" w:hAnsi="Times New Roman" w:cs="Times New Roman"/>
          <w:sz w:val="22"/>
        </w:rPr>
        <w:t>cRCT</w:t>
      </w:r>
      <w:proofErr w:type="spellEnd"/>
    </w:p>
    <w:p w14:paraId="327EBA2C" w14:textId="77777777" w:rsidR="0081030B" w:rsidRPr="00775C2E" w:rsidRDefault="0081030B">
      <w:pPr>
        <w:spacing w:line="360" w:lineRule="auto"/>
        <w:rPr>
          <w:rFonts w:ascii="Times New Roman" w:hAnsi="Times New Roman" w:cs="Times New Roman"/>
          <w:sz w:val="22"/>
        </w:rPr>
      </w:pPr>
    </w:p>
    <w:p w14:paraId="42B8EB19" w14:textId="77777777" w:rsidR="0081030B" w:rsidRPr="00775C2E" w:rsidRDefault="0067683D">
      <w:pPr>
        <w:widowControl/>
        <w:jc w:val="left"/>
        <w:rPr>
          <w:rFonts w:ascii="Times New Roman" w:hAnsi="Times New Roman" w:cs="Times New Roman"/>
          <w:b/>
          <w:bCs/>
          <w:sz w:val="22"/>
        </w:rPr>
      </w:pPr>
      <w:r w:rsidRPr="00775C2E">
        <w:rPr>
          <w:rFonts w:ascii="Times New Roman" w:hAnsi="Times New Roman" w:cs="Times New Roman"/>
          <w:b/>
          <w:bCs/>
          <w:sz w:val="22"/>
        </w:rPr>
        <w:br w:type="page"/>
      </w:r>
    </w:p>
    <w:p w14:paraId="4B1FF200"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lastRenderedPageBreak/>
        <w:t>Background</w:t>
      </w:r>
    </w:p>
    <w:p w14:paraId="2393D4A0"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Syphilis remains a global health priority. The WHO estimated that the prevalence of syphilis among men who have sex with men (MSM) is 5% or more in at least 42 countries in 2018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"10.1186/s12879-020-05188-z", "ISSN" : "1471-2334", "abstract" : "Men who have sex with men (MSM) bear a high burden of syphilis infection. Expanding syphilis testing to improve timely diagnosis and treatment is critical to improve syphilis control. However, syphilis testing rates remain low among MSM, particularly in low- and middle-income countries. We describe the protocol for a randomised controlled trial (RCT) to assess whether provision of syphilis self-testing services can increase the uptake of syphilis testing among MSM in China.", "author" : [ { "dropping-particle" : "", "family" : "Cheng", "given" : "Weibin", "non-dropping-particle" : "", "parse-names" : false, "suffix" : "" }, { "dropping-particle" : "", "family" : "Wang", "given" : "Cheng", "non-dropping-particle" : "", "parse-names" : false, "suffix" : "" }, { "dropping-particle" : "", "family" : "Tang", "given" : "Weiming", "non-dropping-particle" : "", "parse-names" : false, "suffix" : "" }, { "dropping-particle" : "", "family" : "Ong", "given" : "Jason J", "non-dropping-particle" : "", "parse-names" : false, "suffix" : "" }, { "dropping-particle" : "", "family" : "Fu", "given" : "Hongyun", "non-dropping-particle" : "", "parse-names" : false, "suffix" : "" }, { "dropping-particle" : "", "family" : "Marks", "given" : "Michael", "non-dropping-particle" : "", "parse-names" : false, "suffix" : "" }, { "dropping-particle" : "", "family" : "Smith", "given" : "M Kumi", "non-dropping-particle" : "", "parse-names" : false, "suffix" : "" }, { "dropping-particle" : "", "family" : "Li", "given" : "Changchang", "non-dropping-particle" : "", "parse-names" : false, "suffix" : "" }, { "dropping-particle" : "", "family" : "Nie", "given" : "Juan", "non-dropping-particle" : "", "parse-names" : false, "suffix" : "" }, { "dropping-particle" : "", "family" : "Zhao", "given" : "Peizhen", "non-dropping-particle" : "", "parse-names" : false, "suffix" : "" }, { "dropping-particle" : "", "family" : "Zheng", "given" : "Heping", "non-dropping-particle" : "", "parse-names" : false, "suffix" : "" }, { "dropping-particle" : "", "family" : "Yang", "given" : "Bin", "non-dropping-particle" : "", "parse-names" : false, "suffix" : "" }, { "dropping-particle" : "", "family" : "Tucker", "given" : "Joseph D", "non-dropping-particle" : "", "parse-names" : false, "suffix" : "" } ], "container-title" : "BMC Infectious Diseases", "id" : "ITEM-1", "issue" : "1", "issued" : { "date-parts" : [ [ "2020" ] ] }, "page" : "455", "title" : "Promoting routine syphilis screening among men who have sex with men in China: study protocol for a randomised controlled trial of syphilis self-testing and lottery incentive", "type" : "article-journal", "volume" : "20" }, "uris" : [ "http://www.mendeley.com/documents/?uuid=e2f32b9d-878f-4ca9-9f1a-137648ce213a", "http://www.mendeley.com/documents/?uuid=51e0df48-f7a0-468e-b84a-b400d1982b50" ] } ], "mendeley" : { "formattedCitation" : "[1]", "plainTextFormattedCitation" : "[1]", "previouslyFormattedCitation" : "[1]"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w:t>
      </w:r>
      <w:r w:rsidRPr="00775C2E">
        <w:rPr>
          <w:rFonts w:ascii="Times New Roman" w:hAnsi="Times New Roman" w:cs="Times New Roman"/>
          <w:sz w:val="22"/>
        </w:rPr>
        <w:fldChar w:fldCharType="end"/>
      </w:r>
      <w:r w:rsidRPr="00775C2E">
        <w:rPr>
          <w:rFonts w:ascii="Times New Roman" w:hAnsi="Times New Roman" w:cs="Times New Roman"/>
          <w:sz w:val="22"/>
        </w:rPr>
        <w:t xml:space="preserve">. From 2006-2012, the incidence of syphilis was 9.6 per 100 person-years among MSM living in China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"10.1177/0956462416638224", "ISSN" : "1758-1052 (Electronic)", "PMID" : "26992411", "abstract" : "The recent upsurge of syphilis infections among men who have sex with men (MSM) is  one of the major challenges facing China. However, the overall burden is still not clear. This study aims to summarize the incidence of syphilis among MSM in China by using meta-analysis. We comprehensively searched PubMed-MEDLINE, China National Knowledge Infrastructure and Chinese Wanfang databases. Articles published between December 2009 and March 2015 that met the inclusion criteria were considerably involved in this meta-analysis. Two reviewers performed a quality assessment of the studies and extracted data for estimating the overall syphilis incidence. STATA 12.0 was used to summarize the overall incidence of syphilis. In all, 14 studies from 13 papers were included in this study. Follow-up duration of these studies ranged from six to 36 months, while drop-out rates ranged from 11.9% to 83.6%. The individual incidence rates of the included studies varied from 3.1/100 person-years (95% CI, 0.8-5.3/100 person-years) to 38.5/100 person-years (95% CI, 28.9-48.1/100 person-years), with a pooled incidence of 9.6/100 person-years (95% CI, 7.0-12.2/100 person-years). The subgroup meta-analysis revealed that incidence estimates were 38.5/100 person-years (95% CI, 28.9-48.1/100 person-years), 12.1/100 person-years (95% CI, 7.0-17.2/100 person-years), 11.2/100 person-years (95% CI, 0.7-23.1/100 person-years), 8.9/100 person-years (95% CI, 6.5-11.2/100 person-years), 5.7/100 person-years (95% CI, 3.4-8.0/100 person-years) and 3.1/100 person-years (95% CI, 0.8-5.3/100 person-years) in Northeast, North, Southwest, East, South and Northwest China, respectively. Syphilis incidence among Chinese MSM is high, and this may increase the spread of other sexually transmitted infections, including human immunodeficiency virus. It is essential to integrate syphilis control programs with HIV control programs. This can be achieved by establishing public health response systems to monitor and control the epidemic of syphilis and HIV together in China.", "author" : [ { "dropping-particle" : "", "family" : "Chen", "given" : "Guohong", "non-dropping-particle" : "", "parse-names" : false, "suffix" : "" }, { "dropping-particle" : "", "family" : "Cao", "given" : "Ya", "non-dropping-particle" : "", "parse-names" : false, "suffix" : "" }, { "dropping-particle" : "", "family" : "Yao", "given" : "Yuan", "non-dropping-particle" : "", "parse-names" : false, "suffix" : "" }, { "dropping-particle" : "", "family" : "Li", "given" : "Ming", "non-dropping-particle" : "", "parse-names" : false, "suffix" : "" }, { "dropping-particle" : "", "family" : "Tang", "given" : "Weiming", "non-dropping-particle" : "", "parse-names" : false, "suffix" : "" }, { "dropping-particle" : "", "family" : "Li", "given" : "Jianjun", "non-dropping-particle" : "", "parse-names" : false, "suffix" : "" }, { "dropping-particle" : "", "family" : "Babu", "given" : "Giridhara R", "non-dropping-particle" : "", "parse-names" : false, "suffix" : "" }, { "dropping-particle" : "", "family" : "Jia", "given" : "Yue", "non-dropping-particle" : "", "parse-names" : false, "suffix" : "" }, { "dropping-particle" : "", "family" : "Huan", "given" : "Xiping", "non-dropping-particle" : "", "parse-names" : false, "suffix" : "" }, { "dropping-particle" : "", "family" : "Xu", "given" : "Genxing", "non-dropping-particle" : "", "parse-names" : false, "suffix" : "" }, { "dropping-particle" : "", "family" : "Yang", "given" : "Haitao", "non-dropping-particle" : "", "parse-names" : false, "suffix" : "" }, { "dropping-particle" : "", "family" : "Fu", "given" : "Gengfeng", "non-dropping-particle" : "", "parse-names" : false, "suffix" : "" }, { "dropping-particle" : "", "family" : "Li", "given" : "Lei", "non-dropping-particle" : "", "parse-names" : false, "suffix" : "" } ], "container-title" : "International journal of STD &amp; AIDS", "id" : "ITEM-1", "issue" : "2", "issued" : { "date-parts" : [ [ "2017", "2" ] ] }, "language" : "eng", "page" : "170-178", "title" : "Syphilis incidence among men who have sex with men in China: results from a  meta-analysis.", "type" : "article-journal", "volume" : "28" }, "uris" : [ "http://www.mendeley.com/documents/?uuid=0cdbbb02-adf7-4e22-b083-caa6335a3913", "http://www.mendeley.com/documents/?uuid=db116556-6909-45a5-b715-fe0ee556d3a9" ] } ], "mendeley" : { "formattedCitation" : "[2]", "plainTextFormattedCitation" : "[2]", "previouslyFormattedCitation" : "[2]"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[2]</w:t>
      </w:r>
      <w:r w:rsidRPr="00775C2E">
        <w:rPr>
          <w:rFonts w:ascii="Times New Roman" w:hAnsi="Times New Roman" w:cs="Times New Roman"/>
          <w:sz w:val="22"/>
        </w:rPr>
        <w:fldChar w:fldCharType="end"/>
      </w:r>
      <w:r w:rsidRPr="00775C2E">
        <w:rPr>
          <w:rFonts w:ascii="Times New Roman" w:hAnsi="Times New Roman" w:cs="Times New Roman"/>
          <w:sz w:val="22"/>
        </w:rPr>
        <w:t xml:space="preserve">. However, in low- and middle-income countries (LMICs) like China, syphilis testing rate is low among MSM. Studies showed that less than 30% of Chinese MSM has ever received a syphilis test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"10.1093/cid/ciz603", "ISSN" : "15376591", "PMID" : "31260513", "abstract" : "Background. Syphilis self-testing may help expand syphilis testing among men who have sex with men (MSM). China has rapidly scaled up human immunodeficiency virus (HIV) self-testing, creating an opportunity for integrated syphilis self-testing. However, there is a limited literature on implementing syphilis self-testing. Methods. A cross-sectional online survey was conducted among Chinese MSM in 2018. Participants completed a survey instrument including sociodemographic characteristics, sexual behaviors, syphilis self-testing, and HIV self-testing history. Multivariable logistic regression was conducted to identify correlates of syphilis self-testing. We also recorded potential harms associated with syphilis self-testing. Results. Six hundred ninety-nine MSM from 89 cities in 21 provinces in China completed the study. A total of 361/699 (51.7%) men tested for syphilis, of whom 174/699 (24.9%) men used syphilis self-testing. Among 174 who had self-tested, 90 (51.7%) reported that the self-test was their first syphilis test and 161 (92.5%) reported that they undertook syphilis self-testing together with HIV self-testing. After adjusting for covariates, syphilis self-testing was correlated with disclosure of sexual orientation to family or friends (adjusted odds ratio [aOR], 1.90; 95% confidence interval [CI], 1.32-2.73), reporting 2-5 male sexual partners (aOR, 1.81; 95% CI, 1.04-3.16), HIV self-testing (aOR, 39.90; 95% CI, 17.00-93.61), and never tested for syphilis in the hospital (aOR, 2.96; 95% CI, 1.86-4.72). Self-reported harms associated with syphilis self-testing were minimal. Conclusions. Scaling up syphilis self-testing could complement facility-based testing in China among MSM. Self-testing may increase first-time testing and has limited harms. Our findings suggest that syphilis self-testing could be integrated into HIV selftesting services.", "author" : [ { "dropping-particle" : "", "family" : "Wang", "given" : "Cheng", "non-dropping-particle" : "", "parse-names" : false, "suffix" : "" }, { "dropping-particle" : "", "family" : "Cheng", "given" : "Weibin", "non-dropping-particle" : "", "parse-names" : false, "suffix" : "" }, { "dropping-particle" : "", "family" : "Li", "given" : "Changchang", "non-dropping-particle" : "", "parse-names" : false, "suffix" : "" }, { "dropping-particle" : "", "family" : "Tang", "given" : "Weiming", "non-dropping-particle" : "", "parse-names" : false, "suffix" : "" }, { "dropping-particle" : "", "family" : "Ong", "given" : "Jason J.", "non-dropping-particle" : "", "parse-names" : false, "suffix" : "" }, { "dropping-particle" : "", "family" : "Smith", "given" : "M. Kumi", "non-dropping-particle" : "", "parse-names" : false, "suffix" : "" }, { "dropping-particle" : "", "family" : "Fu", "given" : "Hongyun", "non-dropping-particle" : "", "parse-names" : false, "suffix" : "" }, { "dropping-particle" : "", "family" : "Marks", "given" : "Michael", "non-dropping-particle" : "", "parse-names" : false, "suffix" : "" }, { "dropping-particle" : "", "family" : "Nie", "given" : "Juan", "non-dropping-particle" : "", "parse-names" : false, "suffix" : "" }, { "dropping-particle" : "", "family" : "Zheng", "given" : "Heping", "non-dropping-particle" : "", "parse-names" : false, "suffix" : "" }, { "dropping-particle" : "", "family" : "Tucker", "given" : "Joseph D.", "non-dropping-particle" : "", "parse-names" : false, "suffix" : "" }, { "dropping-particle" : "", "family" : "Yang", "given" : "Bin", "non-dropping-particle" : "", "parse-names" : false, "suffix" : "" } ], "container-title" : "Clinical Infectious Diseases", "id" : "ITEM-1", "issue" : "10", "issued" : { "date-parts" : [ [ "2020" ] ] }, "page" : "2178-2186", "title" : "Syphilis self-testing: A nationwide pragmatic study among men who have sex with men in china", "type" : "article-journal", "volume" : "70" }, "uris" : [ "http://www.mendeley.com/documents/?uuid=1d298f41-15fc-4841-8687-0e1f80a1a59b", "http://www.mendeley.com/documents/?uuid=729b57f9-90a7-4ee2-96f4-8305a7507aa0" ] } ], "mendeley" : { "formattedCitation" : "[3]", "plainTextFormattedCitation" : "[3]", "previouslyFormattedCitation" : "[3]"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[3]</w:t>
      </w:r>
      <w:r w:rsidRPr="00775C2E">
        <w:rPr>
          <w:rFonts w:ascii="Times New Roman" w:hAnsi="Times New Roman" w:cs="Times New Roman"/>
          <w:sz w:val="22"/>
        </w:rPr>
        <w:fldChar w:fldCharType="end"/>
      </w:r>
      <w:r w:rsidRPr="00775C2E">
        <w:rPr>
          <w:rFonts w:ascii="Times New Roman" w:hAnsi="Times New Roman" w:cs="Times New Roman"/>
          <w:sz w:val="22"/>
        </w:rPr>
        <w:t xml:space="preserve">. </w:t>
      </w:r>
    </w:p>
    <w:p w14:paraId="7950C3CE" w14:textId="77777777" w:rsidR="0081030B" w:rsidRPr="00775C2E" w:rsidRDefault="0081030B">
      <w:pPr>
        <w:spacing w:line="360" w:lineRule="auto"/>
        <w:rPr>
          <w:rFonts w:ascii="Times New Roman" w:hAnsi="Times New Roman" w:cs="Times New Roman"/>
          <w:sz w:val="22"/>
        </w:rPr>
      </w:pPr>
    </w:p>
    <w:p w14:paraId="2A74B331"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Facility-based testing for syphilis has potential limitations related to stigma from providers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"10.1097/QAD.0b013e32835fd7a0", "ISSN" : "1473-5571 (Electronic)", "PMID" : "23807269", "abstract" : "The recent approval by the United States Food and Drug Administration of a rapid HIV  self-test marks a significant milestone in the evolution of HIV testing approaches. With nearly one in five people living with HIV in the United States still undiagnosed and an even higher proportion unaware of their infection globally, this decision reflects a new willingness to offer diverse options to get tested for HIV. Rapid self-testing offers several distinct opportunities to improve testing among those with undiagnosed HIV: to encourage testing among those who might not otherwise be tested, to increase the frequency of testing among persons at highest risk for new infection, and to facilitate mutual HIV testing with sex partners. To date, the path to regulatory approval has been long but instructive. The studies and clinical trials required for regulatory approval in the United States provide insight into the performance and potential implications of HIV self-tests as they become available for sale directly to consumers. Although some persistent reservations about self-testing for HIV remain, including the 'window period' of the current test kit, its cost, and its effectiveness for facilitating entry to medical care, others have been dispelled. Self-testing in resource-constrained settings is also promising, including self-testing of health professionals. At present, although the impact has yet to be determined, availability of this new option might offer potential opportunities to improve HIV diagnosis and facilitate both treatment and prevention.", "author" : [ { "dropping-particle" : "", "family" : "Myers", "given" : "Julie E", "non-dropping-particle" : "", "parse-names" : false, "suffix" : "" }, { "dropping-particle" : "", "family" : "El-Sadr", "given" : "Wafaa M", "non-dropping-particle" : "", "parse-names" : false, "suffix" : "" }, { "dropping-particle" : "", "family" : "Zerbe", "given" : "Allison", "non-dropping-particle" : "", "parse-names" : false, "suffix" : "" }, { "dropping-particle" : "", "family" : "Branson", "given" : "Bernard M", "non-dropping-particle" : "", "parse-names" : false, "suffix" : "" } ], "container-title" : "AIDS (London, England)", "id" : "ITEM-1", "issue" : "11", "issued" : { "date-parts" : [ [ "2013", "7" ] ] }, "language" : "eng", "page" : "1687-1695", "publisher-place" : "England", "title" : "Rapid HIV self-testing: long in coming but opportunities beckon.", "type" : "article-journal", "volume" : "27" }, "uris" : [ "http://www.mendeley.com/documents/?uuid=b90179b5-c822-48fb-a0e0-f2717d2a9425", "http://www.mendeley.com/documents/?uuid=b38523ab-233e-408c-9bf0-e156ce009fcc" ] } ], "mendeley" : { "formattedCitation" : "[4]", "plainTextFormattedCitation" : "[4]", "previouslyFormattedCitation" : "[4]"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[4]</w:t>
      </w:r>
      <w:r w:rsidRPr="00775C2E">
        <w:rPr>
          <w:rFonts w:ascii="Times New Roman" w:hAnsi="Times New Roman" w:cs="Times New Roman"/>
          <w:sz w:val="22"/>
        </w:rPr>
        <w:fldChar w:fldCharType="end"/>
      </w:r>
      <w:r w:rsidRPr="00775C2E">
        <w:rPr>
          <w:rFonts w:ascii="Times New Roman" w:hAnsi="Times New Roman" w:cs="Times New Roman"/>
          <w:sz w:val="22"/>
        </w:rPr>
        <w:t xml:space="preserve">, infrastructure requirement, inconvenience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"10.1080/09540121.2010.487088", "ISSN" : "1360-0451 (Electronic)", "PMID" : "21259130", "abstract" : "Previous studies suggested a rapid increase of HIV prevalence among men who have sex  with men (MSM) in China in recent years, from 0.4% in 2004 to 5.8% in 2006. However, some MSM had never been tested for HIV. In order to expand the accessibility to HIV testing, understanding HIV-testing behavior and barriers among MSM is important. Using data collected from 307 young migrant MSM (aged 18-29 years) in 2009 in Beijing, we aimed to identify psychological and structural barriers to HIV testing. MSM were recruited through peer outreach, informal social networks, Internet outreach, and venue-based outreach. Participants completed a confidential self-administered questionnaire. Results show that about 72% of MSM ever had an HIV test. Logistic regression analysis indicated that the HIV-testing behavior was associated with sexual risk behaviors (e.g., multiple sexual partners and inconsistent condom use for anal sex) and history of sexually transmitted diseases. Eighty four MSM (28%) who never had an HIV test reported that the psychological barriers mainly were perceived low risk of HIV infection and fears of being stigmatized. The structural barriers reported inconvenience of doing test and lack of confidentiality. Future HIV prevention programs should be strengthened among MSM to increase their awareness of HIV risk. Efforts are needed to increase access to quality and confidential HIV testing among MSM and reduce stigma against MSM.", "author" : [ { "dropping-particle" : "", "family" : "Song", "given" : "Yan", "non-dropping-particle" : "", "parse-names" : false, "suffix" : "" }, { "dropping-particle" : "", "family" : "Li", "given" : "Xiaoming", "non-dropping-particle" : "", "parse-names" : false, "suffix" : "" }, { "dropping-particle" : "", "family" : "Zhang", "given" : "Liying", "non-dropping-particle" : "", "parse-names" : false, "suffix" : "" }, { "dropping-particle" : "", "family" : "Fang", "given" : "Xiaoyi", "non-dropping-particle" : "", "parse-names" : false, "suffix" : "" }, { "dropping-particle" : "", "family" : "Lin", "given" : "Xiuyun", "non-dropping-particle" : "", "parse-names" : false, "suffix" : "" }, { "dropping-particle" : "", "family" : "Liu", "given" : "Yinjie", "non-dropping-particle" : "", "parse-names" : false, "suffix" : "" }, { "dropping-particle" : "", "family" : "Stanton", "given" : "Bonita", "non-dropping-particle" : "", "parse-names" : false, "suffix" : "" } ], "container-title" : "AIDS care", "id" : "ITEM-1", "issue" : "2", "issued" : { "date-parts" : [ [ "2011", "2" ] ] }, "language" : "eng", "page" : "179-186", "title" : "HIV-testing behavior among young migrant men who have sex with men (MSM) in Beijing,  China.", "type" : "article-journal", "volume" : "23" }, "uris" : [ "http://www.mendeley.com/documents/?uuid=3f0925d1-7693-49ed-98f6-6e5741b5e440", "http://www.mendeley.com/documents/?uuid=86c42790-4268-4c78-ade9-70856adae02e" ] } ], "mendeley" : { "formattedCitation" : "[5]", "plainTextFormattedCitation" : "[5]", "previouslyFormattedCitation" : "[5]"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[5]</w:t>
      </w:r>
      <w:r w:rsidRPr="00775C2E">
        <w:rPr>
          <w:rFonts w:ascii="Times New Roman" w:hAnsi="Times New Roman" w:cs="Times New Roman"/>
          <w:sz w:val="22"/>
        </w:rPr>
        <w:fldChar w:fldCharType="end"/>
      </w:r>
      <w:r w:rsidRPr="00775C2E">
        <w:rPr>
          <w:rFonts w:ascii="Times New Roman" w:hAnsi="Times New Roman" w:cs="Times New Roman"/>
          <w:sz w:val="22"/>
        </w:rPr>
        <w:t xml:space="preserve">, and lack of privacy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"10.1186/1471-2458-13-735", "ISSN" : "1471-2458", "abstract" : "The uptake of HIV testing and counselling services remains low in risk groups around the world. Fear of stigmatisation, discrimination and breach of confidentiality results in low service usage among risk groups. HIV self-testing (HST) is a confidential HIV testing option that enables people to find out their status in the privacy of their homes. We evaluated the acceptability of HST and the benefits and challenges linked to the introduction of HST.", "author" : [ { "dropping-particle" : "", "family" : "Krause", "given" : "Janne", "non-dropping-particle" : "", "parse-names" : false, "suffix" : "" }, { "dropping-particle" : "", "family" : "Subklew-Sehume", "given" : "Friederike", "non-dropping-particle" : "", "parse-names" : false, "suffix" : "" }, { "dropping-particle" : "", "family" : "Kenyon", "given" : "Chris", "non-dropping-particle" : "", "parse-names" : false, "suffix" : "" }, { "dropping-particle" : "", "family" : "Colebunders", "given" : "Robert", "non-dropping-particle" : "", "parse-names" : false, "suffix" : "" } ], "container-title" : "BMC Public Health", "id" : "ITEM-1", "issue" : "1", "issued" : { "date-parts" : [ [ "2013" ] ] }, "page" : "735", "title" : "Acceptability of HIV self-testing: a systematic literature review", "type" : "article-journal", "volume" : "13" }, "uris" : [ "http://www.mendeley.com/documents/?uuid=4a5f769e-709c-4a63-827d-8e90be1d1663", "http://www.mendeley.com/documents/?uuid=371848ad-320a-48b4-b630-57c467451c02" ] } ], "mendeley" : { "formattedCitation" : "[6]", "plainTextFormattedCitation" : "[6]", "previouslyFormattedCitation" : "[6]"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[6]</w:t>
      </w:r>
      <w:r w:rsidRPr="00775C2E">
        <w:rPr>
          <w:rFonts w:ascii="Times New Roman" w:hAnsi="Times New Roman" w:cs="Times New Roman"/>
          <w:sz w:val="22"/>
        </w:rPr>
        <w:fldChar w:fldCharType="end"/>
      </w:r>
      <w:r w:rsidRPr="00775C2E">
        <w:rPr>
          <w:rFonts w:ascii="Times New Roman" w:hAnsi="Times New Roman" w:cs="Times New Roman"/>
          <w:sz w:val="22"/>
        </w:rPr>
        <w:t xml:space="preserve">. Recent advances in diagnostics such as self-testing, have enabled decentralized testing strategies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"10.1080/14787210.2018.1463846", "ISSN" : "1478-7210", "author" : [ { "dropping-particle" : "", "family" : "Ong", "given" : "Jason J", "non-dropping-particle" : "", "parse-names" : false, "suffix" : "" }, { "dropping-particle" : "", "family" : "Fu", "given" : "Hongyun", "non-dropping-particle" : "", "parse-names" : false, "suffix" : "" }, { "dropping-particle" : "", "family" : "Smith", "given" : "M Kumi", "non-dropping-particle" : "", "parse-names" : false, "suffix" : "" }, { "dropping-particle" : "", "family" : "Tucker", "given" : "Joseph D", "non-dropping-particle" : "", "parse-names" : false, "suffix" : "" } ], "container-title" : "Expert review of anti-infective therapy", "id" : "ITEM-1", "issue" : "5", "issued" : { "date-parts" : [ [ "2018", "5" ] ] }, "page" : "423\u2014432", "title" : "Expanding syphilis testing: a scoping review of syphilis testing interventions among key populations", "type" : "article-journal", "volume" : "16" }, "uris" : [ "http://www.mendeley.com/documents/?uuid=79ff3c43-3197-4b11-8524-9f2950022744", "http://www.mendeley.com/documents/?uuid=40701dc7-6740-4c20-ad5a-8263535379a1" ] } ], "mendeley" : { "formattedCitation" : "[7]", "plainTextFormattedCitation" : "[7]", "previouslyFormattedCitation" : "[7]"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[7]</w:t>
      </w:r>
      <w:r w:rsidRPr="00775C2E">
        <w:rPr>
          <w:rFonts w:ascii="Times New Roman" w:hAnsi="Times New Roman" w:cs="Times New Roman"/>
          <w:sz w:val="22"/>
        </w:rPr>
        <w:fldChar w:fldCharType="end"/>
      </w:r>
      <w:r w:rsidRPr="00775C2E">
        <w:rPr>
          <w:rFonts w:ascii="Times New Roman" w:hAnsi="Times New Roman" w:cs="Times New Roman"/>
          <w:sz w:val="22"/>
        </w:rPr>
        <w:t xml:space="preserve"> which makes testing more accessible. Syphilis self-testing is a process whereby an individual collects their own specimen, performs the test and interprets the result by themselves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"10.1093/cid/ciz603", "ISSN" : "15376591", "PMID" : "31260513", "abstract" : "Background. Syphilis self-testing may help expand syphilis testing among men who have sex with men (MSM). China has rapidly scaled up human immunodeficiency virus (HIV) self-testing, creating an opportunity for integrated syphilis self-testing. However, there is a limited literature on implementing syphilis self-testing. Methods. A cross-sectional online survey was conducted among Chinese MSM in 2018. Participants completed a survey instrument including sociodemographic characteristics, sexual behaviors, syphilis self-testing, and HIV self-testing history. Multivariable logistic regression was conducted to identify correlates of syphilis self-testing. We also recorded potential harms associated with syphilis self-testing. Results. Six hundred ninety-nine MSM from 89 cities in 21 provinces in China completed the study. A total of 361/699 (51.7%) men tested for syphilis, of whom 174/699 (24.9%) men used syphilis self-testing. Among 174 who had self-tested, 90 (51.7%) reported that the self-test was their first syphilis test and 161 (92.5%) reported that they undertook syphilis self-testing together with HIV self-testing. After adjusting for covariates, syphilis self-testing was correlated with disclosure of sexual orientation to family or friends (adjusted odds ratio [aOR], 1.90; 95% confidence interval [CI], 1.32-2.73), reporting 2-5 male sexual partners (aOR, 1.81; 95% CI, 1.04-3.16), HIV self-testing (aOR, 39.90; 95% CI, 17.00-93.61), and never tested for syphilis in the hospital (aOR, 2.96; 95% CI, 1.86-4.72). Self-reported harms associated with syphilis self-testing were minimal. Conclusions. Scaling up syphilis self-testing could complement facility-based testing in China among MSM. Self-testing may increase first-time testing and has limited harms. Our findings suggest that syphilis self-testing could be integrated into HIV selftesting services.", "author" : [ { "dropping-particle" : "", "family" : "Wang", "given" : "Cheng", "non-dropping-particle" : "", "parse-names" : false, "suffix" : "" }, { "dropping-particle" : "", "family" : "Cheng", "given" : "Weibin", "non-dropping-particle" : "", "parse-names" : false, "suffix" : "" }, { "dropping-particle" : "", "family" : "Li", "given" : "Changchang", "non-dropping-particle" : "", "parse-names" : false, "suffix" : "" }, { "dropping-particle" : "", "family" : "Tang", "given" : "Weiming", "non-dropping-particle" : "", "parse-names" : false, "suffix" : "" }, { "dropping-particle" : "", "family" : "Ong", "given" : "Jason J.", "non-dropping-particle" : "", "parse-names" : false, "suffix" : "" }, { "dropping-particle" : "", "family" : "Smith", "given" : "M. Kumi", "non-dropping-particle" : "", "parse-names" : false, "suffix" : "" }, { "dropping-particle" : "", "family" : "Fu", "given" : "Hongyun", "non-dropping-particle" : "", "parse-names" : false, "suffix" : "" }, { "dropping-particle" : "", "family" : "Marks", "given" : "Michael", "non-dropping-particle" : "", "parse-names" : false, "suffix" : "" }, { "dropping-particle" : "", "family" : "Nie", "given" : "Juan", "non-dropping-particle" : "", "parse-names" : false, "suffix" : "" }, { "dropping-particle" : "", "family" : "Zheng", "given" : "Heping", "non-dropping-particle" : "", "parse-names" : false, "suffix" : "" }, { "dropping-particle" : "", "family" : "Tucker", "given" : "Joseph D.", "non-dropping-particle" : "", "parse-names" : false, "suffix" : "" }, { "dropping-particle" : "", "family" : "Yang", "given" : "Bin", "non-dropping-particle" : "", "parse-names" : false, "suffix" : "" } ], "container-title" : "Clinical Infectious Diseases", "id" : "ITEM-1", "issue" : "10", "issued" : { "date-parts" : [ [ "2020" ] ] }, "page" : "2178-2186", "title" : "Syphilis self-testing: A nationwide pragmatic study among men who have sex with men in china", "type" : "article-journal", "volume" : "70" }, "uris" : [ "http://www.mendeley.com/documents/?uuid=729b57f9-90a7-4ee2-96f4-8305a7507aa0" ] } ], "mendeley" : { "formattedCitation" : "[3]", "plainTextFormattedCitation" : "[3]", "previouslyFormattedCitation" : "[3]"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[3]</w:t>
      </w:r>
      <w:r w:rsidRPr="00775C2E">
        <w:rPr>
          <w:rFonts w:ascii="Times New Roman" w:hAnsi="Times New Roman" w:cs="Times New Roman"/>
          <w:sz w:val="22"/>
        </w:rPr>
        <w:fldChar w:fldCharType="end"/>
      </w:r>
      <w:r w:rsidRPr="00775C2E">
        <w:rPr>
          <w:rFonts w:ascii="Times New Roman" w:hAnsi="Times New Roman" w:cs="Times New Roman"/>
          <w:sz w:val="22"/>
        </w:rPr>
        <w:t xml:space="preserve">. Several point-of-care syphilis tests have been approved and used for syphilis screening in China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"container-title" : "WHO", "id" : "ITEM-1", "issued" : { "date-parts" : [ [ "2014" ] ] }, "publisher" : "World Health Organization", "title" : "WHO | The use of rapid syphilis tests", "type" : "article-journal" }, "uris" : [ "http://www.mendeley.com/documents/?uuid=7259ca59-fa7b-3447-bf9d-c022cafe7e3e", "http://www.mendeley.com/documents/?uuid=5df38878-19d1-4371-919a-e2f574b6d168" ] }, { "id" : "ITEM-2", "itemData" : { "abstract" : "INTERVENTION: Control arm:Referral to get free syphilis test at the facilities.;Standard self\u2010testing arm:Home delivery of self\u2010test kits for free.;Crowdsourced lottery incentives self\u2010testing arm:Home delivery of self\u2010test kits for free. And one lottery draw with 0.1 probability to win 100RMB for those upload SST results.; CONDITION: Syphilis PRIMARY OUTCOME: Self\u2010report uptake of syphilis testing; INCLUSION CRITERIA: Men aged 16 years or above; had unprotected anal sex with other men in the past six months; reported NOT testing for syphilis and HIV in the last six months; NOT living with syphilis and HIV or NOT known about HIV and syphilis infection status; plan to live in China for the next month and willing to provide a reliable postal address where they can securely receive package.", "author" : [ { "dropping-particle" : "", "family" : "Weibin Cheng, Cheng Wang, Weiming Tang, Jason J. Ong, Hongyun Fu, Michael Marks, M. Kumi Smith, Changchang Li, Juan, Nie Peizhen Zhao, Heping Zheng, Bin Yang", "given" : "Joseph D. Tucker", "non-dropping-particle" : "", "parse-names" : false, "suffix" : "" } ], "container-title" : "BMC infectious diseases", "id" : "ITEM-2", "issued" : { "date-parts" : [ [ "2020" ] ] }, "page" : "1-8", "publisher" : "BMC Infectious Diseases", "title" : "Promoting routine syphilis screening among men who have sex with men in China: a randomized controlled trial of syphilis self-testing and crowdsourced lottery incentive", "type" : "article-journal" }, "uris" : [ "http://www.mendeley.com/documents/?uuid=78604e82-e4e2-41aa-8641-f3dd9c0df92b", "http://www.mendeley.com/documents/?uuid=172fc1da-7510-4f79-80d7-5d9e81be3094" ] } ], "mendeley" : { "formattedCitation" : "[8,9]", "plainTextFormattedCitation" : "[8,9]", "previouslyFormattedCitation" : "[8,9]"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[8,9]</w:t>
      </w:r>
      <w:r w:rsidRPr="00775C2E">
        <w:rPr>
          <w:rFonts w:ascii="Times New Roman" w:hAnsi="Times New Roman" w:cs="Times New Roman"/>
          <w:sz w:val="22"/>
        </w:rPr>
        <w:fldChar w:fldCharType="end"/>
      </w:r>
      <w:r w:rsidRPr="00775C2E">
        <w:rPr>
          <w:rFonts w:ascii="Times New Roman" w:hAnsi="Times New Roman" w:cs="Times New Roman"/>
          <w:sz w:val="22"/>
        </w:rPr>
        <w:t xml:space="preserve">. A cross-sectional study showed that syphilis self-testing among MSM could complement facility-based testing in China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"10.1093/cid/ciz603", "ISSN" : "15376591", "PMID" : "31260513", "abstract" : "Background. Syphilis self-testing may help expand syphilis testing among men who have sex with men (MSM). China has rapidly scaled up human immunodeficiency virus (HIV) self-testing, creating an opportunity for integrated syphilis self-testing. However, there is a limited literature on implementing syphilis self-testing. Methods. A cross-sectional online survey was conducted among Chinese MSM in 2018. Participants completed a survey instrument including sociodemographic characteristics, sexual behaviors, syphilis self-testing, and HIV self-testing history. Multivariable logistic regression was conducted to identify correlates of syphilis self-testing. We also recorded potential harms associated with syphilis self-testing. Results. Six hundred ninety-nine MSM from 89 cities in 21 provinces in China completed the study. A total of 361/699 (51.7%) men tested for syphilis, of whom 174/699 (24.9%) men used syphilis self-testing. Among 174 who had self-tested, 90 (51.7%) reported that the self-test was their first syphilis test and 161 (92.5%) reported that they undertook syphilis self-testing together with HIV self-testing. After adjusting for covariates, syphilis self-testing was correlated with disclosure of sexual orientation to family or friends (adjusted odds ratio [aOR], 1.90; 95% confidence interval [CI], 1.32-2.73), reporting 2-5 male sexual partners (aOR, 1.81; 95% CI, 1.04-3.16), HIV self-testing (aOR, 39.90; 95% CI, 17.00-93.61), and never tested for syphilis in the hospital (aOR, 2.96; 95% CI, 1.86-4.72). Self-reported harms associated with syphilis self-testing were minimal. Conclusions. Scaling up syphilis self-testing could complement facility-based testing in China among MSM. Self-testing may increase first-time testing and has limited harms. Our findings suggest that syphilis self-testing could be integrated into HIV selftesting services.", "author" : [ { "dropping-particle" : "", "family" : "Wang", "given" : "Cheng", "non-dropping-particle" : "", "parse-names" : false, "suffix" : "" }, { "dropping-particle" : "", "family" : "Cheng", "given" : "Weibin", "non-dropping-particle" : "", "parse-names" : false, "suffix" : "" }, { "dropping-particle" : "", "family" : "Li", "given" : "Changchang", "non-dropping-particle" : "", "parse-names" : false, "suffix" : "" }, { "dropping-particle" : "", "family" : "Tang", "given" : "Weiming", "non-dropping-particle" : "", "parse-names" : false, "suffix" : "" }, { "dropping-particle" : "", "family" : "Ong", "given" : "Jason J.", "non-dropping-particle" : "", "parse-names" : false, "suffix" : "" }, { "dropping-particle" : "", "family" : "Smith", "given" : "M. Kumi", "non-dropping-particle" : "", "parse-names" : false, "suffix" : "" }, { "dropping-particle" : "", "family" : "Fu", "given" : "Hongyun", "non-dropping-particle" : "", "parse-names" : false, "suffix" : "" }, { "dropping-particle" : "", "family" : "Marks", "given" : "Michael", "non-dropping-particle" : "", "parse-names" : false, "suffix" : "" }, { "dropping-particle" : "", "family" : "Nie", "given" : "Juan", "non-dropping-particle" : "", "parse-names" : false, "suffix" : "" }, { "dropping-particle" : "", "family" : "Zheng", "given" : "Heping", "non-dropping-particle" : "", "parse-names" : false, "suffix" : "" }, { "dropping-particle" : "", "family" : "Tucker", "given" : "Joseph D.", "non-dropping-particle" : "", "parse-names" : false, "suffix" : "" }, { "dropping-particle" : "", "family" : "Yang", "given" : "Bin", "non-dropping-particle" : "", "parse-names" : false, "suffix" : "" } ], "container-title" : "Clinical Infectious Diseases", "id" : "ITEM-1", "issue" : "10", "issued" : { "date-parts" : [ [ "2020" ] ] }, "page" : "2178-2186", "title" : "Syphilis self-testing: A nationwide pragmatic study among men who have sex with men in china", "type" : "article-journal", "volume" : "70" }, "uris" : [ "http://www.mendeley.com/documents/?uuid=729b57f9-90a7-4ee2-96f4-8305a7507aa0" ] } ], "mendeley" : { "formattedCitation" : "[3]", "plainTextFormattedCitation" : "[3]", "previouslyFormattedCitation" : "[3]"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[3]</w:t>
      </w:r>
      <w:r w:rsidRPr="00775C2E">
        <w:rPr>
          <w:rFonts w:ascii="Times New Roman" w:hAnsi="Times New Roman" w:cs="Times New Roman"/>
          <w:sz w:val="22"/>
        </w:rPr>
        <w:fldChar w:fldCharType="end"/>
      </w:r>
      <w:r w:rsidRPr="00775C2E">
        <w:rPr>
          <w:rFonts w:ascii="Times New Roman" w:hAnsi="Times New Roman" w:cs="Times New Roman"/>
          <w:sz w:val="22"/>
        </w:rPr>
        <w:t xml:space="preserve">. Approximately half of the MSM reported that syphilis self-testing was their first syphilis test, suggesting that this could expand test uptake among groups without a history of testing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"10.1093/cid/ciz603", "ISSN" : "15376591", "PMID" : "31260513", "abstract" : "Background. Syphilis self-testing may help expand syphilis testing among men who have sex with men (MSM). China has rapidly scaled up human immunodeficiency virus (HIV) self-testing, creating an opportunity for integrated syphilis self-testing. However, there is a limited literature on implementing syphilis self-testing. Methods. A cross-sectional online survey was conducted among Chinese MSM in 2018. Participants completed a survey instrument including sociodemographic characteristics, sexual behaviors, syphilis self-testing, and HIV self-testing history. Multivariable logistic regression was conducted to identify correlates of syphilis self-testing. We also recorded potential harms associated with syphilis self-testing. Results. Six hundred ninety-nine MSM from 89 cities in 21 provinces in China completed the study. A total of 361/699 (51.7%) men tested for syphilis, of whom 174/699 (24.9%) men used syphilis self-testing. Among 174 who had self-tested, 90 (51.7%) reported that the self-test was their first syphilis test and 161 (92.5%) reported that they undertook syphilis self-testing together with HIV self-testing. After adjusting for covariates, syphilis self-testing was correlated with disclosure of sexual orientation to family or friends (adjusted odds ratio [aOR], 1.90; 95% confidence interval [CI], 1.32-2.73), reporting 2-5 male sexual partners (aOR, 1.81; 95% CI, 1.04-3.16), HIV self-testing (aOR, 39.90; 95% CI, 17.00-93.61), and never tested for syphilis in the hospital (aOR, 2.96; 95% CI, 1.86-4.72). Self-reported harms associated with syphilis self-testing were minimal. Conclusions. Scaling up syphilis self-testing could complement facility-based testing in China among MSM. Self-testing may increase first-time testing and has limited harms. Our findings suggest that syphilis self-testing could be integrated into HIV selftesting services.", "author" : [ { "dropping-particle" : "", "family" : "Wang", "given" : "Cheng", "non-dropping-particle" : "", "parse-names" : false, "suffix" : "" }, { "dropping-particle" : "", "family" : "Cheng", "given" : "Weibin", "non-dropping-particle" : "", "parse-names" : false, "suffix" : "" }, { "dropping-particle" : "", "family" : "Li", "given" : "Changchang", "non-dropping-particle" : "", "parse-names" : false, "suffix" : "" }, { "dropping-particle" : "", "family" : "Tang", "given" : "Weiming", "non-dropping-particle" : "", "parse-names" : false, "suffix" : "" }, { "dropping-particle" : "", "family" : "Ong", "given" : "Jason J.", "non-dropping-particle" : "", "parse-names" : false, "suffix" : "" }, { "dropping-particle" : "", "family" : "Smith", "given" : "M. Kumi", "non-dropping-particle" : "", "parse-names" : false, "suffix" : "" }, { "dropping-particle" : "", "family" : "Fu", "given" : "Hongyun", "non-dropping-particle" : "", "parse-names" : false, "suffix" : "" }, { "dropping-particle" : "", "family" : "Marks", "given" : "Michael", "non-dropping-particle" : "", "parse-names" : false, "suffix" : "" }, { "dropping-particle" : "", "family" : "Nie", "given" : "Juan", "non-dropping-particle" : "", "parse-names" : false, "suffix" : "" }, { "dropping-particle" : "", "family" : "Zheng", "given" : "Heping", "non-dropping-particle" : "", "parse-names" : false, "suffix" : "" }, { "dropping-particle" : "", "family" : "Tucker", "given" : "Joseph D.", "non-dropping-particle" : "", "parse-names" : false, "suffix" : "" }, { "dropping-particle" : "", "family" : "Yang", "given" : "Bin", "non-dropping-particle" : "", "parse-names" : false, "suffix" : "" } ], "container-title" : "Clinical Infectious Diseases", "id" : "ITEM-1", "issue" : "10", "issued" : { "date-parts" : [ [ "2020" ] ] }, "page" : "2178-2186", "title" : "Syphilis self-testing: A nationwide pragmatic study among men who have sex with men in china", "type" : "article-journal", "volume" : "70" }, "uris" : [ "http://www.mendeley.com/documents/?uuid=729b57f9-90a7-4ee2-96f4-8305a7507aa0", "http://www.mendeley.com/documents/?uuid=1d298f41-15fc-4841-8687-0e1f80a1a59b" ] } ], "mendeley" : { "formattedCitation" : "[3]", "plainTextFormattedCitation" : "[3]", "previouslyFormattedCitation" : "[3]"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[3]</w:t>
      </w:r>
      <w:r w:rsidRPr="00775C2E">
        <w:rPr>
          <w:rFonts w:ascii="Times New Roman" w:hAnsi="Times New Roman" w:cs="Times New Roman"/>
          <w:sz w:val="22"/>
        </w:rPr>
        <w:fldChar w:fldCharType="end"/>
      </w:r>
      <w:r w:rsidRPr="00775C2E">
        <w:rPr>
          <w:rFonts w:ascii="Times New Roman" w:hAnsi="Times New Roman" w:cs="Times New Roman"/>
          <w:sz w:val="22"/>
        </w:rPr>
        <w:t>. A recent randomized control trial reported that syphilis self-testing significantly increased syphilis testing among Chinese MSM with less cost per person tested compared to facility-based testing</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"author" : [ { "dropping-particle" : "", "family" : "Wang", "given" : "Cheng", "non-dropping-particle" : "", "parse-names" : false, "suffix" : "" }, { "dropping-particle" : "", "family" : "Ong", "given" : "Jason", "non-dropping-particle" : "", "parse-names" : false, "suffix" : "" }, { "dropping-particle" : "", "family" : "Zhao", "given" : "Peizhen", "non-dropping-particle" : "", "parse-names" : false, "suffix" : "" }, { "dropping-particle" : "", "family" : "Tang", "given" : "Weiming", "non-dropping-particle" : "", "parse-names" : false, "suffix" : "" }, { "dropping-particle" : "", "family" : "Smith", "given" : "Kumi M", "non-dropping-particle" : "", "parse-names" : false, "suffix" : "" }, { "dropping-particle" : "", "family" : "Marks", "given" : "Michael", "non-dropping-particle" : "", "parse-names" : false, "suffix" : "" }, { "dropping-particle" : "", "family" : "Fu", "given" : "Hongyun", "non-dropping-particle" : "", "parse-names" : false, "suffix" : "" }, { "dropping-particle" : "", "family" : "Cheng", "given" : "Weibin", "non-dropping-particle" : "", "parse-names" : false, "suffix" : "" }, { "dropping-particle" : "", "family" : "Terris-Prestholt", "given" : "Fern", "non-dropping-particle" : "", "parse-names" : false, "suffix" : "" }, { "dropping-particle" : "", "family" : "Zheng", "given" : "Heping", "non-dropping-particle" : "", "parse-names" : false, "suffix" : "" }, { "dropping-particle" : "", "family" : "Tucker", "given" : "Joseph", "non-dropping-particle" : "", "parse-names" : false, "suffix" : "" }, { "dropping-particle" : "", "family" : "Yang", "given" : "B", "non-dropping-particle" : "", "parse-names" : false, "suffix" : "" } ], "id" : "ITEM-1", "issued" : { "date-parts" : [ [ "0" ] ] }, "title" : "Expanding syphilis test uptake using self-testing among men who have sex with men: a randomized controlled trial", "type" : "article-journal" }, "uris" : [ "http://www.mendeley.com/documents/?uuid=9714fa4c-abac-43e0-af61-16544e3f0c70" ] } ], "mendeley" : { "formattedCitation" : "[10]", "plainTextFormattedCitation" : "[10]", "previouslyFormattedCitation" : "[10]"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[10]</w:t>
      </w:r>
      <w:r w:rsidRPr="00775C2E">
        <w:rPr>
          <w:rFonts w:ascii="Times New Roman" w:hAnsi="Times New Roman" w:cs="Times New Roman"/>
          <w:sz w:val="22"/>
        </w:rPr>
        <w:fldChar w:fldCharType="end"/>
      </w:r>
      <w:r w:rsidRPr="00775C2E">
        <w:rPr>
          <w:rFonts w:ascii="Times New Roman" w:hAnsi="Times New Roman" w:cs="Times New Roman"/>
          <w:sz w:val="22"/>
        </w:rPr>
        <w:t xml:space="preserve">. With the potential benefits of syphilis self-testing, further studies are needed to explore how this could be scaled up.  </w:t>
      </w:r>
    </w:p>
    <w:p w14:paraId="5A0B344B" w14:textId="77777777" w:rsidR="0081030B" w:rsidRPr="00775C2E" w:rsidRDefault="0081030B">
      <w:pPr>
        <w:spacing w:line="360" w:lineRule="auto"/>
        <w:rPr>
          <w:rFonts w:ascii="Times New Roman" w:hAnsi="Times New Roman" w:cs="Times New Roman"/>
          <w:sz w:val="22"/>
        </w:rPr>
      </w:pPr>
    </w:p>
    <w:p w14:paraId="7AE204BF"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Social network distribution can be an effective syphilis self-testing distribution strategy to expand syphilis testing and to reach high-risk populations with undiagnosed syphilis. This strategy allows participants (defined as indexes) to apply for multiple self-testing kits and distribute to their peers (sexual partners or non-sexual partners, defined as alters) within their social network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"10.1186/s12889-020-09048-y", "ISSN" : "1471-2458", "abstract" : "Human immunodeficiency virus (HIV) testing is a crucial strategy for HIV prevention. HIV testing rates remain low among men who have sex with men (MSM) in China. Digital network-based secondary distribution is considered as an effective model to enhance HIV self-testing (HIVST) among key populations. Digital platforms provide opportunities for testers to apply for HIVST kits by themselves, and secondary distribution allows them to apply for multiple kits to deliver to their sexual partners or members within their social network. We describe a three-arm randomized controlled trial to examine the effect of monetary incentives and peer referral in promoting digital network-based secondary distribution of HIVST among MSM in China.", "author" : [ { "dropping-particle" : "", "family" : "Lu", "given" : "Ying", "non-dropping-particle" : "", "parse-names" : false, "suffix" : "" }, { "dropping-particle" : "", "family" : "Ni", "given" : "Yuxin", "non-dropping-particle" : "", "parse-names" : false, "suffix" : "" }, { "dropping-particle" : "", "family" : "Li", "given" : "Xiaofeng", "non-dropping-particle" : "", "parse-names" : false, "suffix" : "" }, { "dropping-particle" : "", "family" : "He", "given" : "Xi", "non-dropping-particle" : "", "parse-names" : false, "suffix" : "" }, { "dropping-particle" : "", "family" : "Huang", "given" : "Shanzi", "non-dropping-particle" : "", "parse-names" : false, "suffix" : "" }, { "dropping-particle" : "", "family" : "Zhou", "given" : "Yi", "non-dropping-particle" : "", "parse-names" : false, "suffix" : "" }, { "dropping-particle" : "", "family" : "Dai", "given" : "Wencan", "non-dropping-particle" : "", "parse-names" : false, "suffix" : "" }, { "dropping-particle" : "", "family" : "Wu", "given" : "Dan", "non-dropping-particle" : "", "parse-names" : false, "suffix" : "" }, { "dropping-particle" : "", "family" : "Tucker", "given" : "Joseph D", "non-dropping-particle" : "", "parse-names" : false, "suffix" : "" }, { "dropping-particle" : "", "family" : "Shen", "given" : "Guangquan", "non-dropping-particle" : "", "parse-names" : false, "suffix" : "" }, { "dropping-particle" : "", "family" : "Sha", "given" : "Yongjie", "non-dropping-particle" : "", "parse-names" : false, "suffix" : "" }, { "dropping-particle" : "", "family" : "Jiang", "given" : "Hongbo", "non-dropping-particle" : "", "parse-names" : false, "suffix" : "" }, { "dropping-particle" : "", "family" : "Huang", "given" : "Liqun", "non-dropping-particle" : "", "parse-names" : false, "suffix" : "" }, { "dropping-particle" : "", "family" : "Tang", "given" : "Weiming", "non-dropping-particle" : "", "parse-names" : false, "suffix" : "" } ], "container-title" : "BMC Public Health", "id" : "ITEM-1", "issue" : "1", "issued" : { "date-parts" : [ [ "2020" ] ] }, "page" : "911", "title" : "Monetary incentives and peer referral in promoting digital network-based secondary distribution of HIV self-testing among men who have sex with men in China: study protocol for a three-arm randomized controlled trial", "type" : "article-journal", "volume" : "20" }, "uris" : [ "http://www.mendeley.com/documents/?uuid=c3cb72c9-5be7-4153-a447-b5bb38c2aa55", "http://www.mendeley.com/documents/?uuid=5faf6883-629a-4b61-bc15-9934df9dd298" ] }, { "id" : "ITEM-2", "itemData" : { "DOI" : "10.1007/s10461-018-2277-0", "ISSN" : "15733254", "PMID" : "30264206", "abstract" : "HIV-positive men who have sex with men (MSM) were recruited on www.Facebook.com and www.Poz.com to give HIV self-tests to their contacts. Study participants completed a baseline survey, were given two self-tests, and completed a survey 2 months later. Of 133 eligible men, 40 (30%) completed both surveys. Most participants were 30\u201354 years old and non-Hispanic white. Some had a detectable viral load (n = 4), had condomless anal sex with male partners of negative or unknown status (n = 17), and had met anal sex partners at gay dating websites (n = 23). Of 80 self-tests given to participants, 59 (74%) were distributed, primarily to non-Hispanic white MSM, 30\u201354 years old who were friends. Participants reported results from 31 distributed tests; 2 sex partners of participants had positive results. Participants indicated these two persons were unaware of their infections. Expanding recruitment websites might reach non-white MSM. Unrecognized infections were identified through online recruitment and self-test distribution via HIV-positive persons.", "author" : [ { "dropping-particle" : "", "family" : "Wesolowski", "given" : "Laura", "non-dropping-particle" : "", "parse-names" : false, "suffix" : "" }, { "dropping-particle" : "", "family" : "Chavez", "given" : "Pollyanna", "non-dropping-particle" : "", "parse-names" : false, "suffix" : "" }, { "dropping-particle" : "", "family" : "Sullivan", "given" : "Patrick", "non-dropping-particle" : "", "parse-names" : false, "suffix" : "" }, { "dropping-particle" : "", "family" : "Freeman", "given" : "Arin", "non-dropping-particle" : "", "parse-names" : false, "suffix" : "" }, { "dropping-particle" : "", "family" : "Sharma", "given" : "Akshay", "non-dropping-particle" : "", "parse-names" : false, "suffix" : "" }, { "dropping-particle" : "", "family" : "Mustanski", "given" : "Brian", "non-dropping-particle" : "", "parse-names" : false, "suffix" : "" }, { "dropping-particle" : "", "family" : "McNaghten", "given" : "A. D.", "non-dropping-particle" : "", "parse-names" : false, "suffix" : "" }, { "dropping-particle" : "", "family" : "MacGowan", "given" : "Robin", "non-dropping-particle" : "", "parse-names" : false, "suffix" : "" } ], "container-title" : "AIDS and Behavior", "id" : "ITEM-2", "issue" : "4", "issued" : { "date-parts" : [ [ "2019", "4" ] ] }, "page" : "893-899", "publisher" : "Springer New York LLC", "title" : "Distribution of HIV Self-tests by HIV-Positive Men Who Have Sex with Men to Social and Sexual Contacts", "type" : "article-journal", "volume" : "23" }, "uris" : [ "http://www.mendeley.com/documents/?uuid=4358fab9-43a3-3b66-a6c5-1fd615a47321", "http://www.mendeley.com/documents/?uuid=ec8949a9-8bdf-4f0f-b764-1f06bc7d9550" ] } ], "mendeley" : { "formattedCitation" : "[11,12]", "plainTextFormattedCitation" : "[11,12]", "previouslyFormattedCitation" : "[11,12]"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[11,12]</w:t>
      </w:r>
      <w:r w:rsidRPr="00775C2E">
        <w:rPr>
          <w:rFonts w:ascii="Times New Roman" w:hAnsi="Times New Roman" w:cs="Times New Roman"/>
          <w:sz w:val="22"/>
        </w:rPr>
        <w:fldChar w:fldCharType="end"/>
      </w:r>
      <w:r w:rsidRPr="00775C2E">
        <w:rPr>
          <w:rFonts w:ascii="Times New Roman" w:hAnsi="Times New Roman" w:cs="Times New Roman"/>
          <w:sz w:val="22"/>
        </w:rPr>
        <w:t xml:space="preserve">. Social network distribution has been widely used for sexual partner notification with notification cards, which helps contain the spread of sexually transmitted infections (STIs)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"10.1136/sti.74.6.409", "ISSN" : "13684973", "PMID" : "10195049", "abstract" : "Objective: To compare partner notification practice and outcomes at a provincial and a metropolitan clinic. Design: Prospective study, following standardisation of parmer notification policy. Settings: Sheffield Department of Genitourinary Medicine, Royal Hallamshire Hospital and Jefferiss Wing Centre for Sexual Health, St Mary's Hospital, London. Subjects: Consecutive patients with culture positive gonorrhoea between October 1994 and March 1996 who were interviewed by a health adviser. Results: In Sheffield, 235 cases reported 659 outstanding contacts, of whom 129 (20%) were subsequently screened, and 65 (50%) had gonorrhoea. At St Mary's 510 cases reported 2176 outstanding contacts, of whom 98 (5%) were known to have been screened, and 53 (54%) had gonorrhoea. Patient or provider referral agreements appeared more productive in Sheffield, where 60% resulted in contact attendance, compared with 13% at St Mary's. Provider referral was used more frequently in Sheffield, for 44% of referrals, compared with 1% at St Mary's. Multivariate analysis showed that parmer notification was less effective for casual and short term (&lt;7 days) partnerships in both centres, and for homosexual men at St Mary's. Conclusion: Partner notification outcomes were better in the provincial setting where contact attendance could be recorded more reliably and provider referral was used more extensively. The high proportion of contacts who remained untraced in both settings indicates the need for complementary screening and prevention initiatives.", "author" : [ { "dropping-particle" : "", "family" : "Bell", "given" : "Gill", "non-dropping-particle" : "", "parse-names" : false, "suffix" : "" }, { "dropping-particle" : "", "family" : "Ward", "given" : "Helen", "non-dropping-particle" : "", "parse-names" : false, "suffix" : "" }, { "dropping-particle" : "", "family" : "Day", "given" : "Sophie", "non-dropping-particle" : "", "parse-names" : false, "suffix" : "" }, { "dropping-particle" : "", "family" : "Ghani", "given" : "Azra C.", "non-dropping-particle" : "", "parse-names" : false, "suffix" : "" }, { "dropping-particle" : "", "family" : "Goan", "given" : "Una", "non-dropping-particle" : "", "parse-names" : false, "suffix" : "" }, { "dropping-particle" : "", "family" : "Claydon", "given" : "Elizabeth", "non-dropping-particle" : "", "parse-names" : false, "suffix" : "" }, { "dropping-particle" : "", "family" : "Kinghorn", "given" : "George R.", "non-dropping-particle" : "", "parse-names" : false, "suffix" : "" } ], "container-title" : "Sexually Transmitted Infections", "id" : "ITEM-1", "issue" : "6", "issued" : { "date-parts" : [ [ "1998" ] ] }, "page" : "409-414", "publisher" : "BMJ Publishing Group", "title" : "Partner notification for gonorrhoea: A comparative study with a provincial and a metropolitan UK clinic", "type" : "article-journal", "volume" : "74" }, "uris" : [ "http://www.mendeley.com/documents/?uuid=8165eafd-bfb7-3c08-b3c3-28ed6efa3cd7", "http://www.mendeley.com/documents/?uuid=579ca90c-c1fe-4217-98ae-6881ee672d04" ] }, { "id" : "ITEM-2", "itemData" : { "DOI" : "10.1016/j.mpmed.2014.03.013", "ISSN" : "13654357", "abstract" : "Partner notification is an essential part of case management for sexually transmitted infections. Done correctly it reduces persistent or recurrent infection in the index patient, identifies previously undiagnosed infections, and may thus contribute to reduced transmission in the population. The effectiveness of patient referral of partners can be enhanced through the provision of written information and easy access to tests and medication. A recent systematic review of partner notification found that enhanced partner therapy (helping get treatment to partners more rapidly) reduced re-infection in the index case by almost 30% compared with simple patient referral. Provider referral, where the healthcare worker contacts partners directly, can also be effective, and provides an important service for patients who are wary of informing partners themselves. Partner notification services should be available for all patients found to have a sexually transmitted infection, whether the diagnosis is made in specialist settings, or in primary or community-based care. For patients with HIV, partner notification should be addressed when the infection is first diagnosed and revisited for subsequent partners. Access to specialist partner notification services is an important part of any sexual healthcare system. The professional competencies required to undertake partner notification have now been clearly defined. \u00a9 2014 Elsevier Ltd. All rights reserved.", "author" : [ { "dropping-particle" : "", "family" : "Ward", "given" : "Helen", "non-dropping-particle" : "", "parse-names" : false, "suffix" : "" }, { "dropping-particle" : "", "family" : "Bell", "given" : "Gill", "non-dropping-particle" : "", "parse-names" : false, "suffix" : "" } ], "container-title" : "Medicine (United Kingdom)", "id" : "ITEM-2", "issue" : "6", "issued" : { "date-parts" : [ [ "2014" ] ] }, "page" : "314-317", "publisher" : "Elsevier Ltd", "title" : "Partner notification", "type" : "article", "volume" : "42" }, "uris" : [ "http://www.mendeley.com/documents/?uuid=7de91667-8119-35de-b275-453bb5ddf302", "http://www.mendeley.com/documents/?uuid=61300455-2446-45cd-b70f-02ec0004ad72" ] } ], "mendeley" : { "formattedCitation" : "[13,14]", "plainTextFormattedCitation" : "[13,14]", "previouslyFormattedCitation" : "[13,14]"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[13,14]</w:t>
      </w:r>
      <w:r w:rsidRPr="00775C2E">
        <w:rPr>
          <w:rFonts w:ascii="Times New Roman" w:hAnsi="Times New Roman" w:cs="Times New Roman"/>
          <w:sz w:val="22"/>
        </w:rPr>
        <w:fldChar w:fldCharType="end"/>
      </w:r>
      <w:r w:rsidRPr="00775C2E">
        <w:rPr>
          <w:rFonts w:ascii="Times New Roman" w:hAnsi="Times New Roman" w:cs="Times New Roman"/>
          <w:sz w:val="22"/>
        </w:rPr>
        <w:t xml:space="preserve">. However, this strategy is likely to reach only a proportion of contacts. For example, it is more successful in reaching partners in long-term relationships and less so in reaching short-term casual sexual contacts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"10.1371/journal.pmed.1002166", "ISSN" : "15491676", "PMID" : "27824882", "abstract" : "Background: Achieving higher rates of partner HIV testing and couples testing among pregnant and postpartum women in sub-Saharan Africa is essential for the success of combination HIV prevention, including the prevention of mother-to-child transmission. We aimed to determine whether providing multiple HIV self-tests to pregnant and postpartum women for secondary distribution is more effective at promoting partner testing and couples testing than conventional strategies based on invitations to clinic-based testing. Methods and Findings: We conducted a randomized trial in Kisumu, Kenya, between June 11, 2015, and January 15, 2016. Six hundred antenatal and postpartum women aged 18\u201339 y were randomized to an HIV self-testing (HIVST) group or a comparison group. Participants in the HIVST group were given two oral-fluid-based HIV test kits, instructed on how to use them, and encouraged to distribute a test kit to their male partner or use both kits for testing as a couple. Participants in the comparison group were given an invitation card for clinic-based HIV testing and encouraged to distribute the card to their male partner, a routine practice in many health clinics. The primary outcome was partner testing within 3 mo of enrollment. Among 570 participants analyzed, partner HIV testing was more likely in the HIVST group (90.8%, 258/284) than the comparison group (51.7%, 148/286; difference = 39.1%, 95% CI 32.4% to 45.8%, p &lt; 0.001). Couples testing was also more likely in the HIVST group than the comparison group (75.4% versus 33.2%, difference = 42.1%, 95% CI 34.7% to 49.6%, p &lt; 0.001). No participants reported intimate partner violence due to HIV testing. This study was limited by self-reported outcomes, a common limitation in many studies involving HIVST due to the private manner in which self-tests are meant to be used. Conclusions: Provision of multiple HIV self-tests to women seeking antenatal and postpartum care was successful in promoting partner testing and couples testing. This approach warrants further consideration as countries develop HIVST policies and seek new ways to increase awareness of HIV status among men and promote couples testing. Trial Registration: ClinicalTrials.gov NCT02386215.", "author" : [ { "dropping-particle" : "", "family" : "Masters", "given" : "Samuel H.", "non-dropping-particle" : "", "parse-names" : false, "suffix" : "" }, { "dropping-particle" : "", "family" : "Agot", "given" : "Kawango", "non-dropping-particle" : "", "parse-names" : false, "suffix" : "" }, { "dropping-particle" : "", "family" : "Obonyo", "given" : "Beatrice", "non-dropping-particle" : "", "parse-names" : false, "suffix" : "" }, { "dropping-particle" : "", "family" : "Napierala Mavedzenge", "given" : "Sue", "non-dropping-particle" : "", "parse-names" : false, "suffix" : "" }, { "dropping-particle" : "", "family" : "Maman", "given" : "Suzanne", "non-dropping-particle" : "", "parse-names" : false, "suffix" : "" }, { "dropping-particle" : "", "family" : "Thirumurthy", "given" : "Harsha", "non-dropping-particle" : "", "parse-names" : false, "suffix" : "" } ], "container-title" : "PLoS Medicine", "id" : "ITEM-1", "issue" : "11", "issued" : { "date-parts" : [ [ "2016", "11" ] ] }, "publisher" : "Public Library of Science", "title" : "Promoting Partner Testing and Couples Testing through Secondary Distribution of HIV Self-Tests: A Randomized Clinical Trial", "type" : "article-journal", "volume" : "13" }, "uris" : [ "http://www.mendeley.com/documents/?uuid=78feb2d1-8f15-3840-ac37-ac6258719c8e", "http://www.mendeley.com/documents/?uuid=819e5b6b-b307-41c9-9a81-e6cc5c1e196a" ] }, { "id" : "ITEM-2", "itemData" : { "DOI" : "10.1016/j.mpmed.2014.03.013", "ISSN" : "13654357", "abstract" : "Partner notification is an essential part of case management for sexually transmitted infections. Done correctly it reduces persistent or recurrent infection in the index patient, identifies previously undiagnosed infections, and may thus contribute to reduced transmission in the population. The effectiveness of patient referral of partners can be enhanced through the provision of written information and easy access to tests and medication. A recent systematic review of partner notification found that enhanced partner therapy (helping get treatment to partners more rapidly) reduced re-infection in the index case by almost 30% compared with simple patient referral. Provider referral, where the healthcare worker contacts partners directly, can also be effective, and provides an important service for patients who are wary of informing partners themselves. Partner notification services should be available for all patients found to have a sexually transmitted infection, whether the diagnosis is made in specialist settings, or in primary or community-based care. For patients with HIV, partner notification should be addressed when the infection is first diagnosed and revisited for subsequent partners. Access to specialist partner notification services is an important part of any sexual healthcare system. The professional competencies required to undertake partner notification have now been clearly defined. \u00a9 2014 Elsevier Ltd. All rights reserved.", "author" : [ { "dropping-particle" : "", "family" : "Ward", "given" : "Helen", "non-dropping-particle" : "", "parse-names" : false, "suffix" : "" }, { "dropping-particle" : "", "family" : "Bell", "given" : "Gill", "non-dropping-particle" : "", "parse-names" : false, "suffix" : "" } ], "container-title" : "Medicine (United Kingdom)", "id" : "ITEM-2", "issue" : "6", "issued" : { "date-parts" : [ [ "2014" ] ] }, "page" : "314-317", "publisher" : "Elsevier Ltd", "title" : "Partner notification", "type" : "article", "volume" : "42" }, "uris" : [ "http://www.mendeley.com/documents/?uuid=61300455-2446-45cd-b70f-02ec0004ad72", "http://www.mendeley.com/documents/?uuid=7de91667-8119-35de-b275-453bb5ddf302" ] } ], "mendeley" : { "formattedCitation" : "[14,15]", "plainTextFormattedCitation" : "[14,15]", "previouslyFormattedCitation" : "[14,15]"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[14,15]</w:t>
      </w:r>
      <w:r w:rsidRPr="00775C2E">
        <w:rPr>
          <w:rFonts w:ascii="Times New Roman" w:hAnsi="Times New Roman" w:cs="Times New Roman"/>
          <w:sz w:val="22"/>
        </w:rPr>
        <w:fldChar w:fldCharType="end"/>
      </w:r>
      <w:r w:rsidRPr="00775C2E">
        <w:rPr>
          <w:rFonts w:ascii="Times New Roman" w:hAnsi="Times New Roman" w:cs="Times New Roman"/>
          <w:sz w:val="22"/>
        </w:rPr>
        <w:t xml:space="preserve">. Social network distribution of self-testing may be an effective approach to overcome these barriers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"10.1016/S1473-3099(17)30310-9", "ISSN" : "14744457", "PMID" : "28701272", "abstract" : "WHO estimated that nearly 1 million people become infected every day with any of four curable sexually transmitted infections (STIs): chlamydia, gonorrhoea, syphilis, and trichomoniasis. Despite their high global incidence, STIs remain a neglected area of research. In this Commission, we have prioritised five areas that represent particular challenges in STI treatment and control. Chlamydia remains the most commonly diagnosed bacterial STI in high-income countries despite widespread testing recommendations, sensitive and specific non-invasive testing techniques, and cheap effective therapy. We discuss the challenges for chlamydia control and evidence to support a shift from the current focus on infection-based screening to improved management of diagnosed cases and of chlamydial morbidity, such as pelvic inflammatory disease. The emergence and spread of antimicrobial resistance in Neisseria gonorrhoeae is globally recognised. We review current and potential future control and treatment strategies, with a focus on novel antimicrobials. Bacterial vaginosis is the most common vaginal disorder in women, but current treatments are associated with frequent recurrence. Recurrence after treatment might relate to evidence that suggests sexual transmission is integral to the pathogenesis of bacterial vaginosis, which has substantial implications for the development of effective management approaches. STIs disproportionately affect low-income and middle-income countries. We review strategies for case management, focusing on point-of-care tests that hold considerable potential for improving STI control. Lastly, STIs in men who have sex with men have increased since the late 1990s. We discuss the contribution of new biomedical HIV prevention strategies and risk compensation. Overall, this Commission aims to enhance the understanding of some of the key challenges facing the field of STIs, and outlines new approaches to improve the clinical management of STIs and public health.", "author" : [ { "dropping-particle" : "", "family" : "Unemo", "given" : "Magnus", "non-dropping-particle" : "", "parse-names" : false, "suffix" : "" }, { "dropping-particle" : "", "family" : "Bradshaw", "given" : "Catriona S.", "non-dropping-particle" : "", "parse-names" : false, "suffix" : "" }, { "dropping-particle" : "", "family" : "Hocking", "given" : "Jane S.", "non-dropping-particle" : "", "parse-names" : false, "suffix" : "" }, { "dropping-particle" : "", "family" : "Vries", "given" : "Henry J.C.", "non-dropping-particle" : "de", "parse-names" : false, "suffix" : "" }, { "dropping-particle" : "", "family" : "Francis", "given" : "Suzanna C.", "non-dropping-particle" : "", "parse-names" : false, "suffix" : "" }, { "dropping-particle" : "", "family" : "Mabey", "given" : "David", "non-dropping-particle" : "", "parse-names" : false, "suffix" : "" }, { "dropping-particle" : "", "family" : "Marrazzo", "given" : "Jeanne M.", "non-dropping-particle" : "", "parse-names" : false, "suffix" : "" }, { "dropping-particle" : "", "family" : "Sonder", "given" : "Gerard J.B.", "non-dropping-particle" : "", "parse-names" : false, "suffix" : "" }, { "dropping-particle" : "", "family" : "Schwebke", "given" : "Jane R.", "non-dropping-particle" : "", "parse-names" : false, "suffix" : "" }, { "dropping-particle" : "", "family" : "Hoornenborg", "given" : "Elske", "non-dropping-particle" : "", "parse-names" : false, "suffix" : "" }, { "dropping-particle" : "", "family" : "Peeling", "given" : "Rosanna W.", "non-dropping-particle" : "", "parse-names" : false, "suffix" : "" }, { "dropping-particle" : "", "family" : "Philip", "given" : "Susan S.", "non-dropping-particle" : "", "parse-names" : false, "suffix" : "" }, { "dropping-particle" : "", "family" : "Low", "given" : "Nicola", "non-dropping-particle" : "", "parse-names" : false, "suffix" : "" }, { "dropping-particle" : "", "family" : "Fairley", "given" : "Christopher K.", "non-dropping-particle" : "", "parse-names" : false, "suffix" : "" } ], "container-title" : "The Lancet Infectious Diseases", "id" : "ITEM-1", "issue" : "8", "issued" : { "date-parts" : [ [ "2017", "8" ] ] }, "page" : "e235-e279", "publisher" : "Lancet Publishing Group", "title" : "Sexually transmitted infections: challenges ahead", "type" : "article", "volume" : "17" }, "uris" : [ "http://www.mendeley.com/documents/?uuid=f6038e21-94ef-3bc3-82b7-9bd54f0dde7f", "http://www.mendeley.com/documents/?uuid=4737ee41-8b9f-4f57-8da3-af37adde479f" ] } ], "mendeley" : { "formattedCitation" : "[16]", "plainTextFormattedCitation" : "[16]", "previouslyFormattedCitation" : "[16]"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[16]</w:t>
      </w:r>
      <w:r w:rsidRPr="00775C2E">
        <w:rPr>
          <w:rFonts w:ascii="Times New Roman" w:hAnsi="Times New Roman" w:cs="Times New Roman"/>
          <w:sz w:val="22"/>
        </w:rPr>
        <w:fldChar w:fldCharType="end"/>
      </w:r>
      <w:r w:rsidRPr="00775C2E">
        <w:rPr>
          <w:rFonts w:ascii="Times New Roman" w:hAnsi="Times New Roman" w:cs="Times New Roman"/>
          <w:sz w:val="22"/>
        </w:rPr>
        <w:t xml:space="preserve">. A study showed that social network testing enables people at high risk for HIV or people living with HIV to encourage people in their social network to test for HIV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"10.1080/09540121.2019.1653440", "ISSN" : "13600451", "PMID" : "31416354", "abstract" : "Improving testing uptake among men who have sex with men with a non-western migration background (MSM-NW) is a public health priority, as people who are unaware of their HIV infection are at higher risk of transmitting HIV and are unable to benefit from HIV treatment. Formative semi-structured interviews with 13 MSM-NW assessed key factors for the successful implementation of social network testing with HIV self-tests (SNT-HIVST). Interviews were thematically analysed. Participants mentioned that SNT-HIVST might overcome barriers to regular HIV testing including; being seen while testing, disclosure of sexual identity, and stigma related to HIV and sexual practices. Trust between the HIVST distributer and receiver was important. Finally, SNT-HIVST requires tailored peer support to address practical, informational, and emotional needs. MSM-NW distributing HIVST can have an important role in reducing health disparities in testing uptake among MSM-NW. Provided sufficient trust among MSM-NW; key factors found for successful implementation were education through an e-tool, and establishing quality support by a peer-coordinator for unanticipated questions. In conclusion, HIVST distribution has the potential to reduce health disparities in testing uptake, in particular, if adjusted to MSM-NWs individual preferences and the needs and preferences of the person they are inviting to test.", "author" : [ { "dropping-particle" : "", "family" : "Daas", "given" : "C.", "non-dropping-particle" : "den", "parse-names" : false, "suffix" : "" }, { "dropping-particle" : "", "family" : "Geerken", "given" : "M. B.R.", "non-dropping-particle" : "", "parse-names" : false, "suffix" : "" }, { "dropping-particle" : "", "family" : "Bal", "given" : "M.", "non-dropping-particle" : "", "parse-names" : false, "suffix" : "" }, { "dropping-particle" : "", "family" : "Wit", "given" : "J.", "non-dropping-particle" : "de", "parse-names" : false, "suffix" : "" }, { "dropping-particle" : "", "family" : "Spijker", "given" : "R.", "non-dropping-particle" : "", "parse-names" : false, "suffix" : "" }, { "dropping-particle" : "", "family" : "Coul", "given" : "E. L.M.", "non-dropping-particle" : "Op de", "parse-names" : false, "suffix" : "" } ], "container-title" : "AIDS Care - Psychological and Socio-Medical Aspects of AIDS/HIV", "id" : "ITEM-1", "issue" : "1", "issued" : { "date-parts" : [ [ "2020", "1" ] ] }, "page" : "50-56", "publisher" : "Routledge", "title" : "Reducing health disparities: key factors for successful implementation of social network testing with HIV self-tests among men who have sex with men with a non-western migration background in the Netherlands", "type" : "article-journal", "volume" : "32" }, "uris" : [ "http://www.mendeley.com/documents/?uuid=6d4a54cf-9ca9-3678-8ea8-eddfe747a4ec", "http://www.mendeley.com/documents/?uuid=819cd166-a94f-41c8-98ad-34fd3818e1a2" ] } ], "mendeley" : { "formattedCitation" : "[17]", "plainTextFormattedCitation" : "[17]", "previouslyFormattedCitation" : "[17]"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[17]</w:t>
      </w:r>
      <w:r w:rsidRPr="00775C2E">
        <w:rPr>
          <w:rFonts w:ascii="Times New Roman" w:hAnsi="Times New Roman" w:cs="Times New Roman"/>
          <w:sz w:val="22"/>
        </w:rPr>
        <w:fldChar w:fldCharType="end"/>
      </w:r>
      <w:r w:rsidRPr="00775C2E">
        <w:rPr>
          <w:rFonts w:ascii="Times New Roman" w:hAnsi="Times New Roman" w:cs="Times New Roman"/>
          <w:sz w:val="22"/>
        </w:rPr>
        <w:t xml:space="preserve">. This strategy is highly acceptable among MSM because it is distributed by trusted community leaders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"10.1371/journal.pone.0227741", "ISBN" : "1111111111", "ISSN" : "19326203", "PMID" : "31971991", "abstract" : "One-in-three men who have sex with men (MSM) in Uganda have never tested for HIV. Peer-driven HIV testing strategies could increase testing coverage among non-testers. We evaluated the yield of peer distributed HIV self-test kits compared with standard-of-care testing approaches in identifying undiagnosed HIV infection. Methods From June to August 2018, we conducted a pilot study of secondary distribution of HIV self-testing (HIVST) through MSM peer networks at The AIDS Support Organization (TASO) centres in Entebbe and Masaka. Peers were trained in HIVST use and basic HIV counselling. Each peer distributed 10 HIVST kits in one wave to MSM who had not tested in the previous six months. Participants who tested positive were linked by peers to HIV care. The primary outcome was the proportion of undiagnosed HIV infections. Data were analysed descriptively. Results A total of 297 participants were included in the analysis, of whom 150 received HIVST (intervention). The median age of HIVST recipients was 25 years (interquartile range [IQR], 22\u201328) compared to 28 years IQR (25\u201335) for 147 MSM tested using standard-of-care (SOC) strategies. One hundred forty-three MSM (95%) completed HIVST, of which 32% had never tested for HIV. A total of 12 participants were newly diagnosed with HIV infection: 8 in the peer HIVST group and 4 in the SOC group [5.6% vs 2.7%, respectively; P = 0.02]. All participants newly diagnosed with HIV infection received confirmatory HIV testing and were initiated on antiretroviral therapy. Conclusion Peer distribution of HIVST through MSM networks is feasible and effective and could diagnose more new HIV infections than SOC approaches. Public health programs should consider scaling up peer-delivered HIVST for MSM.", "author" : [ { "dropping-particle" : "", "family" : "Okoboi", "given" : "Stephen", "non-dropping-particle" : "", "parse-names" : false, "suffix" : "" }, { "dropping-particle" : "", "family" : "Lazarus", "given" : "Oucul", "non-dropping-particle" : "", "parse-names" : false, "suffix" : "" }, { "dropping-particle" : "", "family" : "Castelnuovo", "given" : "Barbara", "non-dropping-particle" : "", "parse-names" : false, "suffix" : "" }, { "dropping-particle" : "", "family" : "Nanfuka", "given" : "Mastula", "non-dropping-particle" : "", "parse-names" : false, "suffix" : "" }, { "dropping-particle" : "", "family" : "Kambugu", "given" : "Andrew", "non-dropping-particle" : "", "parse-names" : false, "suffix" : "" }, { "dropping-particle" : "", "family" : "Mujugira", "given" : "Andrew", "non-dropping-particle" : "", "parse-names" : false, "suffix" : "" }, { "dropping-particle" : "", "family" : "King", "given" : "Rachel", "non-dropping-particle" : "", "parse-names" : false, "suffix" : "" } ], "container-title" : "PLoS ONE", "id" : "ITEM-1", "issue" : "1", "issued" : { "date-parts" : [ [ "2020" ] ] }, "page" : "22-28", "title" : "Peer distribution of HIV self-test kits to men who have sex with men to identify undiagnosed HIV infection in Uganda: A pilot study", "type" : "article-journal", "volume" : "15" }, "uris" : [ "http://www.mendeley.com/documents/?uuid=a1722fa6-6e7b-4480-8760-de783d39f14b", "http://www.mendeley.com/documents/?uuid=e563393e-9fad-40e9-ad48-a376b2621681" ] } ], "mendeley" : { "formattedCitation" : "[18]", "plainTextFormattedCitation" : "[18]", "previouslyFormattedCitation" : "[18]"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[18]</w:t>
      </w:r>
      <w:r w:rsidRPr="00775C2E">
        <w:rPr>
          <w:rFonts w:ascii="Times New Roman" w:hAnsi="Times New Roman" w:cs="Times New Roman"/>
          <w:sz w:val="22"/>
        </w:rPr>
        <w:fldChar w:fldCharType="end"/>
      </w:r>
      <w:r w:rsidRPr="00775C2E">
        <w:rPr>
          <w:rFonts w:ascii="Times New Roman" w:hAnsi="Times New Roman" w:cs="Times New Roman"/>
          <w:sz w:val="22"/>
        </w:rPr>
        <w:t xml:space="preserve">. Social </w:t>
      </w:r>
      <w:r w:rsidRPr="00775C2E">
        <w:rPr>
          <w:rFonts w:ascii="Times New Roman" w:hAnsi="Times New Roman" w:cs="Times New Roman"/>
          <w:sz w:val="22"/>
        </w:rPr>
        <w:lastRenderedPageBreak/>
        <w:t xml:space="preserve">network distribution may reduce health disparities by decreasing barriers such as stigma and discrimination in health facilities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"10.1002/jia2.25269", "ISSN" : "17582652", "PMID" : "30932364", "abstract" : "Introduction: HIV self-testing is a flexible, accessible and acceptable emerging technology with a particular potential to identify people living with HIV who are reluctant to interact with conventional HIV testing approaches. We assessed the acceptability, perceived reliability and challenges associated with distributing HIV self-test (HIVST) to young men who have sex with men (MSM) in Uganda. Methods: Between February and May, 2018, we enrolled 74 MSM aged \u226518\u00a0years purposively sampled and verbally consented to participate in six focus group discussions (FGDs) in The AIDS Support Organization (TASO Masaka and Entebbe). We also conducted two FGDs of 18 health workers. MSM FGD groups included individuals who had; (1) tested greater than one year previously; (2) tested between six months and one year previously; (3) tested three to six months previously; (4) never tested. FGDs examined: (i) the acceptability of HIVST distribution; (iii) preferences for various HIVST distribution channels; (iv) perceptions about the accuracy of HIVST; (v) challenges associated with HIVST distribution. We identified major themes, developed and refined a codebook. We used Nvivo version 11 for data management. Results: MSM participants age ranged between 19 and 30\u00a0years. Participants described HIVST as a mechanism that would facilitate HIV testing uptake in a rapid, efficient, confidential, non-painful; and non-stigmatizing manner. Overall, MSM preferred HIVST to the conventional HIV testing approaches. Health workers were in support of distributing HIVST kits through MSM peers. MSM participants were willing to distribute the kits and recommended HIVST to their peers and sexual partners. They suggested HIVST kit distribution model work similarly to the current condom and lubricant peer model being implemented by TASO. Preferred channels were peers, hot spots, drop-in centres, private pharmacies and MSM friendly health facilities. Key concerns regarding use of HIVST were; unreliable HIVST results, social harm due to a positive result, need for a confirmatory test and linking both HIV positive and negative participants for additional HIV services. Conclusions: Distribution of HIVST kits by MSM peers is an acceptable strategy that can promote access to testing. HIVST was perceived by participants as beneficial because it would address many barriers that affect their acceptance of testing. However, a combined approach that includes follow-up, linkage to HIV care and prevention s\u2026", "author" : [ { "dropping-particle" : "", "family" : "Okoboi", "given" : "Stephen", "non-dropping-particle" : "", "parse-names" : false, "suffix" : "" }, { "dropping-particle" : "", "family" : "Twimukye", "given" : "Adelline", "non-dropping-particle" : "", "parse-names" : false, "suffix" : "" }, { "dropping-particle" : "", "family" : "Lazarus", "given" : "Oucul", "non-dropping-particle" : "", "parse-names" : false, "suffix" : "" }, { "dropping-particle" : "", "family" : "Castelnuovo", "given" : "Barbara", "non-dropping-particle" : "", "parse-names" : false, "suffix" : "" }, { "dropping-particle" : "", "family" : "Agaba", "given" : "Collins", "non-dropping-particle" : "", "parse-names" : false, "suffix" : "" }, { "dropping-particle" : "", "family" : "Immaculate", "given" : "Muloni", "non-dropping-particle" : "", "parse-names" : false, "suffix" : "" }, { "dropping-particle" : "", "family" : "Nanfuka", "given" : "Mastula", "non-dropping-particle" : "", "parse-names" : false, "suffix" : "" }, { "dropping-particle" : "", "family" : "Kambugu", "given" : "Andrew", "non-dropping-particle" : "", "parse-names" : false, "suffix" : "" }, { "dropping-particle" : "", "family" : "King", "given" : "Rachel", "non-dropping-particle" : "", "parse-names" : false, "suffix" : "" } ], "container-title" : "Journal of the International AIDS Society", "id" : "ITEM-1", "issue" : "3", "issued" : { "date-parts" : [ [ "2019" ] ] }, "title" : "Acceptability, perceived reliability and challenges associated with distributing HIV self-test kits to young MSM in Uganda: a\u00a0qualitative study", "type" : "article-journal", "volume" : "22" }, "uris" : [ "http://www.mendeley.com/documents/?uuid=8c1d982f-d5de-40e4-b0fe-b6f60ca5c6ca", "http://www.mendeley.com/documents/?uuid=8b9b106a-0b53-4be0-8a8f-a49526d69b0b" ] } ], "mendeley" : { "formattedCitation" : "[19]", "plainTextFormattedCitation" : "[19]", "previouslyFormattedCitation" : "[19]"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[19]</w:t>
      </w:r>
      <w:r w:rsidRPr="00775C2E">
        <w:rPr>
          <w:rFonts w:ascii="Times New Roman" w:hAnsi="Times New Roman" w:cs="Times New Roman"/>
          <w:sz w:val="22"/>
        </w:rPr>
        <w:fldChar w:fldCharType="end"/>
      </w:r>
      <w:r w:rsidRPr="00775C2E">
        <w:rPr>
          <w:rFonts w:ascii="Times New Roman" w:hAnsi="Times New Roman" w:cs="Times New Roman"/>
          <w:sz w:val="22"/>
        </w:rPr>
        <w:t xml:space="preserve">, concerns for lack of confidentiality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"10.1007/s10461-015-1095-x", "ISSN" : "1573-3254 (Electronic)", "PMID" : "26025193", "abstract" : "Migrants, particularly from low- and middle-income countries, are at a heightened  risk of adverse HIV outcomes. HIV testing may improve these outcomes. We reviewed and synthesised studies into migrants and HIV testing (outcome variable), published between January 1997 and April 2014. Papers using quantitative, qualitative and mixed methods designs, and samples with adult (\u226518\u00a0years) migrants from low- and middle-income countries in high-income countries were included in the paper. Of 3155 papers retrieved, 31 met the inclusion criteria and are included in the review. A large number of barriers and facilitators to HIV testing were identified across the individual, social and structural levels. A number of study design and methodological issues, however, inhibited a comprehensive synthesis. There is no doubt that addressing HIV testing in migrants in high-income countries is complex; however, it has important implications for individual, community and population health, and a strong, empirically based response is warranted.", "author" : [ { "dropping-particle" : "", "family" : "Blondell", "given" : "Sarah J", "non-dropping-particle" : "", "parse-names" : false, "suffix" : "" }, { "dropping-particle" : "", "family" : "Kitter", "given" : "Bryony", "non-dropping-particle" : "", "parse-names" : false, "suffix" : "" }, { "dropping-particle" : "", "family" : "Griffin", "given" : "Mark P", "non-dropping-particle" : "", "parse-names" : false, "suffix" : "" }, { "dropping-particle" : "", "family" : "Durham", "given" : "Jo", "non-dropping-particle" : "", "parse-names" : false, "suffix" : "" } ], "container-title" : "AIDS and behavior", "id" : "ITEM-1", "issue" : "11", "issued" : { "date-parts" : [ [ "2015", "11" ] ] }, "language" : "eng", "page" : "2012-2024", "publisher-place" : "United States", "title" : "Barriers and Facilitators to HIV Testing in Migrants in High-Income Countries: A  Systematic Review.", "type" : "article-journal", "volume" : "19" }, "uris" : [ "http://www.mendeley.com/documents/?uuid=1d5038aa-98f4-4c94-84eb-f2147c7cc3de", "http://www.mendeley.com/documents/?uuid=fa53fe48-6f9a-45e0-9e61-cb115961bb41" ] } ], "mendeley" : { "formattedCitation" : "[20]", "plainTextFormattedCitation" : "[20]", "previouslyFormattedCitation" : "[20]"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[20]</w:t>
      </w:r>
      <w:r w:rsidRPr="00775C2E">
        <w:rPr>
          <w:rFonts w:ascii="Times New Roman" w:hAnsi="Times New Roman" w:cs="Times New Roman"/>
          <w:sz w:val="22"/>
        </w:rPr>
        <w:fldChar w:fldCharType="end"/>
      </w:r>
      <w:r w:rsidRPr="00775C2E">
        <w:rPr>
          <w:rFonts w:ascii="Times New Roman" w:hAnsi="Times New Roman" w:cs="Times New Roman"/>
          <w:sz w:val="22"/>
        </w:rPr>
        <w:t xml:space="preserve">, and fear of sexuality disclosure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"10.1093/eurpub/ckp231", "ISSN" : "1464-360X (Electronic)", "PMID" : "20123683", "abstract" : "BACKGROUND: In the European Union (EU) and neighbouring countries, HIV/AIDS, of all  infectious diseases, has one of the highest morbidity and mortality rates. An estimated 30% of people living with HIV are unaware of their infection, and may therefore not benefit from timely treatment or may transmit HIV to others, unknowingly. Evidence shows that opportunities are being missed to diagnose HIV infections in EU Member States, particularly in regular health care settings. There is a need to better understand the barriers to HIV testing and counselling with the aim to contribute to the decrease of the number of undiagnosed people. METHODS: A systematic review of literature on HIV testing barriers in Europe was conducted, applying a free text strategy with a set of search terms. RESULTS: A total of 24 studies published in international peer-reviewed journals and meeting the review's eligibility criteria were identified. Fourteen studies report on barriers at the level of the patient; six on barriers at health care provider level and seven on institutional barriers referring to the policy level. The barriers described are centralized around low-risk perception; fear and worries; accessibility of health services, reluctance to address HIV and to offer the test; and scarcity of financial and well trained human resources. CONCLUSIONS: Some barriers to HIV testing and counselling have been illustrated in the literature. Nevertheless, there is lack of structured information on barriers considering (i) legal, administrative and financial factors, (ii) attitudes and practices of health care providers and (iii) perception of patients. Such data is critical to improve effectiveness of HIV testing and counselling.", "author" : [ { "dropping-particle" : "", "family" : "Deblonde", "given" : "Jessika", "non-dropping-particle" : "", "parse-names" : false, "suffix" : "" }, { "dropping-particle" : "", "family" : "Koker", "given" : "Petra", "non-dropping-particle" : "De", "parse-names" : false, "suffix" : "" }, { "dropping-particle" : "", "family" : "Hamers", "given" : "Fran\u00e7oise F", "non-dropping-particle" : "", "parse-names" : false, "suffix" : "" }, { "dropping-particle" : "", "family" : "Fontaine", "given" : "Johann", "non-dropping-particle" : "", "parse-names" : false, "suffix" : "" }, { "dropping-particle" : "", "family" : "Luchters", "given" : "Stanley", "non-dropping-particle" : "", "parse-names" : false, "suffix" : "" }, { "dropping-particle" : "", "family" : "Temmerman", "given" : "Marleen", "non-dropping-particle" : "", "parse-names" : false, "suffix" : "" } ], "container-title" : "European journal of public health", "id" : "ITEM-1", "issue" : "4", "issued" : { "date-parts" : [ [ "2010", "8" ] ] }, "language" : "eng", "page" : "422-432", "publisher-place" : "England", "title" : "Barriers to HIV testing in Europe: a systematic review.", "type" : "article-journal", "volume" : "20" }, "uris" : [ "http://www.mendeley.com/documents/?uuid=ed066adf-74d1-420b-bc1b-77d746dc4d5d", "http://www.mendeley.com/documents/?uuid=96aa61ac-fe98-4a8f-9a04-304daae282b6" ] } ], "mendeley" : { "formattedCitation" : "[21]", "plainTextFormattedCitation" : "[21]", "previouslyFormattedCitation" : "[21]"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[21]</w:t>
      </w:r>
      <w:r w:rsidRPr="00775C2E">
        <w:rPr>
          <w:rFonts w:ascii="Times New Roman" w:hAnsi="Times New Roman" w:cs="Times New Roman"/>
          <w:sz w:val="22"/>
        </w:rPr>
        <w:fldChar w:fldCharType="end"/>
      </w:r>
      <w:r w:rsidRPr="00775C2E">
        <w:rPr>
          <w:rFonts w:ascii="Times New Roman" w:hAnsi="Times New Roman" w:cs="Times New Roman"/>
          <w:sz w:val="22"/>
        </w:rPr>
        <w:t xml:space="preserve"> among hard-to-reach populations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"10.1080/09540121.2019.1653440", "ISSN" : "13600451", "PMID" : "31416354", "abstract" : "Improving testing uptake among men who have sex with men with a non-western migration background (MSM-NW) is a public health priority, as people who are unaware of their HIV infection are at higher risk of transmitting HIV and are unable to benefit from HIV treatment. Formative semi-structured interviews with 13 MSM-NW assessed key factors for the successful implementation of social network testing with HIV self-tests (SNT-HIVST). Interviews were thematically analysed. Participants mentioned that SNT-HIVST might overcome barriers to regular HIV testing including; being seen while testing, disclosure of sexual identity, and stigma related to HIV and sexual practices. Trust between the HIVST distributer and receiver was important. Finally, SNT-HIVST requires tailored peer support to address practical, informational, and emotional needs. MSM-NW distributing HIVST can have an important role in reducing health disparities in testing uptake among MSM-NW. Provided sufficient trust among MSM-NW; key factors found for successful implementation were education through an e-tool, and establishing quality support by a peer-coordinator for unanticipated questions. In conclusion, HIVST distribution has the potential to reduce health disparities in testing uptake, in particular, if adjusted to MSM-NWs individual preferences and the needs and preferences of the person they are inviting to test.", "author" : [ { "dropping-particle" : "", "family" : "Daas", "given" : "C.", "non-dropping-particle" : "den", "parse-names" : false, "suffix" : "" }, { "dropping-particle" : "", "family" : "Geerken", "given" : "M. B.R.", "non-dropping-particle" : "", "parse-names" : false, "suffix" : "" }, { "dropping-particle" : "", "family" : "Bal", "given" : "M.", "non-dropping-particle" : "", "parse-names" : false, "suffix" : "" }, { "dropping-particle" : "", "family" : "Wit", "given" : "J.", "non-dropping-particle" : "de", "parse-names" : false, "suffix" : "" }, { "dropping-particle" : "", "family" : "Spijker", "given" : "R.", "non-dropping-particle" : "", "parse-names" : false, "suffix" : "" }, { "dropping-particle" : "", "family" : "Coul", "given" : "E. L.M.", "non-dropping-particle" : "Op de", "parse-names" : false, "suffix" : "" } ], "container-title" : "AIDS Care - Psychological and Socio-Medical Aspects of AIDS/HIV", "id" : "ITEM-1", "issue" : "1", "issued" : { "date-parts" : [ [ "2020", "1" ] ] }, "page" : "50-56", "publisher" : "Routledge", "title" : "Reducing health disparities: key factors for successful implementation of social network testing with HIV self-tests among men who have sex with men with a non-western migration background in the Netherlands", "type" : "article-journal", "volume" : "32" }, "uris" : [ "http://www.mendeley.com/documents/?uuid=819cd166-a94f-41c8-98ad-34fd3818e1a2", "http://www.mendeley.com/documents/?uuid=6d4a54cf-9ca9-3678-8ea8-eddfe747a4ec" ] } ], "mendeley" : { "formattedCitation" : "[17]", "plainTextFormattedCitation" : "[17]", "previouslyFormattedCitation" : "[17]"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[17]</w:t>
      </w:r>
      <w:r w:rsidRPr="00775C2E">
        <w:rPr>
          <w:rFonts w:ascii="Times New Roman" w:hAnsi="Times New Roman" w:cs="Times New Roman"/>
          <w:sz w:val="22"/>
        </w:rPr>
        <w:fldChar w:fldCharType="end"/>
      </w:r>
      <w:r w:rsidRPr="00775C2E">
        <w:rPr>
          <w:rFonts w:ascii="Times New Roman" w:hAnsi="Times New Roman" w:cs="Times New Roman"/>
          <w:sz w:val="22"/>
        </w:rPr>
        <w:t xml:space="preserve">. Given the feasibility of this strategy in expanding HIV self-testing among MSM, there is value in exploring whether this distribution strategy could also expand syphilis self-testing. </w:t>
      </w:r>
    </w:p>
    <w:p w14:paraId="4BDD1BFB" w14:textId="77777777" w:rsidR="0081030B" w:rsidRPr="00775C2E" w:rsidRDefault="0081030B">
      <w:pPr>
        <w:spacing w:line="360" w:lineRule="auto"/>
        <w:rPr>
          <w:rFonts w:ascii="Times New Roman" w:hAnsi="Times New Roman" w:cs="Times New Roman"/>
          <w:sz w:val="22"/>
        </w:rPr>
      </w:pPr>
    </w:p>
    <w:p w14:paraId="7C874B1D"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This study aims to examine the effectiveness of social network distribution approaches of syphilis self-testing through a three-arm cluster randomized controlled trial (</w:t>
      </w:r>
      <w:proofErr w:type="spellStart"/>
      <w:r w:rsidRPr="00775C2E">
        <w:rPr>
          <w:rFonts w:ascii="Times New Roman" w:hAnsi="Times New Roman" w:cs="Times New Roman"/>
          <w:sz w:val="22"/>
        </w:rPr>
        <w:t>cRCT</w:t>
      </w:r>
      <w:proofErr w:type="spellEnd"/>
      <w:r w:rsidRPr="00775C2E">
        <w:rPr>
          <w:rFonts w:ascii="Times New Roman" w:hAnsi="Times New Roman" w:cs="Times New Roman"/>
          <w:sz w:val="22"/>
        </w:rPr>
        <w:t xml:space="preserve">) in Guangdong, China and to explore which approach could increase syphilis testing among Chinese MSM.   </w:t>
      </w:r>
    </w:p>
    <w:p w14:paraId="6D599D0E" w14:textId="77777777" w:rsidR="0081030B" w:rsidRPr="00775C2E" w:rsidRDefault="0081030B">
      <w:pPr>
        <w:spacing w:line="360" w:lineRule="auto"/>
        <w:rPr>
          <w:rFonts w:ascii="Times New Roman" w:hAnsi="Times New Roman" w:cs="Times New Roman"/>
          <w:sz w:val="22"/>
        </w:rPr>
      </w:pPr>
    </w:p>
    <w:p w14:paraId="21EB164D"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Methods</w:t>
      </w:r>
    </w:p>
    <w:p w14:paraId="52C35752"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Study design</w:t>
      </w:r>
    </w:p>
    <w:p w14:paraId="2AF9CC57"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This is a non-blinded and </w:t>
      </w:r>
      <w:proofErr w:type="spellStart"/>
      <w:r w:rsidRPr="00775C2E">
        <w:rPr>
          <w:rFonts w:ascii="Times New Roman" w:hAnsi="Times New Roman" w:cs="Times New Roman"/>
          <w:sz w:val="22"/>
        </w:rPr>
        <w:t>paralell</w:t>
      </w:r>
      <w:proofErr w:type="spellEnd"/>
      <w:r w:rsidRPr="00775C2E">
        <w:rPr>
          <w:rFonts w:ascii="Times New Roman" w:hAnsi="Times New Roman" w:cs="Times New Roman"/>
          <w:sz w:val="22"/>
        </w:rPr>
        <w:t xml:space="preserve"> three-arm cluster randomized controlled trial among MSM living in China. Enrolled indexes will be randomly assigned in a 1:1:1 ratio into three arms: standard of care arm (control arm); standard SST delivery arm; and referral link SST delivery arm (referral link is used to apply for free SST packages). Indexes in the control arm will receive information packages with peer notification cards to encourage </w:t>
      </w:r>
      <w:proofErr w:type="gramStart"/>
      <w:r w:rsidRPr="00775C2E">
        <w:rPr>
          <w:rFonts w:ascii="Times New Roman" w:hAnsi="Times New Roman" w:cs="Times New Roman"/>
          <w:sz w:val="22"/>
        </w:rPr>
        <w:t>their</w:t>
      </w:r>
      <w:proofErr w:type="gramEnd"/>
      <w:r w:rsidRPr="00775C2E">
        <w:rPr>
          <w:rFonts w:ascii="Times New Roman" w:hAnsi="Times New Roman" w:cs="Times New Roman"/>
          <w:sz w:val="22"/>
        </w:rPr>
        <w:t xml:space="preserve"> alters to take a free syphilis screening at a designated health facility. Indexes in the standard SST delivery arm will receive free packages containing </w:t>
      </w:r>
      <w:proofErr w:type="gramStart"/>
      <w:r w:rsidRPr="00775C2E">
        <w:rPr>
          <w:rFonts w:ascii="Times New Roman" w:hAnsi="Times New Roman" w:cs="Times New Roman"/>
          <w:sz w:val="22"/>
        </w:rPr>
        <w:t>a</w:t>
      </w:r>
      <w:proofErr w:type="gramEnd"/>
      <w:r w:rsidRPr="00775C2E">
        <w:rPr>
          <w:rFonts w:ascii="Times New Roman" w:hAnsi="Times New Roman" w:cs="Times New Roman"/>
          <w:sz w:val="22"/>
        </w:rPr>
        <w:t xml:space="preserve"> SST kit to distribute to their alters. Indexes in the referral link SST delivery arm will be provided with SST referral links to distribute to </w:t>
      </w:r>
      <w:proofErr w:type="gramStart"/>
      <w:r w:rsidRPr="00775C2E">
        <w:rPr>
          <w:rFonts w:ascii="Times New Roman" w:hAnsi="Times New Roman" w:cs="Times New Roman"/>
          <w:sz w:val="22"/>
        </w:rPr>
        <w:t>their</w:t>
      </w:r>
      <w:proofErr w:type="gramEnd"/>
      <w:r w:rsidRPr="00775C2E">
        <w:rPr>
          <w:rFonts w:ascii="Times New Roman" w:hAnsi="Times New Roman" w:cs="Times New Roman"/>
          <w:sz w:val="22"/>
        </w:rPr>
        <w:t xml:space="preserve"> alters to access free syphilis self-testing packages online. Indexes in each arm will be followed up for three months (Figure 1). The hypothesis in this study is that standard and referral link syphilis self-testing social network delivery model are more effective than standard of care among Chinese MSM. Preliminary data from pilot study will be used to inform the final trial design. Preliminary pilot results are available on the Supplement materials.</w:t>
      </w:r>
    </w:p>
    <w:p w14:paraId="4C21007E" w14:textId="77777777" w:rsidR="0081030B" w:rsidRPr="00775C2E" w:rsidRDefault="0081030B">
      <w:pPr>
        <w:spacing w:line="360" w:lineRule="auto"/>
        <w:rPr>
          <w:rFonts w:ascii="Times New Roman" w:hAnsi="Times New Roman" w:cs="Times New Roman"/>
          <w:sz w:val="22"/>
        </w:rPr>
      </w:pPr>
    </w:p>
    <w:p w14:paraId="291CC847"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Study setting and population</w:t>
      </w:r>
    </w:p>
    <w:p w14:paraId="503C11DA"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All indexes will be recruited by health workers at local MSM voluntary counselling and testing (VCT) clinics (in Foshan and Dongguan) or community-based organizations (CBOs) (in Shenzhen) from three cities in Guangdong Province, China. All sites are run by MSM community-based organizations (</w:t>
      </w:r>
      <w:proofErr w:type="spellStart"/>
      <w:r w:rsidRPr="00775C2E">
        <w:rPr>
          <w:rFonts w:ascii="Times New Roman" w:hAnsi="Times New Roman" w:cs="Times New Roman"/>
          <w:sz w:val="22"/>
        </w:rPr>
        <w:t>Xinghuo</w:t>
      </w:r>
      <w:proofErr w:type="spellEnd"/>
      <w:r w:rsidRPr="00775C2E">
        <w:rPr>
          <w:rFonts w:ascii="Times New Roman" w:hAnsi="Times New Roman" w:cs="Times New Roman"/>
          <w:sz w:val="22"/>
        </w:rPr>
        <w:t xml:space="preserve"> LGBT center, Shenzhen; Friends Care Center, Foshan; and Rainbow Center, Dongguan) and provide free HIV/STI screening and consultations for MSM. The </w:t>
      </w:r>
      <w:r w:rsidRPr="00775C2E">
        <w:rPr>
          <w:rFonts w:ascii="Times New Roman" w:hAnsi="Times New Roman" w:cs="Times New Roman"/>
          <w:sz w:val="22"/>
        </w:rPr>
        <w:lastRenderedPageBreak/>
        <w:t>staff at each site has rich experience with counselling, blood collection, rapid testing for syphilis, results reporting, and follow up of syphilis tests. All sites will follow the same study procedures.</w:t>
      </w:r>
    </w:p>
    <w:p w14:paraId="2B85ABAB" w14:textId="77777777" w:rsidR="0081030B" w:rsidRPr="00775C2E" w:rsidRDefault="0081030B">
      <w:pPr>
        <w:spacing w:line="360" w:lineRule="auto"/>
        <w:rPr>
          <w:rFonts w:ascii="Times New Roman" w:hAnsi="Times New Roman" w:cs="Times New Roman"/>
          <w:sz w:val="22"/>
        </w:rPr>
      </w:pPr>
    </w:p>
    <w:p w14:paraId="42177FEF"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Indexes will be eligible if they are: born biologically male; aged 18 years or above; ever had sex with another man; are willing to distribute syphilis testing packages or referral links to their alters; and willing to provide personal contact information for future follow-up. All participants need to sign an electronic informed consent before they fill out the baseline survey. Considering MSM living with HIV might be at higher risk of syphilis, we increase awareness of syphilis for MSM with HIV and </w:t>
      </w:r>
      <w:bookmarkStart w:id="58" w:name="OLE_LINK2"/>
      <w:bookmarkStart w:id="59" w:name="OLE_LINK3"/>
      <w:r w:rsidRPr="00775C2E">
        <w:rPr>
          <w:rFonts w:ascii="Times New Roman" w:hAnsi="Times New Roman" w:cs="Times New Roman"/>
          <w:sz w:val="22"/>
        </w:rPr>
        <w:t xml:space="preserve">mobilize </w:t>
      </w:r>
      <w:bookmarkEnd w:id="58"/>
      <w:bookmarkEnd w:id="59"/>
      <w:r w:rsidRPr="00775C2E">
        <w:rPr>
          <w:rFonts w:ascii="Times New Roman" w:hAnsi="Times New Roman" w:cs="Times New Roman"/>
          <w:sz w:val="22"/>
        </w:rPr>
        <w:t>health workers to include as many indexes with HIV as possible in the recruitment stage.</w:t>
      </w:r>
    </w:p>
    <w:p w14:paraId="1A93D23D" w14:textId="77777777" w:rsidR="0081030B" w:rsidRPr="00775C2E" w:rsidRDefault="0081030B">
      <w:pPr>
        <w:spacing w:line="360" w:lineRule="auto"/>
        <w:rPr>
          <w:rFonts w:ascii="Times New Roman" w:hAnsi="Times New Roman" w:cs="Times New Roman"/>
          <w:b/>
          <w:bCs/>
          <w:i/>
          <w:iCs/>
          <w:sz w:val="22"/>
        </w:rPr>
      </w:pPr>
    </w:p>
    <w:p w14:paraId="33F51C8B"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Arms and interventions</w:t>
      </w:r>
    </w:p>
    <w:p w14:paraId="5D54C4AE"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Arms and interventions are summarized in Table 1.</w:t>
      </w:r>
    </w:p>
    <w:p w14:paraId="180A2C4B"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b/>
          <w:bCs/>
          <w:sz w:val="22"/>
        </w:rPr>
        <w:t>Standard of care arm (control arm)</w:t>
      </w:r>
      <w:r w:rsidRPr="00775C2E">
        <w:rPr>
          <w:rFonts w:ascii="Times New Roman" w:hAnsi="Times New Roman" w:cs="Times New Roman"/>
          <w:sz w:val="22"/>
        </w:rPr>
        <w:t xml:space="preserve">: Each index MSM will initially receive three information packages to distribute to their alters after completing their baseline survey. Each information package contains: 1) a health promotion and linkage to care information card; 2) a crowdsourced peer notification card; and 3) a syphilis testing result report card. Crowdsourcing is a practice in which a group solves a problem and then shares the solutions with the community </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"10.1186/s40249-020-0622-9", "ISSN" : "2049-9957 (Electronic)", "PMID" : "31959234", "abstract" : "BACKGROUND: Crowdsourcing is used increasingly in health and medical research.  Crowdsourcing is the process of aggregating crowd wisdom to solve a problem. The purpose of this systematic review is to summarize quantitative evidence on crowdsourcing to improve health. METHODS: We followed Cochrane systematic review guidance and systematically searched seven databases up to September 4th 2019. Studies were included if they reported on crowdsourcing and related to health or medicine. Studies were excluded if recruitment was the only use of crowdsourcing. We determined the level of evidence associated with review findings using the GRADE approach. RESULTS: We screened 3508 citations, accessed 362 articles, and included 188 studies. Ninety-six studies examined effectiveness, 127 examined feasibility, and 37 examined cost. The most common purposes were to evaluate surgical skills (17 studies), to create sexual health messages (seven studies), and to provide layperson cardio-pulmonary resuscitation (CPR) out-of-hospital (six studies). Seventeen observational studies used crowdsourcing to evaluate surgical skills, finding that crowdsourcing evaluation was as effective as expert evaluation (low quality). Four studies used a challenge contest to solicit human immunodeficiency virus (HIV) testing promotion materials and increase HIV testing rates (moderate quality), and two of the four studies found this approach saved money. Three studies suggested that an interactive technology system increased rates of layperson initiated CPR out-of-hospital (moderate quality). However, studies analyzing crowdsourcing to evaluate surgical skills and layperson-initiated CPR were only from high-income countries. Five studies examined crowdsourcing to inform artificial intelligence projects, most often related to annotation of medical data. Crowdsourcing was evaluated using different outcomes, limiting the extent to which studies could be pooled. CONCLUSIONS: Crowdsourcing has been used to improve health in many settings. Although crowdsourcing is effective at improving behavioral outcomes, more research is needed to understand effects on clinical outcomes and costs. More research is needed on crowdsourcing as a tool to develop artificial intelligence systems in medicine. TRIAL REGISTRATION: PROSPERO: CRD42017052835. December 27, 2016.", "author" : [ { "dropping-particle" : "", "family" : "Wang", "given" : "Cheng", "non-dropping-particle" : "", "parse-names" : false, "suffix" : "" }, { "dropping-particle" : "", "family" : "Han", "given" : "Larry", "non-dropping-particle" : "", "parse-names" : false, "suffix" : "" }, { "dropping-particle" : "", "family" : "Stein", "given" : "Gabriella", "non-dropping-particle" : "", "parse-names" : false, "suffix" : "" }, { "dropping-particle" : "", "family" : "Day", "given" : "Suzanne", "non-dropping-particle" : "", "parse-names" : false, "suffix" : "" }, { "dropping-particle" : "", "family" : "Bien-Gund", "given" : "Cedric", "non-dropping-particle" : "", "parse-names" : false, "suffix" : "" }, { "dropping-particle" : "", "family" : "Mathews", "given" : "Allison", "non-dropping-particle" : "", "parse-names" : false, "suffix" : "" }, { "dropping-particle" : "", "family" : "Ong", "given" : "Jason J", "non-dropping-particle" : "", "parse-names" : false, "suffix" : "" }, { "dropping-particle" : "", "family" : "Zhao", "given" : "Pei-Zhen", "non-dropping-particle" : "", "parse-names" : false, "suffix" : "" }, { "dropping-particle" : "", "family" : "Wei", "given" : "Shu-Fang", "non-dropping-particle" : "", "parse-names" : false, "suffix" : "" }, { "dropping-particle" : "", "family" : "Walker", "given" : "Jennifer", "non-dropping-particle" : "", "parse-names" : false, "suffix" : "" }, { "dropping-particle" : "", "family" : "Chou", "given" : "Roger", "non-dropping-particle" : "", "parse-names" : false, "suffix" : "" }, { "dropping-particle" : "", "family" : "Lee", "given" : "Amy", "non-dropping-particle" : "", "parse-names" : false, "suffix" : "" }, { "dropping-particle" : "", "family" : "Chen", "given" : "Angela", "non-dropping-particle" : "", "parse-names" : false, "suffix" : "" }, { "dropping-particle" : "", "family" : "Bayus", "given" : "Barry", "non-dropping-particle" : "", "parse-names" : false, "suffix" : "" }, { "dropping-particle" : "", "family" : "Tucker", "given" : "Joseph D", "non-dropping-particle" : "", "parse-names" : false, "suffix" : "" } ], "container-title" : "Infectious diseases of poverty", "id" : "ITEM-1", "issue" : "1", "issued" : { "date-parts" : [ [ "2020", "1" ] ] }, "language" : "eng", "page" : "8", "title" : "Crowdsourcing in health and medical research: a systematic review.", "type" : "article-journal", "volume" : "9" }, "uris" : [ "http://www.mendeley.com/documents/?uuid=6ced7d9c-44e4-4844-9a61-de8d126e0ca0", "http://www.mendeley.com/documents/?uuid=83b408d4-4bd4-4d9f-8ab4-a911359b337b" ] } ], "mendeley" : { "formattedCitation" : "[22]", "plainTextFormattedCitation" : "[22]", "previouslyFormattedCitation" : "[22]"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[22]</w:t>
      </w:r>
      <w:r w:rsidRPr="00775C2E">
        <w:rPr>
          <w:rFonts w:ascii="Times New Roman" w:hAnsi="Times New Roman" w:cs="Times New Roman"/>
          <w:sz w:val="22"/>
        </w:rPr>
        <w:fldChar w:fldCharType="end"/>
      </w:r>
      <w:r w:rsidRPr="00775C2E">
        <w:rPr>
          <w:rFonts w:ascii="Times New Roman" w:hAnsi="Times New Roman" w:cs="Times New Roman"/>
          <w:sz w:val="22"/>
        </w:rPr>
        <w:t>. Peer notification contains healthcare provider location and index information, which each alter can use to receive a free syphilis screening in a list of nearby facilities for each study site. Each alter can use a maximum of one package and take one free facility-based syphilis testing service through peer notification card from each index.</w:t>
      </w:r>
    </w:p>
    <w:p w14:paraId="5951EDFF" w14:textId="77777777" w:rsidR="0081030B" w:rsidRPr="00775C2E" w:rsidRDefault="0081030B">
      <w:pPr>
        <w:spacing w:line="360" w:lineRule="auto"/>
        <w:rPr>
          <w:rFonts w:ascii="Times New Roman" w:hAnsi="Times New Roman" w:cs="Times New Roman"/>
          <w:sz w:val="22"/>
        </w:rPr>
      </w:pPr>
    </w:p>
    <w:p w14:paraId="372424AE"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b/>
          <w:bCs/>
          <w:sz w:val="22"/>
        </w:rPr>
        <w:t>Standard SST delivery arm</w:t>
      </w:r>
      <w:r w:rsidRPr="00775C2E">
        <w:rPr>
          <w:rFonts w:ascii="Times New Roman" w:hAnsi="Times New Roman" w:cs="Times New Roman"/>
          <w:sz w:val="22"/>
        </w:rPr>
        <w:t xml:space="preserve">: Index MSM in this arm will initially receive three SST packages to distribute to their alters after completing their baseline survey. Different from the information package for the control arm, we will give them SST kits instead of the peer notification card. Each SST kit contains equipment for blood sample collection, quick syphilis test and a step-by-step pictorial instruction for using the self-test kit (shown in Supplementary material). Each alter can use a maximum one SST package and take syphilis self-testing service from each index. In this trial, we will use the syphilis SD </w:t>
      </w:r>
      <w:proofErr w:type="spellStart"/>
      <w:r w:rsidRPr="00775C2E">
        <w:rPr>
          <w:rFonts w:ascii="Times New Roman" w:hAnsi="Times New Roman" w:cs="Times New Roman"/>
          <w:sz w:val="22"/>
        </w:rPr>
        <w:t>Bioline</w:t>
      </w:r>
      <w:proofErr w:type="spellEnd"/>
      <w:r w:rsidRPr="00775C2E">
        <w:rPr>
          <w:rFonts w:ascii="Times New Roman" w:hAnsi="Times New Roman" w:cs="Times New Roman"/>
          <w:sz w:val="22"/>
        </w:rPr>
        <w:t xml:space="preserve"> Syphilis 3.0 rapid test kit). The sensitivity and specificity for syphilis range 85.7-100% and 95.5-99.4% respectively</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"10.1136/sti.2006.022467", "ISSN" : "1368-4973 (Print)", "PMID" : "17215274", "abstract" : "OBJECTIVES: To evaluate prospectively four rapid, point-of-care serological tests  for syphilis in prenatal or high risk populations in four countries. METHODS: Tests were performed on consecutive clinic attenders, using whole blood in the clinic, and whole blood and serum in the laboratory. The sensitivity and specificity of each test was evaluated, using a standard treponemal test (Treponema pallidum haemagglutination assay (TPHA) or fluorescent treponemal antibody, absorbed (FTA-ABS) as gold standard. Non-treponemal tests (rapid plasma reagin (RPR) or venereal diseases research laboratory (VDRL) tests) were also performed on all subjects at three sites. RESULTS: The specificity of each rapid test was &gt;95% at each site. Sensitivities varied from 64-100% and, in most cases, were lower when whole blood was used rather than serum. CONCLUSIONS: Rapid serological tests for syphilis are an acceptable alternative to conventional laboratory tests. Since they do not require equipment or electricity, they could increase coverage of syphilis screening, and enable treatment to be given at the first clinic visit.", "author" : [ { "dropping-particle" : "", "family" : "Mabey", "given" : "D", "non-dropping-particle" : "", "parse-names" : false, "suffix" : "" }, { "dropping-particle" : "", "family" : "Peeling", "given" : "R W", "non-dropping-particle" : "", "parse-names" : false, "suffix" : "" }, { "dropping-particle" : "", "family" : "Ballard", "given" : "R", "non-dropping-particle" : "", "parse-names" : false, "suffix" : "" }, { "dropping-particle" : "", "family" : "Benzaken", "given" : "A S", "non-dropping-particle" : "", "parse-names" : false, "suffix" : "" }, { "dropping-particle" : "", "family" : "Galb\u00e1n", "given" : "E", "non-dropping-particle" : "", "parse-names" : false, "suffix" : "" }, { "dropping-particle" : "", "family" : "Changalucha", "given" : "J", "non-dropping-particle" : "", "parse-names" : false, "suffix" : "" }, { "dropping-particle" : "", "family" : "Everett", "given" : "D", "non-dropping-particle" : "", "parse-names" : false, "suffix" : "" }, { "dropping-particle" : "", "family" : "Balira", "given" : "R", "non-dropping-particle" : "", "parse-names" : false, "suffix" : "" }, { "dropping-particle" : "", "family" : "Fitzgerald", "given" : "D", "non-dropping-particle" : "", "parse-names" : false, "suffix" : "" }, { "dropping-particle" : "", "family" : "Joseph", "given" : "P", "non-dropping-particle" : "", "parse-names" : false, "suffix" : "" }, { "dropping-particle" : "", "family" : "Nerette", "given" : "S", "non-dropping-particle" : "", "parse-names" : false, "suffix" : "" }, { "dropping-particle" : "", "family" : "Li", "given" : "J", "non-dropping-particle" : "", "parse-names" : false, "suffix" : "" }, { "dropping-particle" : "", "family" : "Zheng", "given" : "H", "non-dropping-particle" : "", "parse-names" : false, "suffix" : "" } ], "container-title" : "Sexually transmitted infections", "id" : "ITEM-1", "issue" : "Suppl 5", "issued" : { "date-parts" : [ [ "2006", "12" ] ] }, "language" : "eng", "page" : "v13-6", "title" : "Prospective, multi-centre clinic-based evaluation of four rapid diagnostic tests for  syphilis.", "type" : "article-journal", "volume" : "82 Suppl 5" }, "uris" : [ "http://www.mendeley.com/documents/?uuid=7244cde6-ecae-471f-828d-3e04782a7731" ] }, { "id" : "ITEM-2", "itemData" : { "DOI" : "10.1016/S1473-3099(17)30310-9", "ISSN" : "14744457", "PMID" : "28701272", "abstract" : "WHO estimated that nearly 1 million people become infected every day with any of four curable sexually transmitted infections (STIs): chlamydia, gonorrhoea, syphilis, and trichomoniasis. Despite their high global incidence, STIs remain a neglected area of research. In this Commission, we have prioritised five areas that represent particular challenges in STI treatment and control. Chlamydia remains the most commonly diagnosed bacterial STI in high-income countries despite widespread testing recommendations, sensitive and specific non-invasive testing techniques, and cheap effective therapy. We discuss the challenges for chlamydia control and evidence to support a shift from the current focus on infection-based screening to improved management of diagnosed cases and of chlamydial morbidity, such as pelvic inflammatory disease. The emergence and spread of antimicrobial resistance in Neisseria gonorrhoeae is globally recognised. We review current and potential future control and treatment strategies, with a focus on novel antimicrobials. Bacterial vaginosis is the most common vaginal disorder in women, but current treatments are associated with frequent recurrence. Recurrence after treatment might relate to evidence that suggests sexual transmission is integral to the pathogenesis of bacterial vaginosis, which has substantial implications for the development of effective management approaches. STIs disproportionately affect low-income and middle-income countries. We review strategies for case management, focusing on point-of-care tests that hold considerable potential for improving STI control. Lastly, STIs in men who have sex with men have increased since the late 1990s. We discuss the contribution of new biomedical HIV prevention strategies and risk compensation. Overall, this Commission aims to enhance the understanding of some of the key challenges facing the field of STIs, and outlines new approaches to improve the clinical management of STIs and public health.", "author" : [ { "dropping-particle" : "", "family" : "Unemo", "given" : "Magnus", "non-dropping-particle" : "", "parse-names" : false, "suffix" : "" }, { "dropping-particle" : "", "family" : "Bradshaw", "given" : "Catriona S.", "non-dropping-particle" : "", "parse-names" : false, "suffix" : "" }, { "dropping-particle" : "", "family" : "Hocking", "given" : "Jane S.", "non-dropping-particle" : "", "parse-names" : false, "suffix" : "" }, { "dropping-particle" : "", "family" : "Vries", "given" : "Henry J.C.", "non-dropping-particle" : "de", "parse-names" : false, "suffix" : "" }, { "dropping-particle" : "", "family" : "Francis", "given" : "Suzanna C.", "non-dropping-particle" : "", "parse-names" : false, "suffix" : "" }, { "dropping-particle" : "", "family" : "Mabey", "given" : "David", "non-dropping-particle" : "", "parse-names" : false, "suffix" : "" }, { "dropping-particle" : "", "family" : "Marrazzo", "given" : "Jeanne M.", "non-dropping-particle" : "", "parse-names" : false, "suffix" : "" }, { "dropping-particle" : "", "family" : "Sonder", "given" : "Gerard J.B.", "non-dropping-particle" : "", "parse-names" : false, "suffix" : "" }, { "dropping-particle" : "", "family" : "Schwebke", "given" : "Jane R.", "non-dropping-particle" : "", "parse-names" : false, "suffix" : "" }, { "dropping-particle" : "", "family" : "Hoornenborg", "given" : "Elske", "non-dropping-particle" : "", "parse-names" : false, "suffix" : "" }, { "dropping-particle" : "", "family" : "Peeling", "given" : "Rosanna W.", "non-dropping-particle" : "", "parse-names" : false, "suffix" : "" }, { "dropping-particle" : "", "family" : "Philip", "given" : "Susan S.", "non-dropping-particle" : "", "parse-names" : false, "suffix" : "" }, { "dropping-particle" : "", "family" : "Low", "given" : "Nicola", "non-dropping-particle" : "", "parse-names" : false, "suffix" : "" }, { "dropping-particle" : "", "family" : "Fairley", "given" : "Christopher K.", "non-dropping-particle" : "", "parse-names" : false, "suffix" : "" } ], "container-title" : "The Lancet Infectious Diseases", "id" : "ITEM-2", "issue" : "8", "issued" : { "date-parts" : [ [ "2017", "8" ] ] }, "page" : "e235-e279", "publisher" : "Lancet Publishing Group", "title" : "Sexually transmitted infections: challenges ahead", "type" : "article", "volume" : "17" }, "uris" : [ "http://www.mendeley.com/documents/?uuid=4737ee41-8b9f-4f57-8da3-af37adde479f" ] } ], "mendeley" : { "formattedCitation" : "[16,23]", "plainTextFormattedCitation" : "[16,23]"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[16,23]</w:t>
      </w:r>
      <w:r w:rsidRPr="00775C2E">
        <w:rPr>
          <w:rFonts w:ascii="Times New Roman" w:hAnsi="Times New Roman" w:cs="Times New Roman"/>
          <w:sz w:val="22"/>
        </w:rPr>
        <w:fldChar w:fldCharType="end"/>
      </w:r>
      <w:r w:rsidRPr="00775C2E">
        <w:rPr>
          <w:rFonts w:ascii="Times New Roman" w:hAnsi="Times New Roman" w:cs="Times New Roman"/>
          <w:sz w:val="22"/>
        </w:rPr>
        <w:t>.</w:t>
      </w:r>
    </w:p>
    <w:p w14:paraId="00A00746" w14:textId="77777777" w:rsidR="0081030B" w:rsidRPr="00775C2E" w:rsidRDefault="0081030B">
      <w:pPr>
        <w:spacing w:line="360" w:lineRule="auto"/>
        <w:rPr>
          <w:rFonts w:ascii="Times New Roman" w:hAnsi="Times New Roman" w:cs="Times New Roman"/>
          <w:b/>
          <w:bCs/>
          <w:sz w:val="22"/>
        </w:rPr>
      </w:pPr>
    </w:p>
    <w:p w14:paraId="1643B6AA"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b/>
          <w:bCs/>
          <w:sz w:val="22"/>
        </w:rPr>
        <w:t>Referral link SST delivery arm</w:t>
      </w:r>
      <w:r w:rsidRPr="00775C2E">
        <w:rPr>
          <w:rFonts w:ascii="Times New Roman" w:hAnsi="Times New Roman" w:cs="Times New Roman"/>
          <w:sz w:val="22"/>
        </w:rPr>
        <w:t xml:space="preserve">: Index MSM in this arm will initially receive a unique SST referral link, which can be shared with up to three alters after baseline survey. Each link will expire after three times of usage. Each alter can only apply for one SST package with the link, which can be accessed by only one device (either a </w:t>
      </w:r>
      <w:proofErr w:type="spellStart"/>
      <w:r w:rsidRPr="00775C2E">
        <w:rPr>
          <w:rFonts w:ascii="Times New Roman" w:hAnsi="Times New Roman" w:cs="Times New Roman"/>
          <w:sz w:val="22"/>
        </w:rPr>
        <w:t>Wechat</w:t>
      </w:r>
      <w:proofErr w:type="spellEnd"/>
      <w:r w:rsidRPr="00775C2E">
        <w:rPr>
          <w:rFonts w:ascii="Times New Roman" w:hAnsi="Times New Roman" w:cs="Times New Roman"/>
          <w:sz w:val="22"/>
        </w:rPr>
        <w:t xml:space="preserve"> account or a phone number). Further, the SST package will be posted to the alter free of charge (free express delivery). </w:t>
      </w:r>
    </w:p>
    <w:p w14:paraId="3EC34E02" w14:textId="77777777" w:rsidR="0081030B" w:rsidRPr="00775C2E" w:rsidRDefault="0081030B">
      <w:pPr>
        <w:spacing w:line="360" w:lineRule="auto"/>
        <w:rPr>
          <w:rFonts w:ascii="Times New Roman" w:hAnsi="Times New Roman" w:cs="Times New Roman"/>
          <w:sz w:val="22"/>
        </w:rPr>
      </w:pPr>
    </w:p>
    <w:p w14:paraId="6594752F"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In all three study arms, each package or link will be assigned with a unique number for future returned results tracking and index matching. Alters will receive 3 USD when they send a photo verification of their self-testing or facility-testing results and complete the alter survey. Their matching index will also receive an extra 3 USD as incentive of successful distribution. In addition, each index can apply for additional three packages (refundable 4 USD deposit for each SST package; free of charge for notification card package) or for additional referral links when their initial link has been used by three alters returning their test results. Further, each alter in all three arms who returned his result can become a "secondary index" if he was born biologically male, aged 18 years or above, and ever had sex with another man. He can also apply for three packages (refundable 4 USD deposit for each SST package; free of charge for information package) or referral link to distribute to his alters. For all indexes and alters in the study, researchers will provide a 24/7 hotline and online counselling.</w:t>
      </w:r>
    </w:p>
    <w:p w14:paraId="0B607521" w14:textId="77777777" w:rsidR="0081030B" w:rsidRPr="00775C2E" w:rsidRDefault="0081030B">
      <w:pPr>
        <w:spacing w:line="360" w:lineRule="auto"/>
        <w:rPr>
          <w:rFonts w:ascii="Times New Roman" w:hAnsi="Times New Roman" w:cs="Times New Roman"/>
          <w:sz w:val="22"/>
        </w:rPr>
      </w:pPr>
    </w:p>
    <w:p w14:paraId="0E7A196E"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Randomization and allocation</w:t>
      </w:r>
    </w:p>
    <w:p w14:paraId="7D2E4B67"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At each site, eligible indexes will be assigned to one of the three arms through a cluster randomization procedure with ten participants per cluster. To ensure equal number of clusters in each of the three arms, the clusters will be randomized in a block of three at each study site. Computer-generated randomization codes will be produced and kept by a biostatistician who is not involved in participant enrollment. Ten blocks will be generated in total. Each block has three clusters consisting of standard of care arm, standard SST delivery arm, and referral link SST delivery arm, randomly created from all possible permutations. The schedule will be determined before the start of the study and then provided to each site. Each eligible index who presents to the site during a given 10-person cluster will be provided the allocated program. </w:t>
      </w:r>
    </w:p>
    <w:p w14:paraId="740FA254" w14:textId="77777777" w:rsidR="0081030B" w:rsidRPr="00775C2E" w:rsidRDefault="0081030B">
      <w:pPr>
        <w:spacing w:line="360" w:lineRule="auto"/>
        <w:rPr>
          <w:rFonts w:ascii="Times New Roman" w:hAnsi="Times New Roman" w:cs="Times New Roman"/>
          <w:b/>
          <w:bCs/>
          <w:i/>
          <w:iCs/>
          <w:sz w:val="22"/>
        </w:rPr>
      </w:pPr>
    </w:p>
    <w:p w14:paraId="16D370B9"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 xml:space="preserve">Blinding </w:t>
      </w:r>
    </w:p>
    <w:p w14:paraId="48981497"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lastRenderedPageBreak/>
        <w:t>As it would not be possible to blind participants to their study arms, this is a non-blinded study. Investigators and staff assessing the outcomes will not be blinded to participants’ group assignments.</w:t>
      </w:r>
    </w:p>
    <w:p w14:paraId="0D5AC537" w14:textId="77777777" w:rsidR="0081030B" w:rsidRPr="00775C2E" w:rsidRDefault="0081030B">
      <w:pPr>
        <w:spacing w:line="360" w:lineRule="auto"/>
        <w:rPr>
          <w:rFonts w:ascii="Times New Roman" w:hAnsi="Times New Roman" w:cs="Times New Roman"/>
          <w:sz w:val="22"/>
        </w:rPr>
      </w:pPr>
    </w:p>
    <w:p w14:paraId="6E4C9915"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Follow up</w:t>
      </w:r>
    </w:p>
    <w:p w14:paraId="0B99AD1F"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The follow-up survey will be administered three months after recruitment for indexes. Each index will receive 4 USD after completing the follow-up survey. Any alters with a reactive self-testing results will be referred to undergo free confirmatory laboratory testing and clinical examination at study clinics or other local designated clinics/hospitals. If the participants are diagnosed with syphilis, we will undertake further follow-up to obtain treatment information. Alters with a reactive result who also return photo verification of confirmatory testing results or treatment proof will receive a further 3 USD. Alters with reactive results who do not return any proof for confirmation testing or treatment will be asked about further linkage to care information at the end of study.</w:t>
      </w:r>
    </w:p>
    <w:p w14:paraId="219346B8" w14:textId="77777777" w:rsidR="0081030B" w:rsidRPr="00775C2E" w:rsidRDefault="0081030B">
      <w:pPr>
        <w:spacing w:line="360" w:lineRule="auto"/>
        <w:rPr>
          <w:rFonts w:ascii="Times New Roman" w:hAnsi="Times New Roman" w:cs="Times New Roman"/>
          <w:sz w:val="22"/>
        </w:rPr>
      </w:pPr>
    </w:p>
    <w:p w14:paraId="2A0CCD1F"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Outcome measures</w:t>
      </w:r>
    </w:p>
    <w:p w14:paraId="4825F4A7"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b/>
          <w:bCs/>
          <w:sz w:val="22"/>
        </w:rPr>
        <w:t>Primary outcome</w:t>
      </w:r>
      <w:r w:rsidRPr="00775C2E">
        <w:rPr>
          <w:rFonts w:ascii="Times New Roman" w:hAnsi="Times New Roman" w:cs="Times New Roman"/>
          <w:sz w:val="22"/>
        </w:rPr>
        <w:t>: Mean number of alters who returned photo verified syphilis testing results per index in each arm, including facility-based test and self-testing in 3 months.</w:t>
      </w:r>
    </w:p>
    <w:p w14:paraId="73279510"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b/>
          <w:bCs/>
          <w:sz w:val="22"/>
        </w:rPr>
        <w:t>Secondary outcomes</w:t>
      </w:r>
      <w:r w:rsidRPr="00775C2E">
        <w:rPr>
          <w:rFonts w:ascii="Times New Roman" w:hAnsi="Times New Roman" w:cs="Times New Roman"/>
          <w:sz w:val="22"/>
        </w:rPr>
        <w:t>: 1) Proportion of first-time syphilis testing among participants; 2) Proportion of testers with a positive syphilis testing result; 3) Economic evaluation in terms of total cost of implementing each of the three arms, the average cost per tester, the average cost per syphilis diagnosis, and the incremental cost-effectiveness ratio for the three arms; 4) Adverse events during the delivery procedures in each arm; 5) Mean number of alters who received the test kit; 6) Proportion of repeat testing among indexes and alters in each arm.</w:t>
      </w:r>
    </w:p>
    <w:p w14:paraId="508E8451" w14:textId="77777777" w:rsidR="0081030B" w:rsidRPr="00775C2E" w:rsidRDefault="0081030B">
      <w:pPr>
        <w:spacing w:line="360" w:lineRule="auto"/>
        <w:rPr>
          <w:rFonts w:ascii="Times New Roman" w:hAnsi="Times New Roman" w:cs="Times New Roman"/>
          <w:sz w:val="22"/>
        </w:rPr>
      </w:pPr>
    </w:p>
    <w:p w14:paraId="0676FADC"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Data collection</w:t>
      </w:r>
    </w:p>
    <w:p w14:paraId="1D827ED3"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Syphilis testing record and results</w:t>
      </w:r>
    </w:p>
    <w:p w14:paraId="32482145"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All indexes’ information will be recorded using online surveys (</w:t>
      </w:r>
      <w:proofErr w:type="spellStart"/>
      <w:r w:rsidRPr="00775C2E">
        <w:rPr>
          <w:rFonts w:ascii="Times New Roman" w:hAnsi="Times New Roman" w:cs="Times New Roman"/>
          <w:sz w:val="22"/>
        </w:rPr>
        <w:t>Wenjuanxing</w:t>
      </w:r>
      <w:proofErr w:type="spellEnd"/>
      <w:r w:rsidRPr="00775C2E">
        <w:rPr>
          <w:rFonts w:ascii="Times New Roman" w:hAnsi="Times New Roman" w:cs="Times New Roman"/>
          <w:sz w:val="22"/>
        </w:rPr>
        <w:t xml:space="preserve"> online survey platform). Alters can photograph and upload their testing results to an online social media platform “WeChat” (instant messaging service/application) by scanning the QR code in the result report card. Syphilis testing results can be either from facility-based testing or self-testing.</w:t>
      </w:r>
    </w:p>
    <w:p w14:paraId="14312BE3" w14:textId="77777777" w:rsidR="0081030B" w:rsidRPr="00775C2E" w:rsidRDefault="0081030B">
      <w:pPr>
        <w:spacing w:line="360" w:lineRule="auto"/>
        <w:rPr>
          <w:rFonts w:ascii="Times New Roman" w:hAnsi="Times New Roman" w:cs="Times New Roman"/>
          <w:sz w:val="22"/>
        </w:rPr>
      </w:pPr>
    </w:p>
    <w:p w14:paraId="3D6D5272"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 xml:space="preserve">Surveys </w:t>
      </w:r>
    </w:p>
    <w:p w14:paraId="2600B4FC"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Baseline survey for index</w:t>
      </w:r>
    </w:p>
    <w:p w14:paraId="042BEBA9"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All eligible indexes will complete a baseline survey online on the web-based survey platform </w:t>
      </w:r>
      <w:proofErr w:type="spellStart"/>
      <w:r w:rsidRPr="00775C2E">
        <w:rPr>
          <w:rFonts w:ascii="Times New Roman" w:hAnsi="Times New Roman" w:cs="Times New Roman"/>
          <w:sz w:val="22"/>
        </w:rPr>
        <w:t>Wenjuanxing</w:t>
      </w:r>
      <w:proofErr w:type="spellEnd"/>
      <w:r w:rsidRPr="00775C2E">
        <w:rPr>
          <w:rFonts w:ascii="Times New Roman" w:hAnsi="Times New Roman" w:cs="Times New Roman"/>
          <w:sz w:val="22"/>
        </w:rPr>
        <w:t xml:space="preserve"> (Changsha </w:t>
      </w:r>
      <w:proofErr w:type="spellStart"/>
      <w:r w:rsidRPr="00775C2E">
        <w:rPr>
          <w:rFonts w:ascii="Times New Roman" w:hAnsi="Times New Roman" w:cs="Times New Roman"/>
          <w:sz w:val="22"/>
        </w:rPr>
        <w:t>Haoxing</w:t>
      </w:r>
      <w:proofErr w:type="spellEnd"/>
      <w:r w:rsidRPr="00775C2E">
        <w:rPr>
          <w:rFonts w:ascii="Times New Roman" w:hAnsi="Times New Roman" w:cs="Times New Roman"/>
          <w:sz w:val="22"/>
        </w:rPr>
        <w:t xml:space="preserve"> Information Technology Co., Ltd., China) at enrollment. The baseline survey collects information on socio-demographic information, history of sexual behaviors, syphilis testing, HIV testing and other STIs testing, and their social network. Sociodemographic information includes age, biological sex, residence status, marital status, highest education, monthly income, sexual orientation, and whether they disclosed their sexual orientation with others. Sexual behaviors include sexual history with men and/or women, role during sex with men, condom use, type of sex partners, group sex, and drug use. Facility-based testing or self-testing history of syphilis, HIV and other STIs, and treatment experience will also be collected. A set of questions including a scale to measure social support, community leadership, and the size of their social network will be asked</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"10.1007/s10461-019-02404-z", "ISSN" : "1573-3254 (Electronic)", "PMID" : "30680538", "abstract" : "Men who have sex with men (MSM) disclose same-sex behaviors with others, creating  disclosure networks. This study examined the characteristics of disclosure networks that are associated with HIV testing among MSM in China through an online nationwide survey. Name-generator questions were used to ask each participant (\"ego\") to nominate up to five social network members (\"alters\") with whom he had disclosed same-sex behaviors. Among the 806 men, the average disclosure network size was 4.05. MSM who reported larger disclosure networks were more likely to have been tested for HIV (aOR 1.21, 95% CI 1.08-1.34). The most common disclosure network alters were friends (45.1%), followed by sex partners (18.7%) and healthcare professionals (2.5%). Men who disclosed to healthcare professionals were more likely to test for HIV compared to men who disclosed to family members (aOR 5.43, 95% CI 2.11-14.04). Our findings can inform disclosure network-based interventions to promote MSM HIV testing.", "author" : [ { "dropping-particle" : "", "family" : "Cao", "given" : "Bolin", "non-dropping-particle" : "", "parse-names" : false, "suffix" : "" }, { "dropping-particle" : "", "family" : "Saffer", "given" : "Adam J", "non-dropping-particle" : "", "parse-names" : false, "suffix" : "" }, { "dropping-particle" : "", "family" : "Yang", "given" : "Cui", "non-dropping-particle" : "", "parse-names" : false, "suffix" : "" }, { "dropping-particle" : "", "family" : "Chen", "given" : "Hexin", "non-dropping-particle" : "", "parse-names" : false, "suffix" : "" }, { "dropping-particle" : "", "family" : "Peng", "given" : "Kun", "non-dropping-particle" : "", "parse-names" : false, "suffix" : "" }, { "dropping-particle" : "", "family" : "Pan", "given" : "Stephen W", "non-dropping-particle" : "", "parse-names" : false, "suffix" : "" }, { "dropping-particle" : "", "family" : "Durvasula", "given" : "Maya", "non-dropping-particle" : "", "parse-names" : false, "suffix" : "" }, { "dropping-particle" : "", "family" : "Liu", "given" : "Chuncheng", "non-dropping-particle" : "", "parse-names" : false, "suffix" : "" }, { "dropping-particle" : "", "family" : "Fu", "given" : "Hongyun", "non-dropping-particle" : "", "parse-names" : false, "suffix" : "" }, { "dropping-particle" : "", "family" : "Ong", "given" : "Jason J", "non-dropping-particle" : "", "parse-names" : false, "suffix" : "" }, { "dropping-particle" : "", "family" : "Tang", "given" : "Weiming", "non-dropping-particle" : "", "parse-names" : false, "suffix" : "" }, { "dropping-particle" : "", "family" : "Tucker", "given" : "Joseph D", "non-dropping-particle" : "", "parse-names" : false, "suffix" : "" } ], "container-title" : "AIDS and behavior", "id" : "ITEM-1", "issue" : "5", "issued" : { "date-parts" : [ [ "2019", "5" ] ] }, "language" : "eng", "page" : "1368-1374", "title" : "MSM Behavior Disclosure Networks and HIV Testing: An Egocentric Network Analysis  Among MSM in China.", "type" : "article-journal", "volume" : "23" }, "uris" : [ "http://www.mendeley.com/documents/?uuid=d17b45fb-d1ec-4bf1-9b1b-7cf3ca77b016" ] }, { "id" : "ITEM-2", "itemData" : { "DOI" : "10.2196/10171", "ISSN" : "1438-8871 (Electronic)", "PMID" : "30664490", "abstract" : "BACKGROUND: The spread of healthy behaviors through social networks may be  accelerated by influential individuals. Previous studies have used lay health influencers to prevent sexually transmitted infections (STIs) among internet-using men who have sex with men (MSM). However, there is a lack of understanding of the characteristics of this key subset of MSM. OBJECTIVE: This study aimed to examine sociodemographic characteristics, HIV and syphilis testing, and sexual behaviors of Web-based MSM sexual health influencers (SHIs) in China, defined as individuals with relatively stronger influence on spreading HIV and STI information online. METHODS: A Web-based survey of MSM was conducted in August 2017 as a final follow-up of a randomized controlled trial promoting HIV testing in 8 Chinese cities. Men were recruited through a gay social networking mobile phone app and were included if they were born biologically male, aged 16 years and above, ever had sex with another man, and HIV negative or with unknown HIV status. Information regarding sociodemographic characteristics, sexual behaviors, and HIV and syphilis testing was obtained. We assessed men's Web-based sexual health influence using a standardized 6-item opinion leadership scale focused on HIV and STI information. Influencers were defined as those whose mean score ranked within the top 13% (a higher score means greater influence). We used multivariable linear and logistic regression models to measure Web-based sexual health influence's association with HIV and syphilis testing, controlling for intervention trial effects, age, education, income, and marital status. RESULTS: Overall, 1031 men completed the survey. Most men were younger than 30 years (819/1031, 79.43%) and had at least college education (667/1031, 64.69%). Influencers were more likely to get tested for HIV (73/132, 55.3% vs 337/899, 37.5%; P&lt;.001) and syphilis (35/132, 26.5% vs 137/899, 15.2%; P=.001) in the last 3 months compared with noninfluencers. There were no significant differences in condomless sex with male partners (26/132, 19.7% vs 203/899, 22.6%; P=.46), mean number of male sex partners (1.32 vs 1.11; P=.16) in the last 3 months, and mainly meeting male sex partners online in the last 12 months (97/132, 73.5% vs 669/899, 74.4%; P=.82) between influencers and noninfluencers. Regression analyses showed that influencers had higher odds of HIV testing (adjusted odds ratio, AOR 2.16, 95% CI 1.48-3.17) and syphilis testing (AOR 1.\u2026", "author" : [ { "dropping-particle" : "", "family" : "Wu", "given" : "Dan", "non-dropping-particle" : "", "parse-names" : false, "suffix" : "" }, { "dropping-particle" : "", "family" : "Tang", "given" : "Weiming", "non-dropping-particle" : "", "parse-names" : false, "suffix" : "" }, { "dropping-particle" : "", "family" : "Lu", "given" : "Haidong", "non-dropping-particle" : "", "parse-names" : false, "suffix" : "" }, { "dropping-particle" : "", "family" : "Zhang", "given" : "Tiange P", "non-dropping-particle" : "", "parse-names" : false, "suffix" : "" }, { "dropping-particle" : "", "family" : "Cao", "given" : "Bolin", "non-dropping-particle" : "", "parse-names" : false, "suffix" : "" }, { "dropping-particle" : "", "family" : "Ong", "given" : "Jason J", "non-dropping-particle" : "", "parse-names" : false, "suffix" : "" }, { "dropping-particle" : "", "family" : "Lee", "given" : "Amy", "non-dropping-particle" : "", "parse-names" : false, "suffix" : "" }, { "dropping-particle" : "", "family" : "Liu", "given" : "Chuncheng", "non-dropping-particle" : "", "parse-names" : false, "suffix" : "" }, { "dropping-particle" : "", "family" : "Huang", "given" : "Wenting", "non-dropping-particle" : "", "parse-names" : false, "suffix" : "" }, { "dropping-particle" : "", "family" : "Fu", "given" : "Rong", "non-dropping-particle" : "", "parse-names" : false, "suffix" : "" }, { "dropping-particle" : "", "family" : "Li", "given" : "Katherine", "non-dropping-particle" : "", "parse-names" : false, "suffix" : "" }, { "dropping-particle" : "", "family" : "Pan", "given" : "Stephen W", "non-dropping-particle" : "", "parse-names" : false, "suffix" : "" }, { "dropping-particle" : "", "family" : "Zhang", "given" : "Ye", "non-dropping-particle" : "", "parse-names" : false, "suffix" : "" }, { "dropping-particle" : "", "family" : "Fu", "given" : "Hongyun", "non-dropping-particle" : "", "parse-names" : false, "suffix" : "" }, { "dropping-particle" : "", "family" : "Wei", "given" : "Chongyi", "non-dropping-particle" : "", "parse-names" : false, "suffix" : "" }, { "dropping-particle" : "", "family" : "Tucker", "given" : "Joseph D", "non-dropping-particle" : "", "parse-names" : false, "suffix" : "" } ], "container-title" : "Journal of medical Internet research", "id" : "ITEM-2", "issue" : "1", "issued" : { "date-parts" : [ [ "2019", "1" ] ] }, "language" : "eng", "page" : "e10171", "title" : "Leading by Example: Web-Based Sexual Health Influencers Among Men Who Have Sex With  Men Have Higher HIV and Syphilis Testing Rates in China.", "type" : "article-journal", "volume" : "21" }, "uris" : [ "http://www.mendeley.com/documents/?uuid=9f38832d-69ac-4ed3-b3f1-0aa0838ce230" ] } ], "mendeley" : { "formattedCitation" : "[24,25]", "plainTextFormattedCitation" : "[24,25]", "previouslyFormattedCitation" : "[24,25]"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[24,25]</w:t>
      </w:r>
      <w:r w:rsidRPr="00775C2E">
        <w:rPr>
          <w:rFonts w:ascii="Times New Roman" w:hAnsi="Times New Roman" w:cs="Times New Roman"/>
          <w:sz w:val="22"/>
        </w:rPr>
        <w:fldChar w:fldCharType="end"/>
      </w:r>
      <w:r w:rsidRPr="00775C2E">
        <w:rPr>
          <w:rFonts w:ascii="Times New Roman" w:hAnsi="Times New Roman" w:cs="Times New Roman"/>
          <w:sz w:val="22"/>
        </w:rPr>
        <w:t xml:space="preserve">. </w:t>
      </w:r>
    </w:p>
    <w:p w14:paraId="23FC6A25" w14:textId="77777777" w:rsidR="0081030B" w:rsidRPr="00775C2E" w:rsidRDefault="0081030B">
      <w:pPr>
        <w:spacing w:line="360" w:lineRule="auto"/>
        <w:rPr>
          <w:rFonts w:ascii="Times New Roman" w:hAnsi="Times New Roman" w:cs="Times New Roman"/>
          <w:sz w:val="22"/>
        </w:rPr>
      </w:pPr>
    </w:p>
    <w:p w14:paraId="2580C650"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Alter survey</w:t>
      </w:r>
    </w:p>
    <w:p w14:paraId="5844BFBB"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Each alter in the three arms will receive an online survey link after uploading their syphilis test results. The survey will be created on the </w:t>
      </w:r>
      <w:proofErr w:type="spellStart"/>
      <w:r w:rsidRPr="00775C2E">
        <w:rPr>
          <w:rFonts w:ascii="Times New Roman" w:hAnsi="Times New Roman" w:cs="Times New Roman"/>
          <w:sz w:val="22"/>
        </w:rPr>
        <w:t>Wenjuanxing</w:t>
      </w:r>
      <w:proofErr w:type="spellEnd"/>
      <w:r w:rsidRPr="00775C2E">
        <w:rPr>
          <w:rFonts w:ascii="Times New Roman" w:hAnsi="Times New Roman" w:cs="Times New Roman"/>
          <w:sz w:val="22"/>
        </w:rPr>
        <w:t xml:space="preserve"> platform and includes questions on the relationship between the indexes and the alters, sociodemographic information, sexual behavior, the experience of receiving syphilis testing packages or links, testing history of syphilis, HIV and other STIs, and social network. The experience of accepting syphilis testing packages or links includes the behavior of the indexes when delivering syphilis testing packages or links, and the satisfaction to the delivery process of syphilis testing packages or links. Adverse events will be asked to identify whether the alters were being forced to test, have received physical and/or verbal abuse, or being misunderstood from indexes </w:t>
      </w:r>
      <w:proofErr w:type="spellStart"/>
      <w:r w:rsidRPr="00775C2E">
        <w:rPr>
          <w:rFonts w:ascii="Times New Roman" w:hAnsi="Times New Roman" w:cs="Times New Roman"/>
          <w:sz w:val="22"/>
        </w:rPr>
        <w:t>etc</w:t>
      </w:r>
      <w:proofErr w:type="spellEnd"/>
      <w:r w:rsidRPr="00775C2E">
        <w:rPr>
          <w:rFonts w:ascii="Times New Roman" w:hAnsi="Times New Roman" w:cs="Times New Roman"/>
          <w:sz w:val="22"/>
        </w:rPr>
        <w:t xml:space="preserve"> during the delivery procedures.</w:t>
      </w:r>
    </w:p>
    <w:p w14:paraId="607C4C83" w14:textId="77777777" w:rsidR="0081030B" w:rsidRPr="00775C2E" w:rsidRDefault="0081030B">
      <w:pPr>
        <w:spacing w:line="360" w:lineRule="auto"/>
        <w:rPr>
          <w:rFonts w:ascii="Times New Roman" w:hAnsi="Times New Roman" w:cs="Times New Roman"/>
          <w:sz w:val="22"/>
        </w:rPr>
      </w:pPr>
    </w:p>
    <w:p w14:paraId="1B9026CB"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Follow-up survey</w:t>
      </w:r>
    </w:p>
    <w:p w14:paraId="042CEE20"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All indexes will complete a three-month follow-up survey online. The follow-up surveys will collect information of their experience of using the information packages, SST packages or referral link delivery; information on the relationship between the indexes and the alters; reasons of unwillingness to distribute; history of syphilis, HIV and other </w:t>
      </w:r>
      <w:r w:rsidRPr="00775C2E">
        <w:rPr>
          <w:rFonts w:ascii="Times New Roman" w:hAnsi="Times New Roman" w:cs="Times New Roman"/>
          <w:sz w:val="22"/>
        </w:rPr>
        <w:lastRenderedPageBreak/>
        <w:t xml:space="preserve">STIs testing in the past three months; and sexual behaviors in the past three months. Potential adverse events such as forced alters to test, received physical and/or verbal abuse, or being misunderstood from alters </w:t>
      </w:r>
      <w:proofErr w:type="spellStart"/>
      <w:r w:rsidRPr="00775C2E">
        <w:rPr>
          <w:rFonts w:ascii="Times New Roman" w:hAnsi="Times New Roman" w:cs="Times New Roman"/>
          <w:sz w:val="22"/>
        </w:rPr>
        <w:t>etc</w:t>
      </w:r>
      <w:proofErr w:type="spellEnd"/>
      <w:r w:rsidRPr="00775C2E">
        <w:rPr>
          <w:rFonts w:ascii="Times New Roman" w:hAnsi="Times New Roman" w:cs="Times New Roman"/>
          <w:sz w:val="22"/>
        </w:rPr>
        <w:t xml:space="preserve"> during the delivery procures are asked. </w:t>
      </w:r>
    </w:p>
    <w:p w14:paraId="4AB7F3D4" w14:textId="77777777" w:rsidR="0081030B" w:rsidRPr="00775C2E" w:rsidRDefault="0081030B">
      <w:pPr>
        <w:spacing w:line="360" w:lineRule="auto"/>
        <w:rPr>
          <w:rFonts w:ascii="Times New Roman" w:hAnsi="Times New Roman" w:cs="Times New Roman"/>
          <w:sz w:val="22"/>
        </w:rPr>
      </w:pPr>
    </w:p>
    <w:p w14:paraId="0E11DA52"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Cost data</w:t>
      </w:r>
    </w:p>
    <w:p w14:paraId="5DF12825"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A cost collection sheet will be used to identify, value and measure costs from the perspective of the program provider. This will include the start-up costs (</w:t>
      </w:r>
      <w:proofErr w:type="gramStart"/>
      <w:r w:rsidRPr="00775C2E">
        <w:rPr>
          <w:rFonts w:ascii="Times New Roman" w:hAnsi="Times New Roman" w:cs="Times New Roman"/>
          <w:sz w:val="22"/>
        </w:rPr>
        <w:t>e.g.</w:t>
      </w:r>
      <w:proofErr w:type="gramEnd"/>
      <w:r w:rsidRPr="00775C2E">
        <w:rPr>
          <w:rFonts w:ascii="Times New Roman" w:hAnsi="Times New Roman" w:cs="Times New Roman"/>
          <w:sz w:val="22"/>
        </w:rPr>
        <w:t xml:space="preserve"> packaging, peer notification card and result report card design, sites coordination, personnel training, pilot study), consumables (SST kits, standard of care testing supplies), capital costs (office equipment), and personnel costs. The time horizon will be the duration of the trial.</w:t>
      </w:r>
    </w:p>
    <w:p w14:paraId="079E01AA" w14:textId="77777777" w:rsidR="0081030B" w:rsidRPr="00775C2E" w:rsidRDefault="0081030B">
      <w:pPr>
        <w:spacing w:line="360" w:lineRule="auto"/>
        <w:rPr>
          <w:rFonts w:ascii="Times New Roman" w:hAnsi="Times New Roman" w:cs="Times New Roman"/>
          <w:sz w:val="22"/>
        </w:rPr>
      </w:pPr>
    </w:p>
    <w:p w14:paraId="53B291A7"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Statistical methods</w:t>
      </w:r>
    </w:p>
    <w:p w14:paraId="048A84AB"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Sample size</w:t>
      </w:r>
    </w:p>
    <w:p w14:paraId="51105528"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We used an inequality test to calculate the sample size (PASS 15.0, NCSS, LLC). The details of the sample size calculation are shown in Table 2. Preliminary study results from the pilot RCT showed that the number of alters by an index was 0.05 through standard of care delivery, 1.05 through standard SST delivery, and 0.60 through SST link delivery. Based on the above data, we assumed that the variances of the three groups were equal with the same standard deviation of 1. Assuming the number of clusters will be allocated 1:1:1 to each arm, with cluster size of 10 per cluster, alpha of 0.05, power of 0.9, inter class correlation of 0.01, lost to follow-up rate of 0.20, we will need a minimum of 10 clusters per arm. To integrate the sample size calculations and to consider practicality, the final sample size would be ten clusters in standard SST delivery arm, ten clusters in SST referral link delivery arm, and ten clusters in standard of care arm, with a total cluster size of 30 (300 participants).</w:t>
      </w:r>
    </w:p>
    <w:p w14:paraId="7A9FD2D8" w14:textId="77777777" w:rsidR="0081030B" w:rsidRPr="00775C2E" w:rsidRDefault="0067683D">
      <w:pPr>
        <w:jc w:val="center"/>
        <w:rPr>
          <w:rFonts w:ascii="Times New Roman" w:hAnsi="Times New Roman" w:cs="Times New Roman"/>
          <w:b/>
          <w:bCs/>
          <w:sz w:val="22"/>
        </w:rPr>
      </w:pPr>
      <w:r w:rsidRPr="00775C2E">
        <w:rPr>
          <w:rFonts w:ascii="Times New Roman" w:hAnsi="Times New Roman" w:cs="Times New Roman"/>
          <w:b/>
          <w:bCs/>
          <w:sz w:val="22"/>
        </w:rPr>
        <w:t>Table 2 Sample size calculations</w:t>
      </w:r>
    </w:p>
    <w:tbl>
      <w:tblPr>
        <w:tblW w:w="9863" w:type="dxa"/>
        <w:jc w:val="center"/>
        <w:tblCellMar>
          <w:left w:w="0" w:type="dxa"/>
          <w:right w:w="0" w:type="dxa"/>
        </w:tblCellMar>
        <w:tblLook w:val="04A0" w:firstRow="1" w:lastRow="0" w:firstColumn="1" w:lastColumn="0" w:noHBand="0" w:noVBand="1"/>
      </w:tblPr>
      <w:tblGrid>
        <w:gridCol w:w="3592"/>
        <w:gridCol w:w="3605"/>
        <w:gridCol w:w="1188"/>
        <w:gridCol w:w="1478"/>
      </w:tblGrid>
      <w:tr w:rsidR="0081030B" w:rsidRPr="00775C2E" w14:paraId="7B57D28C" w14:textId="77777777">
        <w:trPr>
          <w:trHeight w:val="301"/>
          <w:jc w:val="center"/>
        </w:trPr>
        <w:tc>
          <w:tcPr>
            <w:tcW w:w="3592" w:type="dxa"/>
            <w:tcBorders>
              <w:top w:val="single" w:sz="8" w:space="0" w:color="000000"/>
              <w:left w:val="single" w:sz="8" w:space="0" w:color="FFFFFF"/>
              <w:bottom w:val="single" w:sz="24" w:space="0" w:color="FFFFFF"/>
              <w:right w:val="single" w:sz="8" w:space="0" w:color="FFFFFF"/>
            </w:tcBorders>
            <w:shd w:val="clear" w:color="auto" w:fill="auto"/>
            <w:tcMar>
              <w:top w:w="15" w:type="dxa"/>
              <w:left w:w="108" w:type="dxa"/>
              <w:bottom w:w="0" w:type="dxa"/>
              <w:right w:w="108" w:type="dxa"/>
            </w:tcMar>
            <w:vAlign w:val="center"/>
          </w:tcPr>
          <w:p w14:paraId="60689736"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SST and standard of care</w:t>
            </w:r>
          </w:p>
        </w:tc>
        <w:tc>
          <w:tcPr>
            <w:tcW w:w="3605" w:type="dxa"/>
            <w:tcBorders>
              <w:top w:val="single" w:sz="8" w:space="0" w:color="000000"/>
              <w:left w:val="single" w:sz="8" w:space="0" w:color="FFFFFF"/>
              <w:bottom w:val="single" w:sz="24" w:space="0" w:color="FFFFFF"/>
              <w:right w:val="single" w:sz="8" w:space="0" w:color="FFFFFF"/>
            </w:tcBorders>
            <w:shd w:val="clear" w:color="auto" w:fill="auto"/>
            <w:tcMar>
              <w:top w:w="15" w:type="dxa"/>
              <w:left w:w="108" w:type="dxa"/>
              <w:bottom w:w="0" w:type="dxa"/>
              <w:right w:w="108" w:type="dxa"/>
            </w:tcMar>
            <w:vAlign w:val="center"/>
          </w:tcPr>
          <w:p w14:paraId="277DDE7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ICC</w:t>
            </w:r>
          </w:p>
        </w:tc>
        <w:tc>
          <w:tcPr>
            <w:tcW w:w="1188" w:type="dxa"/>
            <w:tcBorders>
              <w:top w:val="single" w:sz="8" w:space="0" w:color="000000"/>
              <w:left w:val="single" w:sz="8" w:space="0" w:color="FFFFFF"/>
              <w:bottom w:val="single" w:sz="24" w:space="0" w:color="FFFFFF"/>
              <w:right w:val="single" w:sz="8" w:space="0" w:color="FFFFFF"/>
            </w:tcBorders>
            <w:shd w:val="clear" w:color="auto" w:fill="auto"/>
            <w:tcMar>
              <w:top w:w="15" w:type="dxa"/>
              <w:left w:w="108" w:type="dxa"/>
              <w:bottom w:w="0" w:type="dxa"/>
              <w:right w:w="108" w:type="dxa"/>
            </w:tcMar>
            <w:vAlign w:val="bottom"/>
          </w:tcPr>
          <w:p w14:paraId="22CB5724"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0.01</w:t>
            </w:r>
          </w:p>
        </w:tc>
        <w:tc>
          <w:tcPr>
            <w:tcW w:w="1478" w:type="dxa"/>
            <w:tcBorders>
              <w:top w:val="single" w:sz="8" w:space="0" w:color="000000"/>
              <w:left w:val="single" w:sz="8" w:space="0" w:color="FFFFFF"/>
              <w:bottom w:val="single" w:sz="24" w:space="0" w:color="FFFFFF"/>
              <w:right w:val="single" w:sz="8" w:space="0" w:color="FFFFFF"/>
            </w:tcBorders>
            <w:shd w:val="clear" w:color="auto" w:fill="auto"/>
            <w:tcMar>
              <w:top w:w="15" w:type="dxa"/>
              <w:left w:w="108" w:type="dxa"/>
              <w:bottom w:w="0" w:type="dxa"/>
              <w:right w:w="108" w:type="dxa"/>
            </w:tcMar>
            <w:vAlign w:val="bottom"/>
          </w:tcPr>
          <w:p w14:paraId="6DDABB7E"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0.01</w:t>
            </w:r>
          </w:p>
        </w:tc>
      </w:tr>
      <w:tr w:rsidR="0081030B" w:rsidRPr="00775C2E" w14:paraId="71023B93" w14:textId="77777777">
        <w:trPr>
          <w:trHeight w:val="301"/>
          <w:jc w:val="center"/>
        </w:trPr>
        <w:tc>
          <w:tcPr>
            <w:tcW w:w="3592"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33535C6"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B5CE2F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 xml:space="preserve">Mean difference </w:t>
            </w:r>
          </w:p>
        </w:tc>
        <w:tc>
          <w:tcPr>
            <w:tcW w:w="1188"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157B14B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w:t>
            </w:r>
          </w:p>
        </w:tc>
        <w:tc>
          <w:tcPr>
            <w:tcW w:w="1478"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2DD57550"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w:t>
            </w:r>
          </w:p>
        </w:tc>
      </w:tr>
      <w:tr w:rsidR="0081030B" w:rsidRPr="00775C2E" w14:paraId="225E991E"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DB47B79"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0FF1C194"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Standard deviation</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489BFE8A"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2380E1AE"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w:t>
            </w:r>
          </w:p>
        </w:tc>
      </w:tr>
      <w:tr w:rsidR="0081030B" w:rsidRPr="00775C2E" w14:paraId="2B759DED"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2224E3A0"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C3D2ECA"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COV of cluster sizes</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5238E807"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0.65</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6C2A3D1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0.65</w:t>
            </w:r>
          </w:p>
        </w:tc>
      </w:tr>
      <w:tr w:rsidR="0081030B" w:rsidRPr="00775C2E" w14:paraId="7BAFFCD3"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A38648A"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4075DB00"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 xml:space="preserve">Number of people per cluster </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045F52D0"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10</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57F8B7CC"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10</w:t>
            </w:r>
          </w:p>
        </w:tc>
      </w:tr>
      <w:tr w:rsidR="0081030B" w:rsidRPr="00775C2E" w14:paraId="5436290E"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29832430"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lastRenderedPageBreak/>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271010E4"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 xml:space="preserve">Alpha </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2E64D14C"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0.05</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6CBE1B9C"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0.05</w:t>
            </w:r>
          </w:p>
        </w:tc>
      </w:tr>
      <w:tr w:rsidR="0081030B" w:rsidRPr="00775C2E" w14:paraId="4C94FEE5"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3CD1E1D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AD0DFB2"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 xml:space="preserve">Power </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1A22A887"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0.8</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3EA7F5FF"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0.9</w:t>
            </w:r>
          </w:p>
        </w:tc>
      </w:tr>
      <w:tr w:rsidR="0081030B" w:rsidRPr="00775C2E" w14:paraId="740DEA26"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0B036712"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C95C2C8"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Total sample size per arm</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385E30B3"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20</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107F05CB"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30</w:t>
            </w:r>
          </w:p>
        </w:tc>
      </w:tr>
      <w:tr w:rsidR="0081030B" w:rsidRPr="00775C2E" w14:paraId="655C5A8E"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4DCB6DA"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325FBD8F"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Number of clusters per arm</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1DF7F42A"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2</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4C5EA13C"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3</w:t>
            </w:r>
          </w:p>
        </w:tc>
      </w:tr>
      <w:tr w:rsidR="0081030B" w:rsidRPr="00775C2E" w14:paraId="43598963"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230AD8AC"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LINK and standard of care</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2270537"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ICC</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5DFFFACD"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0.01</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404572FF"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0.01</w:t>
            </w:r>
          </w:p>
        </w:tc>
      </w:tr>
      <w:tr w:rsidR="0081030B" w:rsidRPr="00775C2E" w14:paraId="6D8DF254"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CF8724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424418E8"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 xml:space="preserve">Mean difference </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497C4855"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0.55</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3FEFCCBB"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0.55</w:t>
            </w:r>
          </w:p>
        </w:tc>
      </w:tr>
      <w:tr w:rsidR="0081030B" w:rsidRPr="00775C2E" w14:paraId="4138EEFD"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9967CE5"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D424B1D"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Standard deviation</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13485CFF"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5A2464B9"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w:t>
            </w:r>
          </w:p>
        </w:tc>
      </w:tr>
      <w:tr w:rsidR="0081030B" w:rsidRPr="00775C2E" w14:paraId="19365F46"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40353B53"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531A9B4"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COV of cluster sizes</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6D485453"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0.65</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0AD7F09D"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0.65</w:t>
            </w:r>
          </w:p>
        </w:tc>
      </w:tr>
      <w:tr w:rsidR="0081030B" w:rsidRPr="00775C2E" w14:paraId="67139050"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5F1C8A9"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37ABD92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 xml:space="preserve">Number of people per cluster </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56B5A9BE"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10</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123DC74D"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10</w:t>
            </w:r>
          </w:p>
        </w:tc>
      </w:tr>
      <w:tr w:rsidR="0081030B" w:rsidRPr="00775C2E" w14:paraId="2250E04D"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49447DE"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79604AF"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 xml:space="preserve">Alpha </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513EA349"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0.05</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6B0B0F25"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0.05</w:t>
            </w:r>
          </w:p>
        </w:tc>
      </w:tr>
      <w:tr w:rsidR="0081030B" w:rsidRPr="00775C2E" w14:paraId="19F8B564"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3B9A625"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54278772"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 xml:space="preserve">Power </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0B840E7D"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0.8</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642C7E5E"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0.9</w:t>
            </w:r>
          </w:p>
        </w:tc>
      </w:tr>
      <w:tr w:rsidR="0081030B" w:rsidRPr="00775C2E" w14:paraId="284C8EDE" w14:textId="77777777">
        <w:trPr>
          <w:trHeight w:val="301"/>
          <w:jc w:val="center"/>
        </w:trPr>
        <w:tc>
          <w:tcPr>
            <w:tcW w:w="3592"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75537D9D"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tcPr>
          <w:p w14:paraId="1F06EA65"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Total sample size per arm</w:t>
            </w:r>
          </w:p>
        </w:tc>
        <w:tc>
          <w:tcPr>
            <w:tcW w:w="118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675AEFFE"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60</w:t>
            </w:r>
          </w:p>
        </w:tc>
        <w:tc>
          <w:tcPr>
            <w:tcW w:w="1478"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bottom"/>
          </w:tcPr>
          <w:p w14:paraId="26B5D22B"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80</w:t>
            </w:r>
          </w:p>
        </w:tc>
      </w:tr>
      <w:tr w:rsidR="0081030B" w:rsidRPr="00775C2E" w14:paraId="1311FB7C" w14:textId="77777777">
        <w:trPr>
          <w:trHeight w:val="301"/>
          <w:jc w:val="center"/>
        </w:trPr>
        <w:tc>
          <w:tcPr>
            <w:tcW w:w="3592" w:type="dxa"/>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center"/>
          </w:tcPr>
          <w:p w14:paraId="1C11ACEC"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b/>
                <w:bCs/>
                <w:sz w:val="22"/>
              </w:rPr>
              <w:t> </w:t>
            </w:r>
          </w:p>
        </w:tc>
        <w:tc>
          <w:tcPr>
            <w:tcW w:w="3605" w:type="dxa"/>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center"/>
          </w:tcPr>
          <w:p w14:paraId="6D239E24"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Number of clusters per arm</w:t>
            </w:r>
          </w:p>
        </w:tc>
        <w:tc>
          <w:tcPr>
            <w:tcW w:w="1188" w:type="dxa"/>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bottom"/>
          </w:tcPr>
          <w:p w14:paraId="0A76C51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6</w:t>
            </w:r>
          </w:p>
        </w:tc>
        <w:tc>
          <w:tcPr>
            <w:tcW w:w="1478" w:type="dxa"/>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bottom"/>
          </w:tcPr>
          <w:p w14:paraId="0972C591" w14:textId="77777777" w:rsidR="0081030B" w:rsidRPr="00775C2E" w:rsidRDefault="0067683D">
            <w:pPr>
              <w:jc w:val="center"/>
              <w:rPr>
                <w:rFonts w:ascii="Times New Roman" w:hAnsi="Times New Roman" w:cs="Times New Roman"/>
                <w:sz w:val="22"/>
              </w:rPr>
            </w:pPr>
            <w:r w:rsidRPr="00775C2E">
              <w:rPr>
                <w:rFonts w:ascii="Times New Roman" w:hAnsi="Times New Roman" w:cs="Times New Roman"/>
                <w:sz w:val="22"/>
              </w:rPr>
              <w:t>8</w:t>
            </w:r>
          </w:p>
        </w:tc>
      </w:tr>
    </w:tbl>
    <w:p w14:paraId="33E9732E"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ICC: Intra-class correlation; COV: Coefficient of variation.</w:t>
      </w:r>
    </w:p>
    <w:p w14:paraId="1DF468DB" w14:textId="77777777" w:rsidR="0081030B" w:rsidRPr="00775C2E" w:rsidRDefault="0081030B">
      <w:pPr>
        <w:spacing w:line="360" w:lineRule="auto"/>
        <w:rPr>
          <w:rFonts w:ascii="Times New Roman" w:hAnsi="Times New Roman" w:cs="Times New Roman"/>
          <w:sz w:val="22"/>
        </w:rPr>
      </w:pPr>
    </w:p>
    <w:p w14:paraId="4467556D"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Data analysis</w:t>
      </w:r>
    </w:p>
    <w:p w14:paraId="4B451575"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Primary analysis</w:t>
      </w:r>
    </w:p>
    <w:p w14:paraId="345501B2"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Sociodemographic characteristics will be summarized using descriptive statistics. The mean number of alters who returned photo verified syphilis testing result in each arm will be assessed using intention-to-treat analysis during the distribution period (three months). The effects of the intervention will be measured by comparing the mean number of alters who returned photo-verified syphilis testing results in the three arms by using generalized estimated equations modelling to account for potential correlations in outcomes within groups. Egocentric network analysis will be used to describe the network characteristics, such as network size (i.e., the total number of alters in index’s disclosure network)</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"DOI" : "10.1007/s10461-019-02404-z", "ISSN" : "1573-3254 (Electronic)", "PMID" : "30680538", "abstract" : "Men who have sex with men (MSM) disclose same-sex behaviors with others, creating  disclosure networks. This study examined the characteristics of disclosure networks that are associated with HIV testing among MSM in China through an online nationwide survey. Name-generator questions were used to ask each participant (\"ego\") to nominate up to five social network members (\"alters\") with whom he had disclosed same-sex behaviors. Among the 806 men, the average disclosure network size was 4.05. MSM who reported larger disclosure networks were more likely to have been tested for HIV (aOR 1.21, 95% CI 1.08-1.34). The most common disclosure network alters were friends (45.1%), followed by sex partners (18.7%) and healthcare professionals (2.5%). Men who disclosed to healthcare professionals were more likely to test for HIV compared to men who disclosed to family members (aOR 5.43, 95% CI 2.11-14.04). Our findings can inform disclosure network-based interventions to promote MSM HIV testing.", "author" : [ { "dropping-particle" : "", "family" : "Cao", "given" : "Bolin", "non-dropping-particle" : "", "parse-names" : false, "suffix" : "" }, { "dropping-particle" : "", "family" : "Saffer", "given" : "Adam J", "non-dropping-particle" : "", "parse-names" : false, "suffix" : "" }, { "dropping-particle" : "", "family" : "Yang", "given" : "Cui", "non-dropping-particle" : "", "parse-names" : false, "suffix" : "" }, { "dropping-particle" : "", "family" : "Chen", "given" : "Hexin", "non-dropping-particle" : "", "parse-names" : false, "suffix" : "" }, { "dropping-particle" : "", "family" : "Peng", "given" : "Kun", "non-dropping-particle" : "", "parse-names" : false, "suffix" : "" }, { "dropping-particle" : "", "family" : "Pan", "given" : "Stephen W", "non-dropping-particle" : "", "parse-names" : false, "suffix" : "" }, { "dropping-particle" : "", "family" : "Durvasula", "given" : "Maya", "non-dropping-particle" : "", "parse-names" : false, "suffix" : "" }, { "dropping-particle" : "", "family" : "Liu", "given" : "Chuncheng", "non-dropping-particle" : "", "parse-names" : false, "suffix" : "" }, { "dropping-particle" : "", "family" : "Fu", "given" : "Hongyun", "non-dropping-particle" : "", "parse-names" : false, "suffix" : "" }, { "dropping-particle" : "", "family" : "Ong", "given" : "Jason J", "non-dropping-particle" : "", "parse-names" : false, "suffix" : "" }, { "dropping-particle" : "", "family" : "Tang", "given" : "Weiming", "non-dropping-particle" : "", "parse-names" : false, "suffix" : "" }, { "dropping-particle" : "", "family" : "Tucker", "given" : "Joseph D", "non-dropping-particle" : "", "parse-names" : false, "suffix" : "" } ], "container-title" : "AIDS and behavior", "id" : "ITEM-1", "issue" : "5", "issued" : { "date-parts" : [ [ "2019", "5" ] ] }, "language" : "eng", "page" : "1368-1374", "title" : "MSM Behavior Disclosure Networks and HIV Testing: An Egocentric Network Analysis  Among MSM in China.", "type" : "article-journal", "volume" : "23" }, "uris" : [ "http://www.mendeley.com/documents/?uuid=d17b45fb-d1ec-4bf1-9b1b-7cf3ca77b016" ] } ], "mendeley" : { "formattedCitation" : "[24]", "plainTextFormattedCitation" : "[24]", "previouslyFormattedCitation" : "[24]"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[24]</w:t>
      </w:r>
      <w:r w:rsidRPr="00775C2E">
        <w:rPr>
          <w:rFonts w:ascii="Times New Roman" w:hAnsi="Times New Roman" w:cs="Times New Roman"/>
          <w:sz w:val="22"/>
        </w:rPr>
        <w:fldChar w:fldCharType="end"/>
      </w:r>
      <w:r w:rsidRPr="00775C2E">
        <w:rPr>
          <w:rFonts w:ascii="Times New Roman" w:hAnsi="Times New Roman" w:cs="Times New Roman"/>
          <w:sz w:val="22"/>
        </w:rPr>
        <w:t xml:space="preserve">. </w:t>
      </w:r>
    </w:p>
    <w:p w14:paraId="3C2EDB7C" w14:textId="77777777" w:rsidR="0081030B" w:rsidRPr="00775C2E" w:rsidRDefault="0081030B">
      <w:pPr>
        <w:spacing w:line="360" w:lineRule="auto"/>
        <w:rPr>
          <w:rFonts w:ascii="Times New Roman" w:hAnsi="Times New Roman" w:cs="Times New Roman"/>
          <w:b/>
          <w:bCs/>
          <w:sz w:val="22"/>
        </w:rPr>
      </w:pPr>
    </w:p>
    <w:p w14:paraId="6CA70B5F"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Secondary analysis</w:t>
      </w:r>
    </w:p>
    <w:p w14:paraId="5F6C27DB"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lastRenderedPageBreak/>
        <w:t>Within each arm of the study, we will calculate the proportion of first-time testers and testers with a positive syphilis testing result. Differences in proportions of first-time testers and testers with a positive syphilis testing result among alters during distribution period will be explored using Chi-square test and logistic regression in a multivariable model. We will also use descriptive analysis and chi-square test to compare the incidence of adverse events in three arms.</w:t>
      </w:r>
    </w:p>
    <w:p w14:paraId="5341EF93" w14:textId="77777777" w:rsidR="0081030B" w:rsidRPr="00775C2E" w:rsidRDefault="0081030B">
      <w:pPr>
        <w:spacing w:line="360" w:lineRule="auto"/>
        <w:rPr>
          <w:rFonts w:ascii="Times New Roman" w:hAnsi="Times New Roman" w:cs="Times New Roman"/>
          <w:sz w:val="22"/>
        </w:rPr>
      </w:pPr>
    </w:p>
    <w:p w14:paraId="2390AD46"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Economic evaluation</w:t>
      </w:r>
    </w:p>
    <w:p w14:paraId="00542C3A" w14:textId="4C70FFC1"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We will estimate the cost of syphilis testing in all three study arms. Costs will be categorized as fixed or variable costs. Fixed cost refers to cost that is independent of the number of tests conducted, including cost of start-up (see above), building rent and office equipment. Variable cost refers to cost that is dependent on the number of tests conducted, including SST kits, standard of care testing supplies, and personnel cost. Personnel costs will be calculated by multiplying the staff time associated with each program activity by the compensation received by the staff who perform these activities. We will first calculate the total cost for each group, then divide these costs by the number of participants tested and by the number of cases diagnosed with syphilis. For each arm of the study, we will calculate the incremental cost per person tested and the incremental cost per person diagnosed. To identify the optimal strategy, we will rank the incremental cost-effectiveness ratios of the three arms. </w:t>
      </w:r>
    </w:p>
    <w:p w14:paraId="38315FB9" w14:textId="77777777" w:rsidR="0081030B" w:rsidRPr="00775C2E" w:rsidRDefault="0081030B">
      <w:pPr>
        <w:spacing w:line="360" w:lineRule="auto"/>
        <w:rPr>
          <w:rFonts w:ascii="Times New Roman" w:hAnsi="Times New Roman" w:cs="Times New Roman"/>
          <w:sz w:val="22"/>
        </w:rPr>
      </w:pPr>
    </w:p>
    <w:p w14:paraId="59320DF4" w14:textId="77777777" w:rsidR="0081030B" w:rsidRPr="00775C2E" w:rsidRDefault="0067683D">
      <w:pPr>
        <w:spacing w:line="360" w:lineRule="auto"/>
        <w:rPr>
          <w:rFonts w:ascii="Times New Roman" w:hAnsi="Times New Roman" w:cs="Times New Roman"/>
          <w:b/>
          <w:bCs/>
          <w:i/>
          <w:iCs/>
          <w:sz w:val="22"/>
        </w:rPr>
      </w:pPr>
      <w:r w:rsidRPr="00775C2E">
        <w:rPr>
          <w:rFonts w:ascii="Times New Roman" w:hAnsi="Times New Roman" w:cs="Times New Roman"/>
          <w:b/>
          <w:bCs/>
          <w:i/>
          <w:iCs/>
          <w:sz w:val="22"/>
        </w:rPr>
        <w:t>Missing data plan</w:t>
      </w:r>
    </w:p>
    <w:p w14:paraId="704E3862"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We anticipate the loss to follow-up will be less than 20% in the 3-month follow up. If the primary outcome is missing for &lt; 15% of participants, analyses will use a complete-case approach. If an outcome is missing for ≥15% of participants, missingness mechanism will be investigated and multiple imputation will be used if suitable.</w:t>
      </w:r>
    </w:p>
    <w:p w14:paraId="03D5F347" w14:textId="77777777" w:rsidR="0081030B" w:rsidRPr="00775C2E" w:rsidRDefault="0081030B">
      <w:pPr>
        <w:spacing w:line="360" w:lineRule="auto"/>
        <w:rPr>
          <w:rFonts w:ascii="Times New Roman" w:hAnsi="Times New Roman" w:cs="Times New Roman"/>
          <w:sz w:val="22"/>
        </w:rPr>
      </w:pPr>
    </w:p>
    <w:p w14:paraId="41E29F05"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 xml:space="preserve">Discussion </w:t>
      </w:r>
    </w:p>
    <w:p w14:paraId="2DFB4D72"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The prevalence of syphilis has remained high among MSM living in China while testing uptake is relatively low. A recent study demonstrated that using syphilis self-testing could increase the testing among this population</w:t>
      </w:r>
      <w:r w:rsidRPr="00775C2E">
        <w:rPr>
          <w:rFonts w:ascii="Times New Roman" w:hAnsi="Times New Roman" w:cs="Times New Roman"/>
          <w:sz w:val="22"/>
        </w:rPr>
        <w:fldChar w:fldCharType="begin" w:fldLock="1"/>
      </w:r>
      <w:r w:rsidRPr="00775C2E">
        <w:rPr>
          <w:rFonts w:ascii="Times New Roman" w:hAnsi="Times New Roman" w:cs="Times New Roman"/>
          <w:sz w:val="22"/>
        </w:rPr>
        <w:instrText>ADDIN CSL_CITATION { "citationItems" : [ { "id" : "ITEM-1", "itemData" : { "author" : [ { "dropping-particle" : "", "family" : "Wang", "given" : "Cheng", "non-dropping-particle" : "", "parse-names" : false, "suffix" : "" }, { "dropping-particle" : "", "family" : "Ong", "given" : "Jason", "non-dropping-particle" : "", "parse-names" : false, "suffix" : "" }, { "dropping-particle" : "", "family" : "Zhao", "given" : "Peizhen", "non-dropping-particle" : "", "parse-names" : false, "suffix" : "" }, { "dropping-particle" : "", "family" : "Tang", "given" : "Weiming", "non-dropping-particle" : "", "parse-names" : false, "suffix" : "" }, { "dropping-particle" : "", "family" : "Smith", "given" : "Kumi M", "non-dropping-particle" : "", "parse-names" : false, "suffix" : "" }, { "dropping-particle" : "", "family" : "Marks", "given" : "Michael", "non-dropping-particle" : "", "parse-names" : false, "suffix" : "" }, { "dropping-particle" : "", "family" : "Fu", "given" : "Hongyun", "non-dropping-particle" : "", "parse-names" : false, "suffix" : "" }, { "dropping-particle" : "", "family" : "Cheng", "given" : "Weibin", "non-dropping-particle" : "", "parse-names" : false, "suffix" : "" }, { "dropping-particle" : "", "family" : "Terris-Prestholt", "given" : "Fern", "non-dropping-particle" : "", "parse-names" : false, "suffix" : "" }, { "dropping-particle" : "", "family" : "Zheng", "given" : "Heping", "non-dropping-particle" : "", "parse-names" : false, "suffix" : "" }, { "dropping-particle" : "", "family" : "Tucker", "given" : "Joseph", "non-dropping-particle" : "", "parse-names" : false, "suffix" : "" }, { "dropping-particle" : "", "family" : "Yang", "given" : "B", "non-dropping-particle" : "", "parse-names" : false, "suffix" : "" } ], "id" : "ITEM-1", "issued" : { "date-parts" : [ [ "0" ] ] }, "title" : "Expanding syphilis test uptake using self-testing among men who have sex with men: a randomized controlled trial", "type" : "article-journal" }, "uris" : [ "http://www.mendeley.com/documents/?uuid=9714fa4c-abac-43e0-af61-16544e3f0c70" ] } ], "mendeley" : { "formattedCitation" : "[10]", "plainTextFormattedCitation" : "[10]", "previouslyFormattedCitation" : "[10]" }, "properties" : { "noteIndex" : 0 }, "schema" : "https://github.com/citation-style-language/schema/raw/master/csl-citation.json" }</w:instrText>
      </w:r>
      <w:r w:rsidRPr="00775C2E">
        <w:rPr>
          <w:rFonts w:ascii="Times New Roman" w:hAnsi="Times New Roman" w:cs="Times New Roman"/>
          <w:sz w:val="22"/>
        </w:rPr>
        <w:fldChar w:fldCharType="separate"/>
      </w:r>
      <w:r w:rsidRPr="00775C2E">
        <w:rPr>
          <w:rFonts w:ascii="Times New Roman" w:hAnsi="Times New Roman" w:cs="Times New Roman"/>
          <w:sz w:val="22"/>
        </w:rPr>
        <w:t>[10]</w:t>
      </w:r>
      <w:r w:rsidRPr="00775C2E">
        <w:rPr>
          <w:rFonts w:ascii="Times New Roman" w:hAnsi="Times New Roman" w:cs="Times New Roman"/>
          <w:sz w:val="22"/>
        </w:rPr>
        <w:fldChar w:fldCharType="end"/>
      </w:r>
      <w:r w:rsidRPr="00775C2E">
        <w:rPr>
          <w:rFonts w:ascii="Times New Roman" w:hAnsi="Times New Roman" w:cs="Times New Roman"/>
          <w:sz w:val="22"/>
        </w:rPr>
        <w:t xml:space="preserve">. However, there is limited evidence for the implementation of syphilis self-testing distribution models. In this study, we will test three syphilis testing models through social network distribution in a cluster randomized controlled trial. With the successful experience of HIVST secondary distribution and effectiveness of SST, we hypothesize that social network </w:t>
      </w:r>
      <w:r w:rsidRPr="00775C2E">
        <w:rPr>
          <w:rFonts w:ascii="Times New Roman" w:hAnsi="Times New Roman" w:cs="Times New Roman"/>
          <w:sz w:val="22"/>
        </w:rPr>
        <w:lastRenderedPageBreak/>
        <w:t xml:space="preserve">distribution of syphilis self-testing could increase the testing uptake among MSM in China. </w:t>
      </w:r>
    </w:p>
    <w:p w14:paraId="1CD6E4F5" w14:textId="77777777" w:rsidR="0081030B" w:rsidRPr="00775C2E" w:rsidRDefault="0081030B">
      <w:pPr>
        <w:spacing w:line="360" w:lineRule="auto"/>
        <w:rPr>
          <w:rFonts w:ascii="Times New Roman" w:hAnsi="Times New Roman" w:cs="Times New Roman"/>
          <w:sz w:val="22"/>
        </w:rPr>
      </w:pPr>
    </w:p>
    <w:p w14:paraId="7B1A5CF9"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This study examines the effectiveness of social network distribution on syphilis self-testing among MSM in China. Different from past studies on social network distribution, alters in our study could become secondary indexes. Alters of secondary indexes can become the next indexes as they wish. Our strategy may also empower MSM communities in expanding syphilis testing by using their own social networks. Participant recruitment will take place in facilities (community-based organization and specialist clinics), which offers better linkage to care for participants. </w:t>
      </w:r>
    </w:p>
    <w:p w14:paraId="3D6DB1B8" w14:textId="77777777" w:rsidR="0081030B" w:rsidRPr="00775C2E" w:rsidRDefault="0081030B">
      <w:pPr>
        <w:spacing w:line="360" w:lineRule="auto"/>
        <w:rPr>
          <w:rFonts w:ascii="Times New Roman" w:hAnsi="Times New Roman" w:cs="Times New Roman"/>
          <w:sz w:val="22"/>
        </w:rPr>
      </w:pPr>
    </w:p>
    <w:p w14:paraId="3447C406" w14:textId="77777777" w:rsidR="0081030B" w:rsidRPr="00775C2E" w:rsidRDefault="0067683D">
      <w:pPr>
        <w:spacing w:line="360" w:lineRule="auto"/>
        <w:rPr>
          <w:rFonts w:ascii="Times New Roman" w:hAnsi="Times New Roman" w:cs="Times New Roman"/>
          <w:sz w:val="22"/>
          <w:highlight w:val="yellow"/>
        </w:rPr>
      </w:pPr>
      <w:r w:rsidRPr="00775C2E">
        <w:rPr>
          <w:rFonts w:ascii="Times New Roman" w:hAnsi="Times New Roman" w:cs="Times New Roman"/>
          <w:sz w:val="22"/>
        </w:rPr>
        <w:t>Several challenges might emerge in the implementation of this study. First, adverse events such as forced testing, physical and verbal abuse among participants, being misunderstood during the delivery procedures</w:t>
      </w:r>
      <w:r w:rsidRPr="00775C2E">
        <w:rPr>
          <w:rStyle w:val="CommentReference"/>
          <w:rFonts w:ascii="Times New Roman" w:hAnsi="Times New Roman" w:cs="Times New Roman"/>
          <w:sz w:val="22"/>
          <w:szCs w:val="22"/>
        </w:rPr>
        <w:t xml:space="preserve"> </w:t>
      </w:r>
      <w:r w:rsidRPr="00775C2E">
        <w:rPr>
          <w:rFonts w:ascii="Times New Roman" w:hAnsi="Times New Roman" w:cs="Times New Roman"/>
          <w:sz w:val="22"/>
        </w:rPr>
        <w:t xml:space="preserve">may occur. The findings of these questions will provide insights to design better syphilis self-testing support. Second, existing intervention delivery cannot guarantee all three packages or links are distributed. To encourage distribution, indexes will receive 3 USD for each successful distribution. In addition, we will try to understand why indexes fail to distribute any or partial packages via our survey. This information will help to improve current distribution models. Third, we ask for a refundable deposit in the SST arm if indexes wish to apply for SST packages again or secondary indexes wish to apply for SST packages. This might greatly discourage participation. For future studies, we need to discuss whether or not we should keep using this refundable deposit or adjust the amount if recruitment needs to be expanded. Lastly, though we used an objective measure for our primary outcome (photo verified syphilis testing results), there is a possibility that we underestimate the number of alters testing for syphilis if they don’t upload their testing results. We try to mitigate this by offering alters monetary incentives after their testing result is verified by a research assistant. </w:t>
      </w:r>
    </w:p>
    <w:p w14:paraId="4037EE66" w14:textId="77777777" w:rsidR="0081030B" w:rsidRPr="00775C2E" w:rsidRDefault="0081030B">
      <w:pPr>
        <w:spacing w:line="360" w:lineRule="auto"/>
        <w:rPr>
          <w:rFonts w:ascii="Times New Roman" w:hAnsi="Times New Roman" w:cs="Times New Roman"/>
          <w:sz w:val="22"/>
        </w:rPr>
      </w:pPr>
    </w:p>
    <w:p w14:paraId="3CC19F30"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There are some limitations in this study. First, recruitment takes places in specialist hospitals and local CBOs. This will exclude individuals who are less likely to attend these recruitment sites, leading to sample bias. Second, we use data from treponemal test results, which might overlook testers’ treatment history and clinical data that help differentiate new and old cases. </w:t>
      </w:r>
    </w:p>
    <w:p w14:paraId="6B04CFFF" w14:textId="77777777" w:rsidR="0081030B" w:rsidRPr="00775C2E" w:rsidRDefault="0081030B">
      <w:pPr>
        <w:spacing w:line="360" w:lineRule="auto"/>
        <w:rPr>
          <w:rFonts w:ascii="Times New Roman" w:hAnsi="Times New Roman" w:cs="Times New Roman"/>
          <w:sz w:val="22"/>
        </w:rPr>
      </w:pPr>
    </w:p>
    <w:p w14:paraId="32AC687E"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In conclusion, this study will provide data on optimizing syphilis self-testing programs to increase syphilis testing uptake and earlier syphilis diagnosis among MSM in China.</w:t>
      </w:r>
    </w:p>
    <w:p w14:paraId="1B31712F" w14:textId="77777777" w:rsidR="0081030B" w:rsidRPr="00775C2E" w:rsidRDefault="0081030B">
      <w:pPr>
        <w:spacing w:line="360" w:lineRule="auto"/>
        <w:rPr>
          <w:rFonts w:ascii="Times New Roman" w:hAnsi="Times New Roman" w:cs="Times New Roman"/>
          <w:sz w:val="22"/>
        </w:rPr>
      </w:pPr>
    </w:p>
    <w:p w14:paraId="52CFCF85" w14:textId="77777777" w:rsidR="0081030B" w:rsidRPr="00775C2E" w:rsidRDefault="0067683D">
      <w:pPr>
        <w:spacing w:line="360" w:lineRule="auto"/>
        <w:rPr>
          <w:rStyle w:val="CommentReference"/>
          <w:rFonts w:ascii="Times New Roman" w:hAnsi="Times New Roman" w:cs="Times New Roman"/>
          <w:sz w:val="22"/>
          <w:szCs w:val="22"/>
        </w:rPr>
      </w:pPr>
      <w:r w:rsidRPr="00775C2E">
        <w:rPr>
          <w:rFonts w:ascii="Times New Roman" w:hAnsi="Times New Roman" w:cs="Times New Roman"/>
          <w:b/>
          <w:bCs/>
          <w:sz w:val="22"/>
        </w:rPr>
        <w:t xml:space="preserve">List of </w:t>
      </w:r>
      <w:bookmarkStart w:id="60" w:name="OLE_LINK1"/>
      <w:r w:rsidRPr="00775C2E">
        <w:rPr>
          <w:rFonts w:ascii="Times New Roman" w:hAnsi="Times New Roman" w:cs="Times New Roman"/>
          <w:b/>
          <w:bCs/>
          <w:sz w:val="22"/>
        </w:rPr>
        <w:t>abbreviations</w:t>
      </w:r>
      <w:bookmarkEnd w:id="60"/>
    </w:p>
    <w:p w14:paraId="09590B0B"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CBO: Community-based organization; CEA: Cost-effectiveness analysis; </w:t>
      </w:r>
      <w:proofErr w:type="spellStart"/>
      <w:r w:rsidRPr="00775C2E">
        <w:rPr>
          <w:rFonts w:ascii="Times New Roman" w:hAnsi="Times New Roman" w:cs="Times New Roman"/>
          <w:sz w:val="22"/>
        </w:rPr>
        <w:t>cRCT</w:t>
      </w:r>
      <w:proofErr w:type="spellEnd"/>
      <w:r w:rsidRPr="00775C2E">
        <w:rPr>
          <w:rFonts w:ascii="Times New Roman" w:hAnsi="Times New Roman" w:cs="Times New Roman"/>
          <w:sz w:val="22"/>
        </w:rPr>
        <w:t>: cluster randomized controlled trial; HIV: Human immunodeficiency viruses; HIVST: HIV self-testing; LGBT: Lesbian, gay, bisexual, and transgender; LMICs: Low- and middle-income countries; MSM: Men who have sex with men; POC: Point-of-Care; SST: Syphilis self-testing; STI: Sexually transmitted infection; VCT: Voluntary counselling and testing; WHO: World Health Organization.</w:t>
      </w:r>
    </w:p>
    <w:p w14:paraId="380963C9" w14:textId="77777777" w:rsidR="0081030B" w:rsidRPr="00775C2E" w:rsidRDefault="0081030B">
      <w:pPr>
        <w:spacing w:line="360" w:lineRule="auto"/>
        <w:rPr>
          <w:rFonts w:ascii="Times New Roman" w:hAnsi="Times New Roman" w:cs="Times New Roman"/>
          <w:sz w:val="22"/>
        </w:rPr>
      </w:pPr>
    </w:p>
    <w:p w14:paraId="5B45F819"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Ethical statement</w:t>
      </w:r>
    </w:p>
    <w:p w14:paraId="264BCE5F" w14:textId="77777777" w:rsidR="0081030B" w:rsidRPr="00775C2E" w:rsidRDefault="0067683D">
      <w:pPr>
        <w:spacing w:line="360" w:lineRule="auto"/>
        <w:rPr>
          <w:rStyle w:val="fontstyle01"/>
          <w:rFonts w:ascii="Times New Roman" w:hAnsi="Times New Roman" w:cs="Times New Roman"/>
          <w:color w:val="000000" w:themeColor="text1"/>
          <w:sz w:val="22"/>
          <w:szCs w:val="22"/>
        </w:rPr>
      </w:pPr>
      <w:r w:rsidRPr="00775C2E">
        <w:rPr>
          <w:rStyle w:val="fontstyle01"/>
          <w:rFonts w:ascii="Times New Roman" w:hAnsi="Times New Roman" w:cs="Times New Roman"/>
          <w:color w:val="000000" w:themeColor="text1"/>
          <w:sz w:val="22"/>
          <w:szCs w:val="22"/>
        </w:rPr>
        <w:t>Institutional Review Board (IRB) approval has been obtained from Southern Medical University Guangdong Provincial Center for Skin Diseases</w:t>
      </w:r>
      <w:r w:rsidRPr="00775C2E">
        <w:rPr>
          <w:rFonts w:ascii="Times New Roman" w:hAnsi="Times New Roman" w:cs="Times New Roman"/>
          <w:color w:val="000000" w:themeColor="text1"/>
          <w:sz w:val="22"/>
        </w:rPr>
        <w:t xml:space="preserve"> </w:t>
      </w:r>
      <w:r w:rsidRPr="00775C2E">
        <w:rPr>
          <w:rStyle w:val="fontstyle01"/>
          <w:rFonts w:ascii="Times New Roman" w:hAnsi="Times New Roman" w:cs="Times New Roman"/>
          <w:color w:val="000000" w:themeColor="text1"/>
          <w:sz w:val="22"/>
          <w:szCs w:val="22"/>
        </w:rPr>
        <w:t>and STI Control institutional ethical review board prior to study enrollment. All participants will provide consent prior to</w:t>
      </w:r>
      <w:r w:rsidRPr="00775C2E">
        <w:rPr>
          <w:rFonts w:ascii="Times New Roman" w:hAnsi="Times New Roman" w:cs="Times New Roman"/>
          <w:color w:val="000000" w:themeColor="text1"/>
          <w:sz w:val="22"/>
        </w:rPr>
        <w:t xml:space="preserve"> </w:t>
      </w:r>
      <w:r w:rsidRPr="00775C2E">
        <w:rPr>
          <w:rStyle w:val="fontstyle01"/>
          <w:rFonts w:ascii="Times New Roman" w:hAnsi="Times New Roman" w:cs="Times New Roman"/>
          <w:color w:val="000000" w:themeColor="text1"/>
          <w:sz w:val="22"/>
          <w:szCs w:val="22"/>
        </w:rPr>
        <w:t xml:space="preserve">taking part in the study. </w:t>
      </w:r>
    </w:p>
    <w:p w14:paraId="4538CC95" w14:textId="77777777" w:rsidR="0081030B" w:rsidRPr="00775C2E" w:rsidRDefault="0081030B">
      <w:pPr>
        <w:spacing w:line="360" w:lineRule="auto"/>
        <w:rPr>
          <w:rFonts w:ascii="Times New Roman" w:hAnsi="Times New Roman" w:cs="Times New Roman"/>
          <w:b/>
          <w:bCs/>
          <w:color w:val="000000" w:themeColor="text1"/>
          <w:sz w:val="22"/>
          <w:highlight w:val="yellow"/>
        </w:rPr>
      </w:pPr>
    </w:p>
    <w:p w14:paraId="2F0D4134"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Consent for publication</w:t>
      </w:r>
    </w:p>
    <w:p w14:paraId="2A8B2FE6"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Not applicable</w:t>
      </w:r>
    </w:p>
    <w:p w14:paraId="38B95363" w14:textId="77777777" w:rsidR="0081030B" w:rsidRPr="00775C2E" w:rsidRDefault="0081030B">
      <w:pPr>
        <w:spacing w:line="360" w:lineRule="auto"/>
        <w:rPr>
          <w:rFonts w:ascii="Times New Roman" w:hAnsi="Times New Roman" w:cs="Times New Roman"/>
          <w:b/>
          <w:bCs/>
          <w:sz w:val="22"/>
        </w:rPr>
      </w:pPr>
    </w:p>
    <w:p w14:paraId="38C0C5B9"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Availability of data and materials</w:t>
      </w:r>
    </w:p>
    <w:p w14:paraId="566E0BFE"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Not applicable.</w:t>
      </w:r>
    </w:p>
    <w:p w14:paraId="56CEFB8B" w14:textId="77777777" w:rsidR="0081030B" w:rsidRPr="00775C2E" w:rsidRDefault="0081030B">
      <w:pPr>
        <w:spacing w:line="360" w:lineRule="auto"/>
        <w:rPr>
          <w:rFonts w:ascii="Times New Roman" w:hAnsi="Times New Roman" w:cs="Times New Roman"/>
          <w:sz w:val="22"/>
        </w:rPr>
      </w:pPr>
    </w:p>
    <w:p w14:paraId="5D94EF64"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Competing interests</w:t>
      </w:r>
    </w:p>
    <w:p w14:paraId="35B0BEBF"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The authors declare that they have no competing interests.</w:t>
      </w:r>
    </w:p>
    <w:p w14:paraId="5892830C" w14:textId="77777777" w:rsidR="0081030B" w:rsidRPr="00775C2E" w:rsidRDefault="0081030B">
      <w:pPr>
        <w:spacing w:line="360" w:lineRule="auto"/>
        <w:rPr>
          <w:rFonts w:ascii="Times New Roman" w:hAnsi="Times New Roman" w:cs="Times New Roman"/>
          <w:sz w:val="22"/>
        </w:rPr>
      </w:pPr>
    </w:p>
    <w:p w14:paraId="07BA3F26"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Funding</w:t>
      </w:r>
    </w:p>
    <w:p w14:paraId="0F155BD7" w14:textId="77777777" w:rsidR="0081030B" w:rsidRPr="00775C2E" w:rsidRDefault="0067683D">
      <w:pPr>
        <w:spacing w:line="360" w:lineRule="auto"/>
        <w:rPr>
          <w:rFonts w:ascii="Times New Roman" w:hAnsi="Times New Roman" w:cs="Times New Roman"/>
          <w:color w:val="000000" w:themeColor="text1"/>
          <w:sz w:val="22"/>
        </w:rPr>
      </w:pPr>
      <w:r w:rsidRPr="00775C2E">
        <w:rPr>
          <w:rFonts w:ascii="Times New Roman" w:hAnsi="Times New Roman" w:cs="Times New Roman"/>
          <w:color w:val="000000" w:themeColor="text1"/>
          <w:sz w:val="22"/>
        </w:rPr>
        <w:t xml:space="preserve">This study received support from the National Natural Science Foundation of China (81772240), Guangdong Medical Research Foundation (A2019402, A2019524). </w:t>
      </w:r>
      <w:r w:rsidRPr="00775C2E">
        <w:rPr>
          <w:rStyle w:val="fontstyle01"/>
          <w:rFonts w:ascii="Times New Roman" w:hAnsi="Times New Roman" w:cs="Times New Roman"/>
          <w:color w:val="000000" w:themeColor="text1"/>
          <w:sz w:val="22"/>
          <w:szCs w:val="22"/>
        </w:rPr>
        <w:t>The funders had no role in study design, data collection,</w:t>
      </w:r>
      <w:r w:rsidRPr="00775C2E">
        <w:rPr>
          <w:rFonts w:ascii="Times New Roman" w:hAnsi="Times New Roman" w:cs="Times New Roman"/>
          <w:color w:val="000000" w:themeColor="text1"/>
          <w:sz w:val="22"/>
        </w:rPr>
        <w:t xml:space="preserve"> </w:t>
      </w:r>
      <w:r w:rsidRPr="00775C2E">
        <w:rPr>
          <w:rStyle w:val="fontstyle01"/>
          <w:rFonts w:ascii="Times New Roman" w:hAnsi="Times New Roman" w:cs="Times New Roman"/>
          <w:color w:val="000000" w:themeColor="text1"/>
          <w:sz w:val="22"/>
          <w:szCs w:val="22"/>
        </w:rPr>
        <w:t xml:space="preserve">and analysis, </w:t>
      </w:r>
      <w:r w:rsidRPr="00775C2E">
        <w:rPr>
          <w:rStyle w:val="fontstyle01"/>
          <w:rFonts w:ascii="Times New Roman" w:hAnsi="Times New Roman" w:cs="Times New Roman"/>
          <w:color w:val="000000" w:themeColor="text1"/>
          <w:sz w:val="22"/>
          <w:szCs w:val="22"/>
        </w:rPr>
        <w:lastRenderedPageBreak/>
        <w:t>decision to publish, or preparation of the manuscript. The authors</w:t>
      </w:r>
      <w:r w:rsidRPr="00775C2E">
        <w:rPr>
          <w:rFonts w:ascii="Times New Roman" w:hAnsi="Times New Roman" w:cs="Times New Roman"/>
          <w:color w:val="000000" w:themeColor="text1"/>
          <w:sz w:val="22"/>
        </w:rPr>
        <w:t xml:space="preserve"> </w:t>
      </w:r>
      <w:r w:rsidRPr="00775C2E">
        <w:rPr>
          <w:rStyle w:val="fontstyle01"/>
          <w:rFonts w:ascii="Times New Roman" w:hAnsi="Times New Roman" w:cs="Times New Roman"/>
          <w:color w:val="000000" w:themeColor="text1"/>
          <w:sz w:val="22"/>
          <w:szCs w:val="22"/>
        </w:rPr>
        <w:t>thank all people who contributed to this study</w:t>
      </w:r>
    </w:p>
    <w:p w14:paraId="41710213" w14:textId="77777777" w:rsidR="0081030B" w:rsidRPr="00775C2E" w:rsidRDefault="0081030B">
      <w:pPr>
        <w:spacing w:line="360" w:lineRule="auto"/>
        <w:rPr>
          <w:rFonts w:ascii="Times New Roman" w:hAnsi="Times New Roman" w:cs="Times New Roman"/>
          <w:sz w:val="22"/>
        </w:rPr>
      </w:pPr>
    </w:p>
    <w:p w14:paraId="27696ADF"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Authors' contributions</w:t>
      </w:r>
    </w:p>
    <w:p w14:paraId="1235A9EE"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color w:val="131413"/>
          <w:sz w:val="22"/>
        </w:rPr>
        <w:t xml:space="preserve">WC, WYJ, ZW conceived the study. WYJ, ZW, BDP led pilot and implementation optimization. WYJ and YRX provided statistical expertise. WYJ, ZW, BDP recruited participants. WC, JT, JO provided oversight. WYJ, ZW and BDP wrote initial draft of the paper. WYJ and ZW revised and finalized the paper with inputs from WC, JT and JO. All authors read and authorized the final version. </w:t>
      </w:r>
    </w:p>
    <w:p w14:paraId="2FC4DCCA"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Acknowledgements</w:t>
      </w:r>
    </w:p>
    <w:p w14:paraId="2E56F63E" w14:textId="77777777" w:rsidR="0081030B" w:rsidRPr="00775C2E" w:rsidRDefault="0067683D">
      <w:pPr>
        <w:spacing w:line="360" w:lineRule="auto"/>
        <w:rPr>
          <w:rFonts w:ascii="Times New Roman" w:hAnsi="Times New Roman" w:cs="Times New Roman"/>
          <w:color w:val="000000" w:themeColor="text1"/>
          <w:sz w:val="22"/>
        </w:rPr>
      </w:pPr>
      <w:r w:rsidRPr="00775C2E">
        <w:rPr>
          <w:rStyle w:val="fontstyle01"/>
          <w:rFonts w:ascii="Times New Roman" w:hAnsi="Times New Roman" w:cs="Times New Roman"/>
          <w:color w:val="000000" w:themeColor="text1"/>
          <w:sz w:val="22"/>
          <w:szCs w:val="22"/>
        </w:rPr>
        <w:t xml:space="preserve">We thank all study participants, CBO volunteers, </w:t>
      </w:r>
      <w:proofErr w:type="spellStart"/>
      <w:r w:rsidRPr="00775C2E">
        <w:rPr>
          <w:rFonts w:ascii="Times New Roman" w:hAnsi="Times New Roman" w:cs="Times New Roman"/>
          <w:color w:val="000000" w:themeColor="text1"/>
          <w:sz w:val="22"/>
        </w:rPr>
        <w:t>Xinghuo</w:t>
      </w:r>
      <w:proofErr w:type="spellEnd"/>
      <w:r w:rsidRPr="00775C2E">
        <w:rPr>
          <w:rFonts w:ascii="Times New Roman" w:hAnsi="Times New Roman" w:cs="Times New Roman"/>
          <w:color w:val="000000" w:themeColor="text1"/>
          <w:sz w:val="22"/>
        </w:rPr>
        <w:t xml:space="preserve"> LGBT Center, Friends Care Center, Rainbow Center, </w:t>
      </w:r>
      <w:r w:rsidRPr="00775C2E">
        <w:rPr>
          <w:rStyle w:val="fontstyle01"/>
          <w:rFonts w:ascii="Times New Roman" w:hAnsi="Times New Roman" w:cs="Times New Roman"/>
          <w:color w:val="000000" w:themeColor="text1"/>
          <w:sz w:val="22"/>
          <w:szCs w:val="22"/>
        </w:rPr>
        <w:t>and Southern Medical University Guangdong Provincial Center</w:t>
      </w:r>
      <w:r w:rsidRPr="00775C2E">
        <w:rPr>
          <w:rFonts w:ascii="Times New Roman" w:hAnsi="Times New Roman" w:cs="Times New Roman"/>
          <w:color w:val="000000" w:themeColor="text1"/>
          <w:sz w:val="22"/>
        </w:rPr>
        <w:t xml:space="preserve"> </w:t>
      </w:r>
      <w:r w:rsidRPr="00775C2E">
        <w:rPr>
          <w:rStyle w:val="fontstyle01"/>
          <w:rFonts w:ascii="Times New Roman" w:hAnsi="Times New Roman" w:cs="Times New Roman"/>
          <w:color w:val="000000" w:themeColor="text1"/>
          <w:sz w:val="22"/>
          <w:szCs w:val="22"/>
        </w:rPr>
        <w:t>for Skin Diseases and STI Control who contributed.</w:t>
      </w:r>
    </w:p>
    <w:p w14:paraId="59317F97" w14:textId="77777777" w:rsidR="0081030B" w:rsidRPr="00775C2E" w:rsidRDefault="0081030B">
      <w:pPr>
        <w:spacing w:line="360" w:lineRule="auto"/>
        <w:rPr>
          <w:rFonts w:ascii="Times New Roman" w:hAnsi="Times New Roman" w:cs="Times New Roman"/>
          <w:sz w:val="22"/>
        </w:rPr>
      </w:pPr>
    </w:p>
    <w:p w14:paraId="5AF8A03E"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Trial status</w:t>
      </w:r>
    </w:p>
    <w:p w14:paraId="0F2842F1"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At the time of writing this protocol, RCT recruitment and data collection are ongoing. Statistical analysis has not begun. The recruitment aims to conclude by December 15, 2020 and the follow-up will be finished by February 2021. The study has been registered with the Chinese Clinical Trial Registry (trial ID ChiCTR2000036988). Ethic approval has been obtained from Southern Medical University Dermatology Hospital. The trial protocol conforms to the Standard Protocol Items: Recommendation for Interventional Trials (SPIRIT) 2013 statement.</w:t>
      </w:r>
    </w:p>
    <w:p w14:paraId="169CD7EB" w14:textId="77777777" w:rsidR="0081030B" w:rsidRPr="00775C2E" w:rsidRDefault="0067683D">
      <w:pPr>
        <w:widowControl/>
        <w:jc w:val="left"/>
        <w:rPr>
          <w:rFonts w:ascii="Times New Roman" w:hAnsi="Times New Roman" w:cs="Times New Roman"/>
          <w:sz w:val="22"/>
        </w:rPr>
      </w:pPr>
      <w:r w:rsidRPr="00775C2E">
        <w:rPr>
          <w:rFonts w:ascii="Times New Roman" w:hAnsi="Times New Roman" w:cs="Times New Roman"/>
          <w:sz w:val="22"/>
        </w:rPr>
        <w:br w:type="page"/>
      </w:r>
    </w:p>
    <w:p w14:paraId="1A1406F9" w14:textId="77777777" w:rsidR="0081030B" w:rsidRPr="00775C2E" w:rsidRDefault="0067683D">
      <w:pPr>
        <w:spacing w:line="360" w:lineRule="auto"/>
        <w:rPr>
          <w:rFonts w:ascii="Times New Roman" w:hAnsi="Times New Roman" w:cs="Times New Roman"/>
          <w:b/>
          <w:color w:val="000000"/>
          <w:sz w:val="22"/>
        </w:rPr>
      </w:pPr>
      <w:r w:rsidRPr="00775C2E">
        <w:rPr>
          <w:rFonts w:ascii="Times New Roman" w:hAnsi="Times New Roman" w:cs="Times New Roman"/>
          <w:b/>
          <w:color w:val="000000"/>
          <w:sz w:val="22"/>
        </w:rPr>
        <w:lastRenderedPageBreak/>
        <w:t>Table 1 Group information</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953"/>
        <w:gridCol w:w="5228"/>
      </w:tblGrid>
      <w:tr w:rsidR="0081030B" w:rsidRPr="00775C2E" w14:paraId="5C140264" w14:textId="77777777">
        <w:trPr>
          <w:trHeight w:val="528"/>
          <w:jc w:val="center"/>
        </w:trPr>
        <w:tc>
          <w:tcPr>
            <w:tcW w:w="498" w:type="pct"/>
          </w:tcPr>
          <w:p w14:paraId="0D5C4591" w14:textId="77777777" w:rsidR="0081030B" w:rsidRPr="00775C2E" w:rsidRDefault="0067683D">
            <w:pPr>
              <w:spacing w:line="360" w:lineRule="auto"/>
              <w:jc w:val="center"/>
              <w:rPr>
                <w:rFonts w:ascii="Times New Roman" w:hAnsi="Times New Roman" w:cs="Times New Roman"/>
                <w:b/>
                <w:color w:val="000000"/>
                <w:sz w:val="22"/>
              </w:rPr>
            </w:pPr>
            <w:r w:rsidRPr="00775C2E">
              <w:rPr>
                <w:rFonts w:ascii="Times New Roman" w:hAnsi="Times New Roman" w:cs="Times New Roman"/>
                <w:b/>
                <w:color w:val="000000"/>
                <w:sz w:val="22"/>
              </w:rPr>
              <w:t>Arm</w:t>
            </w:r>
          </w:p>
        </w:tc>
        <w:tc>
          <w:tcPr>
            <w:tcW w:w="1941" w:type="pct"/>
          </w:tcPr>
          <w:p w14:paraId="27E58D9D" w14:textId="77777777" w:rsidR="0081030B" w:rsidRPr="00775C2E" w:rsidRDefault="0067683D">
            <w:pPr>
              <w:spacing w:line="360" w:lineRule="auto"/>
              <w:jc w:val="center"/>
              <w:rPr>
                <w:rFonts w:ascii="Times New Roman" w:hAnsi="Times New Roman" w:cs="Times New Roman"/>
                <w:b/>
                <w:color w:val="000000"/>
                <w:sz w:val="22"/>
              </w:rPr>
            </w:pPr>
            <w:r w:rsidRPr="00775C2E">
              <w:rPr>
                <w:rFonts w:ascii="Times New Roman" w:hAnsi="Times New Roman" w:cs="Times New Roman"/>
                <w:b/>
                <w:color w:val="000000"/>
                <w:sz w:val="22"/>
              </w:rPr>
              <w:t>Intervention</w:t>
            </w:r>
          </w:p>
        </w:tc>
        <w:tc>
          <w:tcPr>
            <w:tcW w:w="2560" w:type="pct"/>
          </w:tcPr>
          <w:p w14:paraId="2C7693E2" w14:textId="77777777" w:rsidR="0081030B" w:rsidRPr="00775C2E" w:rsidRDefault="0067683D">
            <w:pPr>
              <w:spacing w:line="360" w:lineRule="auto"/>
              <w:jc w:val="center"/>
              <w:rPr>
                <w:rFonts w:ascii="Times New Roman" w:hAnsi="Times New Roman" w:cs="Times New Roman"/>
                <w:b/>
                <w:color w:val="000000"/>
                <w:sz w:val="22"/>
              </w:rPr>
            </w:pPr>
            <w:r w:rsidRPr="00775C2E">
              <w:rPr>
                <w:rFonts w:ascii="Times New Roman" w:hAnsi="Times New Roman" w:cs="Times New Roman"/>
                <w:b/>
                <w:color w:val="000000"/>
                <w:sz w:val="22"/>
              </w:rPr>
              <w:t>Intervention delivery</w:t>
            </w:r>
          </w:p>
        </w:tc>
      </w:tr>
      <w:tr w:rsidR="0081030B" w:rsidRPr="00775C2E" w14:paraId="6D98877F" w14:textId="77777777">
        <w:trPr>
          <w:trHeight w:val="3358"/>
          <w:jc w:val="center"/>
        </w:trPr>
        <w:tc>
          <w:tcPr>
            <w:tcW w:w="498" w:type="pct"/>
          </w:tcPr>
          <w:p w14:paraId="06ACA680"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Standard of care arm</w:t>
            </w:r>
          </w:p>
        </w:tc>
        <w:tc>
          <w:tcPr>
            <w:tcW w:w="1941" w:type="pct"/>
          </w:tcPr>
          <w:p w14:paraId="287C2CC1"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1. </w:t>
            </w:r>
            <w:r w:rsidRPr="00775C2E">
              <w:rPr>
                <w:rFonts w:ascii="Times New Roman" w:hAnsi="Times New Roman" w:cs="Times New Roman"/>
                <w:b/>
                <w:bCs/>
                <w:sz w:val="22"/>
              </w:rPr>
              <w:t>Information card</w:t>
            </w:r>
            <w:r w:rsidRPr="00775C2E">
              <w:rPr>
                <w:rFonts w:ascii="Times New Roman" w:hAnsi="Times New Roman" w:cs="Times New Roman"/>
                <w:sz w:val="22"/>
              </w:rPr>
              <w:t>: the risk of acquiring syphilis, the importance of screening for syphilis, resources of three local syphilis test and linkage to care service sites, and a link of national syphilis VCT sites.</w:t>
            </w:r>
          </w:p>
          <w:p w14:paraId="3ECDC10E"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2. </w:t>
            </w:r>
            <w:r w:rsidRPr="00775C2E">
              <w:rPr>
                <w:rFonts w:ascii="Times New Roman" w:hAnsi="Times New Roman" w:cs="Times New Roman"/>
                <w:b/>
                <w:bCs/>
                <w:sz w:val="22"/>
              </w:rPr>
              <w:t>Peer notification card</w:t>
            </w:r>
            <w:r w:rsidRPr="00775C2E">
              <w:rPr>
                <w:rFonts w:ascii="Times New Roman" w:hAnsi="Times New Roman" w:cs="Times New Roman"/>
                <w:sz w:val="22"/>
              </w:rPr>
              <w:t>: social network distribution of notification card and encouragement of syphilis testing.</w:t>
            </w:r>
          </w:p>
          <w:p w14:paraId="767400DD"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3. </w:t>
            </w:r>
            <w:r w:rsidRPr="00775C2E">
              <w:rPr>
                <w:rFonts w:ascii="Times New Roman" w:hAnsi="Times New Roman" w:cs="Times New Roman"/>
                <w:b/>
                <w:bCs/>
                <w:sz w:val="22"/>
              </w:rPr>
              <w:t>Result report card</w:t>
            </w:r>
          </w:p>
        </w:tc>
        <w:tc>
          <w:tcPr>
            <w:tcW w:w="2560" w:type="pct"/>
          </w:tcPr>
          <w:p w14:paraId="5B5202C3" w14:textId="77777777" w:rsidR="0081030B" w:rsidRPr="00775C2E" w:rsidRDefault="0067683D">
            <w:pPr>
              <w:spacing w:line="360" w:lineRule="auto"/>
              <w:rPr>
                <w:rFonts w:ascii="Times New Roman" w:hAnsi="Times New Roman" w:cs="Times New Roman"/>
                <w:sz w:val="22"/>
              </w:rPr>
            </w:pPr>
            <w:bookmarkStart w:id="61" w:name="_Hlk45111993"/>
            <w:r w:rsidRPr="00775C2E">
              <w:rPr>
                <w:rFonts w:ascii="Times New Roman" w:hAnsi="Times New Roman" w:cs="Times New Roman"/>
                <w:sz w:val="22"/>
              </w:rPr>
              <w:t xml:space="preserve">1. Each index will receive 3 information packages at enrollment, and distribute packages to 3 alters. Maximum </w:t>
            </w:r>
            <w:r w:rsidRPr="00775C2E">
              <w:rPr>
                <w:rFonts w:ascii="Times New Roman" w:hAnsi="Times New Roman" w:cs="Times New Roman"/>
                <w:b/>
                <w:bCs/>
                <w:sz w:val="22"/>
              </w:rPr>
              <w:t>ONE</w:t>
            </w:r>
            <w:r w:rsidRPr="00775C2E">
              <w:rPr>
                <w:rFonts w:ascii="Times New Roman" w:hAnsi="Times New Roman" w:cs="Times New Roman"/>
                <w:sz w:val="22"/>
              </w:rPr>
              <w:t xml:space="preserve"> package per </w:t>
            </w:r>
            <w:proofErr w:type="gramStart"/>
            <w:r w:rsidRPr="00775C2E">
              <w:rPr>
                <w:rFonts w:ascii="Times New Roman" w:hAnsi="Times New Roman" w:cs="Times New Roman"/>
                <w:sz w:val="22"/>
              </w:rPr>
              <w:t>alter</w:t>
            </w:r>
            <w:proofErr w:type="gramEnd"/>
            <w:r w:rsidRPr="00775C2E">
              <w:rPr>
                <w:rFonts w:ascii="Times New Roman" w:hAnsi="Times New Roman" w:cs="Times New Roman"/>
                <w:sz w:val="22"/>
              </w:rPr>
              <w:t>.</w:t>
            </w:r>
          </w:p>
          <w:p w14:paraId="7440E301"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2. Each alter who returns his testing result and completes a survey can receive 3 USD and heir matched index will also receive an extra 3 USD.</w:t>
            </w:r>
          </w:p>
          <w:p w14:paraId="78519A57"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3. Each index can apply for </w:t>
            </w:r>
            <w:bookmarkStart w:id="62" w:name="_Hlk45121452"/>
            <w:r w:rsidRPr="00775C2E">
              <w:rPr>
                <w:rFonts w:ascii="Times New Roman" w:hAnsi="Times New Roman" w:cs="Times New Roman"/>
                <w:sz w:val="22"/>
              </w:rPr>
              <w:t>additional 3 packages when all his 3 alters return testing results.</w:t>
            </w:r>
            <w:bookmarkEnd w:id="61"/>
            <w:bookmarkEnd w:id="62"/>
          </w:p>
          <w:p w14:paraId="6D9AFAE8"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4. Each eligible “secondary index” can apply for 3 information packages to distribute to his alters.</w:t>
            </w:r>
          </w:p>
        </w:tc>
      </w:tr>
      <w:tr w:rsidR="0081030B" w:rsidRPr="00775C2E" w14:paraId="1B08029B" w14:textId="77777777">
        <w:trPr>
          <w:trHeight w:val="3392"/>
          <w:jc w:val="center"/>
        </w:trPr>
        <w:tc>
          <w:tcPr>
            <w:tcW w:w="498" w:type="pct"/>
          </w:tcPr>
          <w:p w14:paraId="0F92FEA9"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t>Standard SST delivery arm</w:t>
            </w:r>
          </w:p>
        </w:tc>
        <w:tc>
          <w:tcPr>
            <w:tcW w:w="1941" w:type="pct"/>
          </w:tcPr>
          <w:p w14:paraId="1540660D"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1. </w:t>
            </w:r>
            <w:r w:rsidRPr="00775C2E">
              <w:rPr>
                <w:rFonts w:ascii="Times New Roman" w:hAnsi="Times New Roman" w:cs="Times New Roman"/>
                <w:b/>
                <w:bCs/>
                <w:sz w:val="22"/>
              </w:rPr>
              <w:t>Information card</w:t>
            </w:r>
            <w:r w:rsidRPr="00775C2E">
              <w:rPr>
                <w:rFonts w:ascii="Times New Roman" w:hAnsi="Times New Roman" w:cs="Times New Roman"/>
                <w:sz w:val="22"/>
              </w:rPr>
              <w:t>: the risk of acquiring syphilis, the importance of screening for syphilis, resources of three local syphilis test and linkage to care service sites, and a link of national syphilis VCT sites.</w:t>
            </w:r>
          </w:p>
          <w:p w14:paraId="6297AD3A"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2. </w:t>
            </w:r>
            <w:r w:rsidRPr="00775C2E">
              <w:rPr>
                <w:rFonts w:ascii="Times New Roman" w:hAnsi="Times New Roman" w:cs="Times New Roman"/>
                <w:b/>
                <w:bCs/>
                <w:sz w:val="22"/>
              </w:rPr>
              <w:t>SST kit package</w:t>
            </w:r>
            <w:r w:rsidRPr="00775C2E">
              <w:rPr>
                <w:rFonts w:ascii="Times New Roman" w:hAnsi="Times New Roman" w:cs="Times New Roman"/>
                <w:sz w:val="22"/>
              </w:rPr>
              <w:t>: social network distribution of SST kit package and encouragement of SST.</w:t>
            </w:r>
          </w:p>
          <w:p w14:paraId="6FDD8639"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3. </w:t>
            </w:r>
            <w:r w:rsidRPr="00775C2E">
              <w:rPr>
                <w:rFonts w:ascii="Times New Roman" w:hAnsi="Times New Roman" w:cs="Times New Roman"/>
                <w:b/>
                <w:bCs/>
                <w:sz w:val="22"/>
              </w:rPr>
              <w:t>Result report card</w:t>
            </w:r>
          </w:p>
        </w:tc>
        <w:tc>
          <w:tcPr>
            <w:tcW w:w="2560" w:type="pct"/>
          </w:tcPr>
          <w:p w14:paraId="20733816"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1. Each index will receive 3 SST packages at enrollment, and distribute packages to 3 alters. Maximum </w:t>
            </w:r>
            <w:r w:rsidRPr="00775C2E">
              <w:rPr>
                <w:rFonts w:ascii="Times New Roman" w:hAnsi="Times New Roman" w:cs="Times New Roman"/>
                <w:b/>
                <w:bCs/>
                <w:sz w:val="22"/>
              </w:rPr>
              <w:t>ONE</w:t>
            </w:r>
            <w:r w:rsidRPr="00775C2E">
              <w:rPr>
                <w:rFonts w:ascii="Times New Roman" w:hAnsi="Times New Roman" w:cs="Times New Roman"/>
                <w:sz w:val="22"/>
              </w:rPr>
              <w:t xml:space="preserve"> package per </w:t>
            </w:r>
            <w:proofErr w:type="gramStart"/>
            <w:r w:rsidRPr="00775C2E">
              <w:rPr>
                <w:rFonts w:ascii="Times New Roman" w:hAnsi="Times New Roman" w:cs="Times New Roman"/>
                <w:sz w:val="22"/>
              </w:rPr>
              <w:t>alter</w:t>
            </w:r>
            <w:proofErr w:type="gramEnd"/>
            <w:r w:rsidRPr="00775C2E">
              <w:rPr>
                <w:rFonts w:ascii="Times New Roman" w:hAnsi="Times New Roman" w:cs="Times New Roman"/>
                <w:sz w:val="22"/>
              </w:rPr>
              <w:t>.</w:t>
            </w:r>
          </w:p>
          <w:p w14:paraId="7F3B75BC"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2. Each alter who returns his testing result and completes a survey can receive 3 USD and heir matched index will also receive an extra 3 USD.</w:t>
            </w:r>
          </w:p>
          <w:p w14:paraId="2720B405"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3. Each index can apply for additional 3 packages when all his 3 alters return testing results.</w:t>
            </w:r>
          </w:p>
          <w:p w14:paraId="2CA6EE12"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4. Each eligible “secondary index” can apply for 3 SST packages to distribute to his alters.</w:t>
            </w:r>
          </w:p>
        </w:tc>
      </w:tr>
      <w:tr w:rsidR="0081030B" w:rsidRPr="00775C2E" w14:paraId="3E7522CC" w14:textId="77777777">
        <w:trPr>
          <w:trHeight w:val="3824"/>
          <w:jc w:val="center"/>
        </w:trPr>
        <w:tc>
          <w:tcPr>
            <w:tcW w:w="498" w:type="pct"/>
          </w:tcPr>
          <w:p w14:paraId="1D58B486" w14:textId="77777777" w:rsidR="0081030B" w:rsidRPr="00775C2E" w:rsidRDefault="0067683D">
            <w:pPr>
              <w:spacing w:line="360" w:lineRule="auto"/>
              <w:rPr>
                <w:rFonts w:ascii="Times New Roman" w:hAnsi="Times New Roman" w:cs="Times New Roman"/>
                <w:b/>
                <w:bCs/>
                <w:sz w:val="22"/>
              </w:rPr>
            </w:pPr>
            <w:r w:rsidRPr="00775C2E">
              <w:rPr>
                <w:rFonts w:ascii="Times New Roman" w:hAnsi="Times New Roman" w:cs="Times New Roman"/>
                <w:b/>
                <w:bCs/>
                <w:sz w:val="22"/>
              </w:rPr>
              <w:lastRenderedPageBreak/>
              <w:t>Referral link SST delivery arm</w:t>
            </w:r>
          </w:p>
        </w:tc>
        <w:tc>
          <w:tcPr>
            <w:tcW w:w="1941" w:type="pct"/>
          </w:tcPr>
          <w:p w14:paraId="6F1245B4"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1. </w:t>
            </w:r>
            <w:r w:rsidRPr="00775C2E">
              <w:rPr>
                <w:rFonts w:ascii="Times New Roman" w:hAnsi="Times New Roman" w:cs="Times New Roman"/>
                <w:b/>
                <w:bCs/>
                <w:sz w:val="22"/>
              </w:rPr>
              <w:t>Information card</w:t>
            </w:r>
            <w:r w:rsidRPr="00775C2E">
              <w:rPr>
                <w:rFonts w:ascii="Times New Roman" w:hAnsi="Times New Roman" w:cs="Times New Roman"/>
                <w:sz w:val="22"/>
              </w:rPr>
              <w:t>: the risk of acquiring syphilis, the importance of screening for syphilis, resources of three local syphilis test and linkage to care service sites, and a link of national syphilis VCT sites.</w:t>
            </w:r>
          </w:p>
          <w:p w14:paraId="2B09001B"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2. </w:t>
            </w:r>
            <w:r w:rsidRPr="00775C2E">
              <w:rPr>
                <w:rFonts w:ascii="Times New Roman" w:hAnsi="Times New Roman" w:cs="Times New Roman"/>
                <w:b/>
                <w:bCs/>
                <w:sz w:val="22"/>
              </w:rPr>
              <w:t>SST referral link</w:t>
            </w:r>
            <w:r w:rsidRPr="00775C2E">
              <w:rPr>
                <w:rFonts w:ascii="Times New Roman" w:hAnsi="Times New Roman" w:cs="Times New Roman"/>
                <w:sz w:val="22"/>
              </w:rPr>
              <w:t>: social network distribution of SST referral links and encouragement of SST.</w:t>
            </w:r>
          </w:p>
          <w:p w14:paraId="1355CD13" w14:textId="77777777" w:rsidR="0081030B" w:rsidRPr="00775C2E" w:rsidRDefault="0067683D">
            <w:pPr>
              <w:spacing w:line="360" w:lineRule="auto"/>
              <w:ind w:leftChars="-16" w:left="-34"/>
              <w:rPr>
                <w:rFonts w:ascii="Times New Roman" w:hAnsi="Times New Roman" w:cs="Times New Roman"/>
                <w:sz w:val="22"/>
              </w:rPr>
            </w:pPr>
            <w:r w:rsidRPr="00775C2E">
              <w:rPr>
                <w:rFonts w:ascii="Times New Roman" w:hAnsi="Times New Roman" w:cs="Times New Roman"/>
                <w:sz w:val="22"/>
              </w:rPr>
              <w:t xml:space="preserve">3. </w:t>
            </w:r>
            <w:r w:rsidRPr="00775C2E">
              <w:rPr>
                <w:rFonts w:ascii="Times New Roman" w:hAnsi="Times New Roman" w:cs="Times New Roman"/>
                <w:b/>
                <w:bCs/>
                <w:sz w:val="22"/>
              </w:rPr>
              <w:t>Result report card</w:t>
            </w:r>
          </w:p>
        </w:tc>
        <w:tc>
          <w:tcPr>
            <w:tcW w:w="2560" w:type="pct"/>
          </w:tcPr>
          <w:p w14:paraId="5DA90D65"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1. Each index will receive 3 SST referral links at enrollment, and distribute links to 3 alters. Maximum </w:t>
            </w:r>
            <w:r w:rsidRPr="00775C2E">
              <w:rPr>
                <w:rFonts w:ascii="Times New Roman" w:hAnsi="Times New Roman" w:cs="Times New Roman"/>
                <w:b/>
                <w:bCs/>
                <w:sz w:val="22"/>
              </w:rPr>
              <w:t>ONE</w:t>
            </w:r>
            <w:r w:rsidRPr="00775C2E">
              <w:rPr>
                <w:rFonts w:ascii="Times New Roman" w:hAnsi="Times New Roman" w:cs="Times New Roman"/>
                <w:sz w:val="22"/>
              </w:rPr>
              <w:t xml:space="preserve"> link per </w:t>
            </w:r>
            <w:proofErr w:type="gramStart"/>
            <w:r w:rsidRPr="00775C2E">
              <w:rPr>
                <w:rFonts w:ascii="Times New Roman" w:hAnsi="Times New Roman" w:cs="Times New Roman"/>
                <w:sz w:val="22"/>
              </w:rPr>
              <w:t>alter</w:t>
            </w:r>
            <w:proofErr w:type="gramEnd"/>
            <w:r w:rsidRPr="00775C2E">
              <w:rPr>
                <w:rFonts w:ascii="Times New Roman" w:hAnsi="Times New Roman" w:cs="Times New Roman"/>
                <w:sz w:val="22"/>
              </w:rPr>
              <w:t>.</w:t>
            </w:r>
          </w:p>
          <w:p w14:paraId="3973BE13"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 xml:space="preserve">2. Each alter can apply for </w:t>
            </w:r>
            <w:r w:rsidRPr="00775C2E">
              <w:rPr>
                <w:rFonts w:ascii="Times New Roman" w:hAnsi="Times New Roman" w:cs="Times New Roman"/>
                <w:b/>
                <w:bCs/>
                <w:sz w:val="22"/>
              </w:rPr>
              <w:t>ONE</w:t>
            </w:r>
            <w:r w:rsidRPr="00775C2E">
              <w:rPr>
                <w:rFonts w:ascii="Times New Roman" w:hAnsi="Times New Roman" w:cs="Times New Roman"/>
                <w:sz w:val="22"/>
              </w:rPr>
              <w:t xml:space="preserve"> SST package through the referral link, and SST package will be posted to him free of charge.</w:t>
            </w:r>
          </w:p>
          <w:p w14:paraId="284FA556"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3. Each alter who returns his testing result and completes a survey can receive 3 USD and heir matched index will also receive an extra 3 USD.</w:t>
            </w:r>
          </w:p>
          <w:p w14:paraId="1286A432"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4. Each index can apply for additional 3 referral links when all his 3 alters return testing results.</w:t>
            </w:r>
          </w:p>
          <w:p w14:paraId="5255BE5F"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t>5. Each eligible “secondary index” can apply for 3 SST referral links to distribute to his alters.</w:t>
            </w:r>
          </w:p>
        </w:tc>
      </w:tr>
    </w:tbl>
    <w:p w14:paraId="2EC4AF3F" w14:textId="77777777" w:rsidR="0081030B" w:rsidRPr="00775C2E" w:rsidRDefault="0081030B">
      <w:pPr>
        <w:spacing w:line="360" w:lineRule="auto"/>
        <w:rPr>
          <w:rFonts w:ascii="Times New Roman" w:hAnsi="Times New Roman" w:cs="Times New Roman"/>
          <w:sz w:val="22"/>
        </w:rPr>
        <w:sectPr w:rsidR="0081030B" w:rsidRPr="00775C2E">
          <w:pgSz w:w="11906" w:h="16838"/>
          <w:pgMar w:top="720" w:right="720" w:bottom="720" w:left="720" w:header="851" w:footer="992" w:gutter="0"/>
          <w:cols w:space="425"/>
          <w:docGrid w:type="lines" w:linePitch="312"/>
        </w:sectPr>
      </w:pPr>
    </w:p>
    <w:p w14:paraId="4A83D422" w14:textId="77777777" w:rsidR="0081030B" w:rsidRPr="00775C2E" w:rsidRDefault="0067683D">
      <w:pPr>
        <w:widowControl/>
        <w:jc w:val="left"/>
        <w:rPr>
          <w:rFonts w:ascii="Times New Roman" w:hAnsi="Times New Roman" w:cs="Times New Roman"/>
          <w:sz w:val="22"/>
        </w:rPr>
      </w:pPr>
      <w:r w:rsidRPr="00775C2E">
        <w:rPr>
          <w:rFonts w:ascii="Times New Roman" w:hAnsi="Times New Roman" w:cs="Times New Roman"/>
          <w:noProof/>
          <w:sz w:val="22"/>
        </w:rPr>
        <w:lastRenderedPageBreak/>
        <mc:AlternateContent>
          <mc:Choice Requires="wps">
            <w:drawing>
              <wp:anchor distT="0" distB="0" distL="114300" distR="114300" simplePos="0" relativeHeight="251660288" behindDoc="0" locked="0" layoutInCell="1" allowOverlap="1" wp14:anchorId="0E367B41" wp14:editId="5B231CA4">
                <wp:simplePos x="0" y="0"/>
                <wp:positionH relativeFrom="column">
                  <wp:posOffset>0</wp:posOffset>
                </wp:positionH>
                <wp:positionV relativeFrom="paragraph">
                  <wp:posOffset>8834755</wp:posOffset>
                </wp:positionV>
                <wp:extent cx="5384800" cy="379095"/>
                <wp:effectExtent l="0" t="0" r="10160" b="1905"/>
                <wp:wrapNone/>
                <wp:docPr id="40" name="矩形: 圆角 1"/>
                <wp:cNvGraphicFramePr/>
                <a:graphic xmlns:a="http://schemas.openxmlformats.org/drawingml/2006/main">
                  <a:graphicData uri="http://schemas.microsoft.com/office/word/2010/wordprocessingShape">
                    <wps:wsp>
                      <wps:cNvSpPr/>
                      <wps:spPr bwMode="auto">
                        <a:xfrm>
                          <a:off x="0" y="0"/>
                          <a:ext cx="5384800" cy="379095"/>
                        </a:xfrm>
                        <a:prstGeom prst="roundRect">
                          <a:avLst>
                            <a:gd name="adj" fmla="val 16667"/>
                          </a:avLst>
                        </a:prstGeom>
                        <a:solidFill>
                          <a:srgbClr val="FFFFFF"/>
                        </a:solidFill>
                        <a:ln>
                          <a:noFill/>
                        </a:ln>
                      </wps:spPr>
                      <wps:txbx>
                        <w:txbxContent>
                          <w:p w14:paraId="38067A52" w14:textId="77777777" w:rsidR="0081030B" w:rsidRDefault="0067683D">
                            <w:pPr>
                              <w:ind w:firstLine="204"/>
                              <w:jc w:val="center"/>
                              <w:rPr>
                                <w:rFonts w:ascii="Times New Roman" w:hAnsi="Times New Roman" w:cs="Times New Roman"/>
                                <w:kern w:val="0"/>
                                <w:sz w:val="24"/>
                                <w:szCs w:val="24"/>
                              </w:rPr>
                            </w:pPr>
                            <w:r>
                              <w:rPr>
                                <w:rFonts w:ascii="Times New Roman" w:hAnsi="Times New Roman" w:cs="Times New Roman"/>
                                <w:b/>
                                <w:bCs/>
                                <w:szCs w:val="21"/>
                              </w:rPr>
                              <w:t>Figure 1 Trial flow chat</w:t>
                            </w:r>
                          </w:p>
                        </w:txbxContent>
                      </wps:txbx>
                      <wps:bodyPr rot="0" vert="horz" wrap="square" lIns="91440" tIns="45720" rIns="91440" bIns="45720" anchor="t" anchorCtr="0" upright="1">
                        <a:noAutofit/>
                      </wps:bodyPr>
                    </wps:wsp>
                  </a:graphicData>
                </a:graphic>
              </wp:anchor>
            </w:drawing>
          </mc:Choice>
          <mc:Fallback>
            <w:pict>
              <v:roundrect w14:anchorId="0E367B41" id="矩形: 圆角 1" o:spid="_x0000_s1026" style="position:absolute;margin-left:0;margin-top:695.65pt;width:424pt;height:29.85pt;z-index:2516602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" stroked="f">
                <v:textbox>
                  <w:txbxContent>
                    <w:p w14:paraId="38067A52" w14:textId="77777777" w:rsidR="0081030B" w:rsidRDefault="0067683D">
                      <w:pPr>
                        <w:ind w:firstLine="204"/>
                        <w:jc w:val="center"/>
                        <w:rPr>
                          <w:rFonts w:ascii="Times New Roman" w:hAnsi="Times New Roman" w:cs="Times New Roman"/>
                          <w:kern w:val="0"/>
                          <w:sz w:val="24"/>
                          <w:szCs w:val="24"/>
                        </w:rPr>
                      </w:pPr>
                      <w:r>
                        <w:rPr>
                          <w:rFonts w:ascii="Times New Roman" w:hAnsi="Times New Roman" w:cs="Times New Roman"/>
                          <w:b/>
                          <w:bCs/>
                          <w:szCs w:val="21"/>
                        </w:rPr>
                        <w:t>Figure 1 Trial flow chat</w:t>
                      </w:r>
                    </w:p>
                  </w:txbxContent>
                </v:textbox>
              </v:roundrect>
            </w:pict>
          </mc:Fallback>
        </mc:AlternateContent>
      </w:r>
      <w:r w:rsidRPr="00775C2E">
        <w:rPr>
          <w:rFonts w:ascii="Times New Roman" w:hAnsi="Times New Roman" w:cs="Times New Roman"/>
          <w:noProof/>
          <w:sz w:val="22"/>
        </w:rPr>
        <mc:AlternateContent>
          <mc:Choice Requires="wpc">
            <w:drawing>
              <wp:anchor distT="0" distB="0" distL="114300" distR="114300" simplePos="0" relativeHeight="251659264" behindDoc="0" locked="0" layoutInCell="1" allowOverlap="1" wp14:anchorId="6D0EA9F9" wp14:editId="669BB2F6">
                <wp:simplePos x="0" y="0"/>
                <wp:positionH relativeFrom="column">
                  <wp:posOffset>-746760</wp:posOffset>
                </wp:positionH>
                <wp:positionV relativeFrom="paragraph">
                  <wp:posOffset>53340</wp:posOffset>
                </wp:positionV>
                <wp:extent cx="6793865" cy="8763000"/>
                <wp:effectExtent l="0" t="0" r="6985" b="19050"/>
                <wp:wrapTopAndBottom/>
                <wp:docPr id="71" name="画布 31"/>
                <wp:cNvGraphicFramePr/>
                <a:graphic xmlns:a="http://schemas.openxmlformats.org/drawingml/2006/main">
                  <a:graphicData uri="http://schemas.microsoft.com/office/word/2010/wordprocessingCanvas">
                    <wpc:wpc>
                      <wpc:bg>
                        <a:noFill/>
                      </wpc:bg>
                      <wpc:whole/>
                      <wps:wsp>
                        <wps:cNvPr id="41" name="AutoShape 4"/>
                        <wps:cNvSpPr/>
                        <wps:spPr bwMode="auto">
                          <a:xfrm>
                            <a:off x="2094865" y="48699"/>
                            <a:ext cx="2566035" cy="313055"/>
                          </a:xfrm>
                          <a:prstGeom prst="roundRect">
                            <a:avLst>
                              <a:gd name="adj" fmla="val 16667"/>
                            </a:avLst>
                          </a:prstGeom>
                          <a:solidFill>
                            <a:srgbClr val="FFFFFF"/>
                          </a:solidFill>
                          <a:ln w="9525">
                            <a:solidFill>
                              <a:srgbClr val="000000"/>
                            </a:solidFill>
                            <a:round/>
                          </a:ln>
                        </wps:spPr>
                        <wps:txbx>
                          <w:txbxContent>
                            <w:p w14:paraId="47574D95" w14:textId="77777777" w:rsidR="0081030B" w:rsidRDefault="0067683D">
                              <w:pPr>
                                <w:jc w:val="center"/>
                                <w:rPr>
                                  <w:rFonts w:ascii="Times New Roman" w:hAnsi="Times New Roman" w:cs="Times New Roman"/>
                                  <w:b/>
                                  <w:sz w:val="20"/>
                                  <w:szCs w:val="20"/>
                                </w:rPr>
                              </w:pPr>
                              <w:r>
                                <w:rPr>
                                  <w:rFonts w:ascii="Times New Roman" w:hAnsi="Times New Roman" w:cs="Times New Roman" w:hint="eastAsia"/>
                                  <w:b/>
                                  <w:sz w:val="20"/>
                                  <w:szCs w:val="20"/>
                                </w:rPr>
                                <w:t>3</w:t>
                              </w:r>
                              <w:r>
                                <w:rPr>
                                  <w:rFonts w:ascii="Times New Roman" w:hAnsi="Times New Roman" w:cs="Times New Roman"/>
                                  <w:b/>
                                  <w:sz w:val="20"/>
                                  <w:szCs w:val="20"/>
                                </w:rPr>
                                <w:t xml:space="preserve"> MSM clinics in Guangdong</w:t>
                              </w:r>
                            </w:p>
                          </w:txbxContent>
                        </wps:txbx>
                        <wps:bodyPr rot="0" vert="horz" wrap="square" lIns="91440" tIns="45720" rIns="91440" bIns="45720" anchor="t" anchorCtr="0" upright="1">
                          <a:noAutofit/>
                        </wps:bodyPr>
                      </wps:wsp>
                      <wps:wsp>
                        <wps:cNvPr id="42" name="AutoShape 5"/>
                        <wps:cNvSpPr/>
                        <wps:spPr bwMode="auto">
                          <a:xfrm>
                            <a:off x="2130425" y="598609"/>
                            <a:ext cx="2503805" cy="344170"/>
                          </a:xfrm>
                          <a:prstGeom prst="roundRect">
                            <a:avLst>
                              <a:gd name="adj" fmla="val 16667"/>
                            </a:avLst>
                          </a:prstGeom>
                          <a:solidFill>
                            <a:srgbClr val="FFFFFF"/>
                          </a:solidFill>
                          <a:ln w="9525">
                            <a:solidFill>
                              <a:srgbClr val="000000"/>
                            </a:solidFill>
                            <a:round/>
                          </a:ln>
                        </wps:spPr>
                        <wps:txbx>
                          <w:txbxContent>
                            <w:p w14:paraId="0C870370" w14:textId="77777777" w:rsidR="0081030B" w:rsidRDefault="0067683D">
                              <w:pPr>
                                <w:jc w:val="center"/>
                                <w:rPr>
                                  <w:rFonts w:ascii="Times New Roman" w:hAnsi="Times New Roman" w:cs="Times New Roman"/>
                                  <w:b/>
                                  <w:sz w:val="20"/>
                                  <w:szCs w:val="20"/>
                                </w:rPr>
                              </w:pPr>
                              <w:r>
                                <w:rPr>
                                  <w:rFonts w:ascii="Times New Roman" w:hAnsi="Times New Roman" w:cs="Times New Roman"/>
                                  <w:b/>
                                  <w:sz w:val="20"/>
                                  <w:szCs w:val="20"/>
                                </w:rPr>
                                <w:t xml:space="preserve">Inform consent </w:t>
                              </w:r>
                            </w:p>
                          </w:txbxContent>
                        </wps:txbx>
                        <wps:bodyPr rot="0" vert="horz" wrap="square" lIns="91440" tIns="45720" rIns="91440" bIns="45720" anchor="t" anchorCtr="0" upright="1">
                          <a:noAutofit/>
                        </wps:bodyPr>
                      </wps:wsp>
                      <wps:wsp>
                        <wps:cNvPr id="43" name="AutoShape 6"/>
                        <wps:cNvSpPr/>
                        <wps:spPr bwMode="auto">
                          <a:xfrm>
                            <a:off x="2130425" y="1153599"/>
                            <a:ext cx="2503805" cy="354965"/>
                          </a:xfrm>
                          <a:prstGeom prst="roundRect">
                            <a:avLst>
                              <a:gd name="adj" fmla="val 16667"/>
                            </a:avLst>
                          </a:prstGeom>
                          <a:solidFill>
                            <a:srgbClr val="FFFFFF"/>
                          </a:solidFill>
                          <a:ln w="9525">
                            <a:solidFill>
                              <a:srgbClr val="000000"/>
                            </a:solidFill>
                            <a:round/>
                          </a:ln>
                        </wps:spPr>
                        <wps:txbx>
                          <w:txbxContent>
                            <w:p w14:paraId="7C62A304" w14:textId="77777777" w:rsidR="0081030B" w:rsidRDefault="0067683D">
                              <w:pPr>
                                <w:jc w:val="center"/>
                                <w:rPr>
                                  <w:rFonts w:ascii="Times New Roman" w:hAnsi="Times New Roman" w:cs="Times New Roman"/>
                                  <w:b/>
                                  <w:sz w:val="20"/>
                                  <w:szCs w:val="20"/>
                                </w:rPr>
                              </w:pPr>
                              <w:r>
                                <w:rPr>
                                  <w:rFonts w:ascii="Times New Roman" w:hAnsi="Times New Roman" w:cs="Times New Roman"/>
                                  <w:b/>
                                  <w:sz w:val="20"/>
                                  <w:szCs w:val="20"/>
                                </w:rPr>
                                <w:t xml:space="preserve">Eligibility screening and enrollment </w:t>
                              </w:r>
                            </w:p>
                          </w:txbxContent>
                        </wps:txbx>
                        <wps:bodyPr rot="0" vert="horz" wrap="square" lIns="91440" tIns="45720" rIns="91440" bIns="45720" anchor="t" anchorCtr="0" upright="1">
                          <a:noAutofit/>
                        </wps:bodyPr>
                      </wps:wsp>
                      <wps:wsp>
                        <wps:cNvPr id="44" name="AutoShape 7"/>
                        <wps:cNvSpPr/>
                        <wps:spPr bwMode="auto">
                          <a:xfrm>
                            <a:off x="2129155" y="2287074"/>
                            <a:ext cx="2504440" cy="497840"/>
                          </a:xfrm>
                          <a:prstGeom prst="roundRect">
                            <a:avLst>
                              <a:gd name="adj" fmla="val 16667"/>
                            </a:avLst>
                          </a:prstGeom>
                          <a:solidFill>
                            <a:srgbClr val="FFFFFF"/>
                          </a:solidFill>
                          <a:ln w="9525">
                            <a:solidFill>
                              <a:srgbClr val="000000"/>
                            </a:solidFill>
                            <a:round/>
                          </a:ln>
                        </wps:spPr>
                        <wps:txbx>
                          <w:txbxContent>
                            <w:p w14:paraId="5ADE9C88" w14:textId="77777777" w:rsidR="0081030B" w:rsidRDefault="0067683D" w:rsidP="002B27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 MSM indexes per cluster</w:t>
                              </w:r>
                            </w:p>
                            <w:p w14:paraId="292802BF" w14:textId="77777777" w:rsidR="0081030B" w:rsidRDefault="0067683D" w:rsidP="002B27B7">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Cluster randomization</w:t>
                              </w:r>
                              <w:r>
                                <w:rPr>
                                  <w:rFonts w:ascii="Times New Roman" w:hAnsi="Times New Roman" w:cs="Times New Roman"/>
                                  <w:sz w:val="20"/>
                                  <w:szCs w:val="20"/>
                                </w:rPr>
                                <w:t xml:space="preserve"> (1:1:1) </w:t>
                              </w:r>
                            </w:p>
                          </w:txbxContent>
                        </wps:txbx>
                        <wps:bodyPr rot="0" vert="horz" wrap="square" lIns="91440" tIns="45720" rIns="91440" bIns="45720" anchor="t" anchorCtr="0" upright="1">
                          <a:noAutofit/>
                        </wps:bodyPr>
                      </wps:wsp>
                      <wps:wsp>
                        <wps:cNvPr id="45" name="AutoShape 8"/>
                        <wps:cNvSpPr/>
                        <wps:spPr bwMode="auto">
                          <a:xfrm>
                            <a:off x="297815" y="3319584"/>
                            <a:ext cx="1981200" cy="1388745"/>
                          </a:xfrm>
                          <a:prstGeom prst="roundRect">
                            <a:avLst>
                              <a:gd name="adj" fmla="val 16667"/>
                            </a:avLst>
                          </a:prstGeom>
                          <a:solidFill>
                            <a:srgbClr val="FFFFFF"/>
                          </a:solidFill>
                          <a:ln w="9525">
                            <a:solidFill>
                              <a:srgbClr val="000000"/>
                            </a:solidFill>
                            <a:round/>
                          </a:ln>
                        </wps:spPr>
                        <wps:txbx>
                          <w:txbxContent>
                            <w:p w14:paraId="17F1F240" w14:textId="77777777" w:rsidR="0081030B" w:rsidRDefault="0067683D">
                              <w:pPr>
                                <w:adjustRightInd w:val="0"/>
                                <w:snapToGrid w:val="0"/>
                                <w:spacing w:line="216" w:lineRule="auto"/>
                                <w:rPr>
                                  <w:rFonts w:ascii="Times New Roman" w:hAnsi="Times New Roman" w:cs="Times New Roman"/>
                                  <w:b/>
                                  <w:color w:val="000000"/>
                                  <w:sz w:val="20"/>
                                  <w:szCs w:val="20"/>
                                </w:rPr>
                              </w:pPr>
                              <w:r>
                                <w:rPr>
                                  <w:rFonts w:ascii="Times New Roman" w:hAnsi="Times New Roman" w:cs="Times New Roman" w:hint="eastAsia"/>
                                  <w:b/>
                                  <w:color w:val="000000"/>
                                  <w:sz w:val="20"/>
                                  <w:szCs w:val="20"/>
                                </w:rPr>
                                <w:t xml:space="preserve">Standard of care </w:t>
                              </w:r>
                              <w:r>
                                <w:rPr>
                                  <w:rFonts w:ascii="Times New Roman" w:hAnsi="Times New Roman" w:cs="Times New Roman"/>
                                  <w:b/>
                                  <w:color w:val="000000"/>
                                  <w:sz w:val="20"/>
                                  <w:szCs w:val="20"/>
                                </w:rPr>
                                <w:t xml:space="preserve">arm </w:t>
                              </w:r>
                            </w:p>
                            <w:p w14:paraId="37E732A1" w14:textId="77777777" w:rsidR="0081030B" w:rsidRDefault="0067683D">
                              <w:pPr>
                                <w:adjustRightInd w:val="0"/>
                                <w:snapToGrid w:val="0"/>
                                <w:spacing w:line="216" w:lineRule="auto"/>
                                <w:rPr>
                                  <w:rFonts w:ascii="Times New Roman" w:hAnsi="Times New Roman" w:cs="Times New Roman"/>
                                  <w:b/>
                                  <w:color w:val="000000"/>
                                  <w:sz w:val="20"/>
                                  <w:szCs w:val="20"/>
                                </w:rPr>
                              </w:pPr>
                              <w:r>
                                <w:rPr>
                                  <w:rFonts w:ascii="Times New Roman" w:hAnsi="Times New Roman" w:cs="Times New Roman"/>
                                  <w:b/>
                                  <w:color w:val="000000"/>
                                  <w:sz w:val="20"/>
                                  <w:szCs w:val="20"/>
                                </w:rPr>
                                <w:t>(</w:t>
                              </w:r>
                              <w:r>
                                <w:rPr>
                                  <w:rFonts w:ascii="Times New Roman" w:hAnsi="Times New Roman" w:cs="Times New Roman" w:hint="eastAsia"/>
                                  <w:b/>
                                  <w:color w:val="000000"/>
                                  <w:sz w:val="20"/>
                                  <w:szCs w:val="20"/>
                                </w:rPr>
                                <w:t>10</w:t>
                              </w:r>
                              <w:r>
                                <w:rPr>
                                  <w:rFonts w:ascii="Times New Roman" w:hAnsi="Times New Roman" w:cs="Times New Roman"/>
                                  <w:b/>
                                  <w:color w:val="000000"/>
                                  <w:sz w:val="20"/>
                                  <w:szCs w:val="20"/>
                                </w:rPr>
                                <w:t>0 index</w:t>
                              </w:r>
                              <w:r>
                                <w:rPr>
                                  <w:rFonts w:ascii="Times New Roman" w:hAnsi="Times New Roman" w:cs="Times New Roman" w:hint="eastAsia"/>
                                  <w:b/>
                                  <w:color w:val="000000"/>
                                  <w:sz w:val="20"/>
                                  <w:szCs w:val="20"/>
                                </w:rPr>
                                <w:t>es</w:t>
                              </w:r>
                              <w:r>
                                <w:rPr>
                                  <w:rFonts w:ascii="Times New Roman" w:hAnsi="Times New Roman" w:cs="Times New Roman"/>
                                  <w:b/>
                                  <w:color w:val="000000"/>
                                  <w:sz w:val="20"/>
                                  <w:szCs w:val="20"/>
                                </w:rPr>
                                <w:t>)</w:t>
                              </w:r>
                            </w:p>
                            <w:p w14:paraId="3B8E18DD"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color w:val="000000"/>
                                  <w:sz w:val="20"/>
                                  <w:szCs w:val="20"/>
                                </w:rPr>
                                <w:t xml:space="preserve">1. </w:t>
                              </w:r>
                              <w:r>
                                <w:rPr>
                                  <w:rFonts w:ascii="Times New Roman" w:hAnsi="Times New Roman" w:cs="Times New Roman"/>
                                  <w:sz w:val="20"/>
                                  <w:szCs w:val="20"/>
                                </w:rPr>
                                <w:t>Information card</w:t>
                              </w:r>
                            </w:p>
                            <w:p w14:paraId="555CAFF9"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sz w:val="20"/>
                                  <w:szCs w:val="20"/>
                                </w:rPr>
                                <w:t>2. Peer notification card.</w:t>
                              </w:r>
                            </w:p>
                            <w:p w14:paraId="5FD7CD8E"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 Result report card.</w:t>
                              </w:r>
                            </w:p>
                            <w:p w14:paraId="74F5A237" w14:textId="77777777" w:rsidR="0081030B" w:rsidRDefault="0067683D">
                              <w:pPr>
                                <w:adjustRightInd w:val="0"/>
                                <w:snapToGrid w:val="0"/>
                                <w:spacing w:line="216" w:lineRule="auto"/>
                                <w:jc w:val="left"/>
                                <w:rPr>
                                  <w:rFonts w:ascii="Times New Roman" w:hAnsi="Times New Roman" w:cs="Times New Roman"/>
                                  <w:color w:val="000000"/>
                                  <w:sz w:val="20"/>
                                  <w:szCs w:val="20"/>
                                </w:rPr>
                              </w:pPr>
                              <w:r>
                                <w:rPr>
                                  <w:rFonts w:ascii="Times New Roman" w:hAnsi="Times New Roman" w:cs="Times New Roman"/>
                                  <w:color w:val="000000"/>
                                  <w:sz w:val="20"/>
                                  <w:szCs w:val="20"/>
                                </w:rPr>
                                <w:t>Apply for additional 3 packages when all his 3 alters return their testing results.</w:t>
                              </w:r>
                            </w:p>
                          </w:txbxContent>
                        </wps:txbx>
                        <wps:bodyPr rot="0" vert="horz" wrap="square" lIns="91440" tIns="45720" rIns="91440" bIns="45720" anchor="t" anchorCtr="0" upright="1">
                          <a:noAutofit/>
                        </wps:bodyPr>
                      </wps:wsp>
                      <wps:wsp>
                        <wps:cNvPr id="46" name="AutoShape 9"/>
                        <wps:cNvSpPr/>
                        <wps:spPr bwMode="auto">
                          <a:xfrm>
                            <a:off x="4745990" y="3311329"/>
                            <a:ext cx="2040255" cy="1374140"/>
                          </a:xfrm>
                          <a:prstGeom prst="roundRect">
                            <a:avLst>
                              <a:gd name="adj" fmla="val 16667"/>
                            </a:avLst>
                          </a:prstGeom>
                          <a:solidFill>
                            <a:srgbClr val="FFFFFF"/>
                          </a:solidFill>
                          <a:ln w="9525">
                            <a:solidFill>
                              <a:srgbClr val="000000"/>
                            </a:solidFill>
                            <a:round/>
                          </a:ln>
                        </wps:spPr>
                        <wps:txbx>
                          <w:txbxContent>
                            <w:p w14:paraId="3A7BBC8F" w14:textId="77777777" w:rsidR="0081030B" w:rsidRDefault="0067683D">
                              <w:pPr>
                                <w:adjustRightInd w:val="0"/>
                                <w:snapToGrid w:val="0"/>
                                <w:spacing w:line="216"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Referral link SST </w:t>
                              </w:r>
                              <w:r>
                                <w:rPr>
                                  <w:rFonts w:ascii="Times New Roman" w:hAnsi="Times New Roman" w:cs="Times New Roman" w:hint="eastAsia"/>
                                  <w:b/>
                                  <w:color w:val="000000"/>
                                  <w:sz w:val="20"/>
                                  <w:szCs w:val="20"/>
                                </w:rPr>
                                <w:t xml:space="preserve">delivery </w:t>
                              </w:r>
                              <w:r>
                                <w:rPr>
                                  <w:rFonts w:ascii="Times New Roman" w:hAnsi="Times New Roman" w:cs="Times New Roman"/>
                                  <w:b/>
                                  <w:color w:val="000000"/>
                                  <w:sz w:val="20"/>
                                  <w:szCs w:val="20"/>
                                </w:rPr>
                                <w:t>arm (</w:t>
                              </w:r>
                              <w:r>
                                <w:rPr>
                                  <w:rFonts w:ascii="Times New Roman" w:hAnsi="Times New Roman" w:cs="Times New Roman" w:hint="eastAsia"/>
                                  <w:b/>
                                  <w:color w:val="000000"/>
                                  <w:sz w:val="20"/>
                                  <w:szCs w:val="20"/>
                                </w:rPr>
                                <w:t>100</w:t>
                              </w:r>
                              <w:r>
                                <w:rPr>
                                  <w:rFonts w:ascii="Times New Roman" w:hAnsi="Times New Roman" w:cs="Times New Roman"/>
                                  <w:b/>
                                  <w:color w:val="000000"/>
                                  <w:sz w:val="20"/>
                                  <w:szCs w:val="20"/>
                                </w:rPr>
                                <w:t xml:space="preserve"> index</w:t>
                              </w:r>
                              <w:r>
                                <w:rPr>
                                  <w:rFonts w:ascii="Times New Roman" w:hAnsi="Times New Roman" w:cs="Times New Roman" w:hint="eastAsia"/>
                                  <w:b/>
                                  <w:color w:val="000000"/>
                                  <w:sz w:val="20"/>
                                  <w:szCs w:val="20"/>
                                </w:rPr>
                                <w:t>es</w:t>
                              </w:r>
                              <w:r>
                                <w:rPr>
                                  <w:rFonts w:ascii="Times New Roman" w:hAnsi="Times New Roman" w:cs="Times New Roman"/>
                                  <w:b/>
                                  <w:color w:val="000000"/>
                                  <w:sz w:val="20"/>
                                  <w:szCs w:val="20"/>
                                </w:rPr>
                                <w:t>)</w:t>
                              </w:r>
                            </w:p>
                            <w:p w14:paraId="37FD8ED8"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color w:val="000000"/>
                                  <w:sz w:val="20"/>
                                  <w:szCs w:val="20"/>
                                </w:rPr>
                                <w:t xml:space="preserve">1. </w:t>
                              </w:r>
                              <w:r>
                                <w:rPr>
                                  <w:rFonts w:ascii="Times New Roman" w:hAnsi="Times New Roman" w:cs="Times New Roman"/>
                                  <w:sz w:val="20"/>
                                  <w:szCs w:val="20"/>
                                </w:rPr>
                                <w:t>Information card.</w:t>
                              </w:r>
                            </w:p>
                            <w:p w14:paraId="155DC698"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sz w:val="20"/>
                                  <w:szCs w:val="20"/>
                                </w:rPr>
                                <w:t>2. SST referral link.</w:t>
                              </w:r>
                            </w:p>
                            <w:p w14:paraId="49986BB1"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 Result report card.</w:t>
                              </w:r>
                            </w:p>
                            <w:p w14:paraId="77684129" w14:textId="77777777" w:rsidR="0081030B" w:rsidRDefault="0067683D">
                              <w:pPr>
                                <w:adjustRightInd w:val="0"/>
                                <w:snapToGrid w:val="0"/>
                                <w:spacing w:line="216" w:lineRule="auto"/>
                                <w:jc w:val="left"/>
                                <w:rPr>
                                  <w:rFonts w:ascii="Times New Roman" w:hAnsi="Times New Roman" w:cs="Times New Roman"/>
                                  <w:color w:val="000000"/>
                                  <w:sz w:val="20"/>
                                  <w:szCs w:val="20"/>
                                </w:rPr>
                              </w:pPr>
                              <w:r>
                                <w:rPr>
                                  <w:rFonts w:ascii="Times New Roman" w:hAnsi="Times New Roman" w:cs="Times New Roman"/>
                                  <w:color w:val="000000"/>
                                  <w:sz w:val="20"/>
                                  <w:szCs w:val="20"/>
                                </w:rPr>
                                <w:t>Apply for additional 3 referral links when all his 3 alters return their testing results.</w:t>
                              </w:r>
                            </w:p>
                          </w:txbxContent>
                        </wps:txbx>
                        <wps:bodyPr rot="0" vert="horz" wrap="square" lIns="91440" tIns="0" rIns="91440" bIns="45720" anchor="t" anchorCtr="0" upright="1">
                          <a:noAutofit/>
                        </wps:bodyPr>
                      </wps:wsp>
                      <wps:wsp>
                        <wps:cNvPr id="47" name="AutoShape 12"/>
                        <wps:cNvCnPr>
                          <a:cxnSpLocks noChangeShapeType="1"/>
                        </wps:cNvCnPr>
                        <wps:spPr bwMode="auto">
                          <a:xfrm>
                            <a:off x="3378200" y="361754"/>
                            <a:ext cx="3810" cy="236855"/>
                          </a:xfrm>
                          <a:prstGeom prst="straightConnector1">
                            <a:avLst/>
                          </a:prstGeom>
                          <a:noFill/>
                          <a:ln w="9525">
                            <a:solidFill>
                              <a:srgbClr val="000000"/>
                            </a:solidFill>
                            <a:round/>
                            <a:tailEnd type="triangle" w="med" len="med"/>
                          </a:ln>
                        </wps:spPr>
                        <wps:bodyPr/>
                      </wps:wsp>
                      <wps:wsp>
                        <wps:cNvPr id="48" name="AutoShape 13"/>
                        <wps:cNvCnPr>
                          <a:cxnSpLocks noChangeShapeType="1"/>
                        </wps:cNvCnPr>
                        <wps:spPr bwMode="auto">
                          <a:xfrm>
                            <a:off x="3382010" y="942779"/>
                            <a:ext cx="0" cy="210820"/>
                          </a:xfrm>
                          <a:prstGeom prst="straightConnector1">
                            <a:avLst/>
                          </a:prstGeom>
                          <a:noFill/>
                          <a:ln w="9525">
                            <a:solidFill>
                              <a:srgbClr val="000000"/>
                            </a:solidFill>
                            <a:round/>
                            <a:tailEnd type="triangle" w="med" len="med"/>
                          </a:ln>
                        </wps:spPr>
                        <wps:bodyPr/>
                      </wps:wsp>
                      <wps:wsp>
                        <wps:cNvPr id="49" name="AutoShape 14"/>
                        <wps:cNvCnPr>
                          <a:cxnSpLocks noChangeShapeType="1"/>
                        </wps:cNvCnPr>
                        <wps:spPr bwMode="auto">
                          <a:xfrm flipH="1">
                            <a:off x="3382010" y="1508564"/>
                            <a:ext cx="0" cy="216535"/>
                          </a:xfrm>
                          <a:prstGeom prst="straightConnector1">
                            <a:avLst/>
                          </a:prstGeom>
                          <a:noFill/>
                          <a:ln w="9525">
                            <a:solidFill>
                              <a:srgbClr val="000000"/>
                            </a:solidFill>
                            <a:round/>
                            <a:tailEnd type="triangle" w="med" len="med"/>
                          </a:ln>
                        </wps:spPr>
                        <wps:bodyPr/>
                      </wps:wsp>
                      <wps:wsp>
                        <wps:cNvPr id="50" name="AutoShape 20"/>
                        <wps:cNvCnPr>
                          <a:cxnSpLocks noChangeShapeType="1"/>
                        </wps:cNvCnPr>
                        <wps:spPr bwMode="auto">
                          <a:xfrm rot="5400000">
                            <a:off x="2114550" y="2024184"/>
                            <a:ext cx="513715" cy="2019935"/>
                          </a:xfrm>
                          <a:prstGeom prst="bentConnector3">
                            <a:avLst>
                              <a:gd name="adj1" fmla="val 50000"/>
                            </a:avLst>
                          </a:prstGeom>
                          <a:noFill/>
                          <a:ln w="9525">
                            <a:solidFill>
                              <a:srgbClr val="000000"/>
                            </a:solidFill>
                            <a:miter lim="800000"/>
                            <a:tailEnd type="triangle" w="med" len="med"/>
                          </a:ln>
                        </wps:spPr>
                        <wps:bodyPr/>
                      </wps:wsp>
                      <wps:wsp>
                        <wps:cNvPr id="51" name="AutoShape 22"/>
                        <wps:cNvCnPr>
                          <a:cxnSpLocks noChangeShapeType="1"/>
                        </wps:cNvCnPr>
                        <wps:spPr bwMode="auto">
                          <a:xfrm rot="16200000" flipH="1">
                            <a:off x="4172585" y="1986084"/>
                            <a:ext cx="505460" cy="2087880"/>
                          </a:xfrm>
                          <a:prstGeom prst="bentConnector3">
                            <a:avLst>
                              <a:gd name="adj1" fmla="val 50000"/>
                            </a:avLst>
                          </a:prstGeom>
                          <a:noFill/>
                          <a:ln w="9525">
                            <a:solidFill>
                              <a:srgbClr val="000000"/>
                            </a:solidFill>
                            <a:miter lim="800000"/>
                            <a:tailEnd type="triangle" w="med" len="med"/>
                          </a:ln>
                        </wps:spPr>
                        <wps:bodyPr/>
                      </wps:wsp>
                      <wps:wsp>
                        <wps:cNvPr id="52" name="AutoShape 24"/>
                        <wps:cNvCnPr>
                          <a:cxnSpLocks noChangeShapeType="1"/>
                        </wps:cNvCnPr>
                        <wps:spPr bwMode="auto">
                          <a:xfrm rot="16200000" flipH="1">
                            <a:off x="2148840" y="5644954"/>
                            <a:ext cx="431800" cy="2005965"/>
                          </a:xfrm>
                          <a:prstGeom prst="bentConnector3">
                            <a:avLst>
                              <a:gd name="adj1" fmla="val 50000"/>
                            </a:avLst>
                          </a:prstGeom>
                          <a:noFill/>
                          <a:ln w="9525">
                            <a:solidFill>
                              <a:srgbClr val="000000"/>
                            </a:solidFill>
                            <a:miter lim="800000"/>
                            <a:tailEnd type="triangle" w="med" len="med"/>
                          </a:ln>
                        </wps:spPr>
                        <wps:bodyPr/>
                      </wps:wsp>
                      <wps:wsp>
                        <wps:cNvPr id="53" name="AutoShape 25"/>
                        <wps:cNvCnPr>
                          <a:cxnSpLocks noChangeShapeType="1"/>
                        </wps:cNvCnPr>
                        <wps:spPr bwMode="auto">
                          <a:xfrm rot="5400000">
                            <a:off x="4202430" y="5597329"/>
                            <a:ext cx="431800" cy="2101850"/>
                          </a:xfrm>
                          <a:prstGeom prst="bentConnector3">
                            <a:avLst>
                              <a:gd name="adj1" fmla="val 50000"/>
                            </a:avLst>
                          </a:prstGeom>
                          <a:noFill/>
                          <a:ln w="9525">
                            <a:solidFill>
                              <a:srgbClr val="000000"/>
                            </a:solidFill>
                            <a:miter lim="800000"/>
                            <a:tailEnd type="triangle" w="med" len="med"/>
                          </a:ln>
                        </wps:spPr>
                        <wps:bodyPr/>
                      </wps:wsp>
                      <wps:wsp>
                        <wps:cNvPr id="54" name="AutoShape 33"/>
                        <wps:cNvSpPr/>
                        <wps:spPr bwMode="auto">
                          <a:xfrm>
                            <a:off x="2469515" y="3305614"/>
                            <a:ext cx="2084070" cy="1405255"/>
                          </a:xfrm>
                          <a:prstGeom prst="roundRect">
                            <a:avLst>
                              <a:gd name="adj" fmla="val 16667"/>
                            </a:avLst>
                          </a:prstGeom>
                          <a:solidFill>
                            <a:srgbClr val="FFFFFF"/>
                          </a:solidFill>
                          <a:ln w="9525">
                            <a:solidFill>
                              <a:srgbClr val="000000"/>
                            </a:solidFill>
                            <a:round/>
                          </a:ln>
                        </wps:spPr>
                        <wps:txbx>
                          <w:txbxContent>
                            <w:p w14:paraId="3045ECBA" w14:textId="77777777" w:rsidR="0081030B" w:rsidRDefault="0067683D">
                              <w:pPr>
                                <w:adjustRightInd w:val="0"/>
                                <w:snapToGrid w:val="0"/>
                                <w:spacing w:line="216" w:lineRule="auto"/>
                                <w:jc w:val="left"/>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Standard SST </w:t>
                              </w:r>
                              <w:r>
                                <w:rPr>
                                  <w:rFonts w:ascii="Times New Roman" w:hAnsi="Times New Roman" w:cs="Times New Roman" w:hint="eastAsia"/>
                                  <w:b/>
                                  <w:color w:val="000000"/>
                                  <w:sz w:val="20"/>
                                  <w:szCs w:val="20"/>
                                </w:rPr>
                                <w:t xml:space="preserve">delivery </w:t>
                              </w:r>
                              <w:r>
                                <w:rPr>
                                  <w:rFonts w:ascii="Times New Roman" w:hAnsi="Times New Roman" w:cs="Times New Roman"/>
                                  <w:b/>
                                  <w:color w:val="000000"/>
                                  <w:sz w:val="20"/>
                                  <w:szCs w:val="20"/>
                                </w:rPr>
                                <w:t>arm (</w:t>
                              </w:r>
                              <w:r>
                                <w:rPr>
                                  <w:rFonts w:ascii="Times New Roman" w:hAnsi="Times New Roman" w:cs="Times New Roman" w:hint="eastAsia"/>
                                  <w:b/>
                                  <w:color w:val="000000"/>
                                  <w:sz w:val="20"/>
                                  <w:szCs w:val="20"/>
                                </w:rPr>
                                <w:t>10</w:t>
                              </w:r>
                              <w:r>
                                <w:rPr>
                                  <w:rFonts w:ascii="Times New Roman" w:hAnsi="Times New Roman" w:cs="Times New Roman"/>
                                  <w:b/>
                                  <w:color w:val="000000"/>
                                  <w:sz w:val="20"/>
                                  <w:szCs w:val="20"/>
                                </w:rPr>
                                <w:t>0 index</w:t>
                              </w:r>
                              <w:r>
                                <w:rPr>
                                  <w:rFonts w:ascii="Times New Roman" w:hAnsi="Times New Roman" w:cs="Times New Roman" w:hint="eastAsia"/>
                                  <w:b/>
                                  <w:color w:val="000000"/>
                                  <w:sz w:val="20"/>
                                  <w:szCs w:val="20"/>
                                </w:rPr>
                                <w:t>es</w:t>
                              </w:r>
                              <w:r>
                                <w:rPr>
                                  <w:rFonts w:ascii="Times New Roman" w:hAnsi="Times New Roman" w:cs="Times New Roman"/>
                                  <w:b/>
                                  <w:color w:val="000000"/>
                                  <w:sz w:val="20"/>
                                  <w:szCs w:val="20"/>
                                </w:rPr>
                                <w:t>)</w:t>
                              </w:r>
                            </w:p>
                            <w:p w14:paraId="059757E4"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color w:val="000000"/>
                                  <w:sz w:val="20"/>
                                  <w:szCs w:val="20"/>
                                </w:rPr>
                                <w:t xml:space="preserve">1. </w:t>
                              </w:r>
                              <w:r>
                                <w:rPr>
                                  <w:rFonts w:ascii="Times New Roman" w:hAnsi="Times New Roman" w:cs="Times New Roman"/>
                                  <w:sz w:val="20"/>
                                  <w:szCs w:val="20"/>
                                </w:rPr>
                                <w:t>Information card.</w:t>
                              </w:r>
                            </w:p>
                            <w:p w14:paraId="1A1381C6"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sz w:val="20"/>
                                  <w:szCs w:val="20"/>
                                </w:rPr>
                                <w:t>2. SST kit package.</w:t>
                              </w:r>
                            </w:p>
                            <w:p w14:paraId="79664864"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 Result report card.</w:t>
                              </w:r>
                            </w:p>
                            <w:p w14:paraId="63F41EC2" w14:textId="77777777" w:rsidR="0081030B" w:rsidRDefault="0067683D">
                              <w:pPr>
                                <w:adjustRightInd w:val="0"/>
                                <w:snapToGrid w:val="0"/>
                                <w:spacing w:line="216" w:lineRule="auto"/>
                                <w:jc w:val="left"/>
                                <w:rPr>
                                  <w:rFonts w:ascii="Times New Roman" w:hAnsi="Times New Roman" w:cs="Times New Roman"/>
                                  <w:color w:val="000000"/>
                                  <w:sz w:val="20"/>
                                  <w:szCs w:val="20"/>
                                </w:rPr>
                              </w:pPr>
                              <w:r>
                                <w:rPr>
                                  <w:rFonts w:ascii="Times New Roman" w:hAnsi="Times New Roman" w:cs="Times New Roman"/>
                                  <w:color w:val="000000"/>
                                  <w:sz w:val="20"/>
                                  <w:szCs w:val="20"/>
                                </w:rPr>
                                <w:t>Apply for additional 3 packages (refundable deposit 4 USD/package) when all his 3 alters return their testing results.</w:t>
                              </w:r>
                            </w:p>
                          </w:txbxContent>
                        </wps:txbx>
                        <wps:bodyPr rot="0" vert="horz" wrap="square" lIns="91440" tIns="45720" rIns="91440" bIns="45720" anchor="t" anchorCtr="0" upright="1">
                          <a:noAutofit/>
                        </wps:bodyPr>
                      </wps:wsp>
                      <wps:wsp>
                        <wps:cNvPr id="55" name="AutoShape 34"/>
                        <wps:cNvCnPr>
                          <a:cxnSpLocks noChangeShapeType="1"/>
                        </wps:cNvCnPr>
                        <wps:spPr bwMode="auto">
                          <a:xfrm rot="5400000">
                            <a:off x="3059430" y="2981764"/>
                            <a:ext cx="528320" cy="118745"/>
                          </a:xfrm>
                          <a:prstGeom prst="bentConnector3">
                            <a:avLst>
                              <a:gd name="adj1" fmla="val 50000"/>
                            </a:avLst>
                          </a:prstGeom>
                          <a:noFill/>
                          <a:ln w="9525">
                            <a:solidFill>
                              <a:srgbClr val="000000"/>
                            </a:solidFill>
                            <a:miter lim="800000"/>
                            <a:tailEnd type="triangle" w="med" len="med"/>
                          </a:ln>
                        </wps:spPr>
                        <wps:bodyPr/>
                      </wps:wsp>
                      <wps:wsp>
                        <wps:cNvPr id="56" name="矩形: 圆角 35"/>
                        <wps:cNvSpPr>
                          <a:spLocks noChangeArrowheads="1"/>
                        </wps:cNvSpPr>
                        <wps:spPr bwMode="auto">
                          <a:xfrm>
                            <a:off x="34290" y="35999"/>
                            <a:ext cx="1231900" cy="429260"/>
                          </a:xfrm>
                          <a:prstGeom prst="roundRect">
                            <a:avLst>
                              <a:gd name="adj" fmla="val 16667"/>
                            </a:avLst>
                          </a:prstGeom>
                          <a:solidFill>
                            <a:srgbClr val="4472C4"/>
                          </a:solidFill>
                          <a:ln w="12700">
                            <a:solidFill>
                              <a:srgbClr val="1F3763"/>
                            </a:solidFill>
                            <a:miter lim="800000"/>
                          </a:ln>
                        </wps:spPr>
                        <wps:txbx>
                          <w:txbxContent>
                            <w:p w14:paraId="612CE66C" w14:textId="77777777" w:rsidR="0081030B" w:rsidRDefault="0067683D">
                              <w:pPr>
                                <w:jc w:val="center"/>
                                <w:rPr>
                                  <w:rFonts w:ascii="Times New Roman" w:hAnsi="Times New Roman" w:cs="Times New Roman"/>
                                  <w:b/>
                                  <w:sz w:val="24"/>
                                  <w:szCs w:val="24"/>
                                </w:rPr>
                              </w:pPr>
                              <w:r>
                                <w:rPr>
                                  <w:rFonts w:ascii="Times New Roman" w:hAnsi="Times New Roman" w:cs="Times New Roman"/>
                                  <w:b/>
                                  <w:sz w:val="24"/>
                                  <w:szCs w:val="24"/>
                                </w:rPr>
                                <w:t>Enrollment</w:t>
                              </w:r>
                            </w:p>
                          </w:txbxContent>
                        </wps:txbx>
                        <wps:bodyPr rot="0" vert="horz" wrap="square" lIns="91440" tIns="45720" rIns="91440" bIns="45720" anchor="ctr" anchorCtr="0" upright="1">
                          <a:noAutofit/>
                        </wps:bodyPr>
                      </wps:wsp>
                      <wps:wsp>
                        <wps:cNvPr id="57" name="矩形: 圆角 37"/>
                        <wps:cNvSpPr>
                          <a:spLocks noChangeArrowheads="1"/>
                        </wps:cNvSpPr>
                        <wps:spPr bwMode="auto">
                          <a:xfrm>
                            <a:off x="33655" y="2195634"/>
                            <a:ext cx="1231900" cy="358775"/>
                          </a:xfrm>
                          <a:prstGeom prst="roundRect">
                            <a:avLst>
                              <a:gd name="adj" fmla="val 16667"/>
                            </a:avLst>
                          </a:prstGeom>
                          <a:solidFill>
                            <a:srgbClr val="4472C4"/>
                          </a:solidFill>
                          <a:ln w="12700">
                            <a:solidFill>
                              <a:srgbClr val="1F3763"/>
                            </a:solidFill>
                            <a:miter lim="800000"/>
                          </a:ln>
                        </wps:spPr>
                        <wps:txbx>
                          <w:txbxContent>
                            <w:p w14:paraId="328FD373" w14:textId="77777777" w:rsidR="0081030B" w:rsidRDefault="0067683D">
                              <w:pPr>
                                <w:pStyle w:val="NormalWeb"/>
                                <w:spacing w:before="0" w:beforeAutospacing="0" w:after="0" w:afterAutospacing="0"/>
                                <w:ind w:firstLine="204"/>
                                <w:jc w:val="both"/>
                                <w:rPr>
                                  <w:rFonts w:ascii="Times New Roman" w:hAnsi="Times New Roman" w:cs="Times New Roman"/>
                                  <w:b/>
                                </w:rPr>
                              </w:pPr>
                              <w:r>
                                <w:rPr>
                                  <w:rFonts w:ascii="Times New Roman" w:hAnsi="Times New Roman" w:cs="Times New Roman"/>
                                  <w:b/>
                                  <w:kern w:val="2"/>
                                </w:rPr>
                                <w:t>Allocation</w:t>
                              </w:r>
                            </w:p>
                          </w:txbxContent>
                        </wps:txbx>
                        <wps:bodyPr rot="0" vert="horz" wrap="square" lIns="91440" tIns="45720" rIns="91440" bIns="45720" anchor="t" anchorCtr="0" upright="1">
                          <a:noAutofit/>
                        </wps:bodyPr>
                      </wps:wsp>
                      <wps:wsp>
                        <wps:cNvPr id="58" name="矩形: 圆角 38"/>
                        <wps:cNvSpPr>
                          <a:spLocks noChangeArrowheads="1"/>
                        </wps:cNvSpPr>
                        <wps:spPr bwMode="auto">
                          <a:xfrm>
                            <a:off x="27940" y="2812219"/>
                            <a:ext cx="1208405" cy="457835"/>
                          </a:xfrm>
                          <a:prstGeom prst="roundRect">
                            <a:avLst>
                              <a:gd name="adj" fmla="val 16667"/>
                            </a:avLst>
                          </a:prstGeom>
                          <a:solidFill>
                            <a:srgbClr val="4472C4"/>
                          </a:solidFill>
                          <a:ln w="12700">
                            <a:solidFill>
                              <a:srgbClr val="1F3763"/>
                            </a:solidFill>
                            <a:miter lim="800000"/>
                          </a:ln>
                        </wps:spPr>
                        <wps:txbx>
                          <w:txbxContent>
                            <w:p w14:paraId="197A3613" w14:textId="77777777" w:rsidR="0081030B" w:rsidRDefault="0067683D">
                              <w:pPr>
                                <w:pStyle w:val="NormalWeb"/>
                                <w:spacing w:before="0" w:beforeAutospacing="0" w:after="0" w:afterAutospacing="0"/>
                                <w:jc w:val="center"/>
                                <w:rPr>
                                  <w:rFonts w:ascii="Times New Roman" w:hAnsi="Times New Roman" w:cs="Times New Roman"/>
                                  <w:b/>
                                </w:rPr>
                              </w:pPr>
                              <w:r>
                                <w:rPr>
                                  <w:rFonts w:ascii="Times New Roman" w:hAnsi="Times New Roman" w:cs="Times New Roman"/>
                                  <w:b/>
                                  <w:kern w:val="2"/>
                                </w:rPr>
                                <w:t xml:space="preserve">Intervention </w:t>
                              </w:r>
                            </w:p>
                          </w:txbxContent>
                        </wps:txbx>
                        <wps:bodyPr rot="0" vert="horz" wrap="square" lIns="91440" tIns="45720" rIns="91440" bIns="45720" anchor="ctr" anchorCtr="0" upright="1">
                          <a:noAutofit/>
                        </wps:bodyPr>
                      </wps:wsp>
                      <wps:wsp>
                        <wps:cNvPr id="59" name="AutoShape 6"/>
                        <wps:cNvSpPr/>
                        <wps:spPr bwMode="auto">
                          <a:xfrm>
                            <a:off x="2130425" y="1725099"/>
                            <a:ext cx="2503805" cy="354330"/>
                          </a:xfrm>
                          <a:prstGeom prst="roundRect">
                            <a:avLst>
                              <a:gd name="adj" fmla="val 16667"/>
                            </a:avLst>
                          </a:prstGeom>
                          <a:solidFill>
                            <a:srgbClr val="FFFFFF"/>
                          </a:solidFill>
                          <a:ln w="9525">
                            <a:solidFill>
                              <a:srgbClr val="000000"/>
                            </a:solidFill>
                            <a:round/>
                          </a:ln>
                        </wps:spPr>
                        <wps:txbx>
                          <w:txbxContent>
                            <w:p w14:paraId="0AF40AC7" w14:textId="77777777" w:rsidR="0081030B" w:rsidRDefault="0067683D">
                              <w:pPr>
                                <w:jc w:val="center"/>
                                <w:rPr>
                                  <w:rFonts w:ascii="Times New Roman" w:hAnsi="Times New Roman" w:cs="Times New Roman"/>
                                  <w:kern w:val="0"/>
                                  <w:sz w:val="24"/>
                                  <w:szCs w:val="24"/>
                                </w:rPr>
                              </w:pPr>
                              <w:r>
                                <w:rPr>
                                  <w:rFonts w:ascii="Times New Roman" w:eastAsia="DengXian" w:hAnsi="Times New Roman" w:cs="Times New Roman"/>
                                  <w:b/>
                                  <w:bCs/>
                                  <w:sz w:val="20"/>
                                  <w:szCs w:val="20"/>
                                </w:rPr>
                                <w:t>Baseline survey</w:t>
                              </w:r>
                            </w:p>
                          </w:txbxContent>
                        </wps:txbx>
                        <wps:bodyPr rot="0" vert="horz" wrap="square" lIns="91440" tIns="45720" rIns="91440" bIns="45720" anchor="t" anchorCtr="0" upright="1">
                          <a:noAutofit/>
                        </wps:bodyPr>
                      </wps:wsp>
                      <wps:wsp>
                        <wps:cNvPr id="60" name="直接箭头连接符 12"/>
                        <wps:cNvCnPr>
                          <a:cxnSpLocks noChangeShapeType="1"/>
                        </wps:cNvCnPr>
                        <wps:spPr bwMode="auto">
                          <a:xfrm flipH="1">
                            <a:off x="3381375" y="2079429"/>
                            <a:ext cx="635" cy="207645"/>
                          </a:xfrm>
                          <a:prstGeom prst="straightConnector1">
                            <a:avLst/>
                          </a:prstGeom>
                          <a:noFill/>
                          <a:ln w="6350">
                            <a:solidFill>
                              <a:srgbClr val="000000"/>
                            </a:solidFill>
                            <a:miter lim="800000"/>
                            <a:tailEnd type="triangle" w="med" len="med"/>
                          </a:ln>
                        </wps:spPr>
                        <wps:bodyPr/>
                      </wps:wsp>
                      <wps:wsp>
                        <wps:cNvPr id="61" name="AutoShape 8"/>
                        <wps:cNvSpPr/>
                        <wps:spPr bwMode="auto">
                          <a:xfrm>
                            <a:off x="290195" y="4927404"/>
                            <a:ext cx="2007870" cy="1503045"/>
                          </a:xfrm>
                          <a:prstGeom prst="roundRect">
                            <a:avLst>
                              <a:gd name="adj" fmla="val 16667"/>
                            </a:avLst>
                          </a:prstGeom>
                          <a:solidFill>
                            <a:srgbClr val="FFFFFF"/>
                          </a:solidFill>
                          <a:ln w="9525">
                            <a:solidFill>
                              <a:srgbClr val="000000"/>
                            </a:solidFill>
                            <a:round/>
                          </a:ln>
                        </wps:spPr>
                        <wps:txbx>
                          <w:txbxContent>
                            <w:p w14:paraId="40CFA171"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1</w:t>
                              </w:r>
                              <w:r>
                                <w:rPr>
                                  <w:rFonts w:ascii="Times New Roman" w:hAnsi="Times New Roman" w:cs="Times New Roman"/>
                                  <w:bCs/>
                                  <w:color w:val="000000"/>
                                  <w:sz w:val="20"/>
                                  <w:szCs w:val="20"/>
                                </w:rPr>
                                <w:t>. Each alter returns testing results and completes a survey, then receives 3 USD.</w:t>
                              </w:r>
                            </w:p>
                            <w:p w14:paraId="78713AA6"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2</w:t>
                              </w:r>
                              <w:r>
                                <w:rPr>
                                  <w:rFonts w:ascii="Times New Roman" w:hAnsi="Times New Roman" w:cs="Times New Roman"/>
                                  <w:bCs/>
                                  <w:color w:val="000000"/>
                                  <w:sz w:val="20"/>
                                  <w:szCs w:val="20"/>
                                </w:rPr>
                                <w:t>. Each matched index receives 3 USD.</w:t>
                              </w:r>
                            </w:p>
                            <w:p w14:paraId="2AE3E0E7"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3</w:t>
                              </w:r>
                              <w:r>
                                <w:rPr>
                                  <w:rFonts w:ascii="Times New Roman" w:hAnsi="Times New Roman" w:cs="Times New Roman"/>
                                  <w:bCs/>
                                  <w:color w:val="000000"/>
                                  <w:sz w:val="20"/>
                                  <w:szCs w:val="20"/>
                                </w:rPr>
                                <w:t>.Each eligible “secondary index” can also apply for 3 information packages to distribute to their alters.</w:t>
                              </w:r>
                            </w:p>
                          </w:txbxContent>
                        </wps:txbx>
                        <wps:bodyPr rot="0" vert="horz" wrap="square" lIns="91440" tIns="45720" rIns="91440" bIns="45720" anchor="t" anchorCtr="0" upright="1">
                          <a:noAutofit/>
                        </wps:bodyPr>
                      </wps:wsp>
                      <wps:wsp>
                        <wps:cNvPr id="62" name="AutoShape 8"/>
                        <wps:cNvSpPr/>
                        <wps:spPr bwMode="auto">
                          <a:xfrm>
                            <a:off x="2490470" y="4927404"/>
                            <a:ext cx="2063115" cy="1518285"/>
                          </a:xfrm>
                          <a:prstGeom prst="roundRect">
                            <a:avLst>
                              <a:gd name="adj" fmla="val 16667"/>
                            </a:avLst>
                          </a:prstGeom>
                          <a:solidFill>
                            <a:srgbClr val="FFFFFF"/>
                          </a:solidFill>
                          <a:ln w="9525">
                            <a:solidFill>
                              <a:srgbClr val="000000"/>
                            </a:solidFill>
                            <a:round/>
                          </a:ln>
                        </wps:spPr>
                        <wps:txbx>
                          <w:txbxContent>
                            <w:p w14:paraId="342EE87E" w14:textId="77777777" w:rsidR="0081030B" w:rsidRDefault="0067683D">
                              <w:pPr>
                                <w:adjustRightInd w:val="0"/>
                                <w:snapToGrid w:val="0"/>
                                <w:spacing w:line="204"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1</w:t>
                              </w:r>
                              <w:r>
                                <w:rPr>
                                  <w:rFonts w:ascii="Times New Roman" w:hAnsi="Times New Roman" w:cs="Times New Roman"/>
                                  <w:bCs/>
                                  <w:color w:val="000000"/>
                                  <w:sz w:val="20"/>
                                  <w:szCs w:val="20"/>
                                </w:rPr>
                                <w:t>. Each alter returns testing results and completes a survey, then receives 3 USD.</w:t>
                              </w:r>
                            </w:p>
                            <w:p w14:paraId="0699FC1D" w14:textId="77777777" w:rsidR="0081030B" w:rsidRDefault="0067683D">
                              <w:pPr>
                                <w:adjustRightInd w:val="0"/>
                                <w:snapToGrid w:val="0"/>
                                <w:spacing w:line="204"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2</w:t>
                              </w:r>
                              <w:r>
                                <w:rPr>
                                  <w:rFonts w:ascii="Times New Roman" w:hAnsi="Times New Roman" w:cs="Times New Roman"/>
                                  <w:bCs/>
                                  <w:color w:val="000000"/>
                                  <w:sz w:val="20"/>
                                  <w:szCs w:val="20"/>
                                </w:rPr>
                                <w:t>. Each matched index receives 3 USD.</w:t>
                              </w:r>
                            </w:p>
                            <w:p w14:paraId="5C69A0AA" w14:textId="77777777" w:rsidR="0081030B" w:rsidRDefault="0067683D">
                              <w:pPr>
                                <w:adjustRightInd w:val="0"/>
                                <w:snapToGrid w:val="0"/>
                                <w:spacing w:line="204"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3</w:t>
                              </w:r>
                              <w:r>
                                <w:rPr>
                                  <w:rFonts w:ascii="Times New Roman" w:hAnsi="Times New Roman" w:cs="Times New Roman"/>
                                  <w:bCs/>
                                  <w:color w:val="000000"/>
                                  <w:sz w:val="20"/>
                                  <w:szCs w:val="20"/>
                                </w:rPr>
                                <w:t xml:space="preserve">.Each eligible “secondary index” can also apply for 3 SST packages (refundable </w:t>
                              </w:r>
                              <w:r>
                                <w:rPr>
                                  <w:rFonts w:ascii="Times New Roman" w:hAnsi="Times New Roman" w:cs="Times New Roman"/>
                                  <w:color w:val="000000"/>
                                  <w:sz w:val="20"/>
                                  <w:szCs w:val="20"/>
                                </w:rPr>
                                <w:t>deposit 4 USD/package</w:t>
                              </w:r>
                              <w:r>
                                <w:rPr>
                                  <w:rFonts w:ascii="Times New Roman" w:hAnsi="Times New Roman" w:cs="Times New Roman"/>
                                  <w:bCs/>
                                  <w:color w:val="000000"/>
                                  <w:sz w:val="20"/>
                                  <w:szCs w:val="20"/>
                                </w:rPr>
                                <w:t>) to distribute to their alters.</w:t>
                              </w:r>
                            </w:p>
                          </w:txbxContent>
                        </wps:txbx>
                        <wps:bodyPr rot="0" vert="horz" wrap="square" lIns="91440" tIns="45720" rIns="91440" bIns="45720" anchor="t" anchorCtr="0" upright="1">
                          <a:noAutofit/>
                        </wps:bodyPr>
                      </wps:wsp>
                      <wps:wsp>
                        <wps:cNvPr id="63" name="AutoShape 8"/>
                        <wps:cNvSpPr/>
                        <wps:spPr bwMode="auto">
                          <a:xfrm>
                            <a:off x="4745990" y="4927404"/>
                            <a:ext cx="2040255" cy="1527810"/>
                          </a:xfrm>
                          <a:prstGeom prst="roundRect">
                            <a:avLst>
                              <a:gd name="adj" fmla="val 16667"/>
                            </a:avLst>
                          </a:prstGeom>
                          <a:solidFill>
                            <a:srgbClr val="FFFFFF"/>
                          </a:solidFill>
                          <a:ln w="9525">
                            <a:solidFill>
                              <a:srgbClr val="000000"/>
                            </a:solidFill>
                            <a:round/>
                          </a:ln>
                        </wps:spPr>
                        <wps:txbx>
                          <w:txbxContent>
                            <w:p w14:paraId="4E654B24"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1</w:t>
                              </w:r>
                              <w:r>
                                <w:rPr>
                                  <w:rFonts w:ascii="Times New Roman" w:hAnsi="Times New Roman" w:cs="Times New Roman"/>
                                  <w:bCs/>
                                  <w:color w:val="000000"/>
                                  <w:sz w:val="20"/>
                                  <w:szCs w:val="20"/>
                                </w:rPr>
                                <w:t>. Each alter returns testing results and completes a survey, then receives 3 USD.</w:t>
                              </w:r>
                            </w:p>
                            <w:p w14:paraId="1F009453"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2</w:t>
                              </w:r>
                              <w:r>
                                <w:rPr>
                                  <w:rFonts w:ascii="Times New Roman" w:hAnsi="Times New Roman" w:cs="Times New Roman"/>
                                  <w:bCs/>
                                  <w:color w:val="000000"/>
                                  <w:sz w:val="20"/>
                                  <w:szCs w:val="20"/>
                                </w:rPr>
                                <w:t>. Each matched index receives 3 USD.</w:t>
                              </w:r>
                            </w:p>
                            <w:p w14:paraId="7446EB5F"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3</w:t>
                              </w:r>
                              <w:r>
                                <w:rPr>
                                  <w:rFonts w:ascii="Times New Roman" w:hAnsi="Times New Roman" w:cs="Times New Roman"/>
                                  <w:bCs/>
                                  <w:color w:val="000000"/>
                                  <w:sz w:val="20"/>
                                  <w:szCs w:val="20"/>
                                </w:rPr>
                                <w:t>.Each eligible “secondary index” can also apply for 3 referral links to distribute to their alters.</w:t>
                              </w:r>
                            </w:p>
                          </w:txbxContent>
                        </wps:txbx>
                        <wps:bodyPr rot="0" vert="horz" wrap="square" lIns="91440" tIns="45720" rIns="91440" bIns="45720" anchor="t" anchorCtr="0" upright="1">
                          <a:noAutofit/>
                        </wps:bodyPr>
                      </wps:wsp>
                      <wps:wsp>
                        <wps:cNvPr id="64" name="AutoShape 14"/>
                        <wps:cNvCnPr>
                          <a:cxnSpLocks noChangeShapeType="1"/>
                        </wps:cNvCnPr>
                        <wps:spPr bwMode="auto">
                          <a:xfrm flipH="1">
                            <a:off x="1270635" y="4708329"/>
                            <a:ext cx="635" cy="216535"/>
                          </a:xfrm>
                          <a:prstGeom prst="straightConnector1">
                            <a:avLst/>
                          </a:prstGeom>
                          <a:noFill/>
                          <a:ln w="9525">
                            <a:solidFill>
                              <a:srgbClr val="000000"/>
                            </a:solidFill>
                            <a:round/>
                            <a:tailEnd type="triangle" w="med" len="med"/>
                          </a:ln>
                        </wps:spPr>
                        <wps:bodyPr/>
                      </wps:wsp>
                      <wps:wsp>
                        <wps:cNvPr id="65" name="AutoShape 14"/>
                        <wps:cNvCnPr>
                          <a:cxnSpLocks noChangeShapeType="1"/>
                        </wps:cNvCnPr>
                        <wps:spPr bwMode="auto">
                          <a:xfrm flipH="1">
                            <a:off x="3526790" y="4710869"/>
                            <a:ext cx="635" cy="216535"/>
                          </a:xfrm>
                          <a:prstGeom prst="straightConnector1">
                            <a:avLst/>
                          </a:prstGeom>
                          <a:noFill/>
                          <a:ln w="9525">
                            <a:solidFill>
                              <a:srgbClr val="000000"/>
                            </a:solidFill>
                            <a:round/>
                            <a:tailEnd type="triangle" w="med" len="med"/>
                          </a:ln>
                        </wps:spPr>
                        <wps:bodyPr/>
                      </wps:wsp>
                      <wps:wsp>
                        <wps:cNvPr id="66" name="AutoShape 14"/>
                        <wps:cNvCnPr>
                          <a:cxnSpLocks noChangeShapeType="1"/>
                        </wps:cNvCnPr>
                        <wps:spPr bwMode="auto">
                          <a:xfrm flipH="1">
                            <a:off x="5784215" y="4710869"/>
                            <a:ext cx="635" cy="216535"/>
                          </a:xfrm>
                          <a:prstGeom prst="straightConnector1">
                            <a:avLst/>
                          </a:prstGeom>
                          <a:noFill/>
                          <a:ln w="9525">
                            <a:solidFill>
                              <a:srgbClr val="000000"/>
                            </a:solidFill>
                            <a:round/>
                            <a:tailEnd type="triangle" w="med" len="med"/>
                          </a:ln>
                        </wps:spPr>
                        <wps:bodyPr/>
                      </wps:wsp>
                      <wps:wsp>
                        <wps:cNvPr id="67" name="AutoShape 10"/>
                        <wps:cNvSpPr/>
                        <wps:spPr bwMode="auto">
                          <a:xfrm>
                            <a:off x="1203960" y="6884474"/>
                            <a:ext cx="4419599" cy="1287780"/>
                          </a:xfrm>
                          <a:prstGeom prst="roundRect">
                            <a:avLst>
                              <a:gd name="adj" fmla="val 16667"/>
                            </a:avLst>
                          </a:prstGeom>
                          <a:solidFill>
                            <a:srgbClr val="FFFFFF"/>
                          </a:solidFill>
                          <a:ln w="9525">
                            <a:solidFill>
                              <a:srgbClr val="000000"/>
                            </a:solidFill>
                            <a:round/>
                          </a:ln>
                        </wps:spPr>
                        <wps:txbx>
                          <w:txbxContent>
                            <w:p w14:paraId="1B2033E3" w14:textId="77777777" w:rsidR="0081030B" w:rsidRDefault="0067683D">
                              <w:pPr>
                                <w:adjustRightInd w:val="0"/>
                                <w:snapToGrid w:val="0"/>
                                <w:spacing w:afterLines="30" w:after="95" w:line="216" w:lineRule="auto"/>
                                <w:jc w:val="center"/>
                                <w:rPr>
                                  <w:rFonts w:ascii="Times New Roman" w:hAnsi="Times New Roman" w:cs="Times New Roman"/>
                                  <w:b/>
                                  <w:sz w:val="20"/>
                                  <w:szCs w:val="20"/>
                                </w:rPr>
                              </w:pPr>
                              <w:r>
                                <w:rPr>
                                  <w:rFonts w:ascii="Times New Roman" w:hAnsi="Times New Roman" w:cs="Times New Roman"/>
                                  <w:b/>
                                  <w:sz w:val="20"/>
                                  <w:szCs w:val="20"/>
                                </w:rPr>
                                <w:t>Linkage to care</w:t>
                              </w:r>
                            </w:p>
                            <w:p w14:paraId="3D7340BD" w14:textId="77777777" w:rsidR="0081030B" w:rsidRDefault="0067683D">
                              <w:pPr>
                                <w:adjustRightInd w:val="0"/>
                                <w:snapToGrid w:val="0"/>
                                <w:rPr>
                                  <w:rFonts w:ascii="Times New Roman" w:hAnsi="Times New Roman" w:cs="Times New Roman"/>
                                  <w:bCs/>
                                  <w:sz w:val="20"/>
                                  <w:szCs w:val="20"/>
                                </w:rPr>
                              </w:pPr>
                              <w:r>
                                <w:rPr>
                                  <w:rFonts w:ascii="Times New Roman" w:hAnsi="Times New Roman" w:cs="Times New Roman" w:hint="eastAsia"/>
                                  <w:bCs/>
                                  <w:sz w:val="20"/>
                                  <w:szCs w:val="20"/>
                                </w:rPr>
                                <w:t>1</w:t>
                              </w:r>
                              <w:r>
                                <w:rPr>
                                  <w:rFonts w:ascii="Times New Roman" w:hAnsi="Times New Roman" w:cs="Times New Roman"/>
                                  <w:bCs/>
                                  <w:sz w:val="20"/>
                                  <w:szCs w:val="20"/>
                                </w:rPr>
                                <w:t>. Alters with positive SST results will be referred to undergo free confirmatory laboratory testing at study clinics or other local designated clinics.</w:t>
                              </w:r>
                            </w:p>
                            <w:p w14:paraId="0987721F" w14:textId="77777777" w:rsidR="0081030B" w:rsidRDefault="0067683D">
                              <w:pPr>
                                <w:adjustRightInd w:val="0"/>
                                <w:snapToGrid w:val="0"/>
                                <w:rPr>
                                  <w:rFonts w:ascii="Times New Roman" w:hAnsi="Times New Roman" w:cs="Times New Roman"/>
                                  <w:bCs/>
                                  <w:sz w:val="20"/>
                                  <w:szCs w:val="20"/>
                                </w:rPr>
                              </w:pPr>
                              <w:r>
                                <w:rPr>
                                  <w:rFonts w:ascii="Times New Roman" w:hAnsi="Times New Roman" w:cs="Times New Roman" w:hint="eastAsia"/>
                                  <w:bCs/>
                                  <w:sz w:val="20"/>
                                  <w:szCs w:val="20"/>
                                </w:rPr>
                                <w:t>2</w:t>
                              </w:r>
                              <w:r>
                                <w:rPr>
                                  <w:rFonts w:ascii="Times New Roman" w:hAnsi="Times New Roman" w:cs="Times New Roman"/>
                                  <w:bCs/>
                                  <w:sz w:val="20"/>
                                  <w:szCs w:val="20"/>
                                </w:rPr>
                                <w:t>. Alters who diagnosed with syphilis will undertake one-month follow-up to obtain treatment information.</w:t>
                              </w:r>
                            </w:p>
                            <w:p w14:paraId="2C31D279" w14:textId="77777777" w:rsidR="0081030B" w:rsidRDefault="0067683D">
                              <w:pPr>
                                <w:adjustRightInd w:val="0"/>
                                <w:snapToGrid w:val="0"/>
                                <w:rPr>
                                  <w:rFonts w:ascii="Times New Roman" w:hAnsi="Times New Roman" w:cs="Times New Roman"/>
                                  <w:bCs/>
                                  <w:sz w:val="20"/>
                                  <w:szCs w:val="20"/>
                                </w:rPr>
                              </w:pPr>
                              <w:r>
                                <w:rPr>
                                  <w:rFonts w:ascii="Times New Roman" w:hAnsi="Times New Roman" w:cs="Times New Roman" w:hint="eastAsia"/>
                                  <w:bCs/>
                                  <w:sz w:val="20"/>
                                  <w:szCs w:val="20"/>
                                </w:rPr>
                                <w:t xml:space="preserve">3. Each </w:t>
                              </w:r>
                              <w:r>
                                <w:rPr>
                                  <w:rFonts w:ascii="Times New Roman" w:hAnsi="Times New Roman" w:cs="Times New Roman"/>
                                  <w:bCs/>
                                  <w:sz w:val="20"/>
                                  <w:szCs w:val="20"/>
                                </w:rPr>
                                <w:t xml:space="preserve">alter with </w:t>
                              </w:r>
                              <w:r>
                                <w:rPr>
                                  <w:rFonts w:ascii="Times New Roman" w:hAnsi="Times New Roman" w:cs="Times New Roman" w:hint="eastAsia"/>
                                  <w:bCs/>
                                  <w:sz w:val="20"/>
                                  <w:szCs w:val="20"/>
                                </w:rPr>
                                <w:t xml:space="preserve">reactive SST </w:t>
                              </w:r>
                              <w:r>
                                <w:rPr>
                                  <w:rFonts w:ascii="Times New Roman" w:hAnsi="Times New Roman" w:cs="Times New Roman"/>
                                  <w:bCs/>
                                  <w:sz w:val="20"/>
                                  <w:szCs w:val="20"/>
                                </w:rPr>
                                <w:t xml:space="preserve">result </w:t>
                              </w:r>
                              <w:r>
                                <w:rPr>
                                  <w:rFonts w:ascii="Times New Roman" w:hAnsi="Times New Roman" w:cs="Times New Roman" w:hint="eastAsia"/>
                                  <w:bCs/>
                                  <w:sz w:val="20"/>
                                  <w:szCs w:val="20"/>
                                </w:rPr>
                                <w:t xml:space="preserve">who returns confirmatory laboratory testing results or returns treatment proof will receive </w:t>
                              </w:r>
                              <w:r>
                                <w:rPr>
                                  <w:rFonts w:ascii="Times New Roman" w:hAnsi="Times New Roman" w:cs="Times New Roman"/>
                                  <w:bCs/>
                                  <w:color w:val="000000"/>
                                  <w:sz w:val="20"/>
                                  <w:szCs w:val="20"/>
                                </w:rPr>
                                <w:t>3 USD</w:t>
                              </w:r>
                              <w:r>
                                <w:rPr>
                                  <w:rFonts w:ascii="Times New Roman" w:hAnsi="Times New Roman" w:cs="Times New Roman" w:hint="eastAsia"/>
                                  <w:bCs/>
                                  <w:color w:val="000000"/>
                                  <w:sz w:val="20"/>
                                  <w:szCs w:val="20"/>
                                </w:rPr>
                                <w:t>.</w:t>
                              </w:r>
                            </w:p>
                          </w:txbxContent>
                        </wps:txbx>
                        <wps:bodyPr rot="0" vert="horz" wrap="square" lIns="91440" tIns="45720" rIns="91440" bIns="45720" anchor="t" anchorCtr="0" upright="1">
                          <a:noAutofit/>
                        </wps:bodyPr>
                      </wps:wsp>
                      <wps:wsp>
                        <wps:cNvPr id="68" name="矩形: 圆角 38"/>
                        <wps:cNvSpPr>
                          <a:spLocks noChangeArrowheads="1"/>
                        </wps:cNvSpPr>
                        <wps:spPr bwMode="auto">
                          <a:xfrm>
                            <a:off x="27940" y="6525699"/>
                            <a:ext cx="1208405" cy="457835"/>
                          </a:xfrm>
                          <a:prstGeom prst="roundRect">
                            <a:avLst>
                              <a:gd name="adj" fmla="val 16667"/>
                            </a:avLst>
                          </a:prstGeom>
                          <a:solidFill>
                            <a:srgbClr val="4472C4"/>
                          </a:solidFill>
                          <a:ln w="12700">
                            <a:solidFill>
                              <a:srgbClr val="1F3763"/>
                            </a:solidFill>
                            <a:miter lim="800000"/>
                          </a:ln>
                        </wps:spPr>
                        <wps:txbx>
                          <w:txbxContent>
                            <w:p w14:paraId="25AA7BE0" w14:textId="77777777" w:rsidR="0081030B" w:rsidRDefault="0067683D">
                              <w:pPr>
                                <w:pStyle w:val="NormalWeb"/>
                                <w:spacing w:before="0" w:beforeAutospacing="0" w:after="0" w:afterAutospacing="0"/>
                                <w:jc w:val="center"/>
                                <w:rPr>
                                  <w:rFonts w:ascii="Times New Roman" w:hAnsi="Times New Roman" w:cs="Times New Roman"/>
                                  <w:b/>
                                </w:rPr>
                              </w:pPr>
                              <w:r>
                                <w:rPr>
                                  <w:rFonts w:ascii="Times New Roman" w:hAnsi="Times New Roman" w:cs="Times New Roman"/>
                                  <w:b/>
                                  <w:kern w:val="2"/>
                                </w:rPr>
                                <w:t xml:space="preserve">Follow up </w:t>
                              </w:r>
                            </w:p>
                          </w:txbxContent>
                        </wps:txbx>
                        <wps:bodyPr rot="0" vert="horz" wrap="square" lIns="91440" tIns="45720" rIns="91440" bIns="45720" anchor="ctr" anchorCtr="0" upright="1">
                          <a:noAutofit/>
                        </wps:bodyPr>
                      </wps:wsp>
                      <wps:wsp>
                        <wps:cNvPr id="69" name="AutoShape 19"/>
                        <wps:cNvCnPr>
                          <a:cxnSpLocks noChangeShapeType="1"/>
                        </wps:cNvCnPr>
                        <wps:spPr bwMode="auto">
                          <a:xfrm>
                            <a:off x="3359150" y="8184319"/>
                            <a:ext cx="6350" cy="280670"/>
                          </a:xfrm>
                          <a:prstGeom prst="straightConnector1">
                            <a:avLst/>
                          </a:prstGeom>
                          <a:noFill/>
                          <a:ln w="9525">
                            <a:solidFill>
                              <a:srgbClr val="000000"/>
                            </a:solidFill>
                            <a:round/>
                            <a:tailEnd type="triangle" w="med" len="med"/>
                          </a:ln>
                        </wps:spPr>
                        <wps:bodyPr/>
                      </wps:wsp>
                      <wps:wsp>
                        <wps:cNvPr id="70" name="矩形: 圆角 32"/>
                        <wps:cNvSpPr/>
                        <wps:spPr bwMode="auto">
                          <a:xfrm>
                            <a:off x="1236345" y="8461375"/>
                            <a:ext cx="4206240" cy="301625"/>
                          </a:xfrm>
                          <a:prstGeom prst="roundRect">
                            <a:avLst>
                              <a:gd name="adj" fmla="val 16667"/>
                            </a:avLst>
                          </a:prstGeom>
                          <a:solidFill>
                            <a:srgbClr val="FFFFFF"/>
                          </a:solidFill>
                          <a:ln w="9525">
                            <a:solidFill>
                              <a:srgbClr val="000000"/>
                            </a:solidFill>
                            <a:round/>
                          </a:ln>
                        </wps:spPr>
                        <wps:txbx>
                          <w:txbxContent>
                            <w:p w14:paraId="2A1F3D24" w14:textId="77777777" w:rsidR="0081030B" w:rsidRDefault="0067683D">
                              <w:pPr>
                                <w:jc w:val="center"/>
                                <w:rPr>
                                  <w:b/>
                                  <w:bCs/>
                                  <w:kern w:val="0"/>
                                  <w:sz w:val="24"/>
                                  <w:szCs w:val="24"/>
                                </w:rPr>
                              </w:pPr>
                              <w:r>
                                <w:rPr>
                                  <w:rFonts w:ascii="Times New Roman" w:eastAsia="DengXian" w:hAnsi="Times New Roman" w:cs="Times New Roman"/>
                                  <w:b/>
                                  <w:bCs/>
                                  <w:sz w:val="20"/>
                                  <w:szCs w:val="20"/>
                                </w:rPr>
                                <w:t>End follow-up survey for indexes (3 months)</w:t>
                              </w:r>
                            </w:p>
                          </w:txbxContent>
                        </wps:txbx>
                        <wps:bodyPr rot="0" vert="horz" wrap="square" lIns="91440" tIns="45720" rIns="91440" bIns="45720" anchor="t" anchorCtr="0" upright="1">
                          <a:noAutofit/>
                        </wps:bodyPr>
                      </wps:wsp>
                    </wpc:wpc>
                  </a:graphicData>
                </a:graphic>
              </wp:anchor>
            </w:drawing>
          </mc:Choice>
          <mc:Fallback>
            <w:pict>
              <v:group w14:anchorId="6D0EA9F9" id="画布 31" o:spid="_x0000_s1027" editas="canvas" style="position:absolute;margin-left:-58.8pt;margin-top:4.2pt;width:534.95pt;height:690pt;z-index:251659264" coordsize="67938,87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">
                <v:shape id="_x0000_s1028" type="#_x0000_t75" style="position:absolute;width:67938;height:87630;visibility:visible;mso-wrap-style:square">
                  <v:fill o:detectmouseclick="t"/>
                  <v:path o:connecttype="none"/>
                </v:shape>
                <v:roundrect id="AutoShape 4" o:spid="_x0000_s1029" style="position:absolute;left:20948;top:486;width:25661;height:31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">
                  <v:textbox>
                    <w:txbxContent>
                      <w:p w14:paraId="47574D95" w14:textId="77777777" w:rsidR="0081030B" w:rsidRDefault="0067683D">
                        <w:pPr>
                          <w:jc w:val="center"/>
                          <w:rPr>
                            <w:rFonts w:ascii="Times New Roman" w:hAnsi="Times New Roman" w:cs="Times New Roman"/>
                            <w:b/>
                            <w:sz w:val="20"/>
                            <w:szCs w:val="20"/>
                          </w:rPr>
                        </w:pPr>
                        <w:r>
                          <w:rPr>
                            <w:rFonts w:ascii="Times New Roman" w:hAnsi="Times New Roman" w:cs="Times New Roman" w:hint="eastAsia"/>
                            <w:b/>
                            <w:sz w:val="20"/>
                            <w:szCs w:val="20"/>
                          </w:rPr>
                          <w:t>3</w:t>
                        </w:r>
                        <w:r>
                          <w:rPr>
                            <w:rFonts w:ascii="Times New Roman" w:hAnsi="Times New Roman" w:cs="Times New Roman"/>
                            <w:b/>
                            <w:sz w:val="20"/>
                            <w:szCs w:val="20"/>
                          </w:rPr>
                          <w:t xml:space="preserve"> MSM clinics in Guangdong</w:t>
                        </w:r>
                      </w:p>
                    </w:txbxContent>
                  </v:textbox>
                </v:roundrect>
                <v:roundrect id="AutoShape 5" o:spid="_x0000_s1030" style="position:absolute;left:21304;top:5986;width:25038;height:34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">
                  <v:textbox>
                    <w:txbxContent>
                      <w:p w14:paraId="0C870370" w14:textId="77777777" w:rsidR="0081030B" w:rsidRDefault="0067683D">
                        <w:pPr>
                          <w:jc w:val="center"/>
                          <w:rPr>
                            <w:rFonts w:ascii="Times New Roman" w:hAnsi="Times New Roman" w:cs="Times New Roman"/>
                            <w:b/>
                            <w:sz w:val="20"/>
                            <w:szCs w:val="20"/>
                          </w:rPr>
                        </w:pPr>
                        <w:r>
                          <w:rPr>
                            <w:rFonts w:ascii="Times New Roman" w:hAnsi="Times New Roman" w:cs="Times New Roman"/>
                            <w:b/>
                            <w:sz w:val="20"/>
                            <w:szCs w:val="20"/>
                          </w:rPr>
                          <w:t xml:space="preserve">Inform consent </w:t>
                        </w:r>
                      </w:p>
                    </w:txbxContent>
                  </v:textbox>
                </v:roundrect>
                <v:roundrect id="AutoShape 6" o:spid="_x0000_s1031" style="position:absolute;left:21304;top:11535;width:25038;height:35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">
                  <v:textbox>
                    <w:txbxContent>
                      <w:p w14:paraId="7C62A304" w14:textId="77777777" w:rsidR="0081030B" w:rsidRDefault="0067683D">
                        <w:pPr>
                          <w:jc w:val="center"/>
                          <w:rPr>
                            <w:rFonts w:ascii="Times New Roman" w:hAnsi="Times New Roman" w:cs="Times New Roman"/>
                            <w:b/>
                            <w:sz w:val="20"/>
                            <w:szCs w:val="20"/>
                          </w:rPr>
                        </w:pPr>
                        <w:r>
                          <w:rPr>
                            <w:rFonts w:ascii="Times New Roman" w:hAnsi="Times New Roman" w:cs="Times New Roman"/>
                            <w:b/>
                            <w:sz w:val="20"/>
                            <w:szCs w:val="20"/>
                          </w:rPr>
                          <w:t xml:space="preserve">Eligibility screening and enrollment </w:t>
                        </w:r>
                      </w:p>
                    </w:txbxContent>
                  </v:textbox>
                </v:roundrect>
                <v:roundrect id="AutoShape 7" o:spid="_x0000_s1032" style="position:absolute;left:21291;top:22870;width:25044;height:49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">
                  <v:textbox>
                    <w:txbxContent>
                      <w:p w14:paraId="5ADE9C88" w14:textId="77777777" w:rsidR="0081030B" w:rsidRDefault="0067683D" w:rsidP="002B27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 MSM indexes per cluster</w:t>
                        </w:r>
                      </w:p>
                      <w:p w14:paraId="292802BF" w14:textId="77777777" w:rsidR="0081030B" w:rsidRDefault="0067683D" w:rsidP="002B27B7">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Cluster randomization</w:t>
                        </w:r>
                        <w:r>
                          <w:rPr>
                            <w:rFonts w:ascii="Times New Roman" w:hAnsi="Times New Roman" w:cs="Times New Roman"/>
                            <w:sz w:val="20"/>
                            <w:szCs w:val="20"/>
                          </w:rPr>
                          <w:t xml:space="preserve"> (1:1:1) </w:t>
                        </w:r>
                      </w:p>
                    </w:txbxContent>
                  </v:textbox>
                </v:roundrect>
                <v:roundrect id="AutoShape 8" o:spid="_x0000_s1033" style="position:absolute;left:2978;top:33195;width:19812;height:138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">
                  <v:textbox>
                    <w:txbxContent>
                      <w:p w14:paraId="17F1F240" w14:textId="77777777" w:rsidR="0081030B" w:rsidRDefault="0067683D">
                        <w:pPr>
                          <w:adjustRightInd w:val="0"/>
                          <w:snapToGrid w:val="0"/>
                          <w:spacing w:line="216" w:lineRule="auto"/>
                          <w:rPr>
                            <w:rFonts w:ascii="Times New Roman" w:hAnsi="Times New Roman" w:cs="Times New Roman"/>
                            <w:b/>
                            <w:color w:val="000000"/>
                            <w:sz w:val="20"/>
                            <w:szCs w:val="20"/>
                          </w:rPr>
                        </w:pPr>
                        <w:r>
                          <w:rPr>
                            <w:rFonts w:ascii="Times New Roman" w:hAnsi="Times New Roman" w:cs="Times New Roman" w:hint="eastAsia"/>
                            <w:b/>
                            <w:color w:val="000000"/>
                            <w:sz w:val="20"/>
                            <w:szCs w:val="20"/>
                          </w:rPr>
                          <w:t xml:space="preserve">Standard of care </w:t>
                        </w:r>
                        <w:r>
                          <w:rPr>
                            <w:rFonts w:ascii="Times New Roman" w:hAnsi="Times New Roman" w:cs="Times New Roman"/>
                            <w:b/>
                            <w:color w:val="000000"/>
                            <w:sz w:val="20"/>
                            <w:szCs w:val="20"/>
                          </w:rPr>
                          <w:t xml:space="preserve">arm </w:t>
                        </w:r>
                      </w:p>
                      <w:p w14:paraId="37E732A1" w14:textId="77777777" w:rsidR="0081030B" w:rsidRDefault="0067683D">
                        <w:pPr>
                          <w:adjustRightInd w:val="0"/>
                          <w:snapToGrid w:val="0"/>
                          <w:spacing w:line="216" w:lineRule="auto"/>
                          <w:rPr>
                            <w:rFonts w:ascii="Times New Roman" w:hAnsi="Times New Roman" w:cs="Times New Roman"/>
                            <w:b/>
                            <w:color w:val="000000"/>
                            <w:sz w:val="20"/>
                            <w:szCs w:val="20"/>
                          </w:rPr>
                        </w:pPr>
                        <w:r>
                          <w:rPr>
                            <w:rFonts w:ascii="Times New Roman" w:hAnsi="Times New Roman" w:cs="Times New Roman"/>
                            <w:b/>
                            <w:color w:val="000000"/>
                            <w:sz w:val="20"/>
                            <w:szCs w:val="20"/>
                          </w:rPr>
                          <w:t>(</w:t>
                        </w:r>
                        <w:r>
                          <w:rPr>
                            <w:rFonts w:ascii="Times New Roman" w:hAnsi="Times New Roman" w:cs="Times New Roman" w:hint="eastAsia"/>
                            <w:b/>
                            <w:color w:val="000000"/>
                            <w:sz w:val="20"/>
                            <w:szCs w:val="20"/>
                          </w:rPr>
                          <w:t>10</w:t>
                        </w:r>
                        <w:r>
                          <w:rPr>
                            <w:rFonts w:ascii="Times New Roman" w:hAnsi="Times New Roman" w:cs="Times New Roman"/>
                            <w:b/>
                            <w:color w:val="000000"/>
                            <w:sz w:val="20"/>
                            <w:szCs w:val="20"/>
                          </w:rPr>
                          <w:t>0 index</w:t>
                        </w:r>
                        <w:r>
                          <w:rPr>
                            <w:rFonts w:ascii="Times New Roman" w:hAnsi="Times New Roman" w:cs="Times New Roman" w:hint="eastAsia"/>
                            <w:b/>
                            <w:color w:val="000000"/>
                            <w:sz w:val="20"/>
                            <w:szCs w:val="20"/>
                          </w:rPr>
                          <w:t>es</w:t>
                        </w:r>
                        <w:r>
                          <w:rPr>
                            <w:rFonts w:ascii="Times New Roman" w:hAnsi="Times New Roman" w:cs="Times New Roman"/>
                            <w:b/>
                            <w:color w:val="000000"/>
                            <w:sz w:val="20"/>
                            <w:szCs w:val="20"/>
                          </w:rPr>
                          <w:t>)</w:t>
                        </w:r>
                      </w:p>
                      <w:p w14:paraId="3B8E18DD"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color w:val="000000"/>
                            <w:sz w:val="20"/>
                            <w:szCs w:val="20"/>
                          </w:rPr>
                          <w:t xml:space="preserve">1. </w:t>
                        </w:r>
                        <w:r>
                          <w:rPr>
                            <w:rFonts w:ascii="Times New Roman" w:hAnsi="Times New Roman" w:cs="Times New Roman"/>
                            <w:sz w:val="20"/>
                            <w:szCs w:val="20"/>
                          </w:rPr>
                          <w:t>Information card</w:t>
                        </w:r>
                      </w:p>
                      <w:p w14:paraId="555CAFF9"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sz w:val="20"/>
                            <w:szCs w:val="20"/>
                          </w:rPr>
                          <w:t>2. Peer notification card.</w:t>
                        </w:r>
                      </w:p>
                      <w:p w14:paraId="5FD7CD8E"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 Result report card.</w:t>
                        </w:r>
                      </w:p>
                      <w:p w14:paraId="74F5A237" w14:textId="77777777" w:rsidR="0081030B" w:rsidRDefault="0067683D">
                        <w:pPr>
                          <w:adjustRightInd w:val="0"/>
                          <w:snapToGrid w:val="0"/>
                          <w:spacing w:line="216" w:lineRule="auto"/>
                          <w:jc w:val="left"/>
                          <w:rPr>
                            <w:rFonts w:ascii="Times New Roman" w:hAnsi="Times New Roman" w:cs="Times New Roman"/>
                            <w:color w:val="000000"/>
                            <w:sz w:val="20"/>
                            <w:szCs w:val="20"/>
                          </w:rPr>
                        </w:pPr>
                        <w:r>
                          <w:rPr>
                            <w:rFonts w:ascii="Times New Roman" w:hAnsi="Times New Roman" w:cs="Times New Roman"/>
                            <w:color w:val="000000"/>
                            <w:sz w:val="20"/>
                            <w:szCs w:val="20"/>
                          </w:rPr>
                          <w:t>Apply for additional 3 packages when all his 3 alters return their testing results.</w:t>
                        </w:r>
                      </w:p>
                    </w:txbxContent>
                  </v:textbox>
                </v:roundrect>
                <v:roundrect id="AutoShape 9" o:spid="_x0000_s1034" style="position:absolute;left:47459;top:33113;width:20403;height:137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">
                  <v:textbox inset=",0">
                    <w:txbxContent>
                      <w:p w14:paraId="3A7BBC8F" w14:textId="77777777" w:rsidR="0081030B" w:rsidRDefault="0067683D">
                        <w:pPr>
                          <w:adjustRightInd w:val="0"/>
                          <w:snapToGrid w:val="0"/>
                          <w:spacing w:line="216"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Referral link SST </w:t>
                        </w:r>
                        <w:r>
                          <w:rPr>
                            <w:rFonts w:ascii="Times New Roman" w:hAnsi="Times New Roman" w:cs="Times New Roman" w:hint="eastAsia"/>
                            <w:b/>
                            <w:color w:val="000000"/>
                            <w:sz w:val="20"/>
                            <w:szCs w:val="20"/>
                          </w:rPr>
                          <w:t xml:space="preserve">delivery </w:t>
                        </w:r>
                        <w:r>
                          <w:rPr>
                            <w:rFonts w:ascii="Times New Roman" w:hAnsi="Times New Roman" w:cs="Times New Roman"/>
                            <w:b/>
                            <w:color w:val="000000"/>
                            <w:sz w:val="20"/>
                            <w:szCs w:val="20"/>
                          </w:rPr>
                          <w:t>arm (</w:t>
                        </w:r>
                        <w:r>
                          <w:rPr>
                            <w:rFonts w:ascii="Times New Roman" w:hAnsi="Times New Roman" w:cs="Times New Roman" w:hint="eastAsia"/>
                            <w:b/>
                            <w:color w:val="000000"/>
                            <w:sz w:val="20"/>
                            <w:szCs w:val="20"/>
                          </w:rPr>
                          <w:t>100</w:t>
                        </w:r>
                        <w:r>
                          <w:rPr>
                            <w:rFonts w:ascii="Times New Roman" w:hAnsi="Times New Roman" w:cs="Times New Roman"/>
                            <w:b/>
                            <w:color w:val="000000"/>
                            <w:sz w:val="20"/>
                            <w:szCs w:val="20"/>
                          </w:rPr>
                          <w:t xml:space="preserve"> index</w:t>
                        </w:r>
                        <w:r>
                          <w:rPr>
                            <w:rFonts w:ascii="Times New Roman" w:hAnsi="Times New Roman" w:cs="Times New Roman" w:hint="eastAsia"/>
                            <w:b/>
                            <w:color w:val="000000"/>
                            <w:sz w:val="20"/>
                            <w:szCs w:val="20"/>
                          </w:rPr>
                          <w:t>es</w:t>
                        </w:r>
                        <w:r>
                          <w:rPr>
                            <w:rFonts w:ascii="Times New Roman" w:hAnsi="Times New Roman" w:cs="Times New Roman"/>
                            <w:b/>
                            <w:color w:val="000000"/>
                            <w:sz w:val="20"/>
                            <w:szCs w:val="20"/>
                          </w:rPr>
                          <w:t>)</w:t>
                        </w:r>
                      </w:p>
                      <w:p w14:paraId="37FD8ED8"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color w:val="000000"/>
                            <w:sz w:val="20"/>
                            <w:szCs w:val="20"/>
                          </w:rPr>
                          <w:t xml:space="preserve">1. </w:t>
                        </w:r>
                        <w:r>
                          <w:rPr>
                            <w:rFonts w:ascii="Times New Roman" w:hAnsi="Times New Roman" w:cs="Times New Roman"/>
                            <w:sz w:val="20"/>
                            <w:szCs w:val="20"/>
                          </w:rPr>
                          <w:t>Information card.</w:t>
                        </w:r>
                      </w:p>
                      <w:p w14:paraId="155DC698"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sz w:val="20"/>
                            <w:szCs w:val="20"/>
                          </w:rPr>
                          <w:t>2. SST referral link.</w:t>
                        </w:r>
                      </w:p>
                      <w:p w14:paraId="49986BB1"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 Result report card.</w:t>
                        </w:r>
                      </w:p>
                      <w:p w14:paraId="77684129" w14:textId="77777777" w:rsidR="0081030B" w:rsidRDefault="0067683D">
                        <w:pPr>
                          <w:adjustRightInd w:val="0"/>
                          <w:snapToGrid w:val="0"/>
                          <w:spacing w:line="216" w:lineRule="auto"/>
                          <w:jc w:val="left"/>
                          <w:rPr>
                            <w:rFonts w:ascii="Times New Roman" w:hAnsi="Times New Roman" w:cs="Times New Roman"/>
                            <w:color w:val="000000"/>
                            <w:sz w:val="20"/>
                            <w:szCs w:val="20"/>
                          </w:rPr>
                        </w:pPr>
                        <w:r>
                          <w:rPr>
                            <w:rFonts w:ascii="Times New Roman" w:hAnsi="Times New Roman" w:cs="Times New Roman"/>
                            <w:color w:val="000000"/>
                            <w:sz w:val="20"/>
                            <w:szCs w:val="20"/>
                          </w:rPr>
                          <w:t>Apply for additional 3 referral links when all his 3 alters return their testing results.</w:t>
                        </w:r>
                      </w:p>
                    </w:txbxContent>
                  </v:textbox>
                </v:roundrect>
                <v:shapetype id="_x0000_t32" coordsize="21600,21600" o:spt="32" o:oned="t" path="m,l21600,21600e" filled="f">
                  <v:path arrowok="t" fillok="f" o:connecttype="none"/>
                  <o:lock v:ext="edit" shapetype="t"/>
                </v:shapetype>
                <v:shape id="AutoShape 12" o:spid="_x0000_s1035" type="#_x0000_t32" style="position:absolute;left:33782;top:3617;width:38;height:2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shape id="AutoShape 13" o:spid="_x0000_s1036" type="#_x0000_t32" style="position:absolute;left:33820;top:9427;width:0;height:21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AutoShape 14" o:spid="_x0000_s1037" type="#_x0000_t32" style="position:absolute;left:33820;top:15085;width:0;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38" type="#_x0000_t34" style="position:absolute;left:21145;top:20241;width:5138;height:2019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">
                  <v:stroke endarrow="block"/>
                </v:shape>
                <v:shape id="AutoShape 22" o:spid="_x0000_s1039" type="#_x0000_t34" style="position:absolute;left:41725;top:19860;width:5055;height:2087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">
                  <v:stroke endarrow="block"/>
                </v:shape>
                <v:shape id="AutoShape 24" o:spid="_x0000_s1040" type="#_x0000_t34" style="position:absolute;left:21488;top:56449;width:4318;height:2006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">
                  <v:stroke endarrow="block"/>
                </v:shape>
                <v:shape id="AutoShape 25" o:spid="_x0000_s1041" type="#_x0000_t34" style="position:absolute;left:42024;top:55973;width:4318;height:2101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">
                  <v:stroke endarrow="block"/>
                </v:shape>
                <v:roundrect id="AutoShape 33" o:spid="_x0000_s1042" style="position:absolute;left:24695;top:33056;width:20840;height:140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">
                  <v:textbox>
                    <w:txbxContent>
                      <w:p w14:paraId="3045ECBA" w14:textId="77777777" w:rsidR="0081030B" w:rsidRDefault="0067683D">
                        <w:pPr>
                          <w:adjustRightInd w:val="0"/>
                          <w:snapToGrid w:val="0"/>
                          <w:spacing w:line="216" w:lineRule="auto"/>
                          <w:jc w:val="left"/>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Standard SST </w:t>
                        </w:r>
                        <w:r>
                          <w:rPr>
                            <w:rFonts w:ascii="Times New Roman" w:hAnsi="Times New Roman" w:cs="Times New Roman" w:hint="eastAsia"/>
                            <w:b/>
                            <w:color w:val="000000"/>
                            <w:sz w:val="20"/>
                            <w:szCs w:val="20"/>
                          </w:rPr>
                          <w:t xml:space="preserve">delivery </w:t>
                        </w:r>
                        <w:r>
                          <w:rPr>
                            <w:rFonts w:ascii="Times New Roman" w:hAnsi="Times New Roman" w:cs="Times New Roman"/>
                            <w:b/>
                            <w:color w:val="000000"/>
                            <w:sz w:val="20"/>
                            <w:szCs w:val="20"/>
                          </w:rPr>
                          <w:t>arm (</w:t>
                        </w:r>
                        <w:r>
                          <w:rPr>
                            <w:rFonts w:ascii="Times New Roman" w:hAnsi="Times New Roman" w:cs="Times New Roman" w:hint="eastAsia"/>
                            <w:b/>
                            <w:color w:val="000000"/>
                            <w:sz w:val="20"/>
                            <w:szCs w:val="20"/>
                          </w:rPr>
                          <w:t>10</w:t>
                        </w:r>
                        <w:r>
                          <w:rPr>
                            <w:rFonts w:ascii="Times New Roman" w:hAnsi="Times New Roman" w:cs="Times New Roman"/>
                            <w:b/>
                            <w:color w:val="000000"/>
                            <w:sz w:val="20"/>
                            <w:szCs w:val="20"/>
                          </w:rPr>
                          <w:t>0 index</w:t>
                        </w:r>
                        <w:r>
                          <w:rPr>
                            <w:rFonts w:ascii="Times New Roman" w:hAnsi="Times New Roman" w:cs="Times New Roman" w:hint="eastAsia"/>
                            <w:b/>
                            <w:color w:val="000000"/>
                            <w:sz w:val="20"/>
                            <w:szCs w:val="20"/>
                          </w:rPr>
                          <w:t>es</w:t>
                        </w:r>
                        <w:r>
                          <w:rPr>
                            <w:rFonts w:ascii="Times New Roman" w:hAnsi="Times New Roman" w:cs="Times New Roman"/>
                            <w:b/>
                            <w:color w:val="000000"/>
                            <w:sz w:val="20"/>
                            <w:szCs w:val="20"/>
                          </w:rPr>
                          <w:t>)</w:t>
                        </w:r>
                      </w:p>
                      <w:p w14:paraId="059757E4"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color w:val="000000"/>
                            <w:sz w:val="20"/>
                            <w:szCs w:val="20"/>
                          </w:rPr>
                          <w:t xml:space="preserve">1. </w:t>
                        </w:r>
                        <w:r>
                          <w:rPr>
                            <w:rFonts w:ascii="Times New Roman" w:hAnsi="Times New Roman" w:cs="Times New Roman"/>
                            <w:sz w:val="20"/>
                            <w:szCs w:val="20"/>
                          </w:rPr>
                          <w:t>Information card.</w:t>
                        </w:r>
                      </w:p>
                      <w:p w14:paraId="1A1381C6"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sz w:val="20"/>
                            <w:szCs w:val="20"/>
                          </w:rPr>
                          <w:t>2. SST kit package.</w:t>
                        </w:r>
                      </w:p>
                      <w:p w14:paraId="79664864" w14:textId="77777777" w:rsidR="0081030B" w:rsidRDefault="0067683D">
                        <w:pPr>
                          <w:adjustRightInd w:val="0"/>
                          <w:snapToGrid w:val="0"/>
                          <w:spacing w:line="216" w:lineRule="auto"/>
                          <w:jc w:val="left"/>
                          <w:rPr>
                            <w:rFonts w:ascii="Times New Roman" w:hAnsi="Times New Roman" w:cs="Times New Roman"/>
                            <w:sz w:val="20"/>
                            <w:szCs w:val="20"/>
                          </w:rPr>
                        </w:pPr>
                        <w:r>
                          <w:rPr>
                            <w:rFonts w:ascii="Times New Roman" w:hAnsi="Times New Roman" w:cs="Times New Roman" w:hint="eastAsia"/>
                            <w:sz w:val="20"/>
                            <w:szCs w:val="20"/>
                          </w:rPr>
                          <w:t>3</w:t>
                        </w:r>
                        <w:r>
                          <w:rPr>
                            <w:rFonts w:ascii="Times New Roman" w:hAnsi="Times New Roman" w:cs="Times New Roman"/>
                            <w:sz w:val="20"/>
                            <w:szCs w:val="20"/>
                          </w:rPr>
                          <w:t>. Result report card.</w:t>
                        </w:r>
                      </w:p>
                      <w:p w14:paraId="63F41EC2" w14:textId="77777777" w:rsidR="0081030B" w:rsidRDefault="0067683D">
                        <w:pPr>
                          <w:adjustRightInd w:val="0"/>
                          <w:snapToGrid w:val="0"/>
                          <w:spacing w:line="216" w:lineRule="auto"/>
                          <w:jc w:val="left"/>
                          <w:rPr>
                            <w:rFonts w:ascii="Times New Roman" w:hAnsi="Times New Roman" w:cs="Times New Roman"/>
                            <w:color w:val="000000"/>
                            <w:sz w:val="20"/>
                            <w:szCs w:val="20"/>
                          </w:rPr>
                        </w:pPr>
                        <w:r>
                          <w:rPr>
                            <w:rFonts w:ascii="Times New Roman" w:hAnsi="Times New Roman" w:cs="Times New Roman"/>
                            <w:color w:val="000000"/>
                            <w:sz w:val="20"/>
                            <w:szCs w:val="20"/>
                          </w:rPr>
                          <w:t>Apply for additional 3 packages (refundable deposit 4 USD/package) when all his 3 alters return their testing results.</w:t>
                        </w:r>
                      </w:p>
                    </w:txbxContent>
                  </v:textbox>
                </v:roundrect>
                <v:shape id="AutoShape 34" o:spid="_x0000_s1043" type="#_x0000_t34" style="position:absolute;left:30594;top:29817;width:5283;height:118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">
                  <v:stroke endarrow="block"/>
                </v:shape>
                <v:roundrect id="矩形: 圆角 35" o:spid="_x0000_s1044" style="position:absolute;left:342;top:359;width:12319;height:4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" fillcolor="#4472c4" strokecolor="#1f3763" strokeweight="1pt">
                  <v:stroke joinstyle="miter"/>
                  <v:textbox>
                    <w:txbxContent>
                      <w:p w14:paraId="612CE66C" w14:textId="77777777" w:rsidR="0081030B" w:rsidRDefault="0067683D">
                        <w:pPr>
                          <w:jc w:val="center"/>
                          <w:rPr>
                            <w:rFonts w:ascii="Times New Roman" w:hAnsi="Times New Roman" w:cs="Times New Roman"/>
                            <w:b/>
                            <w:sz w:val="24"/>
                            <w:szCs w:val="24"/>
                          </w:rPr>
                        </w:pPr>
                        <w:r>
                          <w:rPr>
                            <w:rFonts w:ascii="Times New Roman" w:hAnsi="Times New Roman" w:cs="Times New Roman"/>
                            <w:b/>
                            <w:sz w:val="24"/>
                            <w:szCs w:val="24"/>
                          </w:rPr>
                          <w:t>Enrollment</w:t>
                        </w:r>
                      </w:p>
                    </w:txbxContent>
                  </v:textbox>
                </v:roundrect>
                <v:roundrect id="矩形: 圆角 37" o:spid="_x0000_s1045" style="position:absolute;left:336;top:21956;width:12319;height:35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" fillcolor="#4472c4" strokecolor="#1f3763" strokeweight="1pt">
                  <v:stroke joinstyle="miter"/>
                  <v:textbox>
                    <w:txbxContent>
                      <w:p w14:paraId="328FD373" w14:textId="77777777" w:rsidR="0081030B" w:rsidRDefault="0067683D">
                        <w:pPr>
                          <w:pStyle w:val="ab"/>
                          <w:spacing w:before="0" w:beforeAutospacing="0" w:after="0" w:afterAutospacing="0"/>
                          <w:ind w:firstLine="204"/>
                          <w:jc w:val="both"/>
                          <w:rPr>
                            <w:rFonts w:ascii="Times New Roman" w:hAnsi="Times New Roman" w:cs="Times New Roman"/>
                            <w:b/>
                          </w:rPr>
                        </w:pPr>
                        <w:r>
                          <w:rPr>
                            <w:rFonts w:ascii="Times New Roman" w:hAnsi="Times New Roman" w:cs="Times New Roman"/>
                            <w:b/>
                            <w:kern w:val="2"/>
                          </w:rPr>
                          <w:t>Allocation</w:t>
                        </w:r>
                      </w:p>
                    </w:txbxContent>
                  </v:textbox>
                </v:roundrect>
                <v:roundrect id="矩形: 圆角 38" o:spid="_x0000_s1046" style="position:absolute;left:279;top:28122;width:12084;height:4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" fillcolor="#4472c4" strokecolor="#1f3763" strokeweight="1pt">
                  <v:stroke joinstyle="miter"/>
                  <v:textbox>
                    <w:txbxContent>
                      <w:p w14:paraId="197A3613" w14:textId="77777777" w:rsidR="0081030B" w:rsidRDefault="0067683D">
                        <w:pPr>
                          <w:pStyle w:val="ab"/>
                          <w:spacing w:before="0" w:beforeAutospacing="0" w:after="0" w:afterAutospacing="0"/>
                          <w:jc w:val="center"/>
                          <w:rPr>
                            <w:rFonts w:ascii="Times New Roman" w:hAnsi="Times New Roman" w:cs="Times New Roman"/>
                            <w:b/>
                          </w:rPr>
                        </w:pPr>
                        <w:r>
                          <w:rPr>
                            <w:rFonts w:ascii="Times New Roman" w:hAnsi="Times New Roman" w:cs="Times New Roman"/>
                            <w:b/>
                            <w:kern w:val="2"/>
                          </w:rPr>
                          <w:t xml:space="preserve">Intervention </w:t>
                        </w:r>
                      </w:p>
                    </w:txbxContent>
                  </v:textbox>
                </v:roundrect>
                <v:roundrect id="AutoShape 6" o:spid="_x0000_s1047" style="position:absolute;left:21304;top:17250;width:25038;height:35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">
                  <v:textbox>
                    <w:txbxContent>
                      <w:p w14:paraId="0AF40AC7" w14:textId="77777777" w:rsidR="0081030B" w:rsidRDefault="0067683D">
                        <w:pPr>
                          <w:jc w:val="center"/>
                          <w:rPr>
                            <w:rFonts w:ascii="Times New Roman" w:hAnsi="Times New Roman" w:cs="Times New Roman"/>
                            <w:kern w:val="0"/>
                            <w:sz w:val="24"/>
                            <w:szCs w:val="24"/>
                          </w:rPr>
                        </w:pPr>
                        <w:r>
                          <w:rPr>
                            <w:rFonts w:ascii="Times New Roman" w:eastAsia="等线" w:hAnsi="Times New Roman" w:cs="Times New Roman"/>
                            <w:b/>
                            <w:bCs/>
                            <w:sz w:val="20"/>
                            <w:szCs w:val="20"/>
                          </w:rPr>
                          <w:t>Baseline survey</w:t>
                        </w:r>
                      </w:p>
                    </w:txbxContent>
                  </v:textbox>
                </v:roundrect>
                <v:shape id="直接箭头连接符 12" o:spid="_x0000_s1048" type="#_x0000_t32" style="position:absolute;left:33813;top:20794;width:7;height:20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" strokeweight=".5pt">
                  <v:stroke endarrow="block" joinstyle="miter"/>
                </v:shape>
                <v:roundrect id="AutoShape 8" o:spid="_x0000_s1049" style="position:absolute;left:2901;top:49274;width:20079;height:150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">
                  <v:textbox>
                    <w:txbxContent>
                      <w:p w14:paraId="40CFA171"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1</w:t>
                        </w:r>
                        <w:r>
                          <w:rPr>
                            <w:rFonts w:ascii="Times New Roman" w:hAnsi="Times New Roman" w:cs="Times New Roman"/>
                            <w:bCs/>
                            <w:color w:val="000000"/>
                            <w:sz w:val="20"/>
                            <w:szCs w:val="20"/>
                          </w:rPr>
                          <w:t>. Each alter returns testing results and completes a survey, then receives 3 USD.</w:t>
                        </w:r>
                      </w:p>
                      <w:p w14:paraId="78713AA6"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2</w:t>
                        </w:r>
                        <w:r>
                          <w:rPr>
                            <w:rFonts w:ascii="Times New Roman" w:hAnsi="Times New Roman" w:cs="Times New Roman"/>
                            <w:bCs/>
                            <w:color w:val="000000"/>
                            <w:sz w:val="20"/>
                            <w:szCs w:val="20"/>
                          </w:rPr>
                          <w:t>. Each matched index receives 3 USD.</w:t>
                        </w:r>
                      </w:p>
                      <w:p w14:paraId="2AE3E0E7"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3</w:t>
                        </w:r>
                        <w:r>
                          <w:rPr>
                            <w:rFonts w:ascii="Times New Roman" w:hAnsi="Times New Roman" w:cs="Times New Roman"/>
                            <w:bCs/>
                            <w:color w:val="000000"/>
                            <w:sz w:val="20"/>
                            <w:szCs w:val="20"/>
                          </w:rPr>
                          <w:t>.Each eligible “secondary index” can also apply for 3 information packages to distribute to their alters.</w:t>
                        </w:r>
                      </w:p>
                    </w:txbxContent>
                  </v:textbox>
                </v:roundrect>
                <v:roundrect id="AutoShape 8" o:spid="_x0000_s1050" style="position:absolute;left:24904;top:49274;width:20631;height:151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">
                  <v:textbox>
                    <w:txbxContent>
                      <w:p w14:paraId="342EE87E" w14:textId="77777777" w:rsidR="0081030B" w:rsidRDefault="0067683D">
                        <w:pPr>
                          <w:adjustRightInd w:val="0"/>
                          <w:snapToGrid w:val="0"/>
                          <w:spacing w:line="204"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1</w:t>
                        </w:r>
                        <w:r>
                          <w:rPr>
                            <w:rFonts w:ascii="Times New Roman" w:hAnsi="Times New Roman" w:cs="Times New Roman"/>
                            <w:bCs/>
                            <w:color w:val="000000"/>
                            <w:sz w:val="20"/>
                            <w:szCs w:val="20"/>
                          </w:rPr>
                          <w:t>. Each alter returns testing results and completes a survey, then receives 3 USD.</w:t>
                        </w:r>
                      </w:p>
                      <w:p w14:paraId="0699FC1D" w14:textId="77777777" w:rsidR="0081030B" w:rsidRDefault="0067683D">
                        <w:pPr>
                          <w:adjustRightInd w:val="0"/>
                          <w:snapToGrid w:val="0"/>
                          <w:spacing w:line="204"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2</w:t>
                        </w:r>
                        <w:r>
                          <w:rPr>
                            <w:rFonts w:ascii="Times New Roman" w:hAnsi="Times New Roman" w:cs="Times New Roman"/>
                            <w:bCs/>
                            <w:color w:val="000000"/>
                            <w:sz w:val="20"/>
                            <w:szCs w:val="20"/>
                          </w:rPr>
                          <w:t>. Each matched index receives 3 USD.</w:t>
                        </w:r>
                      </w:p>
                      <w:p w14:paraId="5C69A0AA" w14:textId="77777777" w:rsidR="0081030B" w:rsidRDefault="0067683D">
                        <w:pPr>
                          <w:adjustRightInd w:val="0"/>
                          <w:snapToGrid w:val="0"/>
                          <w:spacing w:line="204"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3</w:t>
                        </w:r>
                        <w:r>
                          <w:rPr>
                            <w:rFonts w:ascii="Times New Roman" w:hAnsi="Times New Roman" w:cs="Times New Roman"/>
                            <w:bCs/>
                            <w:color w:val="000000"/>
                            <w:sz w:val="20"/>
                            <w:szCs w:val="20"/>
                          </w:rPr>
                          <w:t xml:space="preserve">.Each eligible “secondary index” can also apply for 3 SST packages (refundable </w:t>
                        </w:r>
                        <w:r>
                          <w:rPr>
                            <w:rFonts w:ascii="Times New Roman" w:hAnsi="Times New Roman" w:cs="Times New Roman"/>
                            <w:color w:val="000000"/>
                            <w:sz w:val="20"/>
                            <w:szCs w:val="20"/>
                          </w:rPr>
                          <w:t>deposit 4 USD/package</w:t>
                        </w:r>
                        <w:r>
                          <w:rPr>
                            <w:rFonts w:ascii="Times New Roman" w:hAnsi="Times New Roman" w:cs="Times New Roman"/>
                            <w:bCs/>
                            <w:color w:val="000000"/>
                            <w:sz w:val="20"/>
                            <w:szCs w:val="20"/>
                          </w:rPr>
                          <w:t>) to distribute to their alters.</w:t>
                        </w:r>
                      </w:p>
                    </w:txbxContent>
                  </v:textbox>
                </v:roundrect>
                <v:roundrect id="AutoShape 8" o:spid="_x0000_s1051" style="position:absolute;left:47459;top:49274;width:20403;height:152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tgwwAAANsAAAAPAAAAZHJzL2Rvd25yZXYueG1sRI9BawIx&#10;FITvBf9DeEJvmtii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dISbYMMAAADbAAAADwAA&#10;AAAAAAAAAAAAAAAHAgAAZHJzL2Rvd25yZXYueG1sUEsFBgAAAAADAAMAtwAAAPcCAAAAAA==&#10;">
                  <v:textbox>
                    <w:txbxContent>
                      <w:p w14:paraId="4E654B24"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1</w:t>
                        </w:r>
                        <w:r>
                          <w:rPr>
                            <w:rFonts w:ascii="Times New Roman" w:hAnsi="Times New Roman" w:cs="Times New Roman"/>
                            <w:bCs/>
                            <w:color w:val="000000"/>
                            <w:sz w:val="20"/>
                            <w:szCs w:val="20"/>
                          </w:rPr>
                          <w:t>. Each alter returns testing results and completes a survey, then receives 3 USD.</w:t>
                        </w:r>
                      </w:p>
                      <w:p w14:paraId="1F009453"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2</w:t>
                        </w:r>
                        <w:r>
                          <w:rPr>
                            <w:rFonts w:ascii="Times New Roman" w:hAnsi="Times New Roman" w:cs="Times New Roman"/>
                            <w:bCs/>
                            <w:color w:val="000000"/>
                            <w:sz w:val="20"/>
                            <w:szCs w:val="20"/>
                          </w:rPr>
                          <w:t>. Each matched index receives 3 USD.</w:t>
                        </w:r>
                      </w:p>
                      <w:p w14:paraId="7446EB5F" w14:textId="77777777" w:rsidR="0081030B" w:rsidRDefault="0067683D">
                        <w:pPr>
                          <w:adjustRightInd w:val="0"/>
                          <w:snapToGrid w:val="0"/>
                          <w:spacing w:line="216" w:lineRule="auto"/>
                          <w:jc w:val="left"/>
                          <w:rPr>
                            <w:rFonts w:ascii="Times New Roman" w:hAnsi="Times New Roman" w:cs="Times New Roman"/>
                            <w:bCs/>
                            <w:color w:val="000000"/>
                            <w:sz w:val="20"/>
                            <w:szCs w:val="20"/>
                          </w:rPr>
                        </w:pPr>
                        <w:r>
                          <w:rPr>
                            <w:rFonts w:ascii="Times New Roman" w:hAnsi="Times New Roman" w:cs="Times New Roman" w:hint="eastAsia"/>
                            <w:bCs/>
                            <w:color w:val="000000"/>
                            <w:sz w:val="20"/>
                            <w:szCs w:val="20"/>
                          </w:rPr>
                          <w:t>3</w:t>
                        </w:r>
                        <w:r>
                          <w:rPr>
                            <w:rFonts w:ascii="Times New Roman" w:hAnsi="Times New Roman" w:cs="Times New Roman"/>
                            <w:bCs/>
                            <w:color w:val="000000"/>
                            <w:sz w:val="20"/>
                            <w:szCs w:val="20"/>
                          </w:rPr>
                          <w:t>.Each eligible “secondary index” can also apply for 3 referral links to distribute to their alters.</w:t>
                        </w:r>
                      </w:p>
                    </w:txbxContent>
                  </v:textbox>
                </v:roundrect>
                <v:shape id="AutoShape 14" o:spid="_x0000_s1052" type="#_x0000_t32" style="position:absolute;left:12706;top:47083;width:6;height:2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">
                  <v:stroke endarrow="block"/>
                </v:shape>
                <v:shape id="AutoShape 14" o:spid="_x0000_s1053" type="#_x0000_t32" style="position:absolute;left:35267;top:47108;width:7;height:21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">
                  <v:stroke endarrow="block"/>
                </v:shape>
                <v:shape id="AutoShape 14" o:spid="_x0000_s1054" type="#_x0000_t32" style="position:absolute;left:57842;top:47108;width:6;height:21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">
                  <v:stroke endarrow="block"/>
                </v:shape>
                <v:roundrect id="AutoShape 10" o:spid="_x0000_s1055" style="position:absolute;left:12039;top:68844;width:44196;height:128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">
                  <v:textbox>
                    <w:txbxContent>
                      <w:p w14:paraId="1B2033E3" w14:textId="77777777" w:rsidR="0081030B" w:rsidRDefault="0067683D">
                        <w:pPr>
                          <w:adjustRightInd w:val="0"/>
                          <w:snapToGrid w:val="0"/>
                          <w:spacing w:afterLines="30" w:after="95" w:line="216" w:lineRule="auto"/>
                          <w:jc w:val="center"/>
                          <w:rPr>
                            <w:rFonts w:ascii="Times New Roman" w:hAnsi="Times New Roman" w:cs="Times New Roman"/>
                            <w:b/>
                            <w:sz w:val="20"/>
                            <w:szCs w:val="20"/>
                          </w:rPr>
                        </w:pPr>
                        <w:r>
                          <w:rPr>
                            <w:rFonts w:ascii="Times New Roman" w:hAnsi="Times New Roman" w:cs="Times New Roman"/>
                            <w:b/>
                            <w:sz w:val="20"/>
                            <w:szCs w:val="20"/>
                          </w:rPr>
                          <w:t>Linkage to care</w:t>
                        </w:r>
                      </w:p>
                      <w:p w14:paraId="3D7340BD" w14:textId="77777777" w:rsidR="0081030B" w:rsidRDefault="0067683D">
                        <w:pPr>
                          <w:adjustRightInd w:val="0"/>
                          <w:snapToGrid w:val="0"/>
                          <w:rPr>
                            <w:rFonts w:ascii="Times New Roman" w:hAnsi="Times New Roman" w:cs="Times New Roman"/>
                            <w:bCs/>
                            <w:sz w:val="20"/>
                            <w:szCs w:val="20"/>
                          </w:rPr>
                        </w:pPr>
                        <w:r>
                          <w:rPr>
                            <w:rFonts w:ascii="Times New Roman" w:hAnsi="Times New Roman" w:cs="Times New Roman" w:hint="eastAsia"/>
                            <w:bCs/>
                            <w:sz w:val="20"/>
                            <w:szCs w:val="20"/>
                          </w:rPr>
                          <w:t>1</w:t>
                        </w:r>
                        <w:r>
                          <w:rPr>
                            <w:rFonts w:ascii="Times New Roman" w:hAnsi="Times New Roman" w:cs="Times New Roman"/>
                            <w:bCs/>
                            <w:sz w:val="20"/>
                            <w:szCs w:val="20"/>
                          </w:rPr>
                          <w:t>. Alters with positive SST results will be referred to undergo free confirmatory laboratory testing at study clinics or other local designated clinics.</w:t>
                        </w:r>
                      </w:p>
                      <w:p w14:paraId="0987721F" w14:textId="77777777" w:rsidR="0081030B" w:rsidRDefault="0067683D">
                        <w:pPr>
                          <w:adjustRightInd w:val="0"/>
                          <w:snapToGrid w:val="0"/>
                          <w:rPr>
                            <w:rFonts w:ascii="Times New Roman" w:hAnsi="Times New Roman" w:cs="Times New Roman"/>
                            <w:bCs/>
                            <w:sz w:val="20"/>
                            <w:szCs w:val="20"/>
                          </w:rPr>
                        </w:pPr>
                        <w:r>
                          <w:rPr>
                            <w:rFonts w:ascii="Times New Roman" w:hAnsi="Times New Roman" w:cs="Times New Roman" w:hint="eastAsia"/>
                            <w:bCs/>
                            <w:sz w:val="20"/>
                            <w:szCs w:val="20"/>
                          </w:rPr>
                          <w:t>2</w:t>
                        </w:r>
                        <w:r>
                          <w:rPr>
                            <w:rFonts w:ascii="Times New Roman" w:hAnsi="Times New Roman" w:cs="Times New Roman"/>
                            <w:bCs/>
                            <w:sz w:val="20"/>
                            <w:szCs w:val="20"/>
                          </w:rPr>
                          <w:t>. Alters who diagnosed with syphilis will undertake one-month follow-up to obtain treatment information.</w:t>
                        </w:r>
                      </w:p>
                      <w:p w14:paraId="2C31D279" w14:textId="77777777" w:rsidR="0081030B" w:rsidRDefault="0067683D">
                        <w:pPr>
                          <w:adjustRightInd w:val="0"/>
                          <w:snapToGrid w:val="0"/>
                          <w:rPr>
                            <w:rFonts w:ascii="Times New Roman" w:hAnsi="Times New Roman" w:cs="Times New Roman"/>
                            <w:bCs/>
                            <w:sz w:val="20"/>
                            <w:szCs w:val="20"/>
                          </w:rPr>
                        </w:pPr>
                        <w:r>
                          <w:rPr>
                            <w:rFonts w:ascii="Times New Roman" w:hAnsi="Times New Roman" w:cs="Times New Roman" w:hint="eastAsia"/>
                            <w:bCs/>
                            <w:sz w:val="20"/>
                            <w:szCs w:val="20"/>
                          </w:rPr>
                          <w:t xml:space="preserve">3. Each </w:t>
                        </w:r>
                        <w:r>
                          <w:rPr>
                            <w:rFonts w:ascii="Times New Roman" w:hAnsi="Times New Roman" w:cs="Times New Roman"/>
                            <w:bCs/>
                            <w:sz w:val="20"/>
                            <w:szCs w:val="20"/>
                          </w:rPr>
                          <w:t xml:space="preserve">alter with </w:t>
                        </w:r>
                        <w:r>
                          <w:rPr>
                            <w:rFonts w:ascii="Times New Roman" w:hAnsi="Times New Roman" w:cs="Times New Roman" w:hint="eastAsia"/>
                            <w:bCs/>
                            <w:sz w:val="20"/>
                            <w:szCs w:val="20"/>
                          </w:rPr>
                          <w:t xml:space="preserve">reactive SST </w:t>
                        </w:r>
                        <w:r>
                          <w:rPr>
                            <w:rFonts w:ascii="Times New Roman" w:hAnsi="Times New Roman" w:cs="Times New Roman"/>
                            <w:bCs/>
                            <w:sz w:val="20"/>
                            <w:szCs w:val="20"/>
                          </w:rPr>
                          <w:t xml:space="preserve">result </w:t>
                        </w:r>
                        <w:r>
                          <w:rPr>
                            <w:rFonts w:ascii="Times New Roman" w:hAnsi="Times New Roman" w:cs="Times New Roman" w:hint="eastAsia"/>
                            <w:bCs/>
                            <w:sz w:val="20"/>
                            <w:szCs w:val="20"/>
                          </w:rPr>
                          <w:t xml:space="preserve">who returns confirmatory laboratory testing results or returns treatment proof will receive </w:t>
                        </w:r>
                        <w:r>
                          <w:rPr>
                            <w:rFonts w:ascii="Times New Roman" w:hAnsi="Times New Roman" w:cs="Times New Roman"/>
                            <w:bCs/>
                            <w:color w:val="000000"/>
                            <w:sz w:val="20"/>
                            <w:szCs w:val="20"/>
                          </w:rPr>
                          <w:t>3 USD</w:t>
                        </w:r>
                        <w:r>
                          <w:rPr>
                            <w:rFonts w:ascii="Times New Roman" w:hAnsi="Times New Roman" w:cs="Times New Roman" w:hint="eastAsia"/>
                            <w:bCs/>
                            <w:color w:val="000000"/>
                            <w:sz w:val="20"/>
                            <w:szCs w:val="20"/>
                          </w:rPr>
                          <w:t>.</w:t>
                        </w:r>
                      </w:p>
                    </w:txbxContent>
                  </v:textbox>
                </v:roundrect>
                <v:roundrect id="矩形: 圆角 38" o:spid="_x0000_s1056" style="position:absolute;left:279;top:65256;width:12084;height:45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" fillcolor="#4472c4" strokecolor="#1f3763" strokeweight="1pt">
                  <v:stroke joinstyle="miter"/>
                  <v:textbox>
                    <w:txbxContent>
                      <w:p w14:paraId="25AA7BE0" w14:textId="77777777" w:rsidR="0081030B" w:rsidRDefault="0067683D">
                        <w:pPr>
                          <w:pStyle w:val="ab"/>
                          <w:spacing w:before="0" w:beforeAutospacing="0" w:after="0" w:afterAutospacing="0"/>
                          <w:jc w:val="center"/>
                          <w:rPr>
                            <w:rFonts w:ascii="Times New Roman" w:hAnsi="Times New Roman" w:cs="Times New Roman"/>
                            <w:b/>
                          </w:rPr>
                        </w:pPr>
                        <w:r>
                          <w:rPr>
                            <w:rFonts w:ascii="Times New Roman" w:hAnsi="Times New Roman" w:cs="Times New Roman"/>
                            <w:b/>
                            <w:kern w:val="2"/>
                          </w:rPr>
                          <w:t xml:space="preserve">Follow up </w:t>
                        </w:r>
                      </w:p>
                    </w:txbxContent>
                  </v:textbox>
                </v:roundrect>
                <v:shape id="AutoShape 19" o:spid="_x0000_s1057" type="#_x0000_t32" style="position:absolute;left:33591;top:81843;width:64;height:2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">
                  <v:stroke endarrow="block"/>
                </v:shape>
                <v:roundrect id="矩形: 圆角 32" o:spid="_x0000_s1058" style="position:absolute;left:12363;top:84613;width:42062;height:30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">
                  <v:textbox>
                    <w:txbxContent>
                      <w:p w14:paraId="2A1F3D24" w14:textId="77777777" w:rsidR="0081030B" w:rsidRDefault="0067683D">
                        <w:pPr>
                          <w:jc w:val="center"/>
                          <w:rPr>
                            <w:b/>
                            <w:bCs/>
                            <w:kern w:val="0"/>
                            <w:sz w:val="24"/>
                            <w:szCs w:val="24"/>
                          </w:rPr>
                        </w:pPr>
                        <w:r>
                          <w:rPr>
                            <w:rFonts w:ascii="Times New Roman" w:eastAsia="等线" w:hAnsi="Times New Roman" w:cs="Times New Roman"/>
                            <w:b/>
                            <w:bCs/>
                            <w:sz w:val="20"/>
                            <w:szCs w:val="20"/>
                          </w:rPr>
                          <w:t>End follow-up survey for indexes (3 months)</w:t>
                        </w:r>
                      </w:p>
                    </w:txbxContent>
                  </v:textbox>
                </v:roundrect>
                <w10:wrap type="topAndBottom"/>
              </v:group>
            </w:pict>
          </mc:Fallback>
        </mc:AlternateContent>
      </w:r>
      <w:r w:rsidRPr="00775C2E">
        <w:rPr>
          <w:rFonts w:ascii="Times New Roman" w:hAnsi="Times New Roman" w:cs="Times New Roman"/>
          <w:sz w:val="22"/>
        </w:rPr>
        <w:br w:type="page"/>
      </w:r>
    </w:p>
    <w:p w14:paraId="0B7953C4" w14:textId="77777777" w:rsidR="0081030B" w:rsidRPr="00775C2E" w:rsidRDefault="0067683D">
      <w:pPr>
        <w:widowControl/>
        <w:jc w:val="left"/>
        <w:rPr>
          <w:rFonts w:ascii="Times New Roman" w:hAnsi="Times New Roman" w:cs="Times New Roman"/>
          <w:b/>
          <w:bCs/>
          <w:sz w:val="22"/>
        </w:rPr>
      </w:pPr>
      <w:r w:rsidRPr="00775C2E">
        <w:rPr>
          <w:rFonts w:ascii="Times New Roman" w:hAnsi="Times New Roman" w:cs="Times New Roman"/>
          <w:b/>
          <w:bCs/>
          <w:sz w:val="22"/>
        </w:rPr>
        <w:lastRenderedPageBreak/>
        <w:t>References:</w:t>
      </w:r>
    </w:p>
    <w:bookmarkStart w:id="63" w:name="_Hlk57761191"/>
    <w:p w14:paraId="488F36D5"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sz w:val="22"/>
        </w:rPr>
        <w:fldChar w:fldCharType="begin" w:fldLock="1"/>
      </w:r>
      <w:r w:rsidRPr="00775C2E">
        <w:rPr>
          <w:rFonts w:ascii="Times New Roman" w:hAnsi="Times New Roman" w:cs="Times New Roman"/>
          <w:sz w:val="22"/>
        </w:rPr>
        <w:instrText xml:space="preserve">ADDIN Mendeley Bibliography CSL_BIBLIOGRAPHY </w:instrText>
      </w:r>
      <w:r w:rsidRPr="00775C2E">
        <w:rPr>
          <w:rFonts w:ascii="Times New Roman" w:hAnsi="Times New Roman" w:cs="Times New Roman"/>
          <w:sz w:val="22"/>
        </w:rPr>
        <w:fldChar w:fldCharType="separate"/>
      </w:r>
      <w:r w:rsidRPr="00775C2E">
        <w:rPr>
          <w:rFonts w:ascii="Times New Roman" w:hAnsi="Times New Roman" w:cs="Times New Roman"/>
          <w:kern w:val="0"/>
          <w:sz w:val="22"/>
        </w:rPr>
        <w:t xml:space="preserve">1. Cheng W, Wang C, Tang W, Ong JJ, Fu H, Marks M, et al. Promoting routine syphilis screening among men who have sex with men in China: study protocol for a randomised controlled trial of syphilis self-testing and lottery incentive. BMC Infect Dis. 2020;20:455. </w:t>
      </w:r>
    </w:p>
    <w:p w14:paraId="39375ECC"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2. Chen G, Cao Y, Yao Y, Li M, Tang W, Li J, et al. Syphilis incidence among men who have sex with men in China: results from a meta-analysis. Int J STD AIDS. 2017;28:170–8. </w:t>
      </w:r>
    </w:p>
    <w:p w14:paraId="1C3C94A6"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3. Wang C, Cheng W, Li C, Tang W, Ong JJ, Smith MK, et al. Syphilis self-testing: A nationwide pragmatic study among men who have sex with men in china. Clin Infect Dis. 2020;70:2178–86. </w:t>
      </w:r>
    </w:p>
    <w:p w14:paraId="5B1F644B"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4. Myers JE, El-Sadr WM, Zerbe A, Branson BM. Rapid HIV self-testing: long in coming but opportunities beckon. AIDS. 2013;27:1687–95. </w:t>
      </w:r>
    </w:p>
    <w:p w14:paraId="5E576FBB"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5. Song Y, Li X, Zhang L, Fang X, Lin X, Liu Y, et al. HIV-testing behavior among young migrant men who have sex with men (MSM) in Beijing, China. AIDS Care. 2011;23:179–86. </w:t>
      </w:r>
    </w:p>
    <w:p w14:paraId="5B6634A5"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6. Krause J, Subklew-Sehume F, Kenyon C, Colebunders R. Acceptability of HIV self-testing: a systematic literature review. BMC Public Health. 2013;13:735. </w:t>
      </w:r>
    </w:p>
    <w:p w14:paraId="7AFE845D"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7. Ong JJ, Fu H, Smith MK, Tucker JD. Expanding syphilis testing: a scoping review of syphilis testing interventions among key populations. Expert Rev Anti Infect Ther. 2018;16:423—432. </w:t>
      </w:r>
    </w:p>
    <w:p w14:paraId="1128EF9B"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8. WHO | The use of rapid syphilis tests. WHO. World Health Organization; 2014; https://www.who.int/reproductivehealth/publications/rtis/TDR_SDI_06_1/en/. Accessed 1 December 2020. </w:t>
      </w:r>
    </w:p>
    <w:p w14:paraId="6A7CBEAF"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9. Weibin Cheng, Cheng Wang, Weiming Tang, Jason J. Ong, Hongyun Fu, Michael Marks, M. Kumi Smith, Changchang Li, Juan, Nie Peizhen Zhao, Heping Zheng, Bin Yang JDT. Promoting routine syphilis screening among men who have sex with men in China: a randomized controlled trial of syphilis self-testing and crowdsourced lottery incentive. BMC Infect Dis. 2020;1–8. </w:t>
      </w:r>
    </w:p>
    <w:p w14:paraId="4EAC3450"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lastRenderedPageBreak/>
        <w:t>10. Wang C, Ong J, Zhao P, Tang W, Smith KM, Marks M, et al. Expanding syphilis test uptake using self-testing among men who have sex with men: a randomized controlled trial. Available at: https://ssrn.com/abstract=3718241</w:t>
      </w:r>
    </w:p>
    <w:p w14:paraId="3F5FBAC1"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11. Lu Y, Ni Y, Li X, He X, Huang S, Zhou Y, et al. Monetary incentives and peer referral in promoting digital network-based secondary distribution of HIV self-testing among men who have sex with men in China: study protocol for a three-arm randomized controlled trial. BMC Public Health. 2020;20:911. </w:t>
      </w:r>
    </w:p>
    <w:p w14:paraId="568C41D9"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12. Wesolowski L, Chavez P, Sullivan P, Freeman A, Sharma A, Mustanski B, et al. Distribution of HIV Self-tests by HIV-Positive Men Who Have Sex with Men to Social and Sexual Contacts. AIDS Behav. 2019;23:893–9. </w:t>
      </w:r>
    </w:p>
    <w:p w14:paraId="5DC70376"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13. Bell G, Ward H, Day S, Ghani AC, Goan U, Claydon E, et al. Partner notification for gonorrhoea: A comparative study with a provincial and a metropolitan UK clinic. Sex Transm Infect. 1998;74:409–14. </w:t>
      </w:r>
    </w:p>
    <w:p w14:paraId="36DCB9B5"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14. Ward H, Bell G. Partner notification. Medicine. United Kingdom: Elsevier Ltd; 2014. p. 314–317. </w:t>
      </w:r>
    </w:p>
    <w:p w14:paraId="4CCD278D"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15. Masters SH, Agot K, Obonyo B, Napierala Mavedzenge S, Maman S, Thirumurthy H. Promoting Partner Testing and Couples Testing through Secondary Distribution of HIV Self-Tests: A Randomized Clinical Trial. PLoS Med. 2016;13:e1002166. </w:t>
      </w:r>
    </w:p>
    <w:p w14:paraId="75731B0B"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16. Unemo M, Bradshaw CS, Hocking JS, de Vries HJC, Francis SC, Mabey D, et al. Sexually transmitted infections: challenges ahead. Lancet Infect. Dis. 2017; e235–79. </w:t>
      </w:r>
    </w:p>
    <w:p w14:paraId="5BE1787E"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17. den Daas C, Geerken MBR, Bal M, de Wit J, Spijker R, Op de Coul ELM. Reducing health disparities: key factors for successful implementation of social network testing with HIV self-tests among men who have sex with men with a non-western migration background in the Netherlands. AIDS Care - Psychol Socio-Medical Asp AIDS/HIV. 2020;32:50–6. </w:t>
      </w:r>
    </w:p>
    <w:p w14:paraId="73D87195"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18. Okoboi S, Lazarus O, Castelnuovo B, Nanfuka M, Kambugu A, Mujugira A, et al. Peer distribution of HIV self-test kits to men who have sex with men to identify undiagnosed HIV </w:t>
      </w:r>
      <w:r w:rsidRPr="00775C2E">
        <w:rPr>
          <w:rFonts w:ascii="Times New Roman" w:hAnsi="Times New Roman" w:cs="Times New Roman"/>
          <w:kern w:val="0"/>
          <w:sz w:val="22"/>
        </w:rPr>
        <w:lastRenderedPageBreak/>
        <w:t xml:space="preserve">infection in Uganda: A pilot study. PLoS One. 2020;15:22–8. </w:t>
      </w:r>
    </w:p>
    <w:p w14:paraId="518A4BFA"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19. Okoboi S, Twimukye A, Lazarus O, Castelnuovo B, Agaba C, Immaculate M, et al. Acceptability, perceived reliability and challenges associated with distributing HIV self-test kits to young MSM in Uganda: a qualitative study. J Int AIDS Soc. 2019;22:e25269. </w:t>
      </w:r>
    </w:p>
    <w:p w14:paraId="4191908F"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20. Blondell SJ, Kitter B, Griffin MP, Durham J. Barriers and Facilitators to HIV Testing in Migrants in High-Income Countries: A  Systematic Review. AIDS Behav. 2015;19:2012–24. </w:t>
      </w:r>
    </w:p>
    <w:p w14:paraId="08639685"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21. Deblonde J, De Koker P, Hamers FF, Fontaine J, Luchters S, Temmerman M. Barriers to HIV testing in Europe: a systematic review. Eur J Public Health. 2010;20:422–32. </w:t>
      </w:r>
    </w:p>
    <w:p w14:paraId="6F921440"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22. Wang C, Han L, Stein G, Day S, Bien-Gund C, Mathews A, et al. Crowdsourcing in health and medical research: a systematic review. Infect Dis poverty. 2020;9:8. </w:t>
      </w:r>
    </w:p>
    <w:p w14:paraId="521FD455"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23. Mabey D, Peeling RW, Ballard R, Benzaken AS, Galbán E, Changalucha J, et al. Prospective, multi-centre clinic-based evaluation of four rapid diagnostic tests for  syphilis. Sex Transm Infect. 2006;82 Suppl 5:v13–6. </w:t>
      </w:r>
    </w:p>
    <w:p w14:paraId="2A21AF1A" w14:textId="77777777" w:rsidR="0081030B" w:rsidRPr="00775C2E" w:rsidRDefault="0067683D">
      <w:pPr>
        <w:autoSpaceDE w:val="0"/>
        <w:autoSpaceDN w:val="0"/>
        <w:adjustRightInd w:val="0"/>
        <w:spacing w:line="360" w:lineRule="auto"/>
        <w:jc w:val="left"/>
        <w:rPr>
          <w:rFonts w:ascii="Times New Roman" w:hAnsi="Times New Roman" w:cs="Times New Roman"/>
          <w:kern w:val="0"/>
          <w:sz w:val="22"/>
        </w:rPr>
      </w:pPr>
      <w:r w:rsidRPr="00775C2E">
        <w:rPr>
          <w:rFonts w:ascii="Times New Roman" w:hAnsi="Times New Roman" w:cs="Times New Roman"/>
          <w:kern w:val="0"/>
          <w:sz w:val="22"/>
        </w:rPr>
        <w:t xml:space="preserve">24. Cao B, Saffer AJ, Yang C, Chen H, Peng K, Pan SW, et al. MSM Behavior Disclosure Networks and HIV Testing: An Egocentric Network Analysis Among MSM in China. AIDS Behav. 2019;23:1368–74. </w:t>
      </w:r>
    </w:p>
    <w:p w14:paraId="69473356" w14:textId="77777777" w:rsidR="0081030B" w:rsidRPr="00775C2E" w:rsidRDefault="0067683D">
      <w:pPr>
        <w:autoSpaceDE w:val="0"/>
        <w:autoSpaceDN w:val="0"/>
        <w:adjustRightInd w:val="0"/>
        <w:spacing w:line="360" w:lineRule="auto"/>
        <w:jc w:val="left"/>
        <w:rPr>
          <w:rFonts w:ascii="Times New Roman" w:hAnsi="Times New Roman" w:cs="Times New Roman"/>
          <w:sz w:val="22"/>
        </w:rPr>
      </w:pPr>
      <w:r w:rsidRPr="00775C2E">
        <w:rPr>
          <w:rFonts w:ascii="Times New Roman" w:hAnsi="Times New Roman" w:cs="Times New Roman"/>
          <w:kern w:val="0"/>
          <w:sz w:val="22"/>
        </w:rPr>
        <w:t xml:space="preserve">25. Wu D, Tang W, Lu H, Zhang TP, Cao B, Ong JJ, et al. Leading by Example: Web-Based Sexual Health Influencers Among Men Who Have Sex With  Men Have Higher HIV and Syphilis Testing Rates in China. J Med Internet Res. 2019;21:e10171. </w:t>
      </w:r>
    </w:p>
    <w:p w14:paraId="6B89619A" w14:textId="77777777" w:rsidR="0081030B" w:rsidRPr="00775C2E" w:rsidRDefault="0067683D">
      <w:pPr>
        <w:spacing w:line="360" w:lineRule="auto"/>
        <w:rPr>
          <w:rFonts w:ascii="Times New Roman" w:hAnsi="Times New Roman" w:cs="Times New Roman"/>
          <w:sz w:val="22"/>
        </w:rPr>
      </w:pPr>
      <w:r w:rsidRPr="00775C2E">
        <w:rPr>
          <w:rFonts w:ascii="Times New Roman" w:hAnsi="Times New Roman" w:cs="Times New Roman"/>
          <w:sz w:val="22"/>
        </w:rPr>
        <w:fldChar w:fldCharType="end"/>
      </w:r>
      <w:bookmarkEnd w:id="63"/>
    </w:p>
    <w:p w14:paraId="10723859" w14:textId="40DF78AF" w:rsidR="000C7142" w:rsidRPr="00775C2E" w:rsidRDefault="000C7142">
      <w:pPr>
        <w:widowControl/>
        <w:spacing w:after="0" w:line="240" w:lineRule="auto"/>
        <w:jc w:val="left"/>
        <w:rPr>
          <w:rFonts w:ascii="Times New Roman" w:hAnsi="Times New Roman" w:cs="Times New Roman"/>
          <w:sz w:val="22"/>
        </w:rPr>
      </w:pPr>
      <w:r w:rsidRPr="00775C2E">
        <w:rPr>
          <w:rFonts w:ascii="Times New Roman" w:hAnsi="Times New Roman" w:cs="Times New Roman"/>
          <w:sz w:val="22"/>
        </w:rPr>
        <w:br w:type="page"/>
      </w:r>
    </w:p>
    <w:p w14:paraId="54008EC7" w14:textId="67979F9D" w:rsidR="000C7142" w:rsidRPr="00775C2E" w:rsidRDefault="000C7142" w:rsidP="000C7142">
      <w:pPr>
        <w:pStyle w:val="Heading1"/>
        <w:rPr>
          <w:rFonts w:ascii="Times New Roman" w:hAnsi="Times New Roman" w:cs="Times New Roman"/>
          <w:kern w:val="0"/>
          <w:sz w:val="22"/>
          <w:szCs w:val="22"/>
        </w:rPr>
      </w:pPr>
      <w:bookmarkStart w:id="64" w:name="_Toc101122710"/>
      <w:r w:rsidRPr="00775C2E">
        <w:rPr>
          <w:rFonts w:ascii="Times New Roman" w:hAnsi="Times New Roman" w:cs="Times New Roman"/>
          <w:sz w:val="22"/>
          <w:szCs w:val="22"/>
        </w:rPr>
        <w:lastRenderedPageBreak/>
        <w:t>Protocol Amendments</w:t>
      </w:r>
      <w:bookmarkEnd w:id="64"/>
    </w:p>
    <w:p w14:paraId="347250AB" w14:textId="7BE09840" w:rsidR="000C7142" w:rsidRPr="00775C2E" w:rsidRDefault="000C7142" w:rsidP="000C7142">
      <w:pPr>
        <w:spacing w:line="360" w:lineRule="auto"/>
        <w:rPr>
          <w:rFonts w:ascii="Times New Roman" w:hAnsi="Times New Roman" w:cs="Times New Roman"/>
          <w:sz w:val="22"/>
        </w:rPr>
      </w:pPr>
      <w:r w:rsidRPr="00775C2E">
        <w:rPr>
          <w:rFonts w:ascii="Times New Roman" w:hAnsi="Times New Roman" w:cs="Times New Roman"/>
          <w:sz w:val="22"/>
        </w:rPr>
        <w:t>Protocol title: Social network distribution of syphilis self-testing among men who have sex with men in China: study protocol for a cluster randomized control trial</w:t>
      </w:r>
    </w:p>
    <w:p w14:paraId="208D8AF0" w14:textId="52EE882F" w:rsidR="000C7142" w:rsidRPr="00775C2E" w:rsidRDefault="000C7142" w:rsidP="000C7142">
      <w:pPr>
        <w:rPr>
          <w:rFonts w:ascii="Times New Roman" w:hAnsi="Times New Roman" w:cs="Times New Roman"/>
          <w:sz w:val="22"/>
        </w:rPr>
      </w:pPr>
      <w:r w:rsidRPr="00775C2E">
        <w:rPr>
          <w:rFonts w:ascii="Times New Roman" w:hAnsi="Times New Roman" w:cs="Times New Roman"/>
          <w:sz w:val="22"/>
        </w:rPr>
        <w:t>Revisions to V1.0: (Original protocol)</w:t>
      </w:r>
    </w:p>
    <w:p w14:paraId="7117D25B" w14:textId="56B7596D" w:rsidR="000C7142" w:rsidRPr="00775C2E" w:rsidRDefault="000C7142" w:rsidP="000C7142">
      <w:pPr>
        <w:rPr>
          <w:rFonts w:ascii="Times New Roman" w:hAnsi="Times New Roman" w:cs="Times New Roman"/>
          <w:sz w:val="22"/>
        </w:rPr>
      </w:pPr>
      <w:r w:rsidRPr="00775C2E">
        <w:rPr>
          <w:rFonts w:ascii="Times New Roman" w:hAnsi="Times New Roman" w:cs="Times New Roman"/>
          <w:sz w:val="22"/>
        </w:rPr>
        <w:t>Date: V2.0: (Amendment 01)</w:t>
      </w:r>
    </w:p>
    <w:tbl>
      <w:tblPr>
        <w:tblStyle w:val="TableGrid"/>
        <w:tblW w:w="0" w:type="auto"/>
        <w:tblLook w:val="04A0" w:firstRow="1" w:lastRow="0" w:firstColumn="1" w:lastColumn="0" w:noHBand="0" w:noVBand="1"/>
      </w:tblPr>
      <w:tblGrid>
        <w:gridCol w:w="2317"/>
        <w:gridCol w:w="4396"/>
        <w:gridCol w:w="1576"/>
      </w:tblGrid>
      <w:tr w:rsidR="00D93537" w:rsidRPr="004F2FDF" w14:paraId="36A78F76" w14:textId="77777777" w:rsidTr="000C7142">
        <w:trPr>
          <w:trHeight w:val="266"/>
        </w:trPr>
        <w:tc>
          <w:tcPr>
            <w:tcW w:w="3347" w:type="dxa"/>
            <w:tcBorders>
              <w:top w:val="single" w:sz="4" w:space="0" w:color="auto"/>
              <w:left w:val="single" w:sz="4" w:space="0" w:color="auto"/>
              <w:bottom w:val="single" w:sz="4" w:space="0" w:color="auto"/>
              <w:right w:val="single" w:sz="4" w:space="0" w:color="auto"/>
            </w:tcBorders>
            <w:hideMark/>
          </w:tcPr>
          <w:p w14:paraId="39EDDD9A" w14:textId="77777777" w:rsidR="000C7142" w:rsidRPr="004F2FDF" w:rsidRDefault="000C7142">
            <w:pPr>
              <w:spacing w:after="0" w:line="240" w:lineRule="auto"/>
              <w:rPr>
                <w:rFonts w:ascii="Times New Roman" w:hAnsi="Times New Roman" w:cs="Times New Roman"/>
                <w:sz w:val="22"/>
              </w:rPr>
            </w:pPr>
            <w:r w:rsidRPr="004F2FDF">
              <w:rPr>
                <w:rFonts w:ascii="Times New Roman" w:hAnsi="Times New Roman" w:cs="Times New Roman"/>
                <w:sz w:val="22"/>
              </w:rPr>
              <w:t>Change</w:t>
            </w:r>
          </w:p>
        </w:tc>
        <w:tc>
          <w:tcPr>
            <w:tcW w:w="8843" w:type="dxa"/>
            <w:tcBorders>
              <w:top w:val="single" w:sz="4" w:space="0" w:color="auto"/>
              <w:left w:val="single" w:sz="4" w:space="0" w:color="auto"/>
              <w:bottom w:val="single" w:sz="4" w:space="0" w:color="auto"/>
              <w:right w:val="single" w:sz="4" w:space="0" w:color="auto"/>
            </w:tcBorders>
            <w:hideMark/>
          </w:tcPr>
          <w:p w14:paraId="755B3030" w14:textId="77777777" w:rsidR="000C7142" w:rsidRPr="004F2FDF" w:rsidRDefault="000C7142">
            <w:pPr>
              <w:spacing w:after="0" w:line="240" w:lineRule="auto"/>
              <w:rPr>
                <w:rFonts w:ascii="Times New Roman" w:hAnsi="Times New Roman" w:cs="Times New Roman"/>
                <w:sz w:val="22"/>
              </w:rPr>
            </w:pPr>
            <w:r w:rsidRPr="004F2FDF">
              <w:rPr>
                <w:rFonts w:ascii="Times New Roman" w:hAnsi="Times New Roman" w:cs="Times New Roman"/>
                <w:sz w:val="22"/>
              </w:rPr>
              <w:t>Rationale</w:t>
            </w:r>
          </w:p>
        </w:tc>
        <w:tc>
          <w:tcPr>
            <w:tcW w:w="1602" w:type="dxa"/>
            <w:tcBorders>
              <w:top w:val="single" w:sz="4" w:space="0" w:color="auto"/>
              <w:left w:val="single" w:sz="4" w:space="0" w:color="auto"/>
              <w:bottom w:val="single" w:sz="4" w:space="0" w:color="auto"/>
              <w:right w:val="single" w:sz="4" w:space="0" w:color="auto"/>
            </w:tcBorders>
            <w:hideMark/>
          </w:tcPr>
          <w:p w14:paraId="46549A12" w14:textId="77777777" w:rsidR="000C7142" w:rsidRPr="004F2FDF" w:rsidRDefault="000C7142">
            <w:pPr>
              <w:spacing w:after="0" w:line="240" w:lineRule="auto"/>
              <w:rPr>
                <w:rFonts w:ascii="Times New Roman" w:hAnsi="Times New Roman" w:cs="Times New Roman"/>
                <w:sz w:val="22"/>
              </w:rPr>
            </w:pPr>
            <w:r w:rsidRPr="004F2FDF">
              <w:rPr>
                <w:rFonts w:ascii="Times New Roman" w:hAnsi="Times New Roman" w:cs="Times New Roman"/>
                <w:sz w:val="22"/>
              </w:rPr>
              <w:t>Affected Protocol Sections</w:t>
            </w:r>
          </w:p>
        </w:tc>
      </w:tr>
      <w:tr w:rsidR="00D93537" w:rsidRPr="004F2FDF" w14:paraId="1D93899E" w14:textId="77777777" w:rsidTr="000C7142">
        <w:trPr>
          <w:trHeight w:val="1588"/>
        </w:trPr>
        <w:tc>
          <w:tcPr>
            <w:tcW w:w="3347" w:type="dxa"/>
            <w:tcBorders>
              <w:top w:val="single" w:sz="4" w:space="0" w:color="auto"/>
              <w:left w:val="single" w:sz="4" w:space="0" w:color="auto"/>
              <w:bottom w:val="single" w:sz="4" w:space="0" w:color="auto"/>
              <w:right w:val="single" w:sz="4" w:space="0" w:color="auto"/>
            </w:tcBorders>
            <w:hideMark/>
          </w:tcPr>
          <w:p w14:paraId="7D200DE3" w14:textId="4982F07A" w:rsidR="00C526A3" w:rsidRPr="004F2FDF" w:rsidRDefault="00C516D8">
            <w:pPr>
              <w:spacing w:after="0" w:line="240" w:lineRule="auto"/>
              <w:rPr>
                <w:rFonts w:ascii="Times New Roman" w:hAnsi="Times New Roman" w:cs="Times New Roman"/>
                <w:sz w:val="22"/>
              </w:rPr>
            </w:pPr>
            <w:r>
              <w:rPr>
                <w:rFonts w:ascii="Times New Roman" w:hAnsi="Times New Roman" w:cs="Times New Roman"/>
                <w:sz w:val="22"/>
              </w:rPr>
              <w:t>1.</w:t>
            </w:r>
            <w:r w:rsidR="00C526A3" w:rsidRPr="004F2FDF">
              <w:rPr>
                <w:rFonts w:ascii="Times New Roman" w:hAnsi="Times New Roman" w:cs="Times New Roman"/>
                <w:sz w:val="22"/>
              </w:rPr>
              <w:t>Randomization was changed to block randomization</w:t>
            </w:r>
          </w:p>
          <w:p w14:paraId="0E3A7608" w14:textId="77777777" w:rsidR="00C526A3" w:rsidRPr="004F2FDF" w:rsidRDefault="00C526A3">
            <w:pPr>
              <w:spacing w:after="0" w:line="240" w:lineRule="auto"/>
              <w:rPr>
                <w:rFonts w:ascii="Times New Roman" w:hAnsi="Times New Roman" w:cs="Times New Roman"/>
                <w:sz w:val="22"/>
              </w:rPr>
            </w:pPr>
          </w:p>
          <w:p w14:paraId="5CC12740" w14:textId="77777777" w:rsidR="00C526A3" w:rsidRPr="004F2FDF" w:rsidRDefault="00C526A3">
            <w:pPr>
              <w:spacing w:after="0" w:line="240" w:lineRule="auto"/>
              <w:rPr>
                <w:rFonts w:ascii="Times New Roman" w:hAnsi="Times New Roman" w:cs="Times New Roman"/>
                <w:sz w:val="22"/>
              </w:rPr>
            </w:pPr>
          </w:p>
          <w:p w14:paraId="4CFCF533" w14:textId="77777777" w:rsidR="00C526A3" w:rsidRPr="004F2FDF" w:rsidRDefault="00C526A3">
            <w:pPr>
              <w:spacing w:after="0" w:line="240" w:lineRule="auto"/>
              <w:rPr>
                <w:rFonts w:ascii="Times New Roman" w:hAnsi="Times New Roman" w:cs="Times New Roman"/>
                <w:sz w:val="22"/>
              </w:rPr>
            </w:pPr>
          </w:p>
          <w:p w14:paraId="5537836C" w14:textId="786BC549" w:rsidR="000C7142" w:rsidRPr="004F2FDF" w:rsidRDefault="000C7142">
            <w:pPr>
              <w:spacing w:after="0" w:line="240" w:lineRule="auto"/>
              <w:rPr>
                <w:rFonts w:ascii="Times New Roman" w:hAnsi="Times New Roman" w:cs="Times New Roman"/>
                <w:sz w:val="22"/>
              </w:rPr>
            </w:pPr>
          </w:p>
        </w:tc>
        <w:tc>
          <w:tcPr>
            <w:tcW w:w="8843" w:type="dxa"/>
            <w:tcBorders>
              <w:top w:val="single" w:sz="4" w:space="0" w:color="auto"/>
              <w:left w:val="single" w:sz="4" w:space="0" w:color="auto"/>
              <w:bottom w:val="single" w:sz="4" w:space="0" w:color="auto"/>
              <w:right w:val="single" w:sz="4" w:space="0" w:color="auto"/>
            </w:tcBorders>
          </w:tcPr>
          <w:p w14:paraId="0FB55646" w14:textId="3D891C03" w:rsidR="00D66607" w:rsidRPr="004F2FDF" w:rsidRDefault="00D66607" w:rsidP="000C7142">
            <w:pPr>
              <w:pStyle w:val="xmsolistparagraph"/>
              <w:numPr>
                <w:ilvl w:val="0"/>
                <w:numId w:val="3"/>
              </w:numPr>
              <w:shd w:val="clear" w:color="auto" w:fill="FFFFFF"/>
              <w:spacing w:before="0" w:beforeAutospacing="0" w:after="0" w:afterAutospacing="0"/>
              <w:rPr>
                <w:color w:val="131413"/>
                <w:sz w:val="22"/>
                <w:szCs w:val="22"/>
              </w:rPr>
            </w:pPr>
            <w:r w:rsidRPr="004F2FDF">
              <w:rPr>
                <w:color w:val="131413"/>
                <w:sz w:val="22"/>
                <w:szCs w:val="22"/>
              </w:rPr>
              <w:t xml:space="preserve">To make the randomization at study sites easier and clearer. </w:t>
            </w:r>
          </w:p>
          <w:p w14:paraId="5569045A" w14:textId="38D8E00A" w:rsidR="00D66607" w:rsidRPr="004F2FDF" w:rsidRDefault="00D66607" w:rsidP="00D66607">
            <w:pPr>
              <w:pStyle w:val="xmsolistparagraph"/>
              <w:shd w:val="clear" w:color="auto" w:fill="FFFFFF"/>
              <w:spacing w:before="0" w:beforeAutospacing="0" w:after="0" w:afterAutospacing="0"/>
              <w:ind w:left="360"/>
              <w:rPr>
                <w:color w:val="131413"/>
                <w:sz w:val="22"/>
                <w:szCs w:val="22"/>
              </w:rPr>
            </w:pPr>
          </w:p>
          <w:p w14:paraId="2F66E4E7" w14:textId="1B97A563" w:rsidR="008B6DC0" w:rsidRPr="004F2FDF" w:rsidRDefault="00D66607" w:rsidP="00D66607">
            <w:pPr>
              <w:pStyle w:val="xmsolistparagraph"/>
              <w:shd w:val="clear" w:color="auto" w:fill="FFFFFF"/>
              <w:spacing w:before="0" w:beforeAutospacing="0" w:after="0" w:afterAutospacing="0"/>
              <w:rPr>
                <w:color w:val="131413"/>
                <w:sz w:val="22"/>
                <w:szCs w:val="22"/>
              </w:rPr>
            </w:pPr>
            <w:r w:rsidRPr="004F2FDF">
              <w:rPr>
                <w:color w:val="131413"/>
                <w:sz w:val="22"/>
                <w:szCs w:val="22"/>
              </w:rPr>
              <w:t xml:space="preserve">In our study, we </w:t>
            </w:r>
            <w:r w:rsidR="00D93537" w:rsidRPr="004F2FDF">
              <w:rPr>
                <w:color w:val="131413"/>
                <w:sz w:val="22"/>
                <w:szCs w:val="22"/>
              </w:rPr>
              <w:t>replaced the randomization from “cluster randomization” in the protocol with</w:t>
            </w:r>
            <w:r w:rsidRPr="004F2FDF">
              <w:rPr>
                <w:color w:val="131413"/>
                <w:sz w:val="22"/>
                <w:szCs w:val="22"/>
              </w:rPr>
              <w:t xml:space="preserve"> </w:t>
            </w:r>
            <w:r w:rsidR="00D93537" w:rsidRPr="004F2FDF">
              <w:rPr>
                <w:color w:val="131413"/>
                <w:sz w:val="22"/>
                <w:szCs w:val="22"/>
              </w:rPr>
              <w:t>“</w:t>
            </w:r>
            <w:r w:rsidRPr="004F2FDF">
              <w:rPr>
                <w:color w:val="131413"/>
                <w:sz w:val="22"/>
                <w:szCs w:val="22"/>
              </w:rPr>
              <w:t>block randomization</w:t>
            </w:r>
            <w:r w:rsidR="00D93537" w:rsidRPr="004F2FDF">
              <w:rPr>
                <w:color w:val="131413"/>
                <w:sz w:val="22"/>
                <w:szCs w:val="22"/>
              </w:rPr>
              <w:t xml:space="preserve">”. This change </w:t>
            </w:r>
            <w:r w:rsidR="008B6DC0" w:rsidRPr="004F2FDF">
              <w:rPr>
                <w:color w:val="131413"/>
                <w:sz w:val="22"/>
                <w:szCs w:val="22"/>
              </w:rPr>
              <w:t>make</w:t>
            </w:r>
            <w:r w:rsidR="0048246F" w:rsidRPr="004F2FDF">
              <w:rPr>
                <w:color w:val="131413"/>
                <w:sz w:val="22"/>
                <w:szCs w:val="22"/>
              </w:rPr>
              <w:t xml:space="preserve">s </w:t>
            </w:r>
            <w:r w:rsidR="008B6DC0" w:rsidRPr="004F2FDF">
              <w:rPr>
                <w:color w:val="131413"/>
                <w:sz w:val="22"/>
                <w:szCs w:val="22"/>
              </w:rPr>
              <w:t>randomization at study si</w:t>
            </w:r>
            <w:r w:rsidR="00894118" w:rsidRPr="004F2FDF">
              <w:rPr>
                <w:color w:val="131413"/>
                <w:sz w:val="22"/>
                <w:szCs w:val="22"/>
              </w:rPr>
              <w:t xml:space="preserve">tes </w:t>
            </w:r>
            <w:r w:rsidR="008B6DC0" w:rsidRPr="004F2FDF">
              <w:rPr>
                <w:color w:val="131413"/>
                <w:sz w:val="22"/>
                <w:szCs w:val="22"/>
              </w:rPr>
              <w:t>clearer</w:t>
            </w:r>
            <w:r w:rsidR="0048246F" w:rsidRPr="004F2FDF">
              <w:rPr>
                <w:color w:val="131413"/>
                <w:sz w:val="22"/>
                <w:szCs w:val="22"/>
              </w:rPr>
              <w:t xml:space="preserve"> for recruitment staff</w:t>
            </w:r>
            <w:r w:rsidR="008B6DC0" w:rsidRPr="004F2FDF">
              <w:rPr>
                <w:color w:val="131413"/>
                <w:sz w:val="22"/>
                <w:szCs w:val="22"/>
              </w:rPr>
              <w:t xml:space="preserve">. Although we have made this change, we assigned eligible indexes into one of three arms 1:1:1. </w:t>
            </w:r>
          </w:p>
          <w:p w14:paraId="7317B652" w14:textId="29FECF63" w:rsidR="00D66607" w:rsidRPr="004F2FDF" w:rsidRDefault="00D93537" w:rsidP="00D66607">
            <w:pPr>
              <w:pStyle w:val="xmsolistparagraph"/>
              <w:shd w:val="clear" w:color="auto" w:fill="FFFFFF"/>
              <w:spacing w:before="0" w:beforeAutospacing="0" w:after="0" w:afterAutospacing="0"/>
              <w:rPr>
                <w:color w:val="131413"/>
                <w:sz w:val="22"/>
                <w:szCs w:val="22"/>
              </w:rPr>
            </w:pPr>
            <w:r w:rsidRPr="004F2FDF">
              <w:rPr>
                <w:color w:val="131413"/>
                <w:sz w:val="22"/>
                <w:szCs w:val="22"/>
              </w:rPr>
              <w:t xml:space="preserve">   </w:t>
            </w:r>
          </w:p>
          <w:p w14:paraId="4DB9B31B" w14:textId="6CE2BB17" w:rsidR="000C7142" w:rsidRPr="004F2FDF" w:rsidRDefault="00D66607" w:rsidP="005B3321">
            <w:pPr>
              <w:pStyle w:val="xmsolistparagraph"/>
              <w:numPr>
                <w:ilvl w:val="0"/>
                <w:numId w:val="3"/>
              </w:numPr>
              <w:shd w:val="clear" w:color="auto" w:fill="FFFFFF"/>
              <w:spacing w:before="0" w:beforeAutospacing="0" w:after="0" w:afterAutospacing="0"/>
              <w:rPr>
                <w:color w:val="131413"/>
                <w:sz w:val="22"/>
                <w:szCs w:val="22"/>
              </w:rPr>
            </w:pPr>
            <w:r w:rsidRPr="004F2FDF">
              <w:rPr>
                <w:color w:val="131413"/>
                <w:sz w:val="22"/>
                <w:szCs w:val="22"/>
              </w:rPr>
              <w:t>To make the analysis more logical</w:t>
            </w:r>
          </w:p>
          <w:p w14:paraId="7EE42852" w14:textId="3EF6E855" w:rsidR="000C7142" w:rsidRPr="004F2FDF" w:rsidRDefault="000C7142">
            <w:pPr>
              <w:pStyle w:val="xmsolistparagraph"/>
              <w:shd w:val="clear" w:color="auto" w:fill="FFFFFF"/>
              <w:spacing w:before="0" w:beforeAutospacing="0" w:after="0" w:afterAutospacing="0"/>
              <w:rPr>
                <w:color w:val="000000"/>
                <w:sz w:val="22"/>
                <w:szCs w:val="22"/>
              </w:rPr>
            </w:pPr>
          </w:p>
        </w:tc>
        <w:tc>
          <w:tcPr>
            <w:tcW w:w="1602" w:type="dxa"/>
            <w:tcBorders>
              <w:top w:val="single" w:sz="4" w:space="0" w:color="auto"/>
              <w:left w:val="single" w:sz="4" w:space="0" w:color="auto"/>
              <w:bottom w:val="single" w:sz="4" w:space="0" w:color="auto"/>
              <w:right w:val="single" w:sz="4" w:space="0" w:color="auto"/>
            </w:tcBorders>
            <w:hideMark/>
          </w:tcPr>
          <w:p w14:paraId="11EBC93B" w14:textId="4A493778" w:rsidR="000C7142" w:rsidRPr="004F2FDF" w:rsidRDefault="007A3472">
            <w:pPr>
              <w:spacing w:after="0" w:line="240" w:lineRule="auto"/>
              <w:rPr>
                <w:rFonts w:ascii="Times New Roman" w:hAnsi="Times New Roman" w:cs="Times New Roman"/>
                <w:sz w:val="22"/>
              </w:rPr>
            </w:pPr>
            <w:r w:rsidRPr="004F2FDF">
              <w:rPr>
                <w:rFonts w:ascii="Times New Roman" w:hAnsi="Times New Roman" w:cs="Times New Roman"/>
                <w:sz w:val="22"/>
              </w:rPr>
              <w:t xml:space="preserve">Randomization </w:t>
            </w:r>
            <w:r w:rsidR="000C7142" w:rsidRPr="004F2FDF">
              <w:rPr>
                <w:rFonts w:ascii="Times New Roman" w:hAnsi="Times New Roman" w:cs="Times New Roman"/>
                <w:sz w:val="22"/>
              </w:rPr>
              <w:t>&lt;</w:t>
            </w:r>
            <w:r w:rsidRPr="004F2FDF">
              <w:rPr>
                <w:rFonts w:ascii="Times New Roman" w:hAnsi="Times New Roman" w:cs="Times New Roman"/>
                <w:sz w:val="22"/>
              </w:rPr>
              <w:t>page</w:t>
            </w:r>
            <w:r w:rsidR="00DE4C25" w:rsidRPr="004F2FDF">
              <w:rPr>
                <w:rFonts w:ascii="Times New Roman" w:hAnsi="Times New Roman" w:cs="Times New Roman"/>
                <w:sz w:val="22"/>
              </w:rPr>
              <w:t xml:space="preserve"> 30</w:t>
            </w:r>
            <w:r w:rsidR="000C7142" w:rsidRPr="004F2FDF">
              <w:rPr>
                <w:rFonts w:ascii="Times New Roman" w:hAnsi="Times New Roman" w:cs="Times New Roman"/>
                <w:sz w:val="22"/>
              </w:rPr>
              <w:t>&gt;</w:t>
            </w:r>
          </w:p>
        </w:tc>
      </w:tr>
      <w:tr w:rsidR="00D93537" w:rsidRPr="00775C2E" w14:paraId="7741E51F" w14:textId="77777777" w:rsidTr="000C7142">
        <w:trPr>
          <w:trHeight w:val="1077"/>
        </w:trPr>
        <w:tc>
          <w:tcPr>
            <w:tcW w:w="3347" w:type="dxa"/>
            <w:tcBorders>
              <w:top w:val="single" w:sz="4" w:space="0" w:color="auto"/>
              <w:left w:val="single" w:sz="4" w:space="0" w:color="auto"/>
              <w:bottom w:val="single" w:sz="4" w:space="0" w:color="auto"/>
              <w:right w:val="single" w:sz="4" w:space="0" w:color="auto"/>
            </w:tcBorders>
            <w:hideMark/>
          </w:tcPr>
          <w:p w14:paraId="10906FAD" w14:textId="259FE007" w:rsidR="00C526A3" w:rsidRPr="006D693F" w:rsidRDefault="00C516D8" w:rsidP="00C516D8">
            <w:pPr>
              <w:spacing w:after="0" w:line="240" w:lineRule="auto"/>
              <w:rPr>
                <w:rFonts w:ascii="Times New Roman" w:hAnsi="Times New Roman" w:cs="Times New Roman"/>
                <w:sz w:val="22"/>
              </w:rPr>
            </w:pPr>
            <w:r>
              <w:rPr>
                <w:rFonts w:ascii="Times New Roman" w:hAnsi="Times New Roman" w:cs="Times New Roman"/>
                <w:sz w:val="22"/>
              </w:rPr>
              <w:t>2.</w:t>
            </w:r>
            <w:r w:rsidR="00C526A3" w:rsidRPr="006D693F">
              <w:rPr>
                <w:rFonts w:ascii="Times New Roman" w:hAnsi="Times New Roman" w:cs="Times New Roman"/>
                <w:sz w:val="22"/>
              </w:rPr>
              <w:t xml:space="preserve">Statistical analysis was changed to negative binomial model. </w:t>
            </w:r>
          </w:p>
          <w:p w14:paraId="27DF8CF7" w14:textId="77777777" w:rsidR="00C526A3" w:rsidRPr="004F2FDF" w:rsidRDefault="00C526A3">
            <w:pPr>
              <w:spacing w:after="0" w:line="240" w:lineRule="auto"/>
              <w:rPr>
                <w:rFonts w:ascii="Times New Roman" w:hAnsi="Times New Roman" w:cs="Times New Roman"/>
                <w:sz w:val="22"/>
              </w:rPr>
            </w:pPr>
          </w:p>
          <w:p w14:paraId="2CA1CDBC" w14:textId="77777777" w:rsidR="00C526A3" w:rsidRPr="004F2FDF" w:rsidRDefault="00C526A3">
            <w:pPr>
              <w:spacing w:after="0" w:line="240" w:lineRule="auto"/>
              <w:rPr>
                <w:rFonts w:ascii="Times New Roman" w:hAnsi="Times New Roman" w:cs="Times New Roman"/>
                <w:sz w:val="22"/>
              </w:rPr>
            </w:pPr>
          </w:p>
          <w:p w14:paraId="40133A2E" w14:textId="12183C4B" w:rsidR="000C7142" w:rsidRPr="004F2FDF" w:rsidRDefault="000C7142">
            <w:pPr>
              <w:spacing w:after="0" w:line="240" w:lineRule="auto"/>
              <w:rPr>
                <w:rFonts w:ascii="Times New Roman" w:hAnsi="Times New Roman" w:cs="Times New Roman"/>
                <w:sz w:val="22"/>
              </w:rPr>
            </w:pPr>
          </w:p>
        </w:tc>
        <w:tc>
          <w:tcPr>
            <w:tcW w:w="8843" w:type="dxa"/>
            <w:tcBorders>
              <w:top w:val="single" w:sz="4" w:space="0" w:color="auto"/>
              <w:left w:val="single" w:sz="4" w:space="0" w:color="auto"/>
              <w:bottom w:val="single" w:sz="4" w:space="0" w:color="auto"/>
              <w:right w:val="single" w:sz="4" w:space="0" w:color="auto"/>
            </w:tcBorders>
          </w:tcPr>
          <w:p w14:paraId="3CABD100" w14:textId="1A4A69F7" w:rsidR="000C7142" w:rsidRPr="004F2FDF" w:rsidRDefault="000C7142">
            <w:pPr>
              <w:spacing w:after="0" w:line="240" w:lineRule="auto"/>
              <w:rPr>
                <w:rFonts w:ascii="Times New Roman" w:hAnsi="Times New Roman" w:cs="Times New Roman"/>
                <w:sz w:val="22"/>
              </w:rPr>
            </w:pPr>
            <w:r w:rsidRPr="004F2FDF">
              <w:rPr>
                <w:rFonts w:ascii="Times New Roman" w:hAnsi="Times New Roman" w:cs="Times New Roman"/>
                <w:sz w:val="22"/>
              </w:rPr>
              <w:t>In the original protocol, we mentioned that “</w:t>
            </w:r>
            <w:r w:rsidR="00F066E2" w:rsidRPr="004F2FDF">
              <w:rPr>
                <w:rFonts w:ascii="Times New Roman" w:hAnsi="Times New Roman" w:cs="Times New Roman"/>
                <w:sz w:val="22"/>
              </w:rPr>
              <w:t xml:space="preserve">…using generalized estimated equations modelling to account for potential correlations in outcomes within groups” </w:t>
            </w:r>
            <w:r w:rsidRPr="004F2FDF">
              <w:rPr>
                <w:rFonts w:ascii="Times New Roman" w:hAnsi="Times New Roman" w:cs="Times New Roman"/>
                <w:sz w:val="22"/>
              </w:rPr>
              <w:t xml:space="preserve">During the data analysis stage, we </w:t>
            </w:r>
            <w:r w:rsidR="00625A59" w:rsidRPr="004F2FDF">
              <w:rPr>
                <w:rFonts w:ascii="Times New Roman" w:hAnsi="Times New Roman" w:cs="Times New Roman"/>
                <w:sz w:val="22"/>
              </w:rPr>
              <w:t xml:space="preserve">found that data distribution is abnormal and skewed. The </w:t>
            </w:r>
            <w:r w:rsidR="00F066E2" w:rsidRPr="004F2FDF">
              <w:rPr>
                <w:rFonts w:ascii="Times New Roman" w:hAnsi="Times New Roman" w:cs="Times New Roman"/>
                <w:sz w:val="22"/>
              </w:rPr>
              <w:t xml:space="preserve">negative binomial </w:t>
            </w:r>
            <w:r w:rsidR="00625A59" w:rsidRPr="004F2FDF">
              <w:rPr>
                <w:rFonts w:ascii="Times New Roman" w:hAnsi="Times New Roman" w:cs="Times New Roman"/>
                <w:sz w:val="22"/>
              </w:rPr>
              <w:t>regression is more inclusive considering the data distribution</w:t>
            </w:r>
            <w:r w:rsidR="00DD103C">
              <w:rPr>
                <w:rFonts w:ascii="Times New Roman" w:hAnsi="Times New Roman" w:cs="Times New Roman"/>
                <w:sz w:val="22"/>
              </w:rPr>
              <w:t xml:space="preserve"> and provides flexibility to model overdispersion</w:t>
            </w:r>
            <w:r w:rsidR="00F066E2" w:rsidRPr="004F2FDF">
              <w:rPr>
                <w:rFonts w:ascii="Times New Roman" w:hAnsi="Times New Roman" w:cs="Times New Roman"/>
                <w:sz w:val="22"/>
              </w:rPr>
              <w:t xml:space="preserve">. </w:t>
            </w:r>
          </w:p>
          <w:p w14:paraId="01675907" w14:textId="5ECACB7F" w:rsidR="000C7142" w:rsidRPr="004F2FDF" w:rsidRDefault="000C7142">
            <w:pPr>
              <w:spacing w:after="0" w:line="240" w:lineRule="auto"/>
              <w:rPr>
                <w:rFonts w:ascii="Times New Roman" w:hAnsi="Times New Roman" w:cs="Times New Roman"/>
                <w:sz w:val="22"/>
              </w:rPr>
            </w:pPr>
          </w:p>
        </w:tc>
        <w:tc>
          <w:tcPr>
            <w:tcW w:w="1602" w:type="dxa"/>
            <w:tcBorders>
              <w:top w:val="single" w:sz="4" w:space="0" w:color="auto"/>
              <w:left w:val="single" w:sz="4" w:space="0" w:color="auto"/>
              <w:bottom w:val="single" w:sz="4" w:space="0" w:color="auto"/>
              <w:right w:val="single" w:sz="4" w:space="0" w:color="auto"/>
            </w:tcBorders>
            <w:hideMark/>
          </w:tcPr>
          <w:p w14:paraId="74CF24FA" w14:textId="5684D5D1" w:rsidR="000C7142" w:rsidRPr="004F2FDF" w:rsidRDefault="000C7142">
            <w:pPr>
              <w:spacing w:after="0" w:line="240" w:lineRule="auto"/>
              <w:rPr>
                <w:rFonts w:ascii="Times New Roman" w:hAnsi="Times New Roman" w:cs="Times New Roman"/>
                <w:sz w:val="22"/>
              </w:rPr>
            </w:pPr>
            <w:r w:rsidRPr="004F2FDF">
              <w:rPr>
                <w:rFonts w:ascii="Times New Roman" w:hAnsi="Times New Roman" w:cs="Times New Roman"/>
                <w:sz w:val="22"/>
              </w:rPr>
              <w:t>Primary analysis, secondary analysis</w:t>
            </w:r>
            <w:r w:rsidR="007A3472" w:rsidRPr="004F2FDF">
              <w:rPr>
                <w:rFonts w:ascii="Times New Roman" w:hAnsi="Times New Roman" w:cs="Times New Roman"/>
                <w:sz w:val="22"/>
              </w:rPr>
              <w:t>, subgroup analysis</w:t>
            </w:r>
          </w:p>
          <w:p w14:paraId="49CA76F1" w14:textId="59154322" w:rsidR="000C7142" w:rsidRPr="00775C2E" w:rsidRDefault="000C7142">
            <w:pPr>
              <w:spacing w:after="0" w:line="240" w:lineRule="auto"/>
              <w:rPr>
                <w:rFonts w:ascii="Times New Roman" w:hAnsi="Times New Roman" w:cs="Times New Roman"/>
                <w:sz w:val="22"/>
              </w:rPr>
            </w:pPr>
            <w:r w:rsidRPr="004F2FDF">
              <w:rPr>
                <w:rFonts w:ascii="Times New Roman" w:hAnsi="Times New Roman" w:cs="Times New Roman"/>
                <w:sz w:val="22"/>
              </w:rPr>
              <w:t xml:space="preserve">&lt;Page </w:t>
            </w:r>
            <w:r w:rsidR="00DE4C25" w:rsidRPr="004F2FDF">
              <w:rPr>
                <w:rFonts w:ascii="Times New Roman" w:hAnsi="Times New Roman" w:cs="Times New Roman"/>
                <w:sz w:val="22"/>
              </w:rPr>
              <w:t>35</w:t>
            </w:r>
            <w:r w:rsidRPr="004F2FDF">
              <w:rPr>
                <w:rFonts w:ascii="Times New Roman" w:hAnsi="Times New Roman" w:cs="Times New Roman"/>
                <w:sz w:val="22"/>
              </w:rPr>
              <w:t>&gt;</w:t>
            </w:r>
          </w:p>
        </w:tc>
      </w:tr>
      <w:tr w:rsidR="00DD103C" w:rsidRPr="00775C2E" w14:paraId="6737772A" w14:textId="77777777" w:rsidTr="000C7142">
        <w:trPr>
          <w:trHeight w:val="1077"/>
        </w:trPr>
        <w:tc>
          <w:tcPr>
            <w:tcW w:w="3347" w:type="dxa"/>
            <w:tcBorders>
              <w:top w:val="single" w:sz="4" w:space="0" w:color="auto"/>
              <w:left w:val="single" w:sz="4" w:space="0" w:color="auto"/>
              <w:bottom w:val="single" w:sz="4" w:space="0" w:color="auto"/>
              <w:right w:val="single" w:sz="4" w:space="0" w:color="auto"/>
            </w:tcBorders>
          </w:tcPr>
          <w:p w14:paraId="7CFD590A" w14:textId="0A5AFED1" w:rsidR="00DD103C" w:rsidRPr="004F2FDF" w:rsidRDefault="00C516D8">
            <w:pPr>
              <w:spacing w:after="0" w:line="240" w:lineRule="auto"/>
              <w:rPr>
                <w:rFonts w:ascii="Times New Roman" w:hAnsi="Times New Roman" w:cs="Times New Roman"/>
                <w:sz w:val="22"/>
              </w:rPr>
            </w:pPr>
            <w:r>
              <w:rPr>
                <w:rFonts w:ascii="Times New Roman" w:hAnsi="Times New Roman" w:cs="Times New Roman"/>
                <w:sz w:val="22"/>
              </w:rPr>
              <w:t>3.</w:t>
            </w:r>
            <w:r w:rsidR="00DD103C">
              <w:rPr>
                <w:rFonts w:ascii="Times New Roman" w:hAnsi="Times New Roman" w:cs="Times New Roman"/>
                <w:sz w:val="22"/>
              </w:rPr>
              <w:t>S</w:t>
            </w:r>
            <w:r w:rsidR="00DD103C">
              <w:rPr>
                <w:rFonts w:ascii="Times New Roman" w:hAnsi="Times New Roman" w:cs="Times New Roman" w:hint="eastAsia"/>
                <w:sz w:val="22"/>
              </w:rPr>
              <w:t>ample</w:t>
            </w:r>
            <w:r w:rsidR="00DD103C">
              <w:rPr>
                <w:rFonts w:ascii="Times New Roman" w:hAnsi="Times New Roman" w:cs="Times New Roman"/>
                <w:sz w:val="22"/>
              </w:rPr>
              <w:t xml:space="preserve"> </w:t>
            </w:r>
            <w:r w:rsidR="00DD103C">
              <w:rPr>
                <w:rFonts w:ascii="Times New Roman" w:hAnsi="Times New Roman" w:cs="Times New Roman" w:hint="eastAsia"/>
                <w:sz w:val="22"/>
              </w:rPr>
              <w:t>size</w:t>
            </w:r>
          </w:p>
        </w:tc>
        <w:tc>
          <w:tcPr>
            <w:tcW w:w="8843" w:type="dxa"/>
            <w:tcBorders>
              <w:top w:val="single" w:sz="4" w:space="0" w:color="auto"/>
              <w:left w:val="single" w:sz="4" w:space="0" w:color="auto"/>
              <w:bottom w:val="single" w:sz="4" w:space="0" w:color="auto"/>
              <w:right w:val="single" w:sz="4" w:space="0" w:color="auto"/>
            </w:tcBorders>
          </w:tcPr>
          <w:p w14:paraId="1E4DDB82" w14:textId="5A4E93BF" w:rsidR="00DD103C" w:rsidRPr="004F2FDF" w:rsidRDefault="006D693F">
            <w:pPr>
              <w:spacing w:after="0" w:line="240" w:lineRule="auto"/>
              <w:rPr>
                <w:rFonts w:ascii="Times New Roman" w:hAnsi="Times New Roman" w:cs="Times New Roman"/>
                <w:sz w:val="22"/>
              </w:rPr>
            </w:pPr>
            <w:r>
              <w:rPr>
                <w:rFonts w:ascii="Times New Roman" w:hAnsi="Times New Roman" w:cs="Times New Roman"/>
                <w:sz w:val="22"/>
              </w:rPr>
              <w:t>S</w:t>
            </w:r>
            <w:r w:rsidR="00C61A68">
              <w:rPr>
                <w:rFonts w:ascii="Times New Roman" w:hAnsi="Times New Roman" w:cs="Times New Roman"/>
                <w:sz w:val="22"/>
              </w:rPr>
              <w:t xml:space="preserve">ample size calculation was changed due to the change of randomization. </w:t>
            </w:r>
            <w:r>
              <w:rPr>
                <w:rFonts w:ascii="Times New Roman" w:hAnsi="Times New Roman" w:cs="Times New Roman"/>
                <w:sz w:val="22"/>
              </w:rPr>
              <w:t>For new sample size calculation, please</w:t>
            </w:r>
            <w:r w:rsidR="00C61A68">
              <w:rPr>
                <w:rFonts w:ascii="Times New Roman" w:hAnsi="Times New Roman" w:cs="Times New Roman"/>
                <w:sz w:val="22"/>
              </w:rPr>
              <w:t xml:space="preserve"> refer to Appendix page 13. </w:t>
            </w:r>
          </w:p>
        </w:tc>
        <w:tc>
          <w:tcPr>
            <w:tcW w:w="1602" w:type="dxa"/>
            <w:tcBorders>
              <w:top w:val="single" w:sz="4" w:space="0" w:color="auto"/>
              <w:left w:val="single" w:sz="4" w:space="0" w:color="auto"/>
              <w:bottom w:val="single" w:sz="4" w:space="0" w:color="auto"/>
              <w:right w:val="single" w:sz="4" w:space="0" w:color="auto"/>
            </w:tcBorders>
          </w:tcPr>
          <w:p w14:paraId="2BEABBE8" w14:textId="01F5A95D" w:rsidR="00DD103C" w:rsidRPr="004F2FDF" w:rsidRDefault="00C516D8">
            <w:pPr>
              <w:spacing w:after="0" w:line="240" w:lineRule="auto"/>
              <w:rPr>
                <w:rFonts w:ascii="Times New Roman" w:hAnsi="Times New Roman" w:cs="Times New Roman"/>
                <w:sz w:val="22"/>
              </w:rPr>
            </w:pPr>
            <w:r>
              <w:rPr>
                <w:rFonts w:ascii="Times New Roman" w:hAnsi="Times New Roman" w:cs="Times New Roman"/>
                <w:sz w:val="22"/>
              </w:rPr>
              <w:t>Sample size calculation &lt;Page 36&gt;</w:t>
            </w:r>
          </w:p>
        </w:tc>
      </w:tr>
    </w:tbl>
    <w:p w14:paraId="58259BFA" w14:textId="77777777" w:rsidR="0081030B" w:rsidRPr="00775C2E" w:rsidRDefault="0081030B">
      <w:pPr>
        <w:jc w:val="left"/>
        <w:rPr>
          <w:rFonts w:ascii="Times New Roman" w:hAnsi="Times New Roman" w:cs="Times New Roman"/>
          <w:sz w:val="22"/>
        </w:rPr>
      </w:pPr>
    </w:p>
    <w:sectPr w:rsidR="0081030B" w:rsidRPr="00775C2E">
      <w:pgSz w:w="11905" w:h="16838"/>
      <w:pgMar w:top="1327" w:right="1803" w:bottom="1327" w:left="1803" w:header="850"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CBDB" w14:textId="77777777" w:rsidR="00336CCB" w:rsidRDefault="00336CCB">
      <w:pPr>
        <w:spacing w:line="240" w:lineRule="auto"/>
      </w:pPr>
      <w:r>
        <w:separator/>
      </w:r>
    </w:p>
  </w:endnote>
  <w:endnote w:type="continuationSeparator" w:id="0">
    <w:p w14:paraId="7F24D4E5" w14:textId="77777777" w:rsidR="00336CCB" w:rsidRDefault="00336C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lppkdAdvTTb5929f4c">
    <w:altName w:val="Cambria"/>
    <w:charset w:val="00"/>
    <w:family w:val="roman"/>
    <w:pitch w:val="default"/>
  </w:font>
  <w:font w:name="Times New Roman Uni">
    <w:altName w:val="Yu Gothic"/>
    <w:charset w:val="80"/>
    <w:family w:val="roman"/>
    <w:pitch w:val="default"/>
    <w:sig w:usb0="00000000" w:usb1="00000000" w:usb2="0000003E"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093320"/>
      <w:docPartObj>
        <w:docPartGallery w:val="Page Numbers (Bottom of Page)"/>
        <w:docPartUnique/>
      </w:docPartObj>
    </w:sdtPr>
    <w:sdtEndPr>
      <w:rPr>
        <w:noProof/>
      </w:rPr>
    </w:sdtEndPr>
    <w:sdtContent>
      <w:p w14:paraId="2AD4758A" w14:textId="3502DC7E" w:rsidR="006475D4" w:rsidRDefault="006475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314B5D" w14:textId="77777777" w:rsidR="0081030B" w:rsidRDefault="00810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7E9A9" w14:textId="77777777" w:rsidR="00336CCB" w:rsidRDefault="00336CCB">
      <w:pPr>
        <w:spacing w:after="0"/>
      </w:pPr>
      <w:r>
        <w:separator/>
      </w:r>
    </w:p>
  </w:footnote>
  <w:footnote w:type="continuationSeparator" w:id="0">
    <w:p w14:paraId="05D80C06" w14:textId="77777777" w:rsidR="00336CCB" w:rsidRDefault="00336C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D567F"/>
    <w:multiLevelType w:val="multilevel"/>
    <w:tmpl w:val="0F22C6A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221947B7"/>
    <w:multiLevelType w:val="multilevel"/>
    <w:tmpl w:val="0F22C6A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25D87AFD"/>
    <w:multiLevelType w:val="multilevel"/>
    <w:tmpl w:val="25D87AF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AF0E56"/>
    <w:multiLevelType w:val="hybridMultilevel"/>
    <w:tmpl w:val="A89A8B84"/>
    <w:lvl w:ilvl="0" w:tplc="0409000F">
      <w:start w:val="1"/>
      <w:numFmt w:val="decimal"/>
      <w:lvlText w:val="%1."/>
      <w:lvlJc w:val="left"/>
      <w:pPr>
        <w:ind w:left="360" w:hanging="360"/>
      </w:pPr>
      <w:rPr>
        <w:b w:val="0"/>
        <w:i w:val="0"/>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C6955FC"/>
    <w:multiLevelType w:val="hybridMultilevel"/>
    <w:tmpl w:val="AD5897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FC3A11"/>
    <w:multiLevelType w:val="multilevel"/>
    <w:tmpl w:val="62FC3A1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8571C6"/>
    <w:multiLevelType w:val="hybridMultilevel"/>
    <w:tmpl w:val="7C86A8C6"/>
    <w:lvl w:ilvl="0" w:tplc="A43AE7E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3225709">
    <w:abstractNumId w:val="2"/>
  </w:num>
  <w:num w:numId="2" w16cid:durableId="783231916">
    <w:abstractNumId w:val="5"/>
  </w:num>
  <w:num w:numId="3" w16cid:durableId="1735396035">
    <w:abstractNumId w:val="3"/>
    <w:lvlOverride w:ilvl="0">
      <w:startOverride w:val="1"/>
    </w:lvlOverride>
    <w:lvlOverride w:ilvl="1"/>
    <w:lvlOverride w:ilvl="2"/>
    <w:lvlOverride w:ilvl="3"/>
    <w:lvlOverride w:ilvl="4"/>
    <w:lvlOverride w:ilvl="5"/>
    <w:lvlOverride w:ilvl="6"/>
    <w:lvlOverride w:ilvl="7"/>
    <w:lvlOverride w:ilvl="8"/>
  </w:num>
  <w:num w:numId="4" w16cid:durableId="1670986212">
    <w:abstractNumId w:val="1"/>
  </w:num>
  <w:num w:numId="5" w16cid:durableId="64838205">
    <w:abstractNumId w:val="0"/>
  </w:num>
  <w:num w:numId="6" w16cid:durableId="17581468">
    <w:abstractNumId w:val="4"/>
  </w:num>
  <w:num w:numId="7" w16cid:durableId="10702324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210"/>
  <w:drawingGridVerticalSpacing w:val="159"/>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8D"/>
    <w:rsid w:val="000004CF"/>
    <w:rsid w:val="0001173E"/>
    <w:rsid w:val="000249EB"/>
    <w:rsid w:val="00035130"/>
    <w:rsid w:val="00040974"/>
    <w:rsid w:val="00050767"/>
    <w:rsid w:val="00071877"/>
    <w:rsid w:val="00072421"/>
    <w:rsid w:val="000779B6"/>
    <w:rsid w:val="00090BFD"/>
    <w:rsid w:val="0009318A"/>
    <w:rsid w:val="00094391"/>
    <w:rsid w:val="00097DAE"/>
    <w:rsid w:val="000A2756"/>
    <w:rsid w:val="000A7269"/>
    <w:rsid w:val="000B17B4"/>
    <w:rsid w:val="000B651B"/>
    <w:rsid w:val="000B749B"/>
    <w:rsid w:val="000C5496"/>
    <w:rsid w:val="000C7142"/>
    <w:rsid w:val="000E2E0C"/>
    <w:rsid w:val="000E4539"/>
    <w:rsid w:val="000E693E"/>
    <w:rsid w:val="000F59F6"/>
    <w:rsid w:val="00112BD2"/>
    <w:rsid w:val="001168FB"/>
    <w:rsid w:val="00123306"/>
    <w:rsid w:val="0012426D"/>
    <w:rsid w:val="00125F4E"/>
    <w:rsid w:val="00135A9A"/>
    <w:rsid w:val="001364A6"/>
    <w:rsid w:val="001477DC"/>
    <w:rsid w:val="00156A8F"/>
    <w:rsid w:val="00156AB5"/>
    <w:rsid w:val="001609CB"/>
    <w:rsid w:val="001818BA"/>
    <w:rsid w:val="00184CA7"/>
    <w:rsid w:val="00186375"/>
    <w:rsid w:val="00186E55"/>
    <w:rsid w:val="00193232"/>
    <w:rsid w:val="00196FF3"/>
    <w:rsid w:val="001A15C7"/>
    <w:rsid w:val="001A1F8C"/>
    <w:rsid w:val="001B07D0"/>
    <w:rsid w:val="001C2785"/>
    <w:rsid w:val="001C737C"/>
    <w:rsid w:val="001D5090"/>
    <w:rsid w:val="0020232B"/>
    <w:rsid w:val="0021358D"/>
    <w:rsid w:val="002168E2"/>
    <w:rsid w:val="00226897"/>
    <w:rsid w:val="0023056B"/>
    <w:rsid w:val="0023594B"/>
    <w:rsid w:val="00251BC9"/>
    <w:rsid w:val="0025355C"/>
    <w:rsid w:val="00277CDF"/>
    <w:rsid w:val="00281C6B"/>
    <w:rsid w:val="00293F70"/>
    <w:rsid w:val="00297F62"/>
    <w:rsid w:val="002A0E42"/>
    <w:rsid w:val="002A2160"/>
    <w:rsid w:val="002A4F46"/>
    <w:rsid w:val="002A745B"/>
    <w:rsid w:val="002B00F2"/>
    <w:rsid w:val="002B14AB"/>
    <w:rsid w:val="002B27B7"/>
    <w:rsid w:val="002C0F6F"/>
    <w:rsid w:val="002D1568"/>
    <w:rsid w:val="002D6EB8"/>
    <w:rsid w:val="002F1C26"/>
    <w:rsid w:val="002F50D7"/>
    <w:rsid w:val="002F67C7"/>
    <w:rsid w:val="003007D8"/>
    <w:rsid w:val="00305533"/>
    <w:rsid w:val="00305678"/>
    <w:rsid w:val="00306093"/>
    <w:rsid w:val="00310B53"/>
    <w:rsid w:val="00324CB8"/>
    <w:rsid w:val="0032743B"/>
    <w:rsid w:val="003327F2"/>
    <w:rsid w:val="00334C17"/>
    <w:rsid w:val="00336CCB"/>
    <w:rsid w:val="0034343B"/>
    <w:rsid w:val="0035536B"/>
    <w:rsid w:val="00367E06"/>
    <w:rsid w:val="00380302"/>
    <w:rsid w:val="00380F8A"/>
    <w:rsid w:val="003812F3"/>
    <w:rsid w:val="003B533D"/>
    <w:rsid w:val="003B7230"/>
    <w:rsid w:val="003C4665"/>
    <w:rsid w:val="003E622B"/>
    <w:rsid w:val="003F04F6"/>
    <w:rsid w:val="003F2B9A"/>
    <w:rsid w:val="003F7ED3"/>
    <w:rsid w:val="00400E58"/>
    <w:rsid w:val="004031D0"/>
    <w:rsid w:val="00403FEC"/>
    <w:rsid w:val="00412677"/>
    <w:rsid w:val="00413347"/>
    <w:rsid w:val="00413393"/>
    <w:rsid w:val="00415376"/>
    <w:rsid w:val="0042040B"/>
    <w:rsid w:val="00435251"/>
    <w:rsid w:val="0043673E"/>
    <w:rsid w:val="004374ED"/>
    <w:rsid w:val="00443F55"/>
    <w:rsid w:val="00455304"/>
    <w:rsid w:val="00461F36"/>
    <w:rsid w:val="00464B8F"/>
    <w:rsid w:val="00465BF9"/>
    <w:rsid w:val="0047794A"/>
    <w:rsid w:val="00481481"/>
    <w:rsid w:val="0048246F"/>
    <w:rsid w:val="004A64CC"/>
    <w:rsid w:val="004B0B21"/>
    <w:rsid w:val="004B38B4"/>
    <w:rsid w:val="004B4368"/>
    <w:rsid w:val="004C41A9"/>
    <w:rsid w:val="004C5B7B"/>
    <w:rsid w:val="004D14F8"/>
    <w:rsid w:val="004E0062"/>
    <w:rsid w:val="004E687F"/>
    <w:rsid w:val="004F2FDF"/>
    <w:rsid w:val="004F35A8"/>
    <w:rsid w:val="00500307"/>
    <w:rsid w:val="005052CD"/>
    <w:rsid w:val="00523473"/>
    <w:rsid w:val="0052735F"/>
    <w:rsid w:val="005353D5"/>
    <w:rsid w:val="00542912"/>
    <w:rsid w:val="00542A1F"/>
    <w:rsid w:val="00546555"/>
    <w:rsid w:val="00552E34"/>
    <w:rsid w:val="005561F4"/>
    <w:rsid w:val="00564649"/>
    <w:rsid w:val="00571D05"/>
    <w:rsid w:val="00582222"/>
    <w:rsid w:val="00592229"/>
    <w:rsid w:val="00593618"/>
    <w:rsid w:val="005A470A"/>
    <w:rsid w:val="005B32DF"/>
    <w:rsid w:val="005B3321"/>
    <w:rsid w:val="005B47E3"/>
    <w:rsid w:val="005B4EA8"/>
    <w:rsid w:val="005B67A9"/>
    <w:rsid w:val="005C16F7"/>
    <w:rsid w:val="005F13BF"/>
    <w:rsid w:val="005F13C2"/>
    <w:rsid w:val="006033CE"/>
    <w:rsid w:val="0061007F"/>
    <w:rsid w:val="006141D2"/>
    <w:rsid w:val="006161A6"/>
    <w:rsid w:val="006203E0"/>
    <w:rsid w:val="00625A59"/>
    <w:rsid w:val="00627527"/>
    <w:rsid w:val="00635D6C"/>
    <w:rsid w:val="00636E22"/>
    <w:rsid w:val="00643351"/>
    <w:rsid w:val="00645E46"/>
    <w:rsid w:val="006475D4"/>
    <w:rsid w:val="00656B78"/>
    <w:rsid w:val="00660AE5"/>
    <w:rsid w:val="006637B4"/>
    <w:rsid w:val="00664170"/>
    <w:rsid w:val="006658C8"/>
    <w:rsid w:val="0067683D"/>
    <w:rsid w:val="00683054"/>
    <w:rsid w:val="006856A8"/>
    <w:rsid w:val="00690C05"/>
    <w:rsid w:val="006913DC"/>
    <w:rsid w:val="006A3872"/>
    <w:rsid w:val="006B5ACE"/>
    <w:rsid w:val="006B6269"/>
    <w:rsid w:val="006B6762"/>
    <w:rsid w:val="006C61CE"/>
    <w:rsid w:val="006C63F1"/>
    <w:rsid w:val="006D6672"/>
    <w:rsid w:val="006D693F"/>
    <w:rsid w:val="006D77B3"/>
    <w:rsid w:val="006E78E3"/>
    <w:rsid w:val="006F4594"/>
    <w:rsid w:val="00701DE5"/>
    <w:rsid w:val="0070765F"/>
    <w:rsid w:val="007115E9"/>
    <w:rsid w:val="00712652"/>
    <w:rsid w:val="00713610"/>
    <w:rsid w:val="00713920"/>
    <w:rsid w:val="007204BE"/>
    <w:rsid w:val="00721593"/>
    <w:rsid w:val="00725E08"/>
    <w:rsid w:val="0073019A"/>
    <w:rsid w:val="00735376"/>
    <w:rsid w:val="00744D49"/>
    <w:rsid w:val="00755541"/>
    <w:rsid w:val="00775C2E"/>
    <w:rsid w:val="00780041"/>
    <w:rsid w:val="0078330A"/>
    <w:rsid w:val="00793EB3"/>
    <w:rsid w:val="007956A0"/>
    <w:rsid w:val="007976B1"/>
    <w:rsid w:val="007A3472"/>
    <w:rsid w:val="007A7A9E"/>
    <w:rsid w:val="007C3824"/>
    <w:rsid w:val="007D44F9"/>
    <w:rsid w:val="007F39D7"/>
    <w:rsid w:val="00800383"/>
    <w:rsid w:val="0081030B"/>
    <w:rsid w:val="00812605"/>
    <w:rsid w:val="00813449"/>
    <w:rsid w:val="00820A17"/>
    <w:rsid w:val="00823183"/>
    <w:rsid w:val="00831F8E"/>
    <w:rsid w:val="00837375"/>
    <w:rsid w:val="0084147E"/>
    <w:rsid w:val="00842416"/>
    <w:rsid w:val="00843023"/>
    <w:rsid w:val="00857507"/>
    <w:rsid w:val="00862FA9"/>
    <w:rsid w:val="00865D73"/>
    <w:rsid w:val="00866693"/>
    <w:rsid w:val="00871023"/>
    <w:rsid w:val="008717FF"/>
    <w:rsid w:val="00874D76"/>
    <w:rsid w:val="00884553"/>
    <w:rsid w:val="0088639C"/>
    <w:rsid w:val="0089178D"/>
    <w:rsid w:val="00894118"/>
    <w:rsid w:val="0089444D"/>
    <w:rsid w:val="008A68F2"/>
    <w:rsid w:val="008B6DC0"/>
    <w:rsid w:val="008C0C2D"/>
    <w:rsid w:val="008D223B"/>
    <w:rsid w:val="008D6C70"/>
    <w:rsid w:val="008E1631"/>
    <w:rsid w:val="008E1CEA"/>
    <w:rsid w:val="008E5A74"/>
    <w:rsid w:val="008F0925"/>
    <w:rsid w:val="008F3D40"/>
    <w:rsid w:val="008F77CD"/>
    <w:rsid w:val="00913769"/>
    <w:rsid w:val="00934F6E"/>
    <w:rsid w:val="00937392"/>
    <w:rsid w:val="00942217"/>
    <w:rsid w:val="00942DEC"/>
    <w:rsid w:val="0094453A"/>
    <w:rsid w:val="00946A2B"/>
    <w:rsid w:val="009503D8"/>
    <w:rsid w:val="009863E5"/>
    <w:rsid w:val="00995CF9"/>
    <w:rsid w:val="00997142"/>
    <w:rsid w:val="009A2B91"/>
    <w:rsid w:val="009B4CEE"/>
    <w:rsid w:val="009D093B"/>
    <w:rsid w:val="009D564B"/>
    <w:rsid w:val="009E175D"/>
    <w:rsid w:val="009E30AC"/>
    <w:rsid w:val="00A1487F"/>
    <w:rsid w:val="00A2107F"/>
    <w:rsid w:val="00A300FE"/>
    <w:rsid w:val="00A3179B"/>
    <w:rsid w:val="00A3664E"/>
    <w:rsid w:val="00A65E5B"/>
    <w:rsid w:val="00A6785A"/>
    <w:rsid w:val="00A724CB"/>
    <w:rsid w:val="00A731FF"/>
    <w:rsid w:val="00A77336"/>
    <w:rsid w:val="00AA31C2"/>
    <w:rsid w:val="00AA3520"/>
    <w:rsid w:val="00AA5EAB"/>
    <w:rsid w:val="00AA6AB0"/>
    <w:rsid w:val="00AB3533"/>
    <w:rsid w:val="00AB50C3"/>
    <w:rsid w:val="00AE0478"/>
    <w:rsid w:val="00AE1D57"/>
    <w:rsid w:val="00AE4BE9"/>
    <w:rsid w:val="00B133C8"/>
    <w:rsid w:val="00B16D52"/>
    <w:rsid w:val="00B21DB9"/>
    <w:rsid w:val="00B5150B"/>
    <w:rsid w:val="00B61084"/>
    <w:rsid w:val="00B70AD3"/>
    <w:rsid w:val="00B82CFB"/>
    <w:rsid w:val="00B84A88"/>
    <w:rsid w:val="00B86C85"/>
    <w:rsid w:val="00B87B2A"/>
    <w:rsid w:val="00B93D06"/>
    <w:rsid w:val="00BB6DA2"/>
    <w:rsid w:val="00BC29A6"/>
    <w:rsid w:val="00BC395C"/>
    <w:rsid w:val="00BC45F6"/>
    <w:rsid w:val="00BC7ECC"/>
    <w:rsid w:val="00BD7964"/>
    <w:rsid w:val="00BE4023"/>
    <w:rsid w:val="00BE452F"/>
    <w:rsid w:val="00C065EB"/>
    <w:rsid w:val="00C07AF6"/>
    <w:rsid w:val="00C1099A"/>
    <w:rsid w:val="00C11117"/>
    <w:rsid w:val="00C13950"/>
    <w:rsid w:val="00C202A2"/>
    <w:rsid w:val="00C469B6"/>
    <w:rsid w:val="00C50FA8"/>
    <w:rsid w:val="00C516D8"/>
    <w:rsid w:val="00C526A3"/>
    <w:rsid w:val="00C531CF"/>
    <w:rsid w:val="00C61A68"/>
    <w:rsid w:val="00C639EA"/>
    <w:rsid w:val="00C730A0"/>
    <w:rsid w:val="00C75034"/>
    <w:rsid w:val="00C80475"/>
    <w:rsid w:val="00C848D3"/>
    <w:rsid w:val="00C86463"/>
    <w:rsid w:val="00CB767F"/>
    <w:rsid w:val="00CC357B"/>
    <w:rsid w:val="00CC77A7"/>
    <w:rsid w:val="00CE1E95"/>
    <w:rsid w:val="00CE3F95"/>
    <w:rsid w:val="00CF7F51"/>
    <w:rsid w:val="00D175FA"/>
    <w:rsid w:val="00D418E7"/>
    <w:rsid w:val="00D44352"/>
    <w:rsid w:val="00D4511F"/>
    <w:rsid w:val="00D552EB"/>
    <w:rsid w:val="00D66607"/>
    <w:rsid w:val="00D77E5C"/>
    <w:rsid w:val="00D93537"/>
    <w:rsid w:val="00DA08E8"/>
    <w:rsid w:val="00DA403F"/>
    <w:rsid w:val="00DA4A72"/>
    <w:rsid w:val="00DB06AE"/>
    <w:rsid w:val="00DB0FC1"/>
    <w:rsid w:val="00DC486A"/>
    <w:rsid w:val="00DC6435"/>
    <w:rsid w:val="00DC6F7E"/>
    <w:rsid w:val="00DD103C"/>
    <w:rsid w:val="00DD13C9"/>
    <w:rsid w:val="00DD4B3E"/>
    <w:rsid w:val="00DD6FD4"/>
    <w:rsid w:val="00DE0DCF"/>
    <w:rsid w:val="00DE4C25"/>
    <w:rsid w:val="00DF41D4"/>
    <w:rsid w:val="00DF49C4"/>
    <w:rsid w:val="00E0768B"/>
    <w:rsid w:val="00E12B40"/>
    <w:rsid w:val="00E30CFE"/>
    <w:rsid w:val="00E37BC4"/>
    <w:rsid w:val="00E418BE"/>
    <w:rsid w:val="00E46775"/>
    <w:rsid w:val="00E52BBC"/>
    <w:rsid w:val="00E55ADE"/>
    <w:rsid w:val="00E64B0C"/>
    <w:rsid w:val="00E66CFD"/>
    <w:rsid w:val="00E9013A"/>
    <w:rsid w:val="00E97EC7"/>
    <w:rsid w:val="00EA0C5E"/>
    <w:rsid w:val="00EB23F2"/>
    <w:rsid w:val="00EC0DEF"/>
    <w:rsid w:val="00ED0478"/>
    <w:rsid w:val="00ED3614"/>
    <w:rsid w:val="00ED4386"/>
    <w:rsid w:val="00EE002F"/>
    <w:rsid w:val="00EE1E0C"/>
    <w:rsid w:val="00EF31A4"/>
    <w:rsid w:val="00F0152F"/>
    <w:rsid w:val="00F066E2"/>
    <w:rsid w:val="00F06A88"/>
    <w:rsid w:val="00F126E0"/>
    <w:rsid w:val="00F17F1B"/>
    <w:rsid w:val="00F21801"/>
    <w:rsid w:val="00F2707B"/>
    <w:rsid w:val="00F40D79"/>
    <w:rsid w:val="00F44B23"/>
    <w:rsid w:val="00F450B8"/>
    <w:rsid w:val="00F45E55"/>
    <w:rsid w:val="00F46E5F"/>
    <w:rsid w:val="00F54969"/>
    <w:rsid w:val="00F55600"/>
    <w:rsid w:val="00F572F9"/>
    <w:rsid w:val="00F76FF2"/>
    <w:rsid w:val="00F9390E"/>
    <w:rsid w:val="00F945E6"/>
    <w:rsid w:val="00FB0537"/>
    <w:rsid w:val="00FB29C7"/>
    <w:rsid w:val="00FB3C61"/>
    <w:rsid w:val="00FC7181"/>
    <w:rsid w:val="00FE3C9C"/>
    <w:rsid w:val="00FE4B8D"/>
    <w:rsid w:val="00FE6AE3"/>
    <w:rsid w:val="00FF6F04"/>
    <w:rsid w:val="01253557"/>
    <w:rsid w:val="024660EC"/>
    <w:rsid w:val="02D83A1D"/>
    <w:rsid w:val="038A0884"/>
    <w:rsid w:val="03A042B4"/>
    <w:rsid w:val="046F6B39"/>
    <w:rsid w:val="049C6137"/>
    <w:rsid w:val="04C34A05"/>
    <w:rsid w:val="053219A3"/>
    <w:rsid w:val="05743FE7"/>
    <w:rsid w:val="05AF2C58"/>
    <w:rsid w:val="06174FDD"/>
    <w:rsid w:val="065E227F"/>
    <w:rsid w:val="06762B1E"/>
    <w:rsid w:val="071A69A3"/>
    <w:rsid w:val="07523A8B"/>
    <w:rsid w:val="088F2CBB"/>
    <w:rsid w:val="090E3B57"/>
    <w:rsid w:val="091971FF"/>
    <w:rsid w:val="09A712E7"/>
    <w:rsid w:val="0A052FB0"/>
    <w:rsid w:val="0A77236D"/>
    <w:rsid w:val="0A9B4994"/>
    <w:rsid w:val="0ACC048C"/>
    <w:rsid w:val="0B541CA3"/>
    <w:rsid w:val="0CD273B5"/>
    <w:rsid w:val="0CEC2BC5"/>
    <w:rsid w:val="0D8A2B89"/>
    <w:rsid w:val="0DA04C94"/>
    <w:rsid w:val="0E072B39"/>
    <w:rsid w:val="0E27469F"/>
    <w:rsid w:val="0F2C7B80"/>
    <w:rsid w:val="0FDC0B12"/>
    <w:rsid w:val="109720FF"/>
    <w:rsid w:val="10CB5416"/>
    <w:rsid w:val="134339B5"/>
    <w:rsid w:val="13F52BF2"/>
    <w:rsid w:val="14503861"/>
    <w:rsid w:val="14797849"/>
    <w:rsid w:val="15183BC5"/>
    <w:rsid w:val="15EB03D9"/>
    <w:rsid w:val="16CC3B5F"/>
    <w:rsid w:val="17CD0E9C"/>
    <w:rsid w:val="18CC5484"/>
    <w:rsid w:val="1929631E"/>
    <w:rsid w:val="194978C6"/>
    <w:rsid w:val="1AAE21E1"/>
    <w:rsid w:val="1BF341D9"/>
    <w:rsid w:val="1C1475EC"/>
    <w:rsid w:val="1D362FD5"/>
    <w:rsid w:val="1E481AA7"/>
    <w:rsid w:val="1F283B92"/>
    <w:rsid w:val="1F302EE4"/>
    <w:rsid w:val="1F91180D"/>
    <w:rsid w:val="1FCA08E1"/>
    <w:rsid w:val="1FF87569"/>
    <w:rsid w:val="2003279F"/>
    <w:rsid w:val="205E00D5"/>
    <w:rsid w:val="209915B7"/>
    <w:rsid w:val="21D74438"/>
    <w:rsid w:val="22287F89"/>
    <w:rsid w:val="23197538"/>
    <w:rsid w:val="238751CF"/>
    <w:rsid w:val="2395264D"/>
    <w:rsid w:val="23B726DB"/>
    <w:rsid w:val="23DB7633"/>
    <w:rsid w:val="25CD5AE3"/>
    <w:rsid w:val="25EC65C1"/>
    <w:rsid w:val="27012493"/>
    <w:rsid w:val="273A569C"/>
    <w:rsid w:val="2755340E"/>
    <w:rsid w:val="27CA6F23"/>
    <w:rsid w:val="27E00888"/>
    <w:rsid w:val="27EC1377"/>
    <w:rsid w:val="27ED2A0D"/>
    <w:rsid w:val="28232586"/>
    <w:rsid w:val="284A0A37"/>
    <w:rsid w:val="285A20D9"/>
    <w:rsid w:val="290C601A"/>
    <w:rsid w:val="29A023A9"/>
    <w:rsid w:val="29DE40BA"/>
    <w:rsid w:val="29E1063F"/>
    <w:rsid w:val="2A023D2F"/>
    <w:rsid w:val="2A6C085B"/>
    <w:rsid w:val="2B200985"/>
    <w:rsid w:val="2B4237E4"/>
    <w:rsid w:val="2BAD3B22"/>
    <w:rsid w:val="2C1D27F9"/>
    <w:rsid w:val="2C4C65BE"/>
    <w:rsid w:val="2C503F7C"/>
    <w:rsid w:val="2C9B6ADD"/>
    <w:rsid w:val="2CA11748"/>
    <w:rsid w:val="2CAC02D0"/>
    <w:rsid w:val="2F44588A"/>
    <w:rsid w:val="30472958"/>
    <w:rsid w:val="312D34DD"/>
    <w:rsid w:val="313F4AB0"/>
    <w:rsid w:val="31CC6EBF"/>
    <w:rsid w:val="31DD7E5C"/>
    <w:rsid w:val="32365C85"/>
    <w:rsid w:val="32856A35"/>
    <w:rsid w:val="33D172B1"/>
    <w:rsid w:val="33E42743"/>
    <w:rsid w:val="36426D19"/>
    <w:rsid w:val="367D36E7"/>
    <w:rsid w:val="36F72FB3"/>
    <w:rsid w:val="375D7BF0"/>
    <w:rsid w:val="377A2C4B"/>
    <w:rsid w:val="377E56AB"/>
    <w:rsid w:val="37F5265A"/>
    <w:rsid w:val="38516312"/>
    <w:rsid w:val="39704578"/>
    <w:rsid w:val="399E51B2"/>
    <w:rsid w:val="39B578D3"/>
    <w:rsid w:val="39B962AE"/>
    <w:rsid w:val="39D43B33"/>
    <w:rsid w:val="39DD7397"/>
    <w:rsid w:val="3A435C06"/>
    <w:rsid w:val="3AEC4A0F"/>
    <w:rsid w:val="3BD66412"/>
    <w:rsid w:val="3CDF1F16"/>
    <w:rsid w:val="3D121835"/>
    <w:rsid w:val="3D4262CE"/>
    <w:rsid w:val="3E505716"/>
    <w:rsid w:val="3E5D732D"/>
    <w:rsid w:val="3EF33444"/>
    <w:rsid w:val="3F187D1B"/>
    <w:rsid w:val="3F192C34"/>
    <w:rsid w:val="3FDD38E3"/>
    <w:rsid w:val="415D7A15"/>
    <w:rsid w:val="425F1F57"/>
    <w:rsid w:val="42703BEC"/>
    <w:rsid w:val="427D31C6"/>
    <w:rsid w:val="43A837F6"/>
    <w:rsid w:val="4404425B"/>
    <w:rsid w:val="457C0113"/>
    <w:rsid w:val="459658BD"/>
    <w:rsid w:val="45B1257E"/>
    <w:rsid w:val="46AB1E94"/>
    <w:rsid w:val="46B536D1"/>
    <w:rsid w:val="477379C1"/>
    <w:rsid w:val="47880809"/>
    <w:rsid w:val="48E54079"/>
    <w:rsid w:val="49576A26"/>
    <w:rsid w:val="497961A8"/>
    <w:rsid w:val="49A633A8"/>
    <w:rsid w:val="4A192C08"/>
    <w:rsid w:val="4A20721F"/>
    <w:rsid w:val="4A5E349F"/>
    <w:rsid w:val="4AA178D8"/>
    <w:rsid w:val="4B8F03CF"/>
    <w:rsid w:val="4C857ACA"/>
    <w:rsid w:val="4C8C2CB8"/>
    <w:rsid w:val="4CBC7B5F"/>
    <w:rsid w:val="4E4A5C3F"/>
    <w:rsid w:val="4E8F4200"/>
    <w:rsid w:val="4F4D3DAD"/>
    <w:rsid w:val="504F2787"/>
    <w:rsid w:val="506B22A6"/>
    <w:rsid w:val="509D70CD"/>
    <w:rsid w:val="514E3788"/>
    <w:rsid w:val="515E2D8A"/>
    <w:rsid w:val="51F20E82"/>
    <w:rsid w:val="51FD2AC9"/>
    <w:rsid w:val="5282539C"/>
    <w:rsid w:val="52D97AA8"/>
    <w:rsid w:val="53E30DDF"/>
    <w:rsid w:val="53ED0284"/>
    <w:rsid w:val="53FB234B"/>
    <w:rsid w:val="54482CA8"/>
    <w:rsid w:val="54AB17C6"/>
    <w:rsid w:val="54C60003"/>
    <w:rsid w:val="550B0445"/>
    <w:rsid w:val="550F4804"/>
    <w:rsid w:val="552F030A"/>
    <w:rsid w:val="55C45F94"/>
    <w:rsid w:val="56E7420B"/>
    <w:rsid w:val="577E1B40"/>
    <w:rsid w:val="595D6CA2"/>
    <w:rsid w:val="59B70DB2"/>
    <w:rsid w:val="59BC137E"/>
    <w:rsid w:val="5B040380"/>
    <w:rsid w:val="5B115433"/>
    <w:rsid w:val="5B49755B"/>
    <w:rsid w:val="5B69458E"/>
    <w:rsid w:val="5B752202"/>
    <w:rsid w:val="5CFD64E9"/>
    <w:rsid w:val="5F4A1540"/>
    <w:rsid w:val="61527EFE"/>
    <w:rsid w:val="62052A71"/>
    <w:rsid w:val="62D84ED6"/>
    <w:rsid w:val="64471802"/>
    <w:rsid w:val="64851D05"/>
    <w:rsid w:val="650858F9"/>
    <w:rsid w:val="658F395E"/>
    <w:rsid w:val="65D6227C"/>
    <w:rsid w:val="669C3168"/>
    <w:rsid w:val="67250311"/>
    <w:rsid w:val="67527955"/>
    <w:rsid w:val="675E0AE3"/>
    <w:rsid w:val="675E46C8"/>
    <w:rsid w:val="67685E7B"/>
    <w:rsid w:val="677818A6"/>
    <w:rsid w:val="67EE3924"/>
    <w:rsid w:val="67F1326D"/>
    <w:rsid w:val="68347280"/>
    <w:rsid w:val="68457AED"/>
    <w:rsid w:val="68611D3B"/>
    <w:rsid w:val="696B0FE1"/>
    <w:rsid w:val="69EE72ED"/>
    <w:rsid w:val="6B4148B1"/>
    <w:rsid w:val="6C1F3A3F"/>
    <w:rsid w:val="6D322A69"/>
    <w:rsid w:val="6D767D93"/>
    <w:rsid w:val="6D89598A"/>
    <w:rsid w:val="6DDB5579"/>
    <w:rsid w:val="6FE31C3E"/>
    <w:rsid w:val="70082FC7"/>
    <w:rsid w:val="714C129A"/>
    <w:rsid w:val="71BD1C49"/>
    <w:rsid w:val="721B472F"/>
    <w:rsid w:val="7296425F"/>
    <w:rsid w:val="72EA63B3"/>
    <w:rsid w:val="73157D03"/>
    <w:rsid w:val="73413D66"/>
    <w:rsid w:val="73845BE7"/>
    <w:rsid w:val="738D08A3"/>
    <w:rsid w:val="739D5C5C"/>
    <w:rsid w:val="73D4170D"/>
    <w:rsid w:val="73DB5D16"/>
    <w:rsid w:val="742724C8"/>
    <w:rsid w:val="75A044E7"/>
    <w:rsid w:val="76DF25B0"/>
    <w:rsid w:val="772F4F5A"/>
    <w:rsid w:val="77384F17"/>
    <w:rsid w:val="77E40A12"/>
    <w:rsid w:val="78421EBA"/>
    <w:rsid w:val="78F66740"/>
    <w:rsid w:val="79061278"/>
    <w:rsid w:val="7A3077E0"/>
    <w:rsid w:val="7A3F4AD2"/>
    <w:rsid w:val="7B27289F"/>
    <w:rsid w:val="7B4F35B7"/>
    <w:rsid w:val="7B5631A7"/>
    <w:rsid w:val="7B6160C1"/>
    <w:rsid w:val="7BD2174C"/>
    <w:rsid w:val="7C7F524E"/>
    <w:rsid w:val="7C93566A"/>
    <w:rsid w:val="7CB31879"/>
    <w:rsid w:val="7D7C7447"/>
    <w:rsid w:val="7D83132C"/>
    <w:rsid w:val="7D900D2B"/>
    <w:rsid w:val="7D945B48"/>
    <w:rsid w:val="7E48504A"/>
    <w:rsid w:val="7EA001AA"/>
    <w:rsid w:val="7F9960EE"/>
    <w:rsid w:val="7FD24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FE954F0"/>
  <w15:docId w15:val="{F534E65B-0AF3-4435-977E-CA2B58F5F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DengXian" w:hAnsi="DengXi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9" w:qFormat="1"/>
    <w:lsdException w:name="heading 4" w:uiPriority="9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after="160" w:line="259" w:lineRule="auto"/>
      <w:jc w:val="both"/>
    </w:pPr>
    <w:rPr>
      <w:rFonts w:asciiTheme="minorHAnsi" w:eastAsiaTheme="minorEastAsia" w:hAnsiTheme="minorHAnsi" w:cstheme="minorBidi"/>
      <w:kern w:val="2"/>
      <w:sz w:val="21"/>
      <w:szCs w:val="22"/>
    </w:rPr>
  </w:style>
  <w:style w:type="paragraph" w:styleId="Heading1">
    <w:name w:val="heading 1"/>
    <w:basedOn w:val="Normal"/>
    <w:next w:val="Normal"/>
    <w:link w:val="Heading1Char"/>
    <w:uiPriority w:val="9"/>
    <w:qFormat/>
    <w:pPr>
      <w:keepNext/>
      <w:keepLines/>
      <w:outlineLvl w:val="0"/>
    </w:pPr>
    <w:rPr>
      <w:b/>
      <w:bCs/>
      <w:kern w:val="44"/>
      <w:szCs w:val="44"/>
    </w:rPr>
  </w:style>
  <w:style w:type="paragraph" w:styleId="Heading2">
    <w:name w:val="heading 2"/>
    <w:basedOn w:val="Normal"/>
    <w:next w:val="Normal"/>
    <w:link w:val="Heading2Char"/>
    <w:uiPriority w:val="9"/>
    <w:unhideWhenUsed/>
    <w:qFormat/>
    <w:pPr>
      <w:spacing w:before="320" w:after="0"/>
      <w:outlineLvl w:val="1"/>
    </w:pPr>
    <w:rPr>
      <w:rFonts w:ascii="Calibri Light" w:hAnsi="Calibri Light"/>
      <w:b/>
      <w:bCs/>
      <w:i/>
      <w:iCs/>
      <w:sz w:val="28"/>
      <w:szCs w:val="28"/>
    </w:rPr>
  </w:style>
  <w:style w:type="paragraph" w:styleId="Heading3">
    <w:name w:val="heading 3"/>
    <w:basedOn w:val="Normal"/>
    <w:next w:val="Normal"/>
    <w:link w:val="Heading3Char"/>
    <w:uiPriority w:val="99"/>
    <w:qFormat/>
    <w:pPr>
      <w:keepNext/>
      <w:keepLines/>
      <w:spacing w:before="260" w:after="260" w:line="416" w:lineRule="atLeast"/>
      <w:ind w:firstLineChars="200" w:firstLine="200"/>
      <w:outlineLvl w:val="2"/>
    </w:pPr>
    <w:rPr>
      <w:rFonts w:ascii="Calibri" w:eastAsia="SimSun" w:hAnsi="Calibri" w:cs="Times New Roman"/>
      <w:b/>
      <w:bCs/>
      <w:sz w:val="32"/>
      <w:szCs w:val="32"/>
    </w:rPr>
  </w:style>
  <w:style w:type="paragraph" w:styleId="Heading4">
    <w:name w:val="heading 4"/>
    <w:basedOn w:val="Normal"/>
    <w:next w:val="Normal"/>
    <w:link w:val="Heading4Char"/>
    <w:uiPriority w:val="99"/>
    <w:qFormat/>
    <w:pPr>
      <w:keepNext/>
      <w:keepLines/>
      <w:spacing w:before="280" w:after="290" w:line="376" w:lineRule="atLeast"/>
      <w:ind w:firstLineChars="200" w:firstLine="200"/>
      <w:outlineLvl w:val="3"/>
    </w:pPr>
    <w:rPr>
      <w:rFonts w:ascii="DengXian Light" w:eastAsia="DengXian Light" w:hAnsi="DengXian Light"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qFormat/>
    <w:pPr>
      <w:jc w:val="left"/>
    </w:pPr>
  </w:style>
  <w:style w:type="paragraph" w:styleId="TOC3">
    <w:name w:val="toc 3"/>
    <w:basedOn w:val="Normal"/>
    <w:next w:val="Normal"/>
    <w:uiPriority w:val="39"/>
    <w:unhideWhenUsed/>
    <w:qFormat/>
    <w:pPr>
      <w:widowControl/>
      <w:spacing w:after="100" w:line="276" w:lineRule="auto"/>
      <w:ind w:left="440"/>
      <w:jc w:val="left"/>
    </w:pPr>
    <w:rPr>
      <w:kern w:val="0"/>
      <w:sz w:val="22"/>
    </w:rPr>
  </w:style>
  <w:style w:type="paragraph" w:styleId="BalloonText">
    <w:name w:val="Balloon Text"/>
    <w:basedOn w:val="Normal"/>
    <w:link w:val="BalloonTextChar"/>
    <w:qFormat/>
    <w:rPr>
      <w:sz w:val="18"/>
      <w:szCs w:val="18"/>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pPr>
      <w:widowControl/>
      <w:spacing w:after="100" w:line="276" w:lineRule="auto"/>
      <w:jc w:val="left"/>
    </w:pPr>
    <w:rPr>
      <w:kern w:val="0"/>
      <w:sz w:val="22"/>
    </w:rPr>
  </w:style>
  <w:style w:type="paragraph" w:styleId="TOC2">
    <w:name w:val="toc 2"/>
    <w:basedOn w:val="Normal"/>
    <w:next w:val="Normal"/>
    <w:uiPriority w:val="39"/>
    <w:unhideWhenUsed/>
    <w:qFormat/>
    <w:pPr>
      <w:widowControl/>
      <w:spacing w:after="100" w:line="276" w:lineRule="auto"/>
      <w:ind w:left="220"/>
      <w:jc w:val="left"/>
    </w:pPr>
    <w:rPr>
      <w:kern w:val="0"/>
      <w:sz w:val="22"/>
    </w:rPr>
  </w:style>
  <w:style w:type="paragraph" w:styleId="NormalWeb">
    <w:name w:val="Normal (Web)"/>
    <w:basedOn w:val="Normal"/>
    <w:unhideWhenUsed/>
    <w:qFormat/>
    <w:pPr>
      <w:widowControl/>
      <w:spacing w:before="100" w:beforeAutospacing="1" w:after="100" w:afterAutospacing="1" w:line="240" w:lineRule="auto"/>
      <w:jc w:val="left"/>
    </w:pPr>
    <w:rPr>
      <w:rFonts w:ascii="SimSun" w:eastAsia="SimSun" w:hAnsi="SimSun" w:cs="SimSun"/>
      <w:kern w:val="0"/>
      <w:sz w:val="24"/>
      <w:szCs w:val="24"/>
    </w:rPr>
  </w:style>
  <w:style w:type="paragraph" w:styleId="CommentSubject">
    <w:name w:val="annotation subject"/>
    <w:basedOn w:val="CommentText"/>
    <w:next w:val="CommentText"/>
    <w:link w:val="CommentSubjectChar"/>
    <w:qFormat/>
    <w:pPr>
      <w:jc w:val="both"/>
    </w:pPr>
    <w:rPr>
      <w:b/>
      <w:bCs/>
      <w:sz w:val="20"/>
      <w:szCs w:val="20"/>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qFormat/>
    <w:rPr>
      <w:sz w:val="16"/>
      <w:szCs w:val="16"/>
    </w:rPr>
  </w:style>
  <w:style w:type="character" w:customStyle="1" w:styleId="BalloonTextChar">
    <w:name w:val="Balloon Text Char"/>
    <w:basedOn w:val="DefaultParagraphFont"/>
    <w:link w:val="BalloonText"/>
    <w:qFormat/>
    <w:rPr>
      <w:rFonts w:ascii="Calibri" w:hAnsi="Calibri"/>
      <w:kern w:val="2"/>
      <w:sz w:val="18"/>
      <w:szCs w:val="18"/>
    </w:rPr>
  </w:style>
  <w:style w:type="character" w:customStyle="1" w:styleId="HeaderChar">
    <w:name w:val="Header Char"/>
    <w:basedOn w:val="DefaultParagraphFont"/>
    <w:link w:val="Header"/>
    <w:qFormat/>
    <w:rPr>
      <w:rFonts w:ascii="Calibri" w:hAnsi="Calibri"/>
      <w:kern w:val="2"/>
      <w:sz w:val="18"/>
      <w:szCs w:val="18"/>
    </w:rPr>
  </w:style>
  <w:style w:type="character" w:customStyle="1" w:styleId="FooterChar">
    <w:name w:val="Footer Char"/>
    <w:basedOn w:val="DefaultParagraphFont"/>
    <w:link w:val="Footer"/>
    <w:uiPriority w:val="99"/>
    <w:qFormat/>
    <w:rPr>
      <w:rFonts w:ascii="Calibri" w:hAnsi="Calibri"/>
      <w:kern w:val="2"/>
      <w:sz w:val="18"/>
      <w:szCs w:val="18"/>
    </w:rPr>
  </w:style>
  <w:style w:type="character" w:customStyle="1" w:styleId="Heading1Char">
    <w:name w:val="Heading 1 Char"/>
    <w:basedOn w:val="DefaultParagraphFont"/>
    <w:link w:val="Heading1"/>
    <w:uiPriority w:val="9"/>
    <w:qFormat/>
    <w:rPr>
      <w:b/>
      <w:bCs/>
      <w:kern w:val="44"/>
      <w:szCs w:val="44"/>
    </w:rPr>
  </w:style>
  <w:style w:type="paragraph" w:styleId="NoSpacing">
    <w:name w:val="No Spacing"/>
    <w:uiPriority w:val="1"/>
    <w:qFormat/>
    <w:pPr>
      <w:widowControl w:val="0"/>
      <w:spacing w:after="160" w:line="259" w:lineRule="auto"/>
      <w:jc w:val="both"/>
    </w:pPr>
    <w:rPr>
      <w:rFonts w:asciiTheme="minorHAnsi" w:eastAsiaTheme="minorEastAsia" w:hAnsiTheme="minorHAnsi" w:cstheme="minorBidi"/>
      <w:kern w:val="2"/>
      <w:sz w:val="21"/>
      <w:szCs w:val="22"/>
    </w:rPr>
  </w:style>
  <w:style w:type="paragraph" w:customStyle="1" w:styleId="TOC10">
    <w:name w:val="TOC 标题1"/>
    <w:basedOn w:val="Heading1"/>
    <w:next w:val="Normal"/>
    <w:uiPriority w:val="39"/>
    <w:unhideWhenUsed/>
    <w:qFormat/>
    <w:pPr>
      <w:widowControl/>
      <w:spacing w:before="48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1">
    <w:name w:val="列出段落1"/>
    <w:basedOn w:val="Normal"/>
    <w:qFormat/>
    <w:pPr>
      <w:widowControl/>
      <w:spacing w:before="100" w:beforeAutospacing="1" w:after="100" w:afterAutospacing="1"/>
      <w:ind w:left="720"/>
      <w:contextualSpacing/>
      <w:jc w:val="left"/>
    </w:pPr>
    <w:rPr>
      <w:rFonts w:ascii="Calibri" w:eastAsia="DengXian" w:hAnsi="Calibri" w:cs="Times New Roman"/>
      <w:kern w:val="0"/>
      <w:sz w:val="24"/>
      <w:szCs w:val="24"/>
    </w:rPr>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lang w:val="en-US"/>
    </w:rPr>
  </w:style>
  <w:style w:type="paragraph" w:customStyle="1" w:styleId="TableHeader">
    <w:name w:val="TableHeader"/>
    <w:basedOn w:val="Normal"/>
    <w:qFormat/>
    <w:pPr>
      <w:widowControl/>
      <w:spacing w:before="120" w:after="100" w:afterAutospacing="1"/>
      <w:jc w:val="left"/>
    </w:pPr>
    <w:rPr>
      <w:rFonts w:ascii="Arial" w:eastAsia="SimSun" w:hAnsi="Arial" w:cs="Arial"/>
      <w:b/>
      <w:bCs/>
      <w:kern w:val="0"/>
      <w:sz w:val="24"/>
      <w:szCs w:val="24"/>
    </w:rPr>
  </w:style>
  <w:style w:type="paragraph" w:customStyle="1" w:styleId="TableSubHead">
    <w:name w:val="TableSubHead"/>
    <w:basedOn w:val="TableHeader"/>
    <w:qFormat/>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character" w:customStyle="1" w:styleId="Heading3Char">
    <w:name w:val="Heading 3 Char"/>
    <w:basedOn w:val="DefaultParagraphFont"/>
    <w:link w:val="Heading3"/>
    <w:uiPriority w:val="99"/>
    <w:qFormat/>
    <w:rPr>
      <w:rFonts w:ascii="Calibri" w:eastAsia="SimSun" w:hAnsi="Calibri"/>
      <w:b/>
      <w:bCs/>
      <w:kern w:val="2"/>
      <w:sz w:val="32"/>
      <w:szCs w:val="32"/>
    </w:rPr>
  </w:style>
  <w:style w:type="character" w:customStyle="1" w:styleId="Heading4Char">
    <w:name w:val="Heading 4 Char"/>
    <w:basedOn w:val="DefaultParagraphFont"/>
    <w:link w:val="Heading4"/>
    <w:uiPriority w:val="99"/>
    <w:qFormat/>
    <w:rPr>
      <w:rFonts w:ascii="DengXian Light" w:eastAsia="DengXian Light" w:hAnsi="DengXian Light"/>
      <w:b/>
      <w:bCs/>
      <w:kern w:val="2"/>
      <w:sz w:val="28"/>
      <w:szCs w:val="28"/>
    </w:rPr>
  </w:style>
  <w:style w:type="paragraph" w:customStyle="1" w:styleId="ListParagraph1">
    <w:name w:val="List Paragraph1"/>
    <w:basedOn w:val="Normal"/>
    <w:qFormat/>
    <w:pPr>
      <w:spacing w:after="0" w:line="580" w:lineRule="exact"/>
      <w:ind w:firstLineChars="200" w:firstLine="420"/>
    </w:pPr>
    <w:rPr>
      <w:rFonts w:ascii="Calibri" w:eastAsia="SimSun" w:hAnsi="Calibri" w:cs="Times New Roman"/>
      <w:szCs w:val="21"/>
    </w:rPr>
  </w:style>
  <w:style w:type="character" w:customStyle="1" w:styleId="15">
    <w:name w:val="15"/>
    <w:basedOn w:val="DefaultParagraphFont"/>
    <w:qFormat/>
    <w:rPr>
      <w:rFonts w:ascii="DengXian" w:eastAsia="DengXian" w:hAnsi="DengXian" w:hint="eastAsia"/>
      <w:color w:val="0563C1"/>
      <w:u w:val="single"/>
    </w:rPr>
  </w:style>
  <w:style w:type="paragraph" w:customStyle="1" w:styleId="Revision1">
    <w:name w:val="Revision1"/>
    <w:hidden/>
    <w:uiPriority w:val="99"/>
    <w:semiHidden/>
    <w:qFormat/>
    <w:rPr>
      <w:rFonts w:asciiTheme="minorHAnsi" w:eastAsiaTheme="minorEastAsia" w:hAnsiTheme="minorHAnsi" w:cstheme="minorBidi"/>
      <w:kern w:val="2"/>
      <w:sz w:val="21"/>
      <w:szCs w:val="22"/>
    </w:rPr>
  </w:style>
  <w:style w:type="character" w:customStyle="1" w:styleId="Heading2Char">
    <w:name w:val="Heading 2 Char"/>
    <w:basedOn w:val="DefaultParagraphFont"/>
    <w:link w:val="Heading2"/>
    <w:uiPriority w:val="9"/>
    <w:qFormat/>
    <w:rPr>
      <w:rFonts w:ascii="Calibri Light" w:hAnsi="Calibri Light"/>
      <w:b/>
      <w:bCs/>
      <w:i/>
      <w:iCs/>
      <w:sz w:val="28"/>
      <w:szCs w:val="28"/>
    </w:rPr>
  </w:style>
  <w:style w:type="character" w:customStyle="1" w:styleId="fontstyle01">
    <w:name w:val="fontstyle01"/>
    <w:basedOn w:val="DefaultParagraphFont"/>
    <w:qFormat/>
    <w:rPr>
      <w:rFonts w:ascii="TlppkdAdvTTb5929f4c" w:hAnsi="TlppkdAdvTTb5929f4c" w:hint="default"/>
      <w:color w:val="131413"/>
      <w:sz w:val="16"/>
      <w:szCs w:val="16"/>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xmsolistparagraph">
    <w:name w:val="x_msolistparagraph"/>
    <w:basedOn w:val="Normal"/>
    <w:rsid w:val="000C7142"/>
    <w:pPr>
      <w:widowControl/>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customStyle="1" w:styleId="xmsonormal">
    <w:name w:val="x_msonormal"/>
    <w:basedOn w:val="Normal"/>
    <w:rsid w:val="000C7142"/>
    <w:pPr>
      <w:widowControl/>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styleId="ListParagraph">
    <w:name w:val="List Paragraph"/>
    <w:basedOn w:val="Normal"/>
    <w:uiPriority w:val="99"/>
    <w:rsid w:val="00BB6DA2"/>
    <w:pPr>
      <w:ind w:left="720"/>
      <w:contextualSpacing/>
    </w:pPr>
  </w:style>
  <w:style w:type="paragraph" w:styleId="Revision">
    <w:name w:val="Revision"/>
    <w:hidden/>
    <w:uiPriority w:val="99"/>
    <w:semiHidden/>
    <w:rsid w:val="00813449"/>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239217">
      <w:bodyDiv w:val="1"/>
      <w:marLeft w:val="0"/>
      <w:marRight w:val="0"/>
      <w:marTop w:val="0"/>
      <w:marBottom w:val="0"/>
      <w:divBdr>
        <w:top w:val="none" w:sz="0" w:space="0" w:color="auto"/>
        <w:left w:val="none" w:sz="0" w:space="0" w:color="auto"/>
        <w:bottom w:val="none" w:sz="0" w:space="0" w:color="auto"/>
        <w:right w:val="none" w:sz="0" w:space="0" w:color="auto"/>
      </w:divBdr>
    </w:div>
    <w:div w:id="1544053077">
      <w:bodyDiv w:val="1"/>
      <w:marLeft w:val="0"/>
      <w:marRight w:val="0"/>
      <w:marTop w:val="0"/>
      <w:marBottom w:val="0"/>
      <w:divBdr>
        <w:top w:val="none" w:sz="0" w:space="0" w:color="auto"/>
        <w:left w:val="none" w:sz="0" w:space="0" w:color="auto"/>
        <w:bottom w:val="none" w:sz="0" w:space="0" w:color="auto"/>
        <w:right w:val="none" w:sz="0" w:space="0" w:color="auto"/>
      </w:divBdr>
    </w:div>
    <w:div w:id="1580141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CCD2651-CDC0-43C4-A1F4-A699AFA035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25014</Words>
  <Characters>142586</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167266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zhang Krystal wei</cp:lastModifiedBy>
  <cp:revision>2</cp:revision>
  <cp:lastPrinted>2022-04-17T13:19:00Z</cp:lastPrinted>
  <dcterms:created xsi:type="dcterms:W3CDTF">2022-11-21T13:30:00Z</dcterms:created>
  <dcterms:modified xsi:type="dcterms:W3CDTF">2022-11-21T13:30:00Z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46F291B17AD84C848C7D891161359BB8</vt:lpwstr>
  </property>
  <property fmtid="{D5CDD505-2E9C-101B-9397-08002B2CF9AE}" pid="4" name="Mendeley Recent Style Id 0_1">
    <vt:lpwstr>http://csl.mendeley.com/styles/448905551/american-chemical-society</vt:lpwstr>
  </property>
  <property fmtid="{D5CDD505-2E9C-101B-9397-08002B2CF9AE}" pid="5" name="Mendeley Recent Style Name 0_1">
    <vt:lpwstr>American Chemical Society - Krystal Wei Zhang</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http://www.zotero.org/styles/infectious-diseases-of-poverty</vt:lpwstr>
  </property>
  <property fmtid="{D5CDD505-2E9C-101B-9397-08002B2CF9AE}" pid="15" name="Mendeley Recent Style Name 5_1">
    <vt:lpwstr>Infectious Diseases of Poverty</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