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1A26F3" w14:textId="77777777" w:rsidR="00CE13BC" w:rsidRDefault="00CE13BC" w:rsidP="00CE13BC">
      <w:pPr>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Supplementary Method</w:t>
      </w:r>
      <w:bookmarkStart w:id="0" w:name="_GoBack"/>
      <w:bookmarkEnd w:id="0"/>
      <w:r>
        <w:rPr>
          <w:rFonts w:ascii="Times New Roman" w:hAnsi="Times New Roman" w:cs="Times New Roman"/>
          <w:b/>
          <w:bCs/>
          <w:sz w:val="24"/>
          <w:szCs w:val="24"/>
          <w:lang w:val="en-US"/>
        </w:rPr>
        <w:t>s</w:t>
      </w:r>
    </w:p>
    <w:p w14:paraId="305500F6" w14:textId="77777777" w:rsidR="00CE13BC" w:rsidRDefault="00CE13BC" w:rsidP="00CE13BC">
      <w:pPr>
        <w:spacing w:line="480" w:lineRule="auto"/>
        <w:rPr>
          <w:rFonts w:ascii="Times New Roman" w:hAnsi="Times New Roman" w:cs="Times New Roman"/>
          <w:bCs/>
          <w:sz w:val="24"/>
          <w:szCs w:val="24"/>
        </w:rPr>
      </w:pPr>
      <w:r>
        <w:rPr>
          <w:rFonts w:ascii="Times New Roman" w:hAnsi="Times New Roman" w:cs="Times New Roman"/>
          <w:bCs/>
          <w:i/>
          <w:iCs/>
          <w:sz w:val="24"/>
          <w:szCs w:val="24"/>
        </w:rPr>
        <w:t>Gestation</w:t>
      </w:r>
      <w:r>
        <w:rPr>
          <w:rFonts w:ascii="Times New Roman" w:hAnsi="Times New Roman" w:cs="Times New Roman"/>
          <w:bCs/>
          <w:sz w:val="24"/>
          <w:szCs w:val="24"/>
        </w:rPr>
        <w:t xml:space="preserve">: Alignment of twin and singleton conceptions to month was done by assuming twin gestation to be eight months and singleton gestation to be nine. The general birth rate data (Tables 1, 2 and 3) were assumed to be for singletons. </w:t>
      </w:r>
    </w:p>
    <w:p w14:paraId="48129830" w14:textId="77777777" w:rsidR="00CE13BC" w:rsidRDefault="00CE13BC" w:rsidP="00CE13BC">
      <w:pPr>
        <w:spacing w:line="480" w:lineRule="auto"/>
        <w:rPr>
          <w:rFonts w:ascii="Times New Roman" w:hAnsi="Times New Roman" w:cs="Times New Roman"/>
          <w:bCs/>
          <w:sz w:val="24"/>
          <w:szCs w:val="24"/>
        </w:rPr>
      </w:pPr>
      <w:r>
        <w:rPr>
          <w:rFonts w:ascii="Times New Roman" w:hAnsi="Times New Roman" w:cs="Times New Roman"/>
          <w:i/>
          <w:iCs/>
          <w:sz w:val="24"/>
          <w:szCs w:val="24"/>
        </w:rPr>
        <w:t>Population samples</w:t>
      </w:r>
      <w:r>
        <w:rPr>
          <w:rFonts w:ascii="Times New Roman" w:hAnsi="Times New Roman" w:cs="Times New Roman"/>
          <w:sz w:val="24"/>
          <w:szCs w:val="24"/>
        </w:rPr>
        <w:t xml:space="preserve">: Index values for the populations in Table 2A are given in Table 2B. To derive the index value, the monthly counts are divided by average monthly count (Table 2) Index values provide a way to compare patterns and variability among populations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&lt;EndNote&gt;&lt;Cite&gt;&lt;Author&gt;Eriksson&lt;/Author&gt;&lt;Year&gt;2000&lt;/Year&gt;&lt;RecNum&gt;119&lt;/RecNum&gt;&lt;DisplayText&gt;(Eriksson &amp;amp; Fellman, 2000; Fellman &amp;amp; Eriksson, 1999)&lt;/DisplayText&gt;&lt;record&gt;&lt;rec-number&gt;119&lt;/rec-number&gt;&lt;foreign-keys&gt;&lt;key app="EN" db-id="0ffxv90d3exst3eadeux9wpuwt2t2f5xavs0" timestamp="0"&gt;119&lt;/key&gt;&lt;/foreign-keys&gt;&lt;ref-type name="Journal Article"&gt;17&lt;/ref-type&gt;&lt;contributors&gt;&lt;authors&gt;&lt;author&gt;Eriksson, A. W.&lt;/author&gt;&lt;author&gt;Fellman, J.&lt;/author&gt;&lt;/authors&gt;&lt;/contributors&gt;&lt;titles&gt;&lt;title&gt;Seasonal variation in livebirths, stillbirths extramarital births and twin maternities in Switzerland&lt;/title&gt;&lt;secondary-title&gt;Twin Research&lt;/secondary-title&gt;&lt;/titles&gt;&lt;pages&gt;189-201&lt;/pages&gt;&lt;volume&gt;3&lt;/volume&gt;&lt;dates&gt;&lt;year&gt;2000&lt;/year&gt;&lt;/dates&gt;&lt;urls&gt;&lt;/urls&gt;&lt;/record&gt;&lt;/Cite&gt;&lt;Cite&gt;&lt;Author&gt;Fellman&lt;/Author&gt;&lt;Year&gt;1999&lt;/Year&gt;&lt;RecNum&gt;123&lt;/RecNum&gt;&lt;record&gt;&lt;rec-number&gt;123&lt;/rec-number&gt;&lt;foreign-keys&gt;&lt;key app="EN" db-id="0ffxv90d3exst3eadeux9wpuwt2t2f5xavs0" timestamp="0"&gt;123&lt;/key&gt;&lt;/foreign-keys&gt;&lt;ref-type name="Journal Article"&gt;17&lt;/ref-type&gt;&lt;contributors&gt;&lt;authors&gt;&lt;author&gt;Fellman, J.&lt;/author&gt;&lt;author&gt;Eriksson, A. W.&lt;/author&gt;&lt;/authors&gt;&lt;/contributors&gt;&lt;titles&gt;&lt;title&gt;Statistical analysis of the seasonal variation in the twinning rate&lt;/title&gt;&lt;secondary-title&gt;Twin Research&lt;/secondary-title&gt;&lt;/titles&gt;&lt;pages&gt;22-29&lt;/pages&gt;&lt;volume&gt;2&lt;/volume&gt;&lt;dates&gt;&lt;year&gt;1999&lt;/year&gt;&lt;/dates&gt;&lt;urls&gt;&lt;/urls&gt;&lt;/record&gt;&lt;/Cite&gt;&lt;/EndNote&gt;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(Eriksson &amp; Fellman, 2000; Fellman &amp; Eriksson, 1999)</w:t>
      </w:r>
      <w:r>
        <w:rPr>
          <w:rFonts w:ascii="Times New Roman" w:hAnsi="Times New Roman" w:cs="Times New Roman"/>
          <w:sz w:val="24"/>
          <w:szCs w:val="24"/>
        </w:rPr>
        <w:fldChar w:fldCharType="end"/>
      </w:r>
      <w:r>
        <w:rPr>
          <w:rFonts w:ascii="Times New Roman" w:hAnsi="Times New Roman" w:cs="Times New Roman"/>
          <w:sz w:val="24"/>
          <w:szCs w:val="24"/>
        </w:rPr>
        <w:t>.</w:t>
      </w:r>
    </w:p>
    <w:p w14:paraId="0C653378" w14:textId="77777777" w:rsidR="00CE13BC" w:rsidRDefault="00CE13BC" w:rsidP="00CE13BC">
      <w:pPr>
        <w:spacing w:line="480" w:lineRule="auto"/>
        <w:rPr>
          <w:rFonts w:ascii="Times New Roman" w:hAnsi="Times New Roman" w:cs="Times New Roman"/>
          <w:sz w:val="24"/>
          <w:szCs w:val="24"/>
        </w:rPr>
      </w:pPr>
      <w:r>
        <w:rPr>
          <w:rFonts w:ascii="Times New Roman" w:hAnsi="Times New Roman" w:cs="Times New Roman"/>
          <w:i/>
          <w:iCs/>
          <w:sz w:val="24"/>
          <w:szCs w:val="24"/>
        </w:rPr>
        <w:t>Seasonal Bias</w:t>
      </w:r>
      <w:r>
        <w:rPr>
          <w:rFonts w:ascii="Times New Roman" w:hAnsi="Times New Roman" w:cs="Times New Roman"/>
          <w:sz w:val="24"/>
          <w:szCs w:val="24"/>
        </w:rPr>
        <w:t>: This was calculated by multiplying the index number of births in a month by the rank of the birth month (where Jan = 1 and Dec = 12), summing these values and dividing by the sum of the month’s ranks (i.e. 1+2+</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11+12 = 78).</w:t>
      </w:r>
    </w:p>
    <w:p w14:paraId="217447C1" w14:textId="77777777" w:rsidR="00CE13BC" w:rsidRDefault="00CE13BC" w:rsidP="00CE13BC">
      <w:pPr>
        <w:spacing w:line="480" w:lineRule="auto"/>
        <w:rPr>
          <w:rFonts w:ascii="Times New Roman" w:hAnsi="Times New Roman" w:cs="Times New Roman"/>
          <w:bCs/>
          <w:sz w:val="24"/>
          <w:szCs w:val="24"/>
        </w:rPr>
      </w:pPr>
      <w:r>
        <w:rPr>
          <w:rFonts w:ascii="Times New Roman" w:hAnsi="Times New Roman" w:cs="Times New Roman"/>
          <w:bCs/>
          <w:i/>
          <w:iCs/>
          <w:sz w:val="24"/>
          <w:szCs w:val="24"/>
        </w:rPr>
        <w:t>Simulation model</w:t>
      </w:r>
      <w:r>
        <w:rPr>
          <w:rFonts w:ascii="Times New Roman" w:hAnsi="Times New Roman" w:cs="Times New Roman"/>
          <w:bCs/>
          <w:sz w:val="24"/>
          <w:szCs w:val="24"/>
        </w:rPr>
        <w:t xml:space="preserve">: In the original simulation the value for </w:t>
      </w:r>
      <w:r>
        <w:rPr>
          <w:rFonts w:ascii="Times New Roman" w:hAnsi="Times New Roman" w:cs="Times New Roman"/>
          <w:bCs/>
          <w:i/>
          <w:iCs/>
          <w:sz w:val="24"/>
          <w:szCs w:val="24"/>
        </w:rPr>
        <w:t>dra</w:t>
      </w:r>
      <w:r>
        <w:rPr>
          <w:rFonts w:ascii="Times New Roman" w:hAnsi="Times New Roman" w:cs="Times New Roman"/>
          <w:bCs/>
          <w:sz w:val="24"/>
          <w:szCs w:val="24"/>
        </w:rPr>
        <w:t xml:space="preserve"> was 0.55 as this represents the best fit to the most comprehensive data for a natural fertility population </w:t>
      </w:r>
      <w:r>
        <w:rPr>
          <w:rFonts w:ascii="Times New Roman" w:hAnsi="Times New Roman" w:cs="Times New Roman"/>
          <w:bCs/>
          <w:sz w:val="24"/>
          <w:szCs w:val="24"/>
        </w:rPr>
        <w:fldChar w:fldCharType="begin">
          <w:fldData xml:space="preserve">PEVuZE5vdGU+PENpdGU+PEF1dGhvcj5IYXplbDwvQXV0aG9yPjxZZWFyPjIwMjA8L1llYXI+PFJl
Y051bT4xMDE8L1JlY051bT48RGlzcGxheVRleHQ+KEhhemVsIGV0IGFsLiwgMjAyMDsgTyZhcG9z
O0Nvbm5vciBldCBhbC4sIDE5OTgpPC9EaXNwbGF5VGV4dD48cmVjb3JkPjxyZWMtbnVtYmVyPjEw
MTwvcmVjLW51bWJlcj48Zm9yZWlnbi1rZXlzPjxrZXkgYXBwPSJFTiIgZGItaWQ9IjBmZnh2OTBk
M2V4c3QzZWFkZXV4OXdwdXd0MnQyZjV4YXZzMCIgdGltZXN0YW1wPSIwIj4xMDE8L2tleT48L2Zv
cmVpZ24ta2V5cz48cmVmLXR5cGUgbmFtZT0iSm91cm5hbCBBcnRpY2xlIj4xNzwvcmVmLXR5cGU+
PGNvbnRyaWJ1dG9ycz48YXV0aG9ycz48YXV0aG9yPkhhemVsLCBXLiBOLjwvYXV0aG9yPjxhdXRo
b3I+QmxhY2ssIFIuPC9hdXRob3I+PGF1dGhvcj5TbW9jaywgUi4gQy48L2F1dGhvcj48YXV0aG9y
PlNlYXIsIFIuPC9hdXRob3I+PGF1dGhvcj5Ub21raW5zLCBKLiBMLjwvYXV0aG9yPjwvYXV0aG9y
cz48L2NvbnRyaWJ1dG9ycz48YXV0aC1hZGRyZXNzPkRlcGF1dyBVbml2LCBEZXB0IEJpb2wsIEdy
ZWVuY2FzdGxlLCBJTiA0NjEzNSBVU0EmI3hEO1VuaXYgV2VzdGVybiBBdXN0cmFsaWEsIFNjaCBC
aW9sIFNjaSwgQ3Jhd2xleSwgV0EsIEF1c3RyYWxpYSYjeEQ7RGVwYXV3IFVuaXYsIERlcHQgTWF0
aCwgR3JlZW5jYXN0bGUsIElOIDQ2MTM1IFVTQSYjeEQ7TG9uZG9uIFNjaCBIeWcgJmFtcDsgVHJv
cCBNZWQsIExvbmRvbiwgRW5nbGFuZCYjeEQ7VW5pdiBXZXN0ZXJuIEF1c3RyYWxpYSwgQ3RyIEV2
b2x1dGlvbmFyeSBCaW9sLCBTY2ggQmlvbCBTY2ksIENyYXdsZXksIFdBLCBBdXN0cmFsaWE8L2F1
dGgtYWRkcmVzcz48dGl0bGVzPjx0aXRsZT5BbiBhZ2UtZGVwZW5kZW50IG92dWxhdG9yeSBzdHJh
dGVneSBleHBsYWlucyB0aGUgZXZvbHV0aW9uIG9mIGRpenlnb3RpYyB0d2lubmluZyBpbiBodW1h
bnM8L3RpdGxlPjxzZWNvbmRhcnktdGl0bGU+TmF0dXJlIEVjb2xvZ3kgJmFtcDsgRXZvbHV0aW9u
PC9zZWNvbmRhcnktdGl0bGU+PGFsdC10aXRsZT5OYXQgRWNvbCBFdm9sPC9hbHQtdGl0bGU+PC90
aXRsZXM+PHBhZ2VzPjk4Ny0rPC9wYWdlcz48dm9sdW1lPjQ8L3ZvbHVtZT48bnVtYmVyPjc8L251
bWJlcj48a2V5d29yZHM+PGtleXdvcmQ+bXVsdGlwbGUgYmlydGhzPC9rZXl3b3JkPjxrZXl3b3Jk
Pm1hdGVybmFsIGFnZTwva2V5d29yZD48a2V5d29yZD5mcmVxdWVuY3k8L2tleXdvcmQ+PGtleXdv
cmQ+cmF0ZXM8L2tleXdvcmQ+PC9rZXl3b3Jkcz48ZGF0ZXM+PHllYXI+MjAyMDwveWVhcj48cHVi
LWRhdGVzPjxkYXRlPkp1bDwvZGF0ZT48L3B1Yi1kYXRlcz48L2RhdGVzPjxpc2JuPjIzOTctMzM0
eDwvaXNibj48YWNjZXNzaW9uLW51bT5XT1M6MDAwNTMxNzcxNjAwMDA3PC9hY2Nlc3Npb24tbnVt
Pjx1cmxzPjxyZWxhdGVkLXVybHM+PHVybD4mbHQ7R28gdG8gSVNJJmd0OzovL1dPUzowMDA1MzE3
NzE2MDAwMDc8L3VybD48L3JlbGF0ZWQtdXJscz48L3VybHM+PGVsZWN0cm9uaWMtcmVzb3VyY2Ut
bnVtPjEwLjEwMzgvczQxNTU5LTAyMC0xMTczLXk8L2VsZWN0cm9uaWMtcmVzb3VyY2UtbnVtPjxs
YW5ndWFnZT5FbmdsaXNoPC9sYW5ndWFnZT48L3JlY29yZD48L0NpdGU+PENpdGU+PEF1dGhvcj5P
JmFwb3M7Q29ubm9yPC9BdXRob3I+PFllYXI+MTk5ODwvWWVhcj48UmVjTnVtPjEyNjwvUmVjTnVt
PjxyZWNvcmQ+PHJlYy1udW1iZXI+MTI2PC9yZWMtbnVtYmVyPjxmb3JlaWduLWtleXM+PGtleSBh
cHA9IkVOIiBkYi1pZD0iMGZmeHY5MGQzZXhzdDNlYWRldXg5d3B1d3QydDJmNXhhdnMwIiB0aW1l
c3RhbXA9IjAiPjEyNjwva2V5PjwvZm9yZWlnbi1rZXlzPjxyZWYtdHlwZSBuYW1lPSJKb3VybmFs
IEFydGljbGUiPjE3PC9yZWYtdHlwZT48Y29udHJpYnV0b3JzPjxhdXRob3JzPjxhdXRob3I+TyZh
cG9zO0Nvbm5vciwgSy4gQS48L2F1dGhvcj48YXV0aG9yPkhvbG1hbiwgRC4gSi48L2F1dGhvcj48
YXV0aG9yPldvb2QsIEouIFcuPC9hdXRob3I+PC9hdXRob3JzPjwvY29udHJpYnV0b3JzPjxhdXRo
LWFkZHJlc3M+UGVubiBTdGF0ZSBVbml2LCBQb3B1bGF0IFJlcyBJbnN0LCBVbml2ZXJzaXR5IFBr
LCBQQSAxNjgwMiBVU0EmI3hEO1Blbm4gU3RhdGUgVW5pdiwgRGVwdCBBbnRocm9wb2wsIFVuaXZl
cnNpdHkgUGssIFBBIDE2ODAyIFVTQTwvYXV0aC1hZGRyZXNzPjx0aXRsZXM+PHRpdGxlPkRlY2xp
bmluZyBmZWN1bmRpdHkgYW5kIG92YXJpYW4gYWdlaW5nIGluIG5hdHVyYWwgZmVydGlsaXR5IHBv
cHVsYXRpb25zPC90aXRsZT48c2Vjb25kYXJ5LXRpdGxlPk1hdHVyaXRhczwvc2Vjb25kYXJ5LXRp
dGxlPjxhbHQtdGl0bGU+TWF0dXJpdGFzPC9hbHQtdGl0bGU+PC90aXRsZXM+PHBhZ2VzPjEyNy0x
MzY8L3BhZ2VzPjx2b2x1bWU+MzA8L3ZvbHVtZT48bnVtYmVyPjI8L251bWJlcj48a2V5d29yZHM+
PGtleXdvcmQ+ZmVjdW5kaXR5PC9rZXl3b3JkPjxrZXl3b3JkPm92YXJpYW4gYWdpbmc8L2tleXdv
cmQ+PGtleXdvcmQ+ZmVydGlsaXR5PC9rZXl3b3JkPjxrZXl3b3JkPnBvcHVsYXRpb24gc3R1ZHk8
L2tleXdvcmQ+PGtleXdvcmQ+aW1tdW5vcmVhY3RpdmUgaW5oaWJpbjwva2V5d29yZD48a2V5d29y
ZD5mb2xsaWNsZSBhdHJlc2lhPC9rZXl3b3JkPjxrZXl3b3JkPnJlcHJvZHVjdGl2ZSBhZ2U8L2tl
eXdvcmQ+PGtleXdvcmQ+bWF0ZXJuYWwgYWdlPC9rZXl3b3JkPjxrZXl3b3JkPndvbWVuPC9rZXl3
b3JkPjxrZXl3b3JkPnBlcmltZW5vcGF1c2U8L2tleXdvcmQ+PGtleXdvcmQ+cHJlZ25hbmN5PC9r
ZXl3b3JkPjxrZXl3b3JkPmVzdHJhZGlvbDwva2V5d29yZD48a2V5d29yZD5ob3Jtb25lPC9rZXl3
b3JkPjwva2V5d29yZHM+PGRhdGVzPjx5ZWFyPjE5OTg8L3llYXI+PHB1Yi1kYXRlcz48ZGF0ZT5P
Y3QgMTI8L2RhdGU+PC9wdWItZGF0ZXM+PC9kYXRlcz48aXNibj4wMzc4LTUxMjI8L2lzYm4+PGFj
Y2Vzc2lvbi1udW0+V09TOjAwMDA3NzQ1MzUwMDAwNTwvYWNjZXNzaW9uLW51bT48dXJscz48cmVs
YXRlZC11cmxzPjx1cmw+PHN0eWxlIGZhY2U9InVuZGVybGluZSIgZm9udD0iZGVmYXVsdCIgc2l6
ZT0iMTAwJSI+Jmx0O0dvIHRvIElTSSZndDs6Ly9XT1M6MDAwMDc3NDUzNTAwMDA1PC9zdHlsZT48
L3VybD48L3JlbGF0ZWQtdXJscz48L3VybHM+PGVsZWN0cm9uaWMtcmVzb3VyY2UtbnVtPjEwLjEw
MTYvUzAzNzgtNTEyMig5OCkwMDA2OC0xPC9lbGVjdHJvbmljLXJlc291cmNlLW51bT48bGFuZ3Vh
Z2U+RW5nbGlzaDwvbGFuZ3VhZ2U+PC9yZWNvcmQ+PC9DaXRlPjwvRW5kTm90ZT5=
</w:fldData>
        </w:fldChar>
      </w:r>
      <w:r>
        <w:rPr>
          <w:rFonts w:ascii="Times New Roman" w:hAnsi="Times New Roman" w:cs="Times New Roman"/>
          <w:bCs/>
          <w:sz w:val="24"/>
          <w:szCs w:val="24"/>
        </w:rPr>
        <w:instrText xml:space="preserve"> ADDIN EN.CITE </w:instrText>
      </w:r>
      <w:r>
        <w:rPr>
          <w:rFonts w:ascii="Times New Roman" w:hAnsi="Times New Roman" w:cs="Times New Roman"/>
          <w:bCs/>
          <w:sz w:val="24"/>
          <w:szCs w:val="24"/>
        </w:rPr>
        <w:fldChar w:fldCharType="begin">
          <w:fldData xml:space="preserve">PEVuZE5vdGU+PENpdGU+PEF1dGhvcj5IYXplbDwvQXV0aG9yPjxZZWFyPjIwMjA8L1llYXI+PFJl
Y051bT4xMDE8L1JlY051bT48RGlzcGxheVRleHQ+KEhhemVsIGV0IGFsLiwgMjAyMDsgTyZhcG9z
O0Nvbm5vciBldCBhbC4sIDE5OTgpPC9EaXNwbGF5VGV4dD48cmVjb3JkPjxyZWMtbnVtYmVyPjEw
MTwvcmVjLW51bWJlcj48Zm9yZWlnbi1rZXlzPjxrZXkgYXBwPSJFTiIgZGItaWQ9IjBmZnh2OTBk
M2V4c3QzZWFkZXV4OXdwdXd0MnQyZjV4YXZzMCIgdGltZXN0YW1wPSIwIj4xMDE8L2tleT48L2Zv
cmVpZ24ta2V5cz48cmVmLXR5cGUgbmFtZT0iSm91cm5hbCBBcnRpY2xlIj4xNzwvcmVmLXR5cGU+
PGNvbnRyaWJ1dG9ycz48YXV0aG9ycz48YXV0aG9yPkhhemVsLCBXLiBOLjwvYXV0aG9yPjxhdXRo
b3I+QmxhY2ssIFIuPC9hdXRob3I+PGF1dGhvcj5TbW9jaywgUi4gQy48L2F1dGhvcj48YXV0aG9y
PlNlYXIsIFIuPC9hdXRob3I+PGF1dGhvcj5Ub21raW5zLCBKLiBMLjwvYXV0aG9yPjwvYXV0aG9y
cz48L2NvbnRyaWJ1dG9ycz48YXV0aC1hZGRyZXNzPkRlcGF1dyBVbml2LCBEZXB0IEJpb2wsIEdy
ZWVuY2FzdGxlLCBJTiA0NjEzNSBVU0EmI3hEO1VuaXYgV2VzdGVybiBBdXN0cmFsaWEsIFNjaCBC
aW9sIFNjaSwgQ3Jhd2xleSwgV0EsIEF1c3RyYWxpYSYjeEQ7RGVwYXV3IFVuaXYsIERlcHQgTWF0
aCwgR3JlZW5jYXN0bGUsIElOIDQ2MTM1IFVTQSYjeEQ7TG9uZG9uIFNjaCBIeWcgJmFtcDsgVHJv
cCBNZWQsIExvbmRvbiwgRW5nbGFuZCYjeEQ7VW5pdiBXZXN0ZXJuIEF1c3RyYWxpYSwgQ3RyIEV2
b2x1dGlvbmFyeSBCaW9sLCBTY2ggQmlvbCBTY2ksIENyYXdsZXksIFdBLCBBdXN0cmFsaWE8L2F1
dGgtYWRkcmVzcz48dGl0bGVzPjx0aXRsZT5BbiBhZ2UtZGVwZW5kZW50IG92dWxhdG9yeSBzdHJh
dGVneSBleHBsYWlucyB0aGUgZXZvbHV0aW9uIG9mIGRpenlnb3RpYyB0d2lubmluZyBpbiBodW1h
bnM8L3RpdGxlPjxzZWNvbmRhcnktdGl0bGU+TmF0dXJlIEVjb2xvZ3kgJmFtcDsgRXZvbHV0aW9u
PC9zZWNvbmRhcnktdGl0bGU+PGFsdC10aXRsZT5OYXQgRWNvbCBFdm9sPC9hbHQtdGl0bGU+PC90
aXRsZXM+PHBhZ2VzPjk4Ny0rPC9wYWdlcz48dm9sdW1lPjQ8L3ZvbHVtZT48bnVtYmVyPjc8L251
bWJlcj48a2V5d29yZHM+PGtleXdvcmQ+bXVsdGlwbGUgYmlydGhzPC9rZXl3b3JkPjxrZXl3b3Jk
Pm1hdGVybmFsIGFnZTwva2V5d29yZD48a2V5d29yZD5mcmVxdWVuY3k8L2tleXdvcmQ+PGtleXdv
cmQ+cmF0ZXM8L2tleXdvcmQ+PC9rZXl3b3Jkcz48ZGF0ZXM+PHllYXI+MjAyMDwveWVhcj48cHVi
LWRhdGVzPjxkYXRlPkp1bDwvZGF0ZT48L3B1Yi1kYXRlcz48L2RhdGVzPjxpc2JuPjIzOTctMzM0
eDwvaXNibj48YWNjZXNzaW9uLW51bT5XT1M6MDAwNTMxNzcxNjAwMDA3PC9hY2Nlc3Npb24tbnVt
Pjx1cmxzPjxyZWxhdGVkLXVybHM+PHVybD4mbHQ7R28gdG8gSVNJJmd0OzovL1dPUzowMDA1MzE3
NzE2MDAwMDc8L3VybD48L3JlbGF0ZWQtdXJscz48L3VybHM+PGVsZWN0cm9uaWMtcmVzb3VyY2Ut
bnVtPjEwLjEwMzgvczQxNTU5LTAyMC0xMTczLXk8L2VsZWN0cm9uaWMtcmVzb3VyY2UtbnVtPjxs
YW5ndWFnZT5FbmdsaXNoPC9sYW5ndWFnZT48L3JlY29yZD48L0NpdGU+PENpdGU+PEF1dGhvcj5P
JmFwb3M7Q29ubm9yPC9BdXRob3I+PFllYXI+MTk5ODwvWWVhcj48UmVjTnVtPjEyNjwvUmVjTnVt
PjxyZWNvcmQ+PHJlYy1udW1iZXI+MTI2PC9yZWMtbnVtYmVyPjxmb3JlaWduLWtleXM+PGtleSBh
cHA9IkVOIiBkYi1pZD0iMGZmeHY5MGQzZXhzdDNlYWRldXg5d3B1d3QydDJmNXhhdnMwIiB0aW1l
c3RhbXA9IjAiPjEyNjwva2V5PjwvZm9yZWlnbi1rZXlzPjxyZWYtdHlwZSBuYW1lPSJKb3VybmFs
IEFydGljbGUiPjE3PC9yZWYtdHlwZT48Y29udHJpYnV0b3JzPjxhdXRob3JzPjxhdXRob3I+TyZh
cG9zO0Nvbm5vciwgSy4gQS48L2F1dGhvcj48YXV0aG9yPkhvbG1hbiwgRC4gSi48L2F1dGhvcj48
YXV0aG9yPldvb2QsIEouIFcuPC9hdXRob3I+PC9hdXRob3JzPjwvY29udHJpYnV0b3JzPjxhdXRo
LWFkZHJlc3M+UGVubiBTdGF0ZSBVbml2LCBQb3B1bGF0IFJlcyBJbnN0LCBVbml2ZXJzaXR5IFBr
LCBQQSAxNjgwMiBVU0EmI3hEO1Blbm4gU3RhdGUgVW5pdiwgRGVwdCBBbnRocm9wb2wsIFVuaXZl
cnNpdHkgUGssIFBBIDE2ODAyIFVTQTwvYXV0aC1hZGRyZXNzPjx0aXRsZXM+PHRpdGxlPkRlY2xp
bmluZyBmZWN1bmRpdHkgYW5kIG92YXJpYW4gYWdlaW5nIGluIG5hdHVyYWwgZmVydGlsaXR5IHBv
cHVsYXRpb25zPC90aXRsZT48c2Vjb25kYXJ5LXRpdGxlPk1hdHVyaXRhczwvc2Vjb25kYXJ5LXRp
dGxlPjxhbHQtdGl0bGU+TWF0dXJpdGFzPC9hbHQtdGl0bGU+PC90aXRsZXM+PHBhZ2VzPjEyNy0x
MzY8L3BhZ2VzPjx2b2x1bWU+MzA8L3ZvbHVtZT48bnVtYmVyPjI8L251bWJlcj48a2V5d29yZHM+
PGtleXdvcmQ+ZmVjdW5kaXR5PC9rZXl3b3JkPjxrZXl3b3JkPm92YXJpYW4gYWdpbmc8L2tleXdv
cmQ+PGtleXdvcmQ+ZmVydGlsaXR5PC9rZXl3b3JkPjxrZXl3b3JkPnBvcHVsYXRpb24gc3R1ZHk8
L2tleXdvcmQ+PGtleXdvcmQ+aW1tdW5vcmVhY3RpdmUgaW5oaWJpbjwva2V5d29yZD48a2V5d29y
ZD5mb2xsaWNsZSBhdHJlc2lhPC9rZXl3b3JkPjxrZXl3b3JkPnJlcHJvZHVjdGl2ZSBhZ2U8L2tl
eXdvcmQ+PGtleXdvcmQ+bWF0ZXJuYWwgYWdlPC9rZXl3b3JkPjxrZXl3b3JkPndvbWVuPC9rZXl3
b3JkPjxrZXl3b3JkPnBlcmltZW5vcGF1c2U8L2tleXdvcmQ+PGtleXdvcmQ+cHJlZ25hbmN5PC9r
ZXl3b3JkPjxrZXl3b3JkPmVzdHJhZGlvbDwva2V5d29yZD48a2V5d29yZD5ob3Jtb25lPC9rZXl3
b3JkPjwva2V5d29yZHM+PGRhdGVzPjx5ZWFyPjE5OTg8L3llYXI+PHB1Yi1kYXRlcz48ZGF0ZT5P
Y3QgMTI8L2RhdGU+PC9wdWItZGF0ZXM+PC9kYXRlcz48aXNibj4wMzc4LTUxMjI8L2lzYm4+PGFj
Y2Vzc2lvbi1udW0+V09TOjAwMDA3NzQ1MzUwMDAwNTwvYWNjZXNzaW9uLW51bT48dXJscz48cmVs
YXRlZC11cmxzPjx1cmw+PHN0eWxlIGZhY2U9InVuZGVybGluZSIgZm9udD0iZGVmYXVsdCIgc2l6
ZT0iMTAwJSI+Jmx0O0dvIHRvIElTSSZndDs6Ly9XT1M6MDAwMDc3NDUzNTAwMDA1PC9zdHlsZT48
L3VybD48L3JlbGF0ZWQtdXJscz48L3VybHM+PGVsZWN0cm9uaWMtcmVzb3VyY2UtbnVtPjEwLjEw
MTYvUzAzNzgtNTEyMig5OCkwMDA2OC0xPC9lbGVjdHJvbmljLXJlc291cmNlLW51bT48bGFuZ3Vh
Z2U+RW5nbGlzaDwvbGFuZ3VhZ2U+PC9yZWNvcmQ+PC9DaXRlPjwvRW5kTm90ZT5=
</w:fldData>
        </w:fldChar>
      </w:r>
      <w:r>
        <w:rPr>
          <w:rFonts w:ascii="Times New Roman" w:hAnsi="Times New Roman" w:cs="Times New Roman"/>
          <w:bCs/>
          <w:sz w:val="24"/>
          <w:szCs w:val="24"/>
        </w:rPr>
        <w:instrText xml:space="preserve"> ADDIN EN.CITE.DATA </w:instrText>
      </w:r>
      <w:r>
        <w:rPr>
          <w:rFonts w:ascii="Times New Roman" w:hAnsi="Times New Roman" w:cs="Times New Roman"/>
          <w:bCs/>
          <w:sz w:val="24"/>
          <w:szCs w:val="24"/>
        </w:rPr>
      </w:r>
      <w:r>
        <w:rPr>
          <w:rFonts w:ascii="Times New Roman" w:hAnsi="Times New Roman" w:cs="Times New Roman"/>
          <w:bCs/>
          <w:sz w:val="24"/>
          <w:szCs w:val="24"/>
        </w:rPr>
        <w:fldChar w:fldCharType="end"/>
      </w:r>
      <w:r>
        <w:rPr>
          <w:rFonts w:ascii="Times New Roman" w:hAnsi="Times New Roman" w:cs="Times New Roman"/>
          <w:bCs/>
          <w:sz w:val="24"/>
          <w:szCs w:val="24"/>
        </w:rPr>
      </w:r>
      <w:r>
        <w:rPr>
          <w:rFonts w:ascii="Times New Roman" w:hAnsi="Times New Roman" w:cs="Times New Roman"/>
          <w:bCs/>
          <w:sz w:val="24"/>
          <w:szCs w:val="24"/>
        </w:rPr>
        <w:fldChar w:fldCharType="separate"/>
      </w:r>
      <w:r>
        <w:rPr>
          <w:rFonts w:ascii="Times New Roman" w:hAnsi="Times New Roman" w:cs="Times New Roman"/>
          <w:bCs/>
          <w:noProof/>
          <w:sz w:val="24"/>
          <w:szCs w:val="24"/>
        </w:rPr>
        <w:t>(Hazel et al., 2020; O'Connor et al., 1998)</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and for </w:t>
      </w:r>
      <w:proofErr w:type="spellStart"/>
      <w:r>
        <w:rPr>
          <w:rFonts w:ascii="Times New Roman" w:hAnsi="Times New Roman" w:cs="Times New Roman"/>
          <w:bCs/>
          <w:i/>
          <w:iCs/>
          <w:sz w:val="24"/>
          <w:szCs w:val="24"/>
        </w:rPr>
        <w:t>drb</w:t>
      </w:r>
      <w:proofErr w:type="spellEnd"/>
      <w:r>
        <w:rPr>
          <w:rFonts w:ascii="Times New Roman" w:hAnsi="Times New Roman" w:cs="Times New Roman"/>
          <w:bCs/>
          <w:sz w:val="24"/>
          <w:szCs w:val="24"/>
        </w:rPr>
        <w:t xml:space="preserve"> is 0.89 which is the average value for the populations analysed in </w:t>
      </w: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EN.CITE &lt;EndNote&gt;&lt;Cite&gt;&lt;Author&gt;Hazel&lt;/Author&gt;&lt;Year&gt;2020&lt;/Year&gt;&lt;RecNum&gt;101&lt;/RecNum&gt;&lt;DisplayText&gt;(Hazel et al., 2020)&lt;/DisplayText&gt;&lt;record&gt;&lt;rec-number&gt;101&lt;/rec-number&gt;&lt;foreign-keys&gt;&lt;key app="EN" db-id="0ffxv90d3exst3eadeux9wpuwt2t2f5xavs0" timestamp="0"&gt;101&lt;/key&gt;&lt;/foreign-keys&gt;&lt;ref-type name="Journal Article"&gt;17&lt;/ref-type&gt;&lt;contributors&gt;&lt;authors&gt;&lt;author&gt;Hazel, W. N.&lt;/author&gt;&lt;author&gt;Black, R.&lt;/author&gt;&lt;author&gt;Smock, R. C.&lt;/author&gt;&lt;author&gt;Sear, R.&lt;/author&gt;&lt;author&gt;Tomkins, J. L.&lt;/author&gt;&lt;/authors&gt;&lt;/contributors&gt;&lt;auth-address&gt;Depauw Univ, Dept Biol, Greencastle, IN 46135 USA&amp;#xD;Univ Western Australia, Sch Biol Sci, Crawley, WA, Australia&amp;#xD;Depauw Univ, Dept Math, Greencastle, IN 46135 USA&amp;#xD;London Sch Hyg &amp;amp; Trop Med, London, England&amp;#xD;Univ Western Australia, Ctr Evolutionary Biol, Sch Biol Sci, Crawley, WA, Australia&lt;/auth-address&gt;&lt;titles&gt;&lt;title&gt;An age-dependent ovulatory strategy explains the evolution of dizygotic twinning in humans&lt;/title&gt;&lt;secondary-title&gt;Nature Ecology &amp;amp; Evolution&lt;/secondary-title&gt;&lt;alt-title&gt;Nat Ecol Evol&lt;/alt-title&gt;&lt;/titles&gt;&lt;pages&gt;987-+&lt;/pages&gt;&lt;volume&gt;4&lt;/volume&gt;&lt;number&gt;7&lt;/number&gt;&lt;keywords&gt;&lt;keyword&gt;multiple births&lt;/keyword&gt;&lt;keyword&gt;maternal age&lt;/keyword&gt;&lt;keyword&gt;frequency&lt;/keyword&gt;&lt;keyword&gt;rates&lt;/keyword&gt;&lt;/keywords&gt;&lt;dates&gt;&lt;year&gt;2020&lt;/year&gt;&lt;pub-dates&gt;&lt;date&gt;Jul&lt;/date&gt;&lt;/pub-dates&gt;&lt;/dates&gt;&lt;isbn&gt;2397-334x&lt;/isbn&gt;&lt;accession-num&gt;WOS:000531771600007&lt;/accession-num&gt;&lt;urls&gt;&lt;related-urls&gt;&lt;url&gt;&amp;lt;Go to ISI&amp;gt;://WOS:000531771600007&lt;/url&gt;&lt;/related-urls&gt;&lt;/urls&gt;&lt;electronic-resource-num&gt;10.1038/s41559-020-1173-y&lt;/electronic-resource-num&gt;&lt;language&gt;English&lt;/language&gt;&lt;/record&gt;&lt;/Cite&gt;&lt;/EndNote&gt;</w:instrText>
      </w:r>
      <w:r>
        <w:rPr>
          <w:rFonts w:ascii="Times New Roman" w:hAnsi="Times New Roman" w:cs="Times New Roman"/>
          <w:bCs/>
          <w:sz w:val="24"/>
          <w:szCs w:val="24"/>
        </w:rPr>
        <w:fldChar w:fldCharType="separate"/>
      </w:r>
      <w:r>
        <w:rPr>
          <w:rFonts w:ascii="Times New Roman" w:hAnsi="Times New Roman" w:cs="Times New Roman"/>
          <w:bCs/>
          <w:noProof/>
          <w:sz w:val="24"/>
          <w:szCs w:val="24"/>
        </w:rPr>
        <w:t>(Hazel et al., 2020)</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Conceptions are not sperm limited, but there are early, midterm and late losses between ovulation and birth; post birth survival is not considered here. Mothers face mortality risks from births and a constant annual risk of death. Women continue their reproductive cycles subject to these parameters between ±18 and up to 40 years of age. </w:t>
      </w:r>
    </w:p>
    <w:p w14:paraId="04F183B2" w14:textId="77777777" w:rsidR="00CE13BC" w:rsidRDefault="00CE13BC" w:rsidP="00CE13BC">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The simulation has an age structure that has a flatter distribution than might be expected e.g. </w:t>
      </w: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EN.CITE &lt;EndNote&gt;&lt;Cite&gt;&lt;Author&gt;Sandahl&lt;/Author&gt;&lt;Year&gt;1978&lt;/Year&gt;&lt;RecNum&gt;136&lt;/RecNum&gt;&lt;DisplayText&gt;(Sandahl, 1978)&lt;/DisplayText&gt;&lt;record&gt;&lt;rec-number&gt;136&lt;/rec-number&gt;&lt;foreign-keys&gt;&lt;key app="EN" db-id="0ffxv90d3exst3eadeux9wpuwt2t2f5xavs0" timestamp="0"&gt;136&lt;/key&gt;&lt;/foreign-keys&gt;&lt;ref-type name="Journal Article"&gt;17&lt;/ref-type&gt;&lt;contributors&gt;&lt;authors&gt;&lt;author&gt;Sandahl, B.&lt;/author&gt;&lt;/authors&gt;&lt;/contributors&gt;&lt;auth-address&gt;Univ Lund,Dept Embryol,S-22101 Lund,Sweden&lt;/auth-address&gt;&lt;titles&gt;&lt;title&gt;Seasonal Birth Pattern in Sweden in Relation to Birth-Order and Maternal Age&lt;/title&gt;&lt;secondary-title&gt;Acta Obstetricia Et Gynecologica Scandinavica&lt;/secondary-title&gt;&lt;alt-title&gt;Acta Obstet Gyn Scan&lt;/alt-title&gt;&lt;/titles&gt;&lt;pages&gt;393-396&lt;/pages&gt;&lt;volume&gt;57&lt;/volume&gt;&lt;number&gt;5&lt;/number&gt;&lt;dates&gt;&lt;year&gt;1978&lt;/year&gt;&lt;/dates&gt;&lt;isbn&gt;0001-6349&lt;/isbn&gt;&lt;accession-num&gt;WOS:A1978GC03100002&lt;/accession-num&gt;&lt;urls&gt;&lt;related-urls&gt;&lt;url&gt;&lt;style face="underline" font="default" size="100%"&gt;&amp;lt;Go to ISI&amp;gt;://WOS:A1978GC03100002&lt;/style&gt;&lt;/url&gt;&lt;/related-urls&gt;&lt;/urls&gt;&lt;electronic-resource-num&gt;10.3109/00016347809156517&lt;/electronic-resource-num&gt;&lt;language&gt;English&lt;/language&gt;&lt;/record&gt;&lt;/Cite&gt;&lt;/EndNote&gt;</w:instrText>
      </w:r>
      <w:r>
        <w:rPr>
          <w:rFonts w:ascii="Times New Roman" w:hAnsi="Times New Roman" w:cs="Times New Roman"/>
          <w:bCs/>
          <w:sz w:val="24"/>
          <w:szCs w:val="24"/>
        </w:rPr>
        <w:fldChar w:fldCharType="separate"/>
      </w:r>
      <w:r>
        <w:rPr>
          <w:rFonts w:ascii="Times New Roman" w:hAnsi="Times New Roman" w:cs="Times New Roman"/>
          <w:bCs/>
          <w:noProof/>
          <w:sz w:val="24"/>
          <w:szCs w:val="24"/>
        </w:rPr>
        <w:t>(Sandahl, 1978)</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and is slightly biased towards older individuals that will have more twins, and is therefore likely to be an overestimate of the twinning rates of the population rendering our analysis conservative.</w:t>
      </w:r>
    </w:p>
    <w:p w14:paraId="4055E934" w14:textId="77777777" w:rsidR="00CE13BC" w:rsidRDefault="00CE13BC" w:rsidP="00CE13BC">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Here for the various values of </w:t>
      </w:r>
      <w:r>
        <w:rPr>
          <w:rFonts w:ascii="Times New Roman" w:hAnsi="Times New Roman" w:cs="Times New Roman"/>
          <w:i/>
          <w:iCs/>
          <w:color w:val="000000"/>
          <w:sz w:val="24"/>
          <w:szCs w:val="24"/>
        </w:rPr>
        <w:t>dra</w:t>
      </w:r>
      <w:r>
        <w:rPr>
          <w:rFonts w:ascii="Times New Roman" w:hAnsi="Times New Roman" w:cs="Times New Roman"/>
          <w:color w:val="000000"/>
          <w:sz w:val="24"/>
          <w:szCs w:val="24"/>
        </w:rPr>
        <w:t xml:space="preserve">, (0.66 to 0.735) </w:t>
      </w:r>
      <w:r>
        <w:rPr>
          <w:rFonts w:ascii="Times New Roman" w:hAnsi="Times New Roman" w:cs="Times New Roman"/>
          <w:i/>
          <w:iCs/>
          <w:color w:val="000000"/>
          <w:sz w:val="24"/>
          <w:szCs w:val="24"/>
        </w:rPr>
        <w:t>spm</w:t>
      </w:r>
      <w:r>
        <w:rPr>
          <w:rFonts w:ascii="Times New Roman" w:hAnsi="Times New Roman" w:cs="Times New Roman"/>
          <w:color w:val="000000"/>
          <w:sz w:val="24"/>
          <w:szCs w:val="24"/>
        </w:rPr>
        <w:t xml:space="preserve"> was held constant at 39.8, and </w:t>
      </w:r>
      <w:proofErr w:type="spellStart"/>
      <w:r>
        <w:rPr>
          <w:rFonts w:ascii="Times New Roman" w:hAnsi="Times New Roman" w:cs="Times New Roman"/>
          <w:i/>
          <w:iCs/>
          <w:color w:val="000000"/>
          <w:sz w:val="24"/>
          <w:szCs w:val="24"/>
        </w:rPr>
        <w:t>spSD</w:t>
      </w:r>
      <w:proofErr w:type="spellEnd"/>
      <w:r>
        <w:rPr>
          <w:rFonts w:ascii="Times New Roman" w:hAnsi="Times New Roman" w:cs="Times New Roman"/>
          <w:color w:val="000000"/>
          <w:sz w:val="24"/>
          <w:szCs w:val="24"/>
        </w:rPr>
        <w:t xml:space="preserve"> at 9.44 and for the various values of </w:t>
      </w:r>
      <w:r>
        <w:rPr>
          <w:rFonts w:ascii="Times New Roman" w:hAnsi="Times New Roman" w:cs="Times New Roman"/>
          <w:i/>
          <w:iCs/>
          <w:color w:val="000000"/>
          <w:sz w:val="24"/>
          <w:szCs w:val="24"/>
        </w:rPr>
        <w:t xml:space="preserve">spm </w:t>
      </w:r>
      <w:r>
        <w:rPr>
          <w:rFonts w:ascii="Times New Roman" w:hAnsi="Times New Roman" w:cs="Times New Roman"/>
          <w:color w:val="000000"/>
          <w:sz w:val="24"/>
          <w:szCs w:val="24"/>
        </w:rPr>
        <w:t xml:space="preserve">(37.18 to 37.98), </w:t>
      </w:r>
      <w:r>
        <w:rPr>
          <w:rFonts w:ascii="Times New Roman" w:hAnsi="Times New Roman" w:cs="Times New Roman"/>
          <w:i/>
          <w:iCs/>
          <w:color w:val="000000"/>
          <w:sz w:val="24"/>
          <w:szCs w:val="24"/>
        </w:rPr>
        <w:t>dra</w:t>
      </w:r>
      <w:r>
        <w:rPr>
          <w:rFonts w:ascii="Times New Roman" w:hAnsi="Times New Roman" w:cs="Times New Roman"/>
          <w:color w:val="000000"/>
          <w:sz w:val="24"/>
          <w:szCs w:val="24"/>
        </w:rPr>
        <w:t xml:space="preserve"> held was constant at 0.55 and </w:t>
      </w:r>
      <w:proofErr w:type="spellStart"/>
      <w:r>
        <w:rPr>
          <w:rFonts w:ascii="Times New Roman" w:hAnsi="Times New Roman" w:cs="Times New Roman"/>
          <w:i/>
          <w:iCs/>
          <w:color w:val="000000"/>
          <w:sz w:val="24"/>
          <w:szCs w:val="24"/>
        </w:rPr>
        <w:t>spSD</w:t>
      </w:r>
      <w:proofErr w:type="spellEnd"/>
      <w:r>
        <w:rPr>
          <w:rFonts w:ascii="Times New Roman" w:hAnsi="Times New Roman" w:cs="Times New Roman"/>
          <w:color w:val="000000"/>
          <w:sz w:val="24"/>
          <w:szCs w:val="24"/>
        </w:rPr>
        <w:t xml:space="preserve"> at 9.44, these are </w:t>
      </w:r>
      <w:r>
        <w:rPr>
          <w:rFonts w:ascii="Times New Roman" w:hAnsi="Times New Roman" w:cs="Times New Roman"/>
          <w:sz w:val="24"/>
          <w:szCs w:val="24"/>
        </w:rPr>
        <w:t xml:space="preserve">values of </w:t>
      </w:r>
      <w:proofErr w:type="spellStart"/>
      <w:r>
        <w:rPr>
          <w:rFonts w:ascii="Times New Roman" w:hAnsi="Times New Roman" w:cs="Times New Roman"/>
          <w:i/>
          <w:iCs/>
          <w:sz w:val="24"/>
          <w:szCs w:val="24"/>
        </w:rPr>
        <w:t>spm</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spSD</w:t>
      </w:r>
      <w:proofErr w:type="spellEnd"/>
      <w:r>
        <w:rPr>
          <w:rFonts w:ascii="Times New Roman" w:hAnsi="Times New Roman" w:cs="Times New Roman"/>
          <w:sz w:val="24"/>
          <w:szCs w:val="24"/>
        </w:rPr>
        <w:t xml:space="preserve"> and </w:t>
      </w:r>
      <w:proofErr w:type="spellStart"/>
      <w:r>
        <w:rPr>
          <w:rFonts w:ascii="Times New Roman" w:hAnsi="Times New Roman" w:cs="Times New Roman"/>
          <w:i/>
          <w:iCs/>
          <w:sz w:val="24"/>
          <w:szCs w:val="24"/>
        </w:rPr>
        <w:t>dra</w:t>
      </w:r>
      <w:proofErr w:type="spellEnd"/>
      <w:r>
        <w:rPr>
          <w:rFonts w:ascii="Times New Roman" w:hAnsi="Times New Roman" w:cs="Times New Roman"/>
          <w:sz w:val="24"/>
          <w:szCs w:val="24"/>
        </w:rPr>
        <w:t xml:space="preserve"> that produce the best fit to the observed age dependent pattern of twinning</w:t>
      </w:r>
      <w:r>
        <w:rPr>
          <w:rFonts w:ascii="Times New Roman" w:hAnsi="Times New Roman" w:cs="Times New Roman"/>
          <w:color w:val="000000"/>
          <w:sz w:val="24"/>
          <w:szCs w:val="24"/>
        </w:rPr>
        <w:t xml:space="preserve">.  These sets of 12 values gave twinning rates that matched the 12 Danish rates had a small range for both </w:t>
      </w:r>
      <w:r>
        <w:rPr>
          <w:rFonts w:ascii="Times New Roman" w:hAnsi="Times New Roman" w:cs="Times New Roman"/>
          <w:i/>
          <w:iCs/>
          <w:color w:val="000000"/>
          <w:sz w:val="24"/>
          <w:szCs w:val="24"/>
        </w:rPr>
        <w:t>dra</w:t>
      </w:r>
      <w:r>
        <w:rPr>
          <w:rFonts w:ascii="Times New Roman" w:hAnsi="Times New Roman" w:cs="Times New Roman"/>
          <w:color w:val="000000"/>
          <w:sz w:val="24"/>
          <w:szCs w:val="24"/>
        </w:rPr>
        <w:t xml:space="preserve"> and </w:t>
      </w:r>
      <w:r>
        <w:rPr>
          <w:rFonts w:ascii="Times New Roman" w:hAnsi="Times New Roman" w:cs="Times New Roman"/>
          <w:i/>
          <w:iCs/>
          <w:color w:val="000000"/>
          <w:sz w:val="24"/>
          <w:szCs w:val="24"/>
        </w:rPr>
        <w:t>spm</w:t>
      </w:r>
      <w:r>
        <w:rPr>
          <w:rFonts w:ascii="Times New Roman" w:hAnsi="Times New Roman" w:cs="Times New Roman"/>
          <w:color w:val="000000"/>
          <w:sz w:val="24"/>
          <w:szCs w:val="24"/>
        </w:rPr>
        <w:t>.</w:t>
      </w:r>
    </w:p>
    <w:p w14:paraId="3AE049CE" w14:textId="77777777" w:rsidR="00CE13BC" w:rsidRDefault="00CE13BC" w:rsidP="00CE13BC">
      <w:pPr>
        <w:spacing w:line="480" w:lineRule="auto"/>
        <w:rPr>
          <w:rFonts w:ascii="Times New Roman" w:hAnsi="Times New Roman" w:cs="Times New Roman"/>
          <w:sz w:val="24"/>
          <w:szCs w:val="24"/>
        </w:rPr>
      </w:pPr>
      <w:r>
        <w:rPr>
          <w:rFonts w:ascii="Times New Roman" w:hAnsi="Times New Roman" w:cs="Times New Roman"/>
          <w:sz w:val="24"/>
          <w:szCs w:val="24"/>
        </w:rPr>
        <w:t xml:space="preserve">Variation in </w:t>
      </w:r>
      <w:r>
        <w:rPr>
          <w:rFonts w:ascii="Times New Roman" w:hAnsi="Times New Roman" w:cs="Times New Roman"/>
          <w:i/>
          <w:iCs/>
          <w:sz w:val="24"/>
          <w:szCs w:val="24"/>
        </w:rPr>
        <w:t>dra</w:t>
      </w:r>
      <w:r>
        <w:rPr>
          <w:rFonts w:ascii="Times New Roman" w:hAnsi="Times New Roman" w:cs="Times New Roman"/>
          <w:sz w:val="24"/>
          <w:szCs w:val="24"/>
        </w:rPr>
        <w:t xml:space="preserve"> and </w:t>
      </w:r>
      <w:r>
        <w:rPr>
          <w:rFonts w:ascii="Times New Roman" w:hAnsi="Times New Roman" w:cs="Times New Roman"/>
          <w:i/>
          <w:iCs/>
          <w:sz w:val="24"/>
          <w:szCs w:val="24"/>
        </w:rPr>
        <w:t>spm</w:t>
      </w:r>
      <w:r>
        <w:rPr>
          <w:rFonts w:ascii="Times New Roman" w:hAnsi="Times New Roman" w:cs="Times New Roman"/>
          <w:sz w:val="24"/>
          <w:szCs w:val="24"/>
        </w:rPr>
        <w:t xml:space="preserve"> was expressed as a % and calculated as</w:t>
      </w:r>
    </w:p>
    <w:p w14:paraId="497C3C7A" w14:textId="77777777" w:rsidR="00CE13BC" w:rsidRDefault="00CE13BC" w:rsidP="00CE13BC">
      <w:pPr>
        <w:spacing w:line="480" w:lineRule="auto"/>
        <w:rPr>
          <w:rFonts w:cstheme="minorHAnsi"/>
          <w:sz w:val="24"/>
          <w:szCs w:val="24"/>
        </w:rPr>
      </w:pPr>
      <m:oMathPara>
        <m:oMath>
          <m:r>
            <w:rPr>
              <w:rFonts w:ascii="Cambria Math" w:hAnsi="Cambria Math" w:cstheme="minorHAnsi"/>
              <w:sz w:val="24"/>
              <w:szCs w:val="24"/>
            </w:rPr>
            <m:t>100*</m:t>
          </m:r>
          <m:f>
            <m:fPr>
              <m:ctrlPr>
                <w:rPr>
                  <w:rFonts w:ascii="Cambria Math" w:hAnsi="Cambria Math" w:cstheme="minorHAnsi"/>
                  <w:iCs/>
                  <w:sz w:val="24"/>
                  <w:szCs w:val="24"/>
                </w:rPr>
              </m:ctrlPr>
            </m:fPr>
            <m:num>
              <m:func>
                <m:funcPr>
                  <m:ctrlPr>
                    <w:rPr>
                      <w:rFonts w:ascii="Cambria Math" w:hAnsi="Cambria Math" w:cstheme="minorHAnsi"/>
                      <w:iCs/>
                      <w:sz w:val="24"/>
                      <w:szCs w:val="24"/>
                    </w:rPr>
                  </m:ctrlPr>
                </m:funcPr>
                <m:fName>
                  <m:r>
                    <m:rPr>
                      <m:sty m:val="p"/>
                    </m:rPr>
                    <w:rPr>
                      <w:rFonts w:ascii="Cambria Math" w:hAnsi="Cambria Math" w:cstheme="minorHAnsi"/>
                      <w:sz w:val="24"/>
                      <w:szCs w:val="24"/>
                    </w:rPr>
                    <m:t>(max</m:t>
                  </m:r>
                </m:fName>
                <m:e>
                  <m:r>
                    <m:rPr>
                      <m:sty m:val="p"/>
                    </m:rPr>
                    <w:rPr>
                      <w:rFonts w:ascii="Cambria Math" w:hAnsi="Cambria Math" w:cstheme="minorHAnsi"/>
                      <w:sz w:val="24"/>
                      <w:szCs w:val="24"/>
                    </w:rPr>
                    <m:t>value-</m:t>
                  </m:r>
                  <m:func>
                    <m:funcPr>
                      <m:ctrlPr>
                        <w:rPr>
                          <w:rFonts w:ascii="Cambria Math" w:hAnsi="Cambria Math" w:cstheme="minorHAnsi"/>
                          <w:iCs/>
                          <w:sz w:val="24"/>
                          <w:szCs w:val="24"/>
                        </w:rPr>
                      </m:ctrlPr>
                    </m:funcPr>
                    <m:fName>
                      <m:r>
                        <m:rPr>
                          <m:sty m:val="p"/>
                        </m:rPr>
                        <w:rPr>
                          <w:rFonts w:ascii="Cambria Math" w:hAnsi="Cambria Math" w:cstheme="minorHAnsi"/>
                          <w:sz w:val="24"/>
                          <w:szCs w:val="24"/>
                        </w:rPr>
                        <m:t>min</m:t>
                      </m:r>
                    </m:fName>
                    <m:e>
                      <m:r>
                        <m:rPr>
                          <m:sty m:val="p"/>
                        </m:rPr>
                        <w:rPr>
                          <w:rFonts w:ascii="Cambria Math" w:hAnsi="Cambria Math" w:cstheme="minorHAnsi"/>
                          <w:sz w:val="24"/>
                          <w:szCs w:val="24"/>
                        </w:rPr>
                        <m:t>value)</m:t>
                      </m:r>
                    </m:e>
                  </m:func>
                </m:e>
              </m:func>
            </m:num>
            <m:den>
              <m:r>
                <m:rPr>
                  <m:sty m:val="p"/>
                </m:rPr>
                <w:rPr>
                  <w:rFonts w:ascii="Cambria Math" w:hAnsi="Cambria Math" w:cstheme="minorHAnsi"/>
                  <w:sz w:val="24"/>
                  <w:szCs w:val="24"/>
                </w:rPr>
                <m:t>average value</m:t>
              </m:r>
            </m:den>
          </m:f>
        </m:oMath>
      </m:oMathPara>
    </w:p>
    <w:p w14:paraId="3E28E997" w14:textId="77777777" w:rsidR="00CE13BC" w:rsidRDefault="00CE13BC" w:rsidP="00CE13B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values of </w:t>
      </w:r>
      <w:r>
        <w:rPr>
          <w:rFonts w:ascii="Times New Roman" w:hAnsi="Times New Roman" w:cs="Times New Roman"/>
          <w:i/>
          <w:iCs/>
          <w:sz w:val="24"/>
          <w:szCs w:val="24"/>
        </w:rPr>
        <w:t>spm</w:t>
      </w:r>
      <w:r>
        <w:rPr>
          <w:rFonts w:ascii="Times New Roman" w:hAnsi="Times New Roman" w:cs="Times New Roman"/>
          <w:sz w:val="24"/>
          <w:szCs w:val="24"/>
        </w:rPr>
        <w:t xml:space="preserve"> and </w:t>
      </w:r>
      <w:r>
        <w:rPr>
          <w:rFonts w:ascii="Times New Roman" w:hAnsi="Times New Roman" w:cs="Times New Roman"/>
          <w:i/>
          <w:iCs/>
          <w:sz w:val="24"/>
          <w:szCs w:val="24"/>
        </w:rPr>
        <w:t>dra</w:t>
      </w:r>
      <w:r>
        <w:rPr>
          <w:rFonts w:ascii="Times New Roman" w:hAnsi="Times New Roman" w:cs="Times New Roman"/>
          <w:sz w:val="24"/>
          <w:szCs w:val="24"/>
        </w:rPr>
        <w:t xml:space="preserve"> we manipulated to match the twinning rate differ from those estimated in Figure 1. This likely reflects the temporal difference between the seasonal data (1855-69) and the age data (1921-30), and the temporal decrease twinning rates seen across Europe </w:t>
      </w:r>
      <w:r>
        <w:rPr>
          <w:rFonts w:ascii="Times New Roman" w:hAnsi="Times New Roman" w:cs="Times New Roman"/>
          <w:sz w:val="24"/>
          <w:szCs w:val="24"/>
        </w:rPr>
        <w:fldChar w:fldCharType="begin">
          <w:fldData xml:space="preserve">PEVuZE5vdGU+PENpdGU+PEF1dGhvcj5Fcmlrc3NvbjwvQXV0aG9yPjxZZWFyPjIwMDc8L1llYXI+
PFJlY051bT4zMjwvUmVjTnVtPjxEaXNwbGF5VGV4dD4oRXJpa3Nzb24gJmFtcDsgRmVsbG1hbiwg
MjAwNzsgRXJpa3Nzb24gZXQgYWwuLCAyMDA4OyBGZWxsbWFuICZhbXA7IEVyaWtzc29uLCAyMDAz
KTwvRGlzcGxheVRleHQ+PHJlY29yZD48cmVjLW51bWJlcj4zMjwvcmVjLW51bWJlcj48Zm9yZWln
bi1rZXlzPjxrZXkgYXBwPSJFTiIgZGItaWQ9IjBmZnh2OTBkM2V4c3QzZWFkZXV4OXdwdXd0MnQy
ZjV4YXZzMCIgdGltZXN0YW1wPSIwIj4zMjwva2V5PjwvZm9yZWlnbi1rZXlzPjxyZWYtdHlwZSBu
YW1lPSJKb3VybmFsIEFydGljbGUiPjE3PC9yZWYtdHlwZT48Y29udHJpYnV0b3JzPjxhdXRob3Jz
PjxhdXRob3I+RXJpa3Nzb24sIEEuIFcuPC9hdXRob3I+PGF1dGhvcj5GZWxsbWFuLCBKLjwvYXV0
aG9yPjwvYXV0aG9ycz48L2NvbnRyaWJ1dG9ycz48YXV0aC1hZGRyZXNzPkZvbGtoYWxzYW4gSW5z
dCBHZW5ldCwgUG9wdWxhdCBHZW5ldCBVbml0LCBGSU4tMDAyNTEgSGVsc2lua2ksIEZpbmxhbmQ8
L2F1dGgtYWRkcmVzcz48dGl0bGVzPjx0aXRsZT5UZW1wb3JhbCB0cmVuZHMgaW4gdGhlIHJhdGVz
IG9mIG11bHRpcGxlIG1hdGVybml0aWVzIGluIEVuZ2xhbmQgYW5kIHdhbGVzPC90aXRsZT48c2Vj
b25kYXJ5LXRpdGxlPlR3aW4gUmVzZWFyY2ggYW5kIEh1bWFuIEdlbmV0aWNzPC9zZWNvbmRhcnkt
dGl0bGU+PGFsdC10aXRsZT5Ud2luIFJlcyBIdW0gR2VuZXQ8L2FsdC10aXRsZT48L3RpdGxlcz48
cGFnZXM+NjI2LTYzMjwvcGFnZXM+PHZvbHVtZT4xMDwvdm9sdW1lPjxudW1iZXI+NDwvbnVtYmVy
PjxrZXl3b3Jkcz48a2V5d29yZD50d2lubmluZyByYXRlPC9rZXl3b3JkPjxrZXl3b3JkPnN0YW5k
YXJkaXphdGlvbjwva2V5d29yZD48a2V5d29yZD5iaXJ0aHM8L2tleXdvcmQ+PGtleXdvcmQ+c3dl
ZGVuPC9rZXl3b3JkPjxrZXl3b3JkPndvbWVuPC9rZXl3b3JkPjxrZXl3b3JkPmFnZTwva2V5d29y
ZD48L2tleXdvcmRzPjxkYXRlcz48eWVhcj4yMDA3PC95ZWFyPjxwdWItZGF0ZXM+PGRhdGU+QXVn
PC9kYXRlPjwvcHViLWRhdGVzPjwvZGF0ZXM+PGlzYm4+MTgzMi00Mjc0PC9pc2JuPjxhY2Nlc3Np
b24tbnVtPldPUzowMDAyNDkwNzI3MDAwMTA8L2FjY2Vzc2lvbi1udW0+PHVybHM+PHJlbGF0ZWQt
dXJscz48dXJsPjxzdHlsZSBmYWNlPSJ1bmRlcmxpbmUiIGZvbnQ9ImRlZmF1bHQiIHNpemU9IjEw
MCUiPiZsdDtHbyB0byBJU0kmZ3Q7Oi8vV09TOjAwMDI0OTA3MjcwMDAxMDwvc3R5bGU+PC91cmw+
PC9yZWxhdGVkLXVybHM+PC91cmxzPjxlbGVjdHJvbmljLXJlc291cmNlLW51bT4xMC4xMzc1L3R3
aW4uMTAuNC42MjY8L2VsZWN0cm9uaWMtcmVzb3VyY2UtbnVtPjxsYW5ndWFnZT5FbmdsaXNoPC9s
YW5ndWFnZT48L3JlY29yZD48L0NpdGU+PENpdGU+PEF1dGhvcj5Fcmlrc3NvbjwvQXV0aG9yPjxZ
ZWFyPjIwMDg8L1llYXI+PFJlY051bT4yOTwvUmVjTnVtPjxyZWNvcmQ+PHJlYy1udW1iZXI+Mjk8
L3JlYy1udW1iZXI+PGZvcmVpZ24ta2V5cz48a2V5IGFwcD0iRU4iIGRiLWlkPSIwZmZ4djkwZDNl
eHN0M2VhZGV1eDl3cHV3dDJ0MmY1eGF2czAiIHRpbWVzdGFtcD0iMCI+Mjk8L2tleT48L2ZvcmVp
Z24ta2V5cz48cmVmLXR5cGUgbmFtZT0iSm91cm5hbCBBcnRpY2xlIj4xNzwvcmVmLXR5cGU+PGNv
bnRyaWJ1dG9ycz48YXV0aG9ycz48YXV0aG9yPkVyaWtzc29uLCBBLiBXLjwvYXV0aG9yPjxhdXRo
b3I+RmVsbG1hbiwgSi48L2F1dGhvcj48YXV0aG9yPkpvcmRlLCBMLiBCLjwvYXV0aG9yPjxhdXRo
b3I+UGl0a2FuZW4sIEsuPC9hdXRob3I+PC9hdXRob3JzPjwvY29udHJpYnV0b3JzPjxhdXRoLWFk
ZHJlc3M+Rm9sa2hhbHNhbiBJbnN0IEdlbmV0LCBQb3B1bGF0IEdlbmV0IFVuaXQsIEZJTi0wMDI1
MSBIZWxzaW5raSwgRmlubGFuZCYjeEQ7VW5pdiBVdGFoLCBNZWQgQ3RyLCBEZXB0IFBlZGlhdCwg
RGl2IE1lZCBHZW5ldCwgU2FsdCBMYWtlIENpdHksIFVUIDg0MTMyIFVTQSYjeEQ7VW5pdiBIZWxz
aW5raSwgSW5zdCBTb2Npb2wsIEhlbHNpbmtpLCBGaW5sYW5kPC9hdXRoLWFkZHJlc3M+PHRpdGxl
cz48dGl0bGU+VGVtcG9yYWwsIHNlYXNvbmFsLCBhbmQgcmVnaW9uYWwgZGlmZmVyZW5jZXMgaW4g
YmlydGhzIGFuZCBkZWF0aHMgaW4gQWxhbmQgKEZpbmxhbmQpPC90aXRsZT48c2Vjb25kYXJ5LXRp
dGxlPkh1bWFuIEJpb2xvZ3k8L3NlY29uZGFyeS10aXRsZT48YWx0LXRpdGxlPkh1bSBCaW9sPC9h
bHQtdGl0bGU+PC90aXRsZXM+PHBhZ2VzPjEyNS0xNDA8L3BhZ2VzPjx2b2x1bWU+ODA8L3ZvbHVt
ZT48bnVtYmVyPjI8L251bWJlcj48a2V5d29yZHM+PGtleXdvcmQ+c2Vhc29uYWxpdHk8L2tleXdv
cmQ+PGtleXdvcmQ+c2Vhc29uYWxpdHkgcmF0ZXMgYW5kIGluZGV4ZXM8L2tleXdvcmQ+PGtleXdv
cmQ+YmlydGhzPC9rZXl3b3JkPjxrZXl3b3JkPmRlYXRoczwva2V5d29yZD48a2V5d29yZD5hbGFu
ZCBpc2xhbmRzPC9rZXl3b3JkPjxrZXl3b3JkPmZpbmxhbmQ8L2tleXdvcmQ+PGtleXdvcmQ+cG9w
dWxhdGlvbjwva2V5d29yZD48a2V5d29yZD5ub3J3YXk8L2tleXdvcmQ+PC9rZXl3b3Jkcz48ZGF0
ZXM+PHllYXI+MjAwODwveWVhcj48cHViLWRhdGVzPjxkYXRlPkFwcjwvZGF0ZT48L3B1Yi1kYXRl
cz48L2RhdGVzPjxpc2JuPjAwMTgtNzE0MzwvaXNibj48dXJscz48L3VybHM+PGVsZWN0cm9uaWMt
cmVzb3VyY2UtbnVtPjEwLjMzNzgvMTUzNC02NjE3PC9lbGVjdHJvbmljLXJlc291cmNlLW51bT48
bGFuZ3VhZ2U+RW5nbGlzaDwvbGFuZ3VhZ2U+PC9yZWNvcmQ+PC9DaXRlPjxDaXRlPjxBdXRob3I+
RmVsbG1hbjwvQXV0aG9yPjxZZWFyPjIwMDM8L1llYXI+PFJlY051bT40NDwvUmVjTnVtPjxyZWNv
cmQ+PHJlYy1udW1iZXI+NDQ8L3JlYy1udW1iZXI+PGZvcmVpZ24ta2V5cz48a2V5IGFwcD0iRU4i
IGRiLWlkPSIwZmZ4djkwZDNleHN0M2VhZGV1eDl3cHV3dDJ0MmY1eGF2czAiIHRpbWVzdGFtcD0i
MCI+NDQ8L2tleT48L2ZvcmVpZ24ta2V5cz48cmVmLXR5cGUgbmFtZT0iSm91cm5hbCBBcnRpY2xl
Ij4xNzwvcmVmLXR5cGU+PGNvbnRyaWJ1dG9ycz48YXV0aG9ycz48YXV0aG9yPkZlbGxtYW4sIEou
PC9hdXRob3I+PGF1dGhvcj5Fcmlrc3NvbiwgQS4gVy48L2F1dGhvcj48L2F1dGhvcnM+PC9jb250
cmlidXRvcnM+PGF1dGgtYWRkcmVzcz5Gb2xraGFsc2FuIEluc3QgR2VuZXQsIFBvcHVsYXQgR2Vu
ZXQgVW5pdCwgRklOLTAwMjUxIEhlbHNpbmtpLCBGaW5sYW5kPC9hdXRoLWFkZHJlc3M+PHRpdGxl
cz48dGl0bGU+VGVtcG9yYWwgZGlmZmVyZW5jZXMgaW4gdGhlIHJlZ2lvbmFsIHR3aW5uaW5nIHJh
dGVzIGluIFN3ZWRlbiBhZnRlciAxNzUwPC90aXRsZT48c2Vjb25kYXJ5LXRpdGxlPlR3aW4gUmVz
ZWFyY2g8L3NlY29uZGFyeS10aXRsZT48YWx0LXRpdGxlPlR3aW4gUmVzPC9hbHQtdGl0bGU+PC90
aXRsZXM+PHBhZ2VzPjE4My0xOTE8L3BhZ2VzPjx2b2x1bWU+Njwvdm9sdW1lPjxudW1iZXI+Mzwv
bnVtYmVyPjxrZXl3b3Jkcz48a2V5d29yZD5wcm94eSB2YXJpYWJsZXM8L2tleXdvcmQ+PGtleXdv
cmQ+c3RhbmRhcmRpemF0aW9uPC9rZXl3b3JkPjxrZXl3b3JkPnByZWRpY3Rpb248L2tleXdvcmQ+
PC9rZXl3b3Jkcz48ZGF0ZXM+PHllYXI+MjAwMzwveWVhcj48cHViLWRhdGVzPjxkYXRlPkp1bjwv
ZGF0ZT48L3B1Yi1kYXRlcz48L2RhdGVzPjxpc2JuPjEzNjktMDUyMzwvaXNibj48dXJscz48L3Vy
bHM+PGVsZWN0cm9uaWMtcmVzb3VyY2UtbnVtPjEwLjEzNzUvMTM2OTA1MjAzNzY1NjkzODM0PC9l
bGVjdHJvbmljLXJlc291cmNlLW51bT48bGFuZ3VhZ2U+RW5nbGlzaDwvbGFuZ3VhZ2U+PC9yZWNv
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PEVuZE5vdGU+PENpdGU+PEF1dGhvcj5Fcmlrc3NvbjwvQXV0aG9yPjxZZWFyPjIwMDc8L1llYXI+
PFJlY051bT4zMjwvUmVjTnVtPjxEaXNwbGF5VGV4dD4oRXJpa3Nzb24gJmFtcDsgRmVsbG1hbiwg
MjAwNzsgRXJpa3Nzb24gZXQgYWwuLCAyMDA4OyBGZWxsbWFuICZhbXA7IEVyaWtzc29uLCAyMDAz
KTwvRGlzcGxheVRleHQ+PHJlY29yZD48cmVjLW51bWJlcj4zMjwvcmVjLW51bWJlcj48Zm9yZWln
bi1rZXlzPjxrZXkgYXBwPSJFTiIgZGItaWQ9IjBmZnh2OTBkM2V4c3QzZWFkZXV4OXdwdXd0MnQy
ZjV4YXZzMCIgdGltZXN0YW1wPSIwIj4zMjwva2V5PjwvZm9yZWlnbi1rZXlzPjxyZWYtdHlwZSBu
YW1lPSJKb3VybmFsIEFydGljbGUiPjE3PC9yZWYtdHlwZT48Y29udHJpYnV0b3JzPjxhdXRob3Jz
PjxhdXRob3I+RXJpa3Nzb24sIEEuIFcuPC9hdXRob3I+PGF1dGhvcj5GZWxsbWFuLCBKLjwvYXV0
aG9yPjwvYXV0aG9ycz48L2NvbnRyaWJ1dG9ycz48YXV0aC1hZGRyZXNzPkZvbGtoYWxzYW4gSW5z
dCBHZW5ldCwgUG9wdWxhdCBHZW5ldCBVbml0LCBGSU4tMDAyNTEgSGVsc2lua2ksIEZpbmxhbmQ8
L2F1dGgtYWRkcmVzcz48dGl0bGVzPjx0aXRsZT5UZW1wb3JhbCB0cmVuZHMgaW4gdGhlIHJhdGVz
IG9mIG11bHRpcGxlIG1hdGVybml0aWVzIGluIEVuZ2xhbmQgYW5kIHdhbGVzPC90aXRsZT48c2Vj
b25kYXJ5LXRpdGxlPlR3aW4gUmVzZWFyY2ggYW5kIEh1bWFuIEdlbmV0aWNzPC9zZWNvbmRhcnkt
dGl0bGU+PGFsdC10aXRsZT5Ud2luIFJlcyBIdW0gR2VuZXQ8L2FsdC10aXRsZT48L3RpdGxlcz48
cGFnZXM+NjI2LTYzMjwvcGFnZXM+PHZvbHVtZT4xMDwvdm9sdW1lPjxudW1iZXI+NDwvbnVtYmVy
PjxrZXl3b3Jkcz48a2V5d29yZD50d2lubmluZyByYXRlPC9rZXl3b3JkPjxrZXl3b3JkPnN0YW5k
YXJkaXphdGlvbjwva2V5d29yZD48a2V5d29yZD5iaXJ0aHM8L2tleXdvcmQ+PGtleXdvcmQ+c3dl
ZGVuPC9rZXl3b3JkPjxrZXl3b3JkPndvbWVuPC9rZXl3b3JkPjxrZXl3b3JkPmFnZTwva2V5d29y
ZD48L2tleXdvcmRzPjxkYXRlcz48eWVhcj4yMDA3PC95ZWFyPjxwdWItZGF0ZXM+PGRhdGU+QXVn
PC9kYXRlPjwvcHViLWRhdGVzPjwvZGF0ZXM+PGlzYm4+MTgzMi00Mjc0PC9pc2JuPjxhY2Nlc3Np
b24tbnVtPldPUzowMDAyNDkwNzI3MDAwMTA8L2FjY2Vzc2lvbi1udW0+PHVybHM+PHJlbGF0ZWQt
dXJscz48dXJsPjxzdHlsZSBmYWNlPSJ1bmRlcmxpbmUiIGZvbnQ9ImRlZmF1bHQiIHNpemU9IjEw
MCUiPiZsdDtHbyB0byBJU0kmZ3Q7Oi8vV09TOjAwMDI0OTA3MjcwMDAxMDwvc3R5bGU+PC91cmw+
PC9yZWxhdGVkLXVybHM+PC91cmxzPjxlbGVjdHJvbmljLXJlc291cmNlLW51bT4xMC4xMzc1L3R3
aW4uMTAuNC42MjY8L2VsZWN0cm9uaWMtcmVzb3VyY2UtbnVtPjxsYW5ndWFnZT5FbmdsaXNoPC9s
YW5ndWFnZT48L3JlY29yZD48L0NpdGU+PENpdGU+PEF1dGhvcj5Fcmlrc3NvbjwvQXV0aG9yPjxZ
ZWFyPjIwMDg8L1llYXI+PFJlY051bT4yOTwvUmVjTnVtPjxyZWNvcmQ+PHJlYy1udW1iZXI+Mjk8
L3JlYy1udW1iZXI+PGZvcmVpZ24ta2V5cz48a2V5IGFwcD0iRU4iIGRiLWlkPSIwZmZ4djkwZDNl
eHN0M2VhZGV1eDl3cHV3dDJ0MmY1eGF2czAiIHRpbWVzdGFtcD0iMCI+Mjk8L2tleT48L2ZvcmVp
Z24ta2V5cz48cmVmLXR5cGUgbmFtZT0iSm91cm5hbCBBcnRpY2xlIj4xNzwvcmVmLXR5cGU+PGNv
bnRyaWJ1dG9ycz48YXV0aG9ycz48YXV0aG9yPkVyaWtzc29uLCBBLiBXLjwvYXV0aG9yPjxhdXRo
b3I+RmVsbG1hbiwgSi48L2F1dGhvcj48YXV0aG9yPkpvcmRlLCBMLiBCLjwvYXV0aG9yPjxhdXRo
b3I+UGl0a2FuZW4sIEsuPC9hdXRob3I+PC9hdXRob3JzPjwvY29udHJpYnV0b3JzPjxhdXRoLWFk
ZHJlc3M+Rm9sa2hhbHNhbiBJbnN0IEdlbmV0LCBQb3B1bGF0IEdlbmV0IFVuaXQsIEZJTi0wMDI1
MSBIZWxzaW5raSwgRmlubGFuZCYjeEQ7VW5pdiBVdGFoLCBNZWQgQ3RyLCBEZXB0IFBlZGlhdCwg
RGl2IE1lZCBHZW5ldCwgU2FsdCBMYWtlIENpdHksIFVUIDg0MTMyIFVTQSYjeEQ7VW5pdiBIZWxz
aW5raSwgSW5zdCBTb2Npb2wsIEhlbHNpbmtpLCBGaW5sYW5kPC9hdXRoLWFkZHJlc3M+PHRpdGxl
cz48dGl0bGU+VGVtcG9yYWwsIHNlYXNvbmFsLCBhbmQgcmVnaW9uYWwgZGlmZmVyZW5jZXMgaW4g
YmlydGhzIGFuZCBkZWF0aHMgaW4gQWxhbmQgKEZpbmxhbmQpPC90aXRsZT48c2Vjb25kYXJ5LXRp
dGxlPkh1bWFuIEJpb2xvZ3k8L3NlY29uZGFyeS10aXRsZT48YWx0LXRpdGxlPkh1bSBCaW9sPC9h
bHQtdGl0bGU+PC90aXRsZXM+PHBhZ2VzPjEyNS0xNDA8L3BhZ2VzPjx2b2x1bWU+ODA8L3ZvbHVt
ZT48bnVtYmVyPjI8L251bWJlcj48a2V5d29yZHM+PGtleXdvcmQ+c2Vhc29uYWxpdHk8L2tleXdv
cmQ+PGtleXdvcmQ+c2Vhc29uYWxpdHkgcmF0ZXMgYW5kIGluZGV4ZXM8L2tleXdvcmQ+PGtleXdv
cmQ+YmlydGhzPC9rZXl3b3JkPjxrZXl3b3JkPmRlYXRoczwva2V5d29yZD48a2V5d29yZD5hbGFu
ZCBpc2xhbmRzPC9rZXl3b3JkPjxrZXl3b3JkPmZpbmxhbmQ8L2tleXdvcmQ+PGtleXdvcmQ+cG9w
dWxhdGlvbjwva2V5d29yZD48a2V5d29yZD5ub3J3YXk8L2tleXdvcmQ+PC9rZXl3b3Jkcz48ZGF0
ZXM+PHllYXI+MjAwODwveWVhcj48cHViLWRhdGVzPjxkYXRlPkFwcjwvZGF0ZT48L3B1Yi1kYXRl
cz48L2RhdGVzPjxpc2JuPjAwMTgtNzE0MzwvaXNibj48dXJscz48L3VybHM+PGVsZWN0cm9uaWMt
cmVzb3VyY2UtbnVtPjEwLjMzNzgvMTUzNC02NjE3PC9lbGVjdHJvbmljLXJlc291cmNlLW51bT48
bGFuZ3VhZ2U+RW5nbGlzaDwvbGFuZ3VhZ2U+PC9yZWNvcmQ+PC9DaXRlPjxDaXRlPjxBdXRob3I+
RmVsbG1hbjwvQXV0aG9yPjxZZWFyPjIwMDM8L1llYXI+PFJlY051bT40NDwvUmVjTnVtPjxyZWNv
cmQ+PHJlYy1udW1iZXI+NDQ8L3JlYy1udW1iZXI+PGZvcmVpZ24ta2V5cz48a2V5IGFwcD0iRU4i
IGRiLWlkPSIwZmZ4djkwZDNleHN0M2VhZGV1eDl3cHV3dDJ0MmY1eGF2czAiIHRpbWVzdGFtcD0i
MCI+NDQ8L2tleT48L2ZvcmVpZ24ta2V5cz48cmVmLXR5cGUgbmFtZT0iSm91cm5hbCBBcnRpY2xl
Ij4xNzwvcmVmLXR5cGU+PGNvbnRyaWJ1dG9ycz48YXV0aG9ycz48YXV0aG9yPkZlbGxtYW4sIEou
PC9hdXRob3I+PGF1dGhvcj5Fcmlrc3NvbiwgQS4gVy48L2F1dGhvcj48L2F1dGhvcnM+PC9jb250
cmlidXRvcnM+PGF1dGgtYWRkcmVzcz5Gb2xraGFsc2FuIEluc3QgR2VuZXQsIFBvcHVsYXQgR2Vu
ZXQgVW5pdCwgRklOLTAwMjUxIEhlbHNpbmtpLCBGaW5sYW5kPC9hdXRoLWFkZHJlc3M+PHRpdGxl
cz48dGl0bGU+VGVtcG9yYWwgZGlmZmVyZW5jZXMgaW4gdGhlIHJlZ2lvbmFsIHR3aW5uaW5nIHJh
dGVzIGluIFN3ZWRlbiBhZnRlciAxNzUwPC90aXRsZT48c2Vjb25kYXJ5LXRpdGxlPlR3aW4gUmVz
ZWFyY2g8L3NlY29uZGFyeS10aXRsZT48YWx0LXRpdGxlPlR3aW4gUmVzPC9hbHQtdGl0bGU+PC90
aXRsZXM+PHBhZ2VzPjE4My0xOTE8L3BhZ2VzPjx2b2x1bWU+Njwvdm9sdW1lPjxudW1iZXI+Mzwv
bnVtYmVyPjxrZXl3b3Jkcz48a2V5d29yZD5wcm94eSB2YXJpYWJsZXM8L2tleXdvcmQ+PGtleXdv
cmQ+c3RhbmRhcmRpemF0aW9uPC9rZXl3b3JkPjxrZXl3b3JkPnByZWRpY3Rpb248L2tleXdvcmQ+
PC9rZXl3b3Jkcz48ZGF0ZXM+PHllYXI+MjAwMzwveWVhcj48cHViLWRhdGVzPjxkYXRlPkp1bjwv
ZGF0ZT48L3B1Yi1kYXRlcz48L2RhdGVzPjxpc2JuPjEzNjktMDUyMzwvaXNibj48dXJscz48L3Vy
bHM+PGVsZWN0cm9uaWMtcmVzb3VyY2UtbnVtPjEwLjEzNzUvMTM2OTA1MjAzNzY1NjkzODM0PC9l
bGVjdHJvbmljLXJlc291cmNlLW51bT48bGFuZ3VhZ2U+RW5nbGlzaDwvbGFuZ3VhZ2U+PC9yZWNv
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(Eriksson &amp; Fellman, 2007; Eriksson et al., 2008; Fellman &amp; Eriksson, 2003)</w:t>
      </w:r>
      <w:r>
        <w:rPr>
          <w:rFonts w:ascii="Times New Roman" w:hAnsi="Times New Roman" w:cs="Times New Roman"/>
          <w:sz w:val="24"/>
          <w:szCs w:val="24"/>
        </w:rPr>
        <w:fldChar w:fldCharType="end"/>
      </w:r>
      <w:r>
        <w:rPr>
          <w:rFonts w:ascii="Times New Roman" w:hAnsi="Times New Roman" w:cs="Times New Roman"/>
          <w:sz w:val="24"/>
          <w:szCs w:val="24"/>
        </w:rPr>
        <w:t>. Earlier age at the switch to double ovulation (</w:t>
      </w:r>
      <w:r w:rsidRPr="00D706CE">
        <w:rPr>
          <w:rFonts w:ascii="Times New Roman" w:hAnsi="Times New Roman" w:cs="Times New Roman"/>
          <w:i/>
          <w:iCs/>
          <w:sz w:val="24"/>
          <w:szCs w:val="24"/>
        </w:rPr>
        <w:t>spm</w:t>
      </w:r>
      <w:r>
        <w:rPr>
          <w:rFonts w:ascii="Times New Roman" w:hAnsi="Times New Roman" w:cs="Times New Roman"/>
          <w:sz w:val="24"/>
          <w:szCs w:val="24"/>
        </w:rPr>
        <w:t>) reduces the value of the probability of live birth per ova (</w:t>
      </w:r>
      <w:r>
        <w:rPr>
          <w:rFonts w:ascii="Times New Roman" w:hAnsi="Times New Roman" w:cs="Times New Roman"/>
          <w:i/>
          <w:iCs/>
          <w:sz w:val="24"/>
          <w:szCs w:val="24"/>
        </w:rPr>
        <w:t>dra)</w:t>
      </w:r>
      <w:r>
        <w:rPr>
          <w:rFonts w:ascii="Times New Roman" w:hAnsi="Times New Roman" w:cs="Times New Roman"/>
          <w:sz w:val="24"/>
          <w:szCs w:val="24"/>
        </w:rPr>
        <w:t xml:space="preserve"> needed to match the observed twinning rate, while higher probability of live birth per ova increases the age at the switch to double ovulation. Our conclusions are robust to any temporal shift because we are interested in the variability in </w:t>
      </w:r>
      <w:r>
        <w:rPr>
          <w:rFonts w:ascii="Times New Roman" w:hAnsi="Times New Roman" w:cs="Times New Roman"/>
          <w:i/>
          <w:iCs/>
          <w:sz w:val="24"/>
          <w:szCs w:val="24"/>
        </w:rPr>
        <w:t>dra</w:t>
      </w:r>
      <w:r>
        <w:rPr>
          <w:rFonts w:ascii="Times New Roman" w:hAnsi="Times New Roman" w:cs="Times New Roman"/>
          <w:sz w:val="24"/>
          <w:szCs w:val="24"/>
        </w:rPr>
        <w:t xml:space="preserve"> and </w:t>
      </w:r>
      <w:r>
        <w:rPr>
          <w:rFonts w:ascii="Times New Roman" w:hAnsi="Times New Roman" w:cs="Times New Roman"/>
          <w:i/>
          <w:iCs/>
          <w:sz w:val="24"/>
          <w:szCs w:val="24"/>
        </w:rPr>
        <w:t>spm</w:t>
      </w:r>
      <w:r>
        <w:rPr>
          <w:rFonts w:ascii="Times New Roman" w:hAnsi="Times New Roman" w:cs="Times New Roman"/>
          <w:sz w:val="24"/>
          <w:szCs w:val="24"/>
        </w:rPr>
        <w:t xml:space="preserve"> not their absolute values. </w:t>
      </w:r>
    </w:p>
    <w:p w14:paraId="42961475" w14:textId="77777777" w:rsidR="00CE13BC" w:rsidRDefault="00CE13BC" w:rsidP="00CE13BC">
      <w:pPr>
        <w:spacing w:line="480" w:lineRule="auto"/>
        <w:rPr>
          <w:rFonts w:ascii="Times New Roman" w:hAnsi="Times New Roman" w:cs="Times New Roman"/>
          <w:sz w:val="24"/>
          <w:szCs w:val="24"/>
        </w:rPr>
      </w:pPr>
      <w:r>
        <w:rPr>
          <w:rFonts w:ascii="Times New Roman" w:hAnsi="Times New Roman" w:cs="Times New Roman"/>
          <w:i/>
          <w:iCs/>
          <w:sz w:val="24"/>
          <w:szCs w:val="24"/>
        </w:rPr>
        <w:t>Size of the at-risk cohort</w:t>
      </w:r>
      <w:r>
        <w:rPr>
          <w:rFonts w:ascii="Times New Roman" w:hAnsi="Times New Roman" w:cs="Times New Roman"/>
          <w:sz w:val="24"/>
          <w:szCs w:val="24"/>
        </w:rPr>
        <w:t xml:space="preserve">: Excess (or deficits) of conceptions in one month might reduce (or increase) the size of the at-risk cohort in subsequent months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&lt;EndNote&gt;&lt;Cite&gt;&lt;Author&gt;Lam&lt;/Author&gt;&lt;Year&gt;1994&lt;/Year&gt;&lt;RecNum&gt;3&lt;/RecNum&gt;&lt;DisplayText&gt;(Lam &amp;amp; Miron, 1994)&lt;/DisplayText&gt;&lt;record&gt;&lt;rec-number&gt;3&lt;/rec-number&gt;&lt;foreign-keys&gt;&lt;key app="EN" db-id="0ffxv90d3exst3eadeux9wpuwt2t2f5xavs0" timestamp="0"&gt;3&lt;/key&gt;&lt;/foreign-keys&gt;&lt;ref-type name="Journal Article"&gt;17&lt;/ref-type&gt;&lt;contributors&gt;&lt;authors&gt;&lt;author&gt;Lam, D. A.&lt;/author&gt;&lt;author&gt;Miron, J. A.&lt;/author&gt;&lt;/authors&gt;&lt;/contributors&gt;&lt;auth-address&gt;Univ Michigan, Dept Econ, Ann Arbor, Mi 48104 USA&amp;#xD;Boston Univ, Dept Econ, Boston, Ma 02215 USA&amp;#xD;Natl Bur Econ Res, Cambridge, Ma 02138 USA&lt;/auth-address&gt;&lt;titles&gt;&lt;title&gt;Global Patterns of Seasonal-Variation in Human-Fertility&lt;/title&gt;&lt;secondary-title&gt;Human Reproductive Ecology&lt;/secondary-title&gt;&lt;alt-title&gt;Ann Ny Acad Sci&lt;/alt-title&gt;&lt;/titles&gt;&lt;pages&gt;9-28&lt;/pages&gt;&lt;volume&gt;709&lt;/volume&gt;&lt;keywords&gt;&lt;keyword&gt;births&lt;/keyword&gt;&lt;keyword&gt;reproduction&lt;/keyword&gt;&lt;keyword&gt;bangladesh&lt;/keyword&gt;&lt;keyword&gt;matlab&lt;/keyword&gt;&lt;/keywords&gt;&lt;dates&gt;&lt;year&gt;1994&lt;/year&gt;&lt;/dates&gt;&lt;isbn&gt;0077-8923&lt;/isbn&gt;&lt;urls&gt;&lt;/urls&gt;&lt;electronic-resource-num&gt;10.1111/j.1749-6632.1994.tb30385.x&lt;/electronic-resource-num&gt;&lt;language&gt;English&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(Lam &amp; Miron, 1994)</w:t>
      </w:r>
      <w:r>
        <w:rPr>
          <w:rFonts w:ascii="Times New Roman" w:hAnsi="Times New Roman" w:cs="Times New Roman"/>
          <w:sz w:val="24"/>
          <w:szCs w:val="24"/>
        </w:rPr>
        <w:fldChar w:fldCharType="end"/>
      </w:r>
      <w:r>
        <w:rPr>
          <w:rFonts w:ascii="Times New Roman" w:hAnsi="Times New Roman" w:cs="Times New Roman"/>
          <w:sz w:val="24"/>
          <w:szCs w:val="24"/>
        </w:rPr>
        <w:t>. However, these effects diminish rapidly and are dependent on initial cohort sizes. Furthermore, in addition to this source of variation in the cohort size, there will also be new recruits and others returning to the at-risk population after childbirth or foetal loss as well as those exercising birth season preferences. We include all these effects in our modelling of the variation in the size of the at-risk cohort.</w:t>
      </w:r>
    </w:p>
    <w:p w14:paraId="129B94BD" w14:textId="77777777" w:rsidR="00CE13BC" w:rsidRDefault="00CE13BC" w:rsidP="00CE13BC">
      <w:pPr>
        <w:spacing w:line="480" w:lineRule="auto"/>
        <w:rPr>
          <w:rFonts w:ascii="Times New Roman" w:hAnsi="Times New Roman" w:cs="Times New Roman"/>
          <w:sz w:val="24"/>
          <w:szCs w:val="24"/>
        </w:rPr>
      </w:pPr>
      <w:r>
        <w:rPr>
          <w:rFonts w:ascii="Times New Roman" w:hAnsi="Times New Roman" w:cs="Times New Roman"/>
          <w:i/>
          <w:iCs/>
          <w:sz w:val="24"/>
          <w:szCs w:val="24"/>
        </w:rPr>
        <w:lastRenderedPageBreak/>
        <w:t>Seasonal Pattern</w:t>
      </w:r>
      <w:r>
        <w:rPr>
          <w:rFonts w:ascii="Times New Roman" w:hAnsi="Times New Roman" w:cs="Times New Roman"/>
          <w:sz w:val="24"/>
          <w:szCs w:val="24"/>
        </w:rPr>
        <w:t xml:space="preserve">: To standardise the seasonal variation the data from Scotland 1938-1987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&lt;EndNote&gt;&lt;Cite&gt;&lt;Author&gt;Russell&lt;/Author&gt;&lt;Year&gt;1993&lt;/Year&gt;&lt;RecNum&gt;14&lt;/RecNum&gt;&lt;DisplayText&gt;(Russell et al., 1993)&lt;/DisplayText&gt;&lt;record&gt;&lt;rec-number&gt;14&lt;/rec-number&gt;&lt;foreign-keys&gt;&lt;key app="EN" db-id="0ffxv90d3exst3eadeux9wpuwt2t2f5xavs0" timestamp="0"&gt;14&lt;/key&gt;&lt;/foreign-keys&gt;&lt;ref-type name="Journal Article"&gt;17&lt;/ref-type&gt;&lt;contributors&gt;&lt;authors&gt;&lt;author&gt;Russell, D.&lt;/author&gt;&lt;author&gt;Douglas, A. S.&lt;/author&gt;&lt;author&gt;Allan, T. M.&lt;/author&gt;&lt;/authors&gt;&lt;/contributors&gt;&lt;auth-address&gt;Univ Aberdeen,Sch Med,Dept Med &amp;amp; Therapeut,Polwarth Bldg,Foresterhill,Aberdeen Ab9 2zd,Scotland&amp;#xD;Univ Aberdeen,Sch Med,Dept Publ Hlth,Aberdeen Ab9 2zd,Scotland&amp;#xD;Univ Aberdeen,Sch Med,Wellcome Res Lib,Aberdeen Ab9 2zd,Scotland&lt;/auth-address&gt;&lt;titles&gt;&lt;title&gt;Changing Seasonality of Birth - a Possible Environmental-Effect&lt;/title&gt;&lt;secondary-title&gt;Journal of Epidemiology and Community Health&lt;/secondary-title&gt;&lt;alt-title&gt;J Epidemiol Commun H&lt;/alt-title&gt;&lt;/titles&gt;&lt;pages&gt;362-367&lt;/pages&gt;&lt;volume&gt;47&lt;/volume&gt;&lt;number&gt;5&lt;/number&gt;&lt;keywords&gt;&lt;keyword&gt;human-reproduction&lt;/keyword&gt;&lt;keyword&gt;patterns&lt;/keyword&gt;&lt;keyword&gt;disease&lt;/keyword&gt;&lt;keyword&gt;quality&lt;/keyword&gt;&lt;keyword&gt;rhythm&lt;/keyword&gt;&lt;keyword&gt;semen&lt;/keyword&gt;&lt;/keywords&gt;&lt;dates&gt;&lt;year&gt;1993&lt;/year&gt;&lt;pub-dates&gt;&lt;date&gt;Oct&lt;/date&gt;&lt;/pub-dates&gt;&lt;/dates&gt;&lt;isbn&gt;0143-005x&lt;/isbn&gt;&lt;accession-num&gt;WOS:A1993ME19500007&lt;/accession-num&gt;&lt;urls&gt;&lt;related-urls&gt;&lt;url&gt;&lt;style face="underline" font="default" size="100%"&gt;&amp;lt;Go to ISI&amp;gt;://WOS:A1993ME19500007&lt;/style&gt;&lt;/url&gt;&lt;/related-urls&gt;&lt;/urls&gt;&lt;electronic-resource-num&gt;10.1136/jech.47.5.362&lt;/electronic-resource-num&gt;&lt;language&gt;English&lt;/language&gt;&lt;/record&gt;&lt;/Cite&gt;&lt;/EndNote&gt;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(Russell et al., 1993)</w:t>
      </w:r>
      <w:r>
        <w:rPr>
          <w:rFonts w:ascii="Times New Roman" w:hAnsi="Times New Roman" w:cs="Times New Roman"/>
          <w:sz w:val="24"/>
          <w:szCs w:val="24"/>
        </w:rPr>
        <w:fldChar w:fldCharType="end"/>
      </w:r>
      <w:r>
        <w:rPr>
          <w:rFonts w:ascii="Times New Roman" w:hAnsi="Times New Roman" w:cs="Times New Roman"/>
          <w:sz w:val="24"/>
          <w:szCs w:val="24"/>
        </w:rPr>
        <w:t xml:space="preserve"> showing variation in general birth rate, and the twinning rates from the simulation were both standardised to a Z score: </w:t>
      </w:r>
    </w:p>
    <w:p w14:paraId="75A5CE07" w14:textId="77777777" w:rsidR="00CE13BC" w:rsidRDefault="00AC13C2" w:rsidP="00CE13BC">
      <w:pPr>
        <w:spacing w:line="480" w:lineRule="auto"/>
        <w:jc w:val="center"/>
        <w:rPr>
          <w:rFonts w:ascii="Times New Roman" w:hAnsi="Times New Roman" w:cs="Times New Roman"/>
          <w:sz w:val="24"/>
          <w:szCs w:val="24"/>
        </w:rPr>
      </w:pPr>
      <m:oMathPara>
        <m:oMathParaPr>
          <m:jc m:val="center"/>
        </m:oMathParaPr>
        <m:oMath>
          <m:f>
            <m:fPr>
              <m:ctrlPr>
                <w:rPr>
                  <w:rFonts w:ascii="Cambria Math" w:hAnsi="Cambria Math"/>
                </w:rPr>
              </m:ctrlPr>
            </m:fPr>
            <m:num>
              <m:r>
                <w:rPr>
                  <w:rFonts w:ascii="Cambria Math" w:hAnsi="Cambria Math"/>
                </w:rPr>
                <m:t>x</m:t>
              </m:r>
              <m:r>
                <w:rPr>
                  <w:rFonts w:ascii="Cambria Math" w:hAnsi="Cambria Math"/>
                </w:rPr>
                <m:t>-</m:t>
              </m:r>
              <m:bar>
                <m:barPr>
                  <m:pos m:val="top"/>
                  <m:ctrlPr>
                    <w:rPr>
                      <w:rFonts w:ascii="Cambria Math" w:hAnsi="Cambria Math"/>
                    </w:rPr>
                  </m:ctrlPr>
                </m:barPr>
                <m:e>
                  <m:r>
                    <w:rPr>
                      <w:rFonts w:ascii="Cambria Math" w:hAnsi="Cambria Math"/>
                    </w:rPr>
                    <m:t>x</m:t>
                  </m:r>
                </m:e>
              </m:bar>
            </m:num>
            <m:den>
              <m:r>
                <w:rPr>
                  <w:rFonts w:ascii="Cambria Math" w:hAnsi="Cambria Math"/>
                </w:rPr>
                <m:t>s</m:t>
              </m:r>
            </m:den>
          </m:f>
        </m:oMath>
      </m:oMathPara>
    </w:p>
    <w:p w14:paraId="74DDEBA9" w14:textId="77777777" w:rsidR="00CE13BC" w:rsidRDefault="00CE13BC" w:rsidP="00CE13BC">
      <w:pPr>
        <w:spacing w:line="480" w:lineRule="auto"/>
        <w:rPr>
          <w:rFonts w:ascii="Times New Roman" w:hAnsi="Times New Roman" w:cs="Times New Roman"/>
          <w:sz w:val="24"/>
          <w:szCs w:val="24"/>
        </w:rPr>
      </w:pPr>
    </w:p>
    <w:p w14:paraId="00A69BD3" w14:textId="77777777" w:rsidR="00CE13BC" w:rsidRDefault="00CE13BC" w:rsidP="00CE13BC">
      <w:pPr>
        <w:spacing w:line="480" w:lineRule="auto"/>
        <w:rPr>
          <w:rFonts w:ascii="Times New Roman" w:hAnsi="Times New Roman" w:cs="Times New Roman"/>
          <w:sz w:val="24"/>
          <w:szCs w:val="24"/>
        </w:rPr>
      </w:pPr>
      <w:r>
        <w:rPr>
          <w:rFonts w:ascii="Times New Roman" w:hAnsi="Times New Roman" w:cs="Times New Roman"/>
          <w:sz w:val="24"/>
          <w:szCs w:val="24"/>
        </w:rPr>
        <w:t xml:space="preserve">Where </w:t>
      </w:r>
      <w:r>
        <w:rPr>
          <w:rFonts w:ascii="Times New Roman" w:hAnsi="Times New Roman" w:cs="Times New Roman"/>
          <w:i/>
          <w:iCs/>
          <w:sz w:val="24"/>
          <w:szCs w:val="24"/>
        </w:rPr>
        <w:t>s</w:t>
      </w:r>
      <w:r>
        <w:rPr>
          <w:rFonts w:ascii="Times New Roman" w:hAnsi="Times New Roman" w:cs="Times New Roman"/>
          <w:sz w:val="24"/>
          <w:szCs w:val="24"/>
        </w:rPr>
        <w:t xml:space="preserve"> is the standard deviation of the sample. </w:t>
      </w:r>
    </w:p>
    <w:p w14:paraId="12B490A6" w14:textId="77777777" w:rsidR="00CE13BC" w:rsidRDefault="00CE13BC" w:rsidP="00CE13BC">
      <w:pPr>
        <w:spacing w:line="480" w:lineRule="auto"/>
        <w:rPr>
          <w:rFonts w:ascii="Times New Roman" w:hAnsi="Times New Roman" w:cs="Times New Roman"/>
          <w:sz w:val="24"/>
          <w:szCs w:val="24"/>
        </w:rPr>
      </w:pPr>
      <w:r>
        <w:rPr>
          <w:rFonts w:ascii="Times New Roman" w:hAnsi="Times New Roman" w:cs="Times New Roman"/>
          <w:i/>
          <w:iCs/>
          <w:sz w:val="24"/>
          <w:szCs w:val="24"/>
        </w:rPr>
        <w:t>Seasonal variation</w:t>
      </w:r>
      <w:r>
        <w:rPr>
          <w:rFonts w:ascii="Times New Roman" w:hAnsi="Times New Roman" w:cs="Times New Roman"/>
          <w:sz w:val="24"/>
          <w:szCs w:val="24"/>
        </w:rPr>
        <w:t xml:space="preserve">: The percentage change in the cohort size needed to match the variation in the numbers of births was calculated as: </w:t>
      </w:r>
    </w:p>
    <w:p w14:paraId="341DDD1D" w14:textId="77777777" w:rsidR="00CE13BC" w:rsidRDefault="00CE13BC" w:rsidP="00CE13BC">
      <w:pPr>
        <w:spacing w:line="480" w:lineRule="auto"/>
        <w:rPr>
          <w:rFonts w:cstheme="minorHAnsi"/>
          <w:sz w:val="24"/>
          <w:szCs w:val="24"/>
        </w:rPr>
      </w:pPr>
      <m:oMathPara>
        <m:oMath>
          <m:r>
            <w:rPr>
              <w:rFonts w:ascii="Cambria Math" w:hAnsi="Cambria Math" w:cstheme="minorHAnsi"/>
              <w:sz w:val="24"/>
              <w:szCs w:val="24"/>
            </w:rPr>
            <m:t>100*</m:t>
          </m:r>
          <m:f>
            <m:fPr>
              <m:ctrlPr>
                <w:rPr>
                  <w:rFonts w:ascii="Cambria Math" w:hAnsi="Cambria Math" w:cstheme="minorHAnsi"/>
                  <w:iCs/>
                  <w:sz w:val="24"/>
                  <w:szCs w:val="24"/>
                </w:rPr>
              </m:ctrlPr>
            </m:fPr>
            <m:num>
              <m:func>
                <m:funcPr>
                  <m:ctrlPr>
                    <w:rPr>
                      <w:rFonts w:ascii="Cambria Math" w:hAnsi="Cambria Math" w:cstheme="minorHAnsi"/>
                      <w:iCs/>
                      <w:sz w:val="24"/>
                      <w:szCs w:val="24"/>
                    </w:rPr>
                  </m:ctrlPr>
                </m:funcPr>
                <m:fName>
                  <m:r>
                    <m:rPr>
                      <m:sty m:val="p"/>
                    </m:rPr>
                    <w:rPr>
                      <w:rFonts w:ascii="Cambria Math" w:hAnsi="Cambria Math" w:cstheme="minorHAnsi"/>
                      <w:sz w:val="24"/>
                      <w:szCs w:val="24"/>
                    </w:rPr>
                    <m:t>(max</m:t>
                  </m:r>
                </m:fName>
                <m:e>
                  <m:r>
                    <m:rPr>
                      <m:sty m:val="p"/>
                    </m:rPr>
                    <w:rPr>
                      <w:rFonts w:ascii="Cambria Math" w:hAnsi="Cambria Math" w:cstheme="minorHAnsi"/>
                      <w:sz w:val="24"/>
                      <w:szCs w:val="24"/>
                    </w:rPr>
                    <m:t>cohort size-</m:t>
                  </m:r>
                  <m:func>
                    <m:funcPr>
                      <m:ctrlPr>
                        <w:rPr>
                          <w:rFonts w:ascii="Cambria Math" w:hAnsi="Cambria Math" w:cstheme="minorHAnsi"/>
                          <w:iCs/>
                          <w:sz w:val="24"/>
                          <w:szCs w:val="24"/>
                        </w:rPr>
                      </m:ctrlPr>
                    </m:funcPr>
                    <m:fName>
                      <m:r>
                        <m:rPr>
                          <m:sty m:val="p"/>
                        </m:rPr>
                        <w:rPr>
                          <w:rFonts w:ascii="Cambria Math" w:hAnsi="Cambria Math" w:cstheme="minorHAnsi"/>
                          <w:sz w:val="24"/>
                          <w:szCs w:val="24"/>
                        </w:rPr>
                        <m:t>min</m:t>
                      </m:r>
                    </m:fName>
                    <m:e>
                      <m:r>
                        <m:rPr>
                          <m:sty m:val="p"/>
                        </m:rPr>
                        <w:rPr>
                          <w:rFonts w:ascii="Cambria Math" w:hAnsi="Cambria Math" w:cstheme="minorHAnsi"/>
                          <w:sz w:val="24"/>
                          <w:szCs w:val="24"/>
                        </w:rPr>
                        <m:t>cohort size)</m:t>
                      </m:r>
                    </m:e>
                  </m:func>
                </m:e>
              </m:func>
            </m:num>
            <m:den>
              <m:r>
                <m:rPr>
                  <m:sty m:val="p"/>
                </m:rPr>
                <w:rPr>
                  <w:rFonts w:ascii="Cambria Math" w:hAnsi="Cambria Math" w:cstheme="minorHAnsi"/>
                  <w:sz w:val="24"/>
                  <w:szCs w:val="24"/>
                </w:rPr>
                <m:t>average cohort size</m:t>
              </m:r>
            </m:den>
          </m:f>
        </m:oMath>
      </m:oMathPara>
    </w:p>
    <w:p w14:paraId="78B87856" w14:textId="77777777" w:rsidR="00CE13BC" w:rsidRDefault="00CE13BC" w:rsidP="00CE13BC">
      <w:pPr>
        <w:spacing w:line="480" w:lineRule="auto"/>
        <w:rPr>
          <w:rFonts w:ascii="Times New Roman" w:hAnsi="Times New Roman" w:cs="Times New Roman"/>
          <w:b/>
          <w:bCs/>
          <w:sz w:val="24"/>
          <w:szCs w:val="24"/>
        </w:rPr>
      </w:pPr>
    </w:p>
    <w:p w14:paraId="57ED78C9" w14:textId="77777777" w:rsidR="00CE13BC" w:rsidRDefault="00CE13BC" w:rsidP="00CE13B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4C3F8AB7" w14:textId="77777777" w:rsidR="00CE13BC" w:rsidRDefault="00CE13BC" w:rsidP="00CE13BC">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Figure S1</w:t>
      </w:r>
      <w:r w:rsidRPr="00592EED">
        <w:rPr>
          <w:rFonts w:ascii="Times New Roman" w:hAnsi="Times New Roman" w:cs="Times New Roman"/>
          <w:b/>
          <w:bCs/>
          <w:noProof/>
          <w:sz w:val="24"/>
          <w:szCs w:val="24"/>
          <w:lang w:val="en-IN" w:eastAsia="en-IN"/>
        </w:rPr>
        <w:drawing>
          <wp:inline distT="0" distB="0" distL="0" distR="0" wp14:anchorId="7D7D1A0C" wp14:editId="435D3259">
            <wp:extent cx="6480175" cy="58724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480175" cy="5872480"/>
                    </a:xfrm>
                    <a:prstGeom prst="rect">
                      <a:avLst/>
                    </a:prstGeom>
                  </pic:spPr>
                </pic:pic>
              </a:graphicData>
            </a:graphic>
          </wp:inline>
        </w:drawing>
      </w:r>
    </w:p>
    <w:p w14:paraId="3CB96433" w14:textId="77777777" w:rsidR="00CE13BC" w:rsidRPr="001E7F1D" w:rsidRDefault="00CE13BC" w:rsidP="00CE13BC">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Figure S1. </w:t>
      </w:r>
      <w:r w:rsidRPr="006747A2">
        <w:rPr>
          <w:rFonts w:ascii="Times New Roman" w:hAnsi="Times New Roman" w:cs="Times New Roman"/>
          <w:sz w:val="24"/>
          <w:szCs w:val="24"/>
        </w:rPr>
        <w:t xml:space="preserve">The relationship between values of </w:t>
      </w:r>
      <w:r w:rsidRPr="006747A2">
        <w:rPr>
          <w:rFonts w:ascii="Times New Roman" w:hAnsi="Times New Roman" w:cs="Times New Roman"/>
          <w:i/>
          <w:iCs/>
          <w:sz w:val="24"/>
          <w:szCs w:val="24"/>
        </w:rPr>
        <w:t>dra</w:t>
      </w:r>
      <w:r w:rsidRPr="006747A2">
        <w:rPr>
          <w:rFonts w:ascii="Times New Roman" w:hAnsi="Times New Roman" w:cs="Times New Roman"/>
          <w:sz w:val="24"/>
          <w:szCs w:val="24"/>
        </w:rPr>
        <w:t xml:space="preserve"> and the twinning rate derived from numerous runs of the simulation. Each datapoint represents one simulation.</w:t>
      </w:r>
      <w:r>
        <w:rPr>
          <w:rFonts w:ascii="Times New Roman" w:hAnsi="Times New Roman" w:cs="Times New Roman"/>
          <w:sz w:val="24"/>
          <w:szCs w:val="24"/>
        </w:rPr>
        <w:t xml:space="preserve"> The regression equation ~ Twinning rate = -3.635+</w:t>
      </w:r>
      <w:r w:rsidRPr="00C0779D">
        <w:rPr>
          <w:rFonts w:ascii="Times New Roman" w:hAnsi="Times New Roman" w:cs="Times New Roman"/>
          <w:i/>
          <w:iCs/>
          <w:sz w:val="24"/>
          <w:szCs w:val="24"/>
        </w:rPr>
        <w:t>dra</w:t>
      </w:r>
      <w:r>
        <w:rPr>
          <w:rFonts w:ascii="Times New Roman" w:hAnsi="Times New Roman" w:cs="Times New Roman"/>
          <w:sz w:val="24"/>
          <w:szCs w:val="24"/>
        </w:rPr>
        <w:t>*25.921.</w:t>
      </w:r>
    </w:p>
    <w:p w14:paraId="2F45CA93" w14:textId="77777777" w:rsidR="00CE13BC" w:rsidRDefault="00CE13BC" w:rsidP="00CE13BC">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Figure S2</w:t>
      </w:r>
      <w:r w:rsidRPr="001B521D">
        <w:rPr>
          <w:rFonts w:ascii="Times New Roman" w:hAnsi="Times New Roman" w:cs="Times New Roman"/>
          <w:b/>
          <w:bCs/>
          <w:noProof/>
          <w:sz w:val="24"/>
          <w:szCs w:val="24"/>
          <w:lang w:val="en-IN" w:eastAsia="en-IN"/>
        </w:rPr>
        <w:drawing>
          <wp:inline distT="0" distB="0" distL="0" distR="0" wp14:anchorId="69616110" wp14:editId="57D58FC2">
            <wp:extent cx="6480175" cy="57613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1733"/>
                    <a:stretch/>
                  </pic:blipFill>
                  <pic:spPr bwMode="auto">
                    <a:xfrm>
                      <a:off x="0" y="0"/>
                      <a:ext cx="6480175" cy="5761355"/>
                    </a:xfrm>
                    <a:prstGeom prst="rect">
                      <a:avLst/>
                    </a:prstGeom>
                    <a:ln>
                      <a:noFill/>
                    </a:ln>
                    <a:extLst>
                      <a:ext uri="{53640926-AAD7-44D8-BBD7-CCE9431645EC}">
                        <a14:shadowObscured xmlns:a14="http://schemas.microsoft.com/office/drawing/2010/main"/>
                      </a:ext>
                    </a:extLst>
                  </pic:spPr>
                </pic:pic>
              </a:graphicData>
            </a:graphic>
          </wp:inline>
        </w:drawing>
      </w:r>
    </w:p>
    <w:p w14:paraId="23793F46" w14:textId="77777777" w:rsidR="00CE13BC" w:rsidRPr="001E7F1D" w:rsidRDefault="00CE13BC" w:rsidP="00CE13BC">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Figure S2. </w:t>
      </w:r>
      <w:r w:rsidRPr="006747A2">
        <w:rPr>
          <w:rFonts w:ascii="Times New Roman" w:hAnsi="Times New Roman" w:cs="Times New Roman"/>
          <w:sz w:val="24"/>
          <w:szCs w:val="24"/>
        </w:rPr>
        <w:t xml:space="preserve">The relationship between values of </w:t>
      </w:r>
      <w:r>
        <w:rPr>
          <w:rFonts w:ascii="Times New Roman" w:hAnsi="Times New Roman" w:cs="Times New Roman"/>
          <w:i/>
          <w:iCs/>
          <w:sz w:val="24"/>
          <w:szCs w:val="24"/>
        </w:rPr>
        <w:t>spm</w:t>
      </w:r>
      <w:r w:rsidRPr="006747A2">
        <w:rPr>
          <w:rFonts w:ascii="Times New Roman" w:hAnsi="Times New Roman" w:cs="Times New Roman"/>
          <w:sz w:val="24"/>
          <w:szCs w:val="24"/>
        </w:rPr>
        <w:t xml:space="preserve"> and the twinning rate derived from numerous runs of the simulation. Each datapoint represents one simulation.</w:t>
      </w:r>
      <w:r w:rsidRPr="001E7F1D">
        <w:rPr>
          <w:rFonts w:ascii="Times New Roman" w:hAnsi="Times New Roman" w:cs="Times New Roman"/>
          <w:sz w:val="24"/>
          <w:szCs w:val="24"/>
        </w:rPr>
        <w:t xml:space="preserve"> </w:t>
      </w:r>
      <w:r>
        <w:rPr>
          <w:rFonts w:ascii="Times New Roman" w:hAnsi="Times New Roman" w:cs="Times New Roman"/>
          <w:sz w:val="24"/>
          <w:szCs w:val="24"/>
        </w:rPr>
        <w:t>The regression equation ~ Twinning rate = 99.1027+</w:t>
      </w:r>
      <w:r>
        <w:rPr>
          <w:rFonts w:ascii="Times New Roman" w:hAnsi="Times New Roman" w:cs="Times New Roman"/>
          <w:i/>
          <w:iCs/>
          <w:sz w:val="24"/>
          <w:szCs w:val="24"/>
        </w:rPr>
        <w:t>spm</w:t>
      </w:r>
      <w:r>
        <w:rPr>
          <w:rFonts w:ascii="Times New Roman" w:hAnsi="Times New Roman" w:cs="Times New Roman"/>
          <w:sz w:val="24"/>
          <w:szCs w:val="24"/>
        </w:rPr>
        <w:t>*-2.552.</w:t>
      </w:r>
    </w:p>
    <w:p w14:paraId="310304E8" w14:textId="77777777" w:rsidR="00CE13BC" w:rsidRDefault="00CE13BC"/>
    <w:p w14:paraId="1572FE0F" w14:textId="6FFF5302" w:rsidR="00CE13BC" w:rsidRPr="00CE13BC" w:rsidRDefault="00CE13BC">
      <w:pPr>
        <w:rPr>
          <w:rFonts w:ascii="Times New Roman" w:hAnsi="Times New Roman" w:cs="Times New Roman"/>
          <w:b/>
          <w:bCs/>
          <w:sz w:val="24"/>
          <w:szCs w:val="24"/>
        </w:rPr>
      </w:pPr>
      <w:r w:rsidRPr="00CE13BC">
        <w:rPr>
          <w:rFonts w:ascii="Times New Roman" w:hAnsi="Times New Roman" w:cs="Times New Roman"/>
          <w:b/>
          <w:bCs/>
          <w:sz w:val="24"/>
          <w:szCs w:val="24"/>
        </w:rPr>
        <w:t>References</w:t>
      </w:r>
    </w:p>
    <w:p w14:paraId="3ECAB96F" w14:textId="77777777" w:rsidR="00CE13BC" w:rsidRPr="00CE13BC" w:rsidRDefault="00CE13BC">
      <w:pPr>
        <w:rPr>
          <w:rFonts w:ascii="Times New Roman" w:hAnsi="Times New Roman" w:cs="Times New Roman"/>
          <w:sz w:val="24"/>
          <w:szCs w:val="24"/>
        </w:rPr>
      </w:pPr>
    </w:p>
    <w:p w14:paraId="364943CA" w14:textId="77777777" w:rsidR="00CE13BC" w:rsidRPr="00CE13BC" w:rsidRDefault="00CE13BC" w:rsidP="00CE13BC">
      <w:pPr>
        <w:pStyle w:val="EndNoteBibliography"/>
        <w:spacing w:after="0"/>
        <w:ind w:left="720" w:hanging="720"/>
        <w:rPr>
          <w:rFonts w:ascii="Times New Roman" w:hAnsi="Times New Roman" w:cs="Times New Roman"/>
          <w:sz w:val="24"/>
          <w:szCs w:val="24"/>
        </w:rPr>
      </w:pPr>
      <w:r w:rsidRPr="00CE13BC">
        <w:rPr>
          <w:rFonts w:ascii="Times New Roman" w:hAnsi="Times New Roman" w:cs="Times New Roman"/>
          <w:sz w:val="24"/>
          <w:szCs w:val="24"/>
        </w:rPr>
        <w:fldChar w:fldCharType="begin"/>
      </w:r>
      <w:r w:rsidRPr="00CE13BC">
        <w:rPr>
          <w:rFonts w:ascii="Times New Roman" w:hAnsi="Times New Roman" w:cs="Times New Roman"/>
          <w:sz w:val="24"/>
          <w:szCs w:val="24"/>
        </w:rPr>
        <w:instrText xml:space="preserve"> ADDIN EN.REFLIST </w:instrText>
      </w:r>
      <w:r w:rsidRPr="00CE13BC">
        <w:rPr>
          <w:rFonts w:ascii="Times New Roman" w:hAnsi="Times New Roman" w:cs="Times New Roman"/>
          <w:sz w:val="24"/>
          <w:szCs w:val="24"/>
        </w:rPr>
        <w:fldChar w:fldCharType="separate"/>
      </w:r>
      <w:r w:rsidRPr="00CE13BC">
        <w:rPr>
          <w:rFonts w:ascii="Times New Roman" w:hAnsi="Times New Roman" w:cs="Times New Roman"/>
          <w:sz w:val="24"/>
          <w:szCs w:val="24"/>
        </w:rPr>
        <w:t xml:space="preserve">Eriksson, A. W., &amp; Fellman, J. (2000). Seasonal variation in livebirths, stillbirths extramarital births and twin maternities in Switzerland. </w:t>
      </w:r>
      <w:r w:rsidRPr="00CE13BC">
        <w:rPr>
          <w:rFonts w:ascii="Times New Roman" w:hAnsi="Times New Roman" w:cs="Times New Roman"/>
          <w:i/>
          <w:sz w:val="24"/>
          <w:szCs w:val="24"/>
        </w:rPr>
        <w:t>Twin Research</w:t>
      </w:r>
      <w:r w:rsidRPr="00CE13BC">
        <w:rPr>
          <w:rFonts w:ascii="Times New Roman" w:hAnsi="Times New Roman" w:cs="Times New Roman"/>
          <w:sz w:val="24"/>
          <w:szCs w:val="24"/>
        </w:rPr>
        <w:t>,</w:t>
      </w:r>
      <w:r w:rsidRPr="00CE13BC">
        <w:rPr>
          <w:rFonts w:ascii="Times New Roman" w:hAnsi="Times New Roman" w:cs="Times New Roman"/>
          <w:i/>
          <w:sz w:val="24"/>
          <w:szCs w:val="24"/>
        </w:rPr>
        <w:t xml:space="preserve"> 3</w:t>
      </w:r>
      <w:r w:rsidRPr="00CE13BC">
        <w:rPr>
          <w:rFonts w:ascii="Times New Roman" w:hAnsi="Times New Roman" w:cs="Times New Roman"/>
          <w:sz w:val="24"/>
          <w:szCs w:val="24"/>
        </w:rPr>
        <w:t xml:space="preserve">, 189-201. </w:t>
      </w:r>
    </w:p>
    <w:p w14:paraId="7254B12E" w14:textId="6D590315" w:rsidR="00CE13BC" w:rsidRPr="00CE13BC" w:rsidRDefault="00CE13BC" w:rsidP="00CE13BC">
      <w:pPr>
        <w:pStyle w:val="EndNoteBibliography"/>
        <w:spacing w:after="0"/>
        <w:ind w:left="720" w:hanging="720"/>
        <w:rPr>
          <w:rFonts w:ascii="Times New Roman" w:hAnsi="Times New Roman" w:cs="Times New Roman"/>
          <w:sz w:val="24"/>
          <w:szCs w:val="24"/>
        </w:rPr>
      </w:pPr>
      <w:r w:rsidRPr="00CE13BC">
        <w:rPr>
          <w:rFonts w:ascii="Times New Roman" w:hAnsi="Times New Roman" w:cs="Times New Roman"/>
          <w:sz w:val="24"/>
          <w:szCs w:val="24"/>
        </w:rPr>
        <w:lastRenderedPageBreak/>
        <w:t xml:space="preserve">Eriksson, A. W., &amp; Fellman, J. (2007). Temporal trends in the rates of multiple maternities in England and wales. </w:t>
      </w:r>
      <w:r w:rsidRPr="00CE13BC">
        <w:rPr>
          <w:rFonts w:ascii="Times New Roman" w:hAnsi="Times New Roman" w:cs="Times New Roman"/>
          <w:i/>
          <w:sz w:val="24"/>
          <w:szCs w:val="24"/>
        </w:rPr>
        <w:t>Twin Research and Human Genetics</w:t>
      </w:r>
      <w:r w:rsidRPr="00CE13BC">
        <w:rPr>
          <w:rFonts w:ascii="Times New Roman" w:hAnsi="Times New Roman" w:cs="Times New Roman"/>
          <w:sz w:val="24"/>
          <w:szCs w:val="24"/>
        </w:rPr>
        <w:t>,</w:t>
      </w:r>
      <w:r w:rsidRPr="00CE13BC">
        <w:rPr>
          <w:rFonts w:ascii="Times New Roman" w:hAnsi="Times New Roman" w:cs="Times New Roman"/>
          <w:i/>
          <w:sz w:val="24"/>
          <w:szCs w:val="24"/>
        </w:rPr>
        <w:t xml:space="preserve"> 10</w:t>
      </w:r>
      <w:r w:rsidRPr="00CE13BC">
        <w:rPr>
          <w:rFonts w:ascii="Times New Roman" w:hAnsi="Times New Roman" w:cs="Times New Roman"/>
          <w:sz w:val="24"/>
          <w:szCs w:val="24"/>
        </w:rPr>
        <w:t xml:space="preserve">(4), 626-632. </w:t>
      </w:r>
      <w:hyperlink r:id="rId6" w:history="1">
        <w:r w:rsidRPr="00CE13BC">
          <w:rPr>
            <w:rStyle w:val="Hyperlink"/>
            <w:rFonts w:ascii="Times New Roman" w:hAnsi="Times New Roman" w:cs="Times New Roman"/>
            <w:sz w:val="24"/>
            <w:szCs w:val="24"/>
          </w:rPr>
          <w:t>https://doi.org/10.1375/twin.10.4.626</w:t>
        </w:r>
      </w:hyperlink>
      <w:r w:rsidRPr="00CE13BC">
        <w:rPr>
          <w:rFonts w:ascii="Times New Roman" w:hAnsi="Times New Roman" w:cs="Times New Roman"/>
          <w:sz w:val="24"/>
          <w:szCs w:val="24"/>
        </w:rPr>
        <w:t xml:space="preserve"> </w:t>
      </w:r>
    </w:p>
    <w:p w14:paraId="5872215D" w14:textId="13381275" w:rsidR="00CE13BC" w:rsidRPr="00CE13BC" w:rsidRDefault="00CE13BC" w:rsidP="00CE13BC">
      <w:pPr>
        <w:pStyle w:val="EndNoteBibliography"/>
        <w:spacing w:after="0"/>
        <w:ind w:left="720" w:hanging="720"/>
        <w:rPr>
          <w:rFonts w:ascii="Times New Roman" w:hAnsi="Times New Roman" w:cs="Times New Roman"/>
          <w:sz w:val="24"/>
          <w:szCs w:val="24"/>
        </w:rPr>
      </w:pPr>
      <w:r w:rsidRPr="00CE13BC">
        <w:rPr>
          <w:rFonts w:ascii="Times New Roman" w:hAnsi="Times New Roman" w:cs="Times New Roman"/>
          <w:sz w:val="24"/>
          <w:szCs w:val="24"/>
        </w:rPr>
        <w:t xml:space="preserve">Eriksson, A. W., Fellman, J., Jorde, L. B., &amp; Pitkanen, K. (2008). Temporal, seasonal, and regional differences in births and deaths in Aland (Finland). </w:t>
      </w:r>
      <w:r w:rsidRPr="00CE13BC">
        <w:rPr>
          <w:rFonts w:ascii="Times New Roman" w:hAnsi="Times New Roman" w:cs="Times New Roman"/>
          <w:i/>
          <w:sz w:val="24"/>
          <w:szCs w:val="24"/>
        </w:rPr>
        <w:t>Human Biology</w:t>
      </w:r>
      <w:r w:rsidRPr="00CE13BC">
        <w:rPr>
          <w:rFonts w:ascii="Times New Roman" w:hAnsi="Times New Roman" w:cs="Times New Roman"/>
          <w:sz w:val="24"/>
          <w:szCs w:val="24"/>
        </w:rPr>
        <w:t>,</w:t>
      </w:r>
      <w:r w:rsidRPr="00CE13BC">
        <w:rPr>
          <w:rFonts w:ascii="Times New Roman" w:hAnsi="Times New Roman" w:cs="Times New Roman"/>
          <w:i/>
          <w:sz w:val="24"/>
          <w:szCs w:val="24"/>
        </w:rPr>
        <w:t xml:space="preserve"> 80</w:t>
      </w:r>
      <w:r w:rsidRPr="00CE13BC">
        <w:rPr>
          <w:rFonts w:ascii="Times New Roman" w:hAnsi="Times New Roman" w:cs="Times New Roman"/>
          <w:sz w:val="24"/>
          <w:szCs w:val="24"/>
        </w:rPr>
        <w:t xml:space="preserve">(2), 125-140. </w:t>
      </w:r>
      <w:hyperlink r:id="rId7" w:history="1">
        <w:r w:rsidRPr="00CE13BC">
          <w:rPr>
            <w:rStyle w:val="Hyperlink"/>
            <w:rFonts w:ascii="Times New Roman" w:hAnsi="Times New Roman" w:cs="Times New Roman"/>
            <w:sz w:val="24"/>
            <w:szCs w:val="24"/>
          </w:rPr>
          <w:t>https://doi.org/10.3378/1534-6617</w:t>
        </w:r>
      </w:hyperlink>
      <w:r w:rsidRPr="00CE13BC">
        <w:rPr>
          <w:rFonts w:ascii="Times New Roman" w:hAnsi="Times New Roman" w:cs="Times New Roman"/>
          <w:sz w:val="24"/>
          <w:szCs w:val="24"/>
        </w:rPr>
        <w:t xml:space="preserve"> </w:t>
      </w:r>
    </w:p>
    <w:p w14:paraId="40B4798A" w14:textId="77777777" w:rsidR="00CE13BC" w:rsidRPr="00CE13BC" w:rsidRDefault="00CE13BC" w:rsidP="00CE13BC">
      <w:pPr>
        <w:pStyle w:val="EndNoteBibliography"/>
        <w:spacing w:after="0"/>
        <w:ind w:left="720" w:hanging="720"/>
        <w:rPr>
          <w:rFonts w:ascii="Times New Roman" w:hAnsi="Times New Roman" w:cs="Times New Roman"/>
          <w:sz w:val="24"/>
          <w:szCs w:val="24"/>
        </w:rPr>
      </w:pPr>
      <w:r w:rsidRPr="00CE13BC">
        <w:rPr>
          <w:rFonts w:ascii="Times New Roman" w:hAnsi="Times New Roman" w:cs="Times New Roman"/>
          <w:sz w:val="24"/>
          <w:szCs w:val="24"/>
        </w:rPr>
        <w:t xml:space="preserve">Fellman, J., &amp; Eriksson, A. W. (1999). Statistical analysis of the seasonal variation in the twinning rate. </w:t>
      </w:r>
      <w:r w:rsidRPr="00CE13BC">
        <w:rPr>
          <w:rFonts w:ascii="Times New Roman" w:hAnsi="Times New Roman" w:cs="Times New Roman"/>
          <w:i/>
          <w:sz w:val="24"/>
          <w:szCs w:val="24"/>
        </w:rPr>
        <w:t>Twin Research</w:t>
      </w:r>
      <w:r w:rsidRPr="00CE13BC">
        <w:rPr>
          <w:rFonts w:ascii="Times New Roman" w:hAnsi="Times New Roman" w:cs="Times New Roman"/>
          <w:sz w:val="24"/>
          <w:szCs w:val="24"/>
        </w:rPr>
        <w:t>,</w:t>
      </w:r>
      <w:r w:rsidRPr="00CE13BC">
        <w:rPr>
          <w:rFonts w:ascii="Times New Roman" w:hAnsi="Times New Roman" w:cs="Times New Roman"/>
          <w:i/>
          <w:sz w:val="24"/>
          <w:szCs w:val="24"/>
        </w:rPr>
        <w:t xml:space="preserve"> 2</w:t>
      </w:r>
      <w:r w:rsidRPr="00CE13BC">
        <w:rPr>
          <w:rFonts w:ascii="Times New Roman" w:hAnsi="Times New Roman" w:cs="Times New Roman"/>
          <w:sz w:val="24"/>
          <w:szCs w:val="24"/>
        </w:rPr>
        <w:t xml:space="preserve">, 22-29. </w:t>
      </w:r>
    </w:p>
    <w:p w14:paraId="39788610" w14:textId="7EE2CDE9" w:rsidR="00CE13BC" w:rsidRPr="00CE13BC" w:rsidRDefault="00CE13BC" w:rsidP="00CE13BC">
      <w:pPr>
        <w:pStyle w:val="EndNoteBibliography"/>
        <w:spacing w:after="0"/>
        <w:ind w:left="720" w:hanging="720"/>
        <w:rPr>
          <w:rFonts w:ascii="Times New Roman" w:hAnsi="Times New Roman" w:cs="Times New Roman"/>
          <w:sz w:val="24"/>
          <w:szCs w:val="24"/>
        </w:rPr>
      </w:pPr>
      <w:r w:rsidRPr="00CE13BC">
        <w:rPr>
          <w:rFonts w:ascii="Times New Roman" w:hAnsi="Times New Roman" w:cs="Times New Roman"/>
          <w:sz w:val="24"/>
          <w:szCs w:val="24"/>
        </w:rPr>
        <w:t xml:space="preserve">Fellman, J., &amp; Eriksson, A. W. (2003). Temporal differences in the regional twinning rates in Sweden after 1750. </w:t>
      </w:r>
      <w:r w:rsidRPr="00CE13BC">
        <w:rPr>
          <w:rFonts w:ascii="Times New Roman" w:hAnsi="Times New Roman" w:cs="Times New Roman"/>
          <w:i/>
          <w:sz w:val="24"/>
          <w:szCs w:val="24"/>
        </w:rPr>
        <w:t>Twin Research</w:t>
      </w:r>
      <w:r w:rsidRPr="00CE13BC">
        <w:rPr>
          <w:rFonts w:ascii="Times New Roman" w:hAnsi="Times New Roman" w:cs="Times New Roman"/>
          <w:sz w:val="24"/>
          <w:szCs w:val="24"/>
        </w:rPr>
        <w:t>,</w:t>
      </w:r>
      <w:r w:rsidRPr="00CE13BC">
        <w:rPr>
          <w:rFonts w:ascii="Times New Roman" w:hAnsi="Times New Roman" w:cs="Times New Roman"/>
          <w:i/>
          <w:sz w:val="24"/>
          <w:szCs w:val="24"/>
        </w:rPr>
        <w:t xml:space="preserve"> 6</w:t>
      </w:r>
      <w:r w:rsidRPr="00CE13BC">
        <w:rPr>
          <w:rFonts w:ascii="Times New Roman" w:hAnsi="Times New Roman" w:cs="Times New Roman"/>
          <w:sz w:val="24"/>
          <w:szCs w:val="24"/>
        </w:rPr>
        <w:t xml:space="preserve">(3), 183-191. </w:t>
      </w:r>
      <w:hyperlink r:id="rId8" w:history="1">
        <w:r w:rsidRPr="00CE13BC">
          <w:rPr>
            <w:rStyle w:val="Hyperlink"/>
            <w:rFonts w:ascii="Times New Roman" w:hAnsi="Times New Roman" w:cs="Times New Roman"/>
            <w:sz w:val="24"/>
            <w:szCs w:val="24"/>
          </w:rPr>
          <w:t>https://doi.org/10.1375/136905203765693834</w:t>
        </w:r>
      </w:hyperlink>
      <w:r w:rsidRPr="00CE13BC">
        <w:rPr>
          <w:rFonts w:ascii="Times New Roman" w:hAnsi="Times New Roman" w:cs="Times New Roman"/>
          <w:sz w:val="24"/>
          <w:szCs w:val="24"/>
        </w:rPr>
        <w:t xml:space="preserve"> </w:t>
      </w:r>
    </w:p>
    <w:p w14:paraId="42193261" w14:textId="5D178700" w:rsidR="00CE13BC" w:rsidRPr="00CE13BC" w:rsidRDefault="00CE13BC" w:rsidP="00CE13BC">
      <w:pPr>
        <w:pStyle w:val="EndNoteBibliography"/>
        <w:spacing w:after="0"/>
        <w:ind w:left="720" w:hanging="720"/>
        <w:rPr>
          <w:rFonts w:ascii="Times New Roman" w:hAnsi="Times New Roman" w:cs="Times New Roman"/>
          <w:sz w:val="24"/>
          <w:szCs w:val="24"/>
        </w:rPr>
      </w:pPr>
      <w:r w:rsidRPr="00CE13BC">
        <w:rPr>
          <w:rFonts w:ascii="Times New Roman" w:hAnsi="Times New Roman" w:cs="Times New Roman"/>
          <w:sz w:val="24"/>
          <w:szCs w:val="24"/>
        </w:rPr>
        <w:t xml:space="preserve">Hazel, W. N., Black, R., Smock, R. C., Sear, R., &amp; Tomkins, J. L. (2020). An age-dependent ovulatory strategy explains the evolution of dizygotic twinning in humans. </w:t>
      </w:r>
      <w:r w:rsidRPr="00CE13BC">
        <w:rPr>
          <w:rFonts w:ascii="Times New Roman" w:hAnsi="Times New Roman" w:cs="Times New Roman"/>
          <w:i/>
          <w:sz w:val="24"/>
          <w:szCs w:val="24"/>
        </w:rPr>
        <w:t>Nature Ecology &amp; Evolution</w:t>
      </w:r>
      <w:r w:rsidRPr="00CE13BC">
        <w:rPr>
          <w:rFonts w:ascii="Times New Roman" w:hAnsi="Times New Roman" w:cs="Times New Roman"/>
          <w:sz w:val="24"/>
          <w:szCs w:val="24"/>
        </w:rPr>
        <w:t>,</w:t>
      </w:r>
      <w:r w:rsidRPr="00CE13BC">
        <w:rPr>
          <w:rFonts w:ascii="Times New Roman" w:hAnsi="Times New Roman" w:cs="Times New Roman"/>
          <w:i/>
          <w:sz w:val="24"/>
          <w:szCs w:val="24"/>
        </w:rPr>
        <w:t xml:space="preserve"> 4</w:t>
      </w:r>
      <w:r w:rsidRPr="00CE13BC">
        <w:rPr>
          <w:rFonts w:ascii="Times New Roman" w:hAnsi="Times New Roman" w:cs="Times New Roman"/>
          <w:sz w:val="24"/>
          <w:szCs w:val="24"/>
        </w:rPr>
        <w:t xml:space="preserve">(7), 987-+. </w:t>
      </w:r>
      <w:hyperlink r:id="rId9" w:history="1">
        <w:r w:rsidRPr="00CE13BC">
          <w:rPr>
            <w:rStyle w:val="Hyperlink"/>
            <w:rFonts w:ascii="Times New Roman" w:hAnsi="Times New Roman" w:cs="Times New Roman"/>
            <w:sz w:val="24"/>
            <w:szCs w:val="24"/>
          </w:rPr>
          <w:t>https://doi.org/10.1038/s41559-020-1173-y</w:t>
        </w:r>
      </w:hyperlink>
      <w:r w:rsidRPr="00CE13BC">
        <w:rPr>
          <w:rFonts w:ascii="Times New Roman" w:hAnsi="Times New Roman" w:cs="Times New Roman"/>
          <w:sz w:val="24"/>
          <w:szCs w:val="24"/>
        </w:rPr>
        <w:t xml:space="preserve"> </w:t>
      </w:r>
    </w:p>
    <w:p w14:paraId="5E4B5479" w14:textId="4B9428EC" w:rsidR="00CE13BC" w:rsidRPr="00CE13BC" w:rsidRDefault="00CE13BC" w:rsidP="00CE13BC">
      <w:pPr>
        <w:pStyle w:val="EndNoteBibliography"/>
        <w:spacing w:after="0"/>
        <w:ind w:left="720" w:hanging="720"/>
        <w:rPr>
          <w:rFonts w:ascii="Times New Roman" w:hAnsi="Times New Roman" w:cs="Times New Roman"/>
          <w:sz w:val="24"/>
          <w:szCs w:val="24"/>
        </w:rPr>
      </w:pPr>
      <w:r w:rsidRPr="00CE13BC">
        <w:rPr>
          <w:rFonts w:ascii="Times New Roman" w:hAnsi="Times New Roman" w:cs="Times New Roman"/>
          <w:sz w:val="24"/>
          <w:szCs w:val="24"/>
        </w:rPr>
        <w:t xml:space="preserve">Lam, D. A., &amp; Miron, J. A. (1994). Global Patterns of Seasonal-Variation in Human-Fertility. </w:t>
      </w:r>
      <w:r w:rsidRPr="00CE13BC">
        <w:rPr>
          <w:rFonts w:ascii="Times New Roman" w:hAnsi="Times New Roman" w:cs="Times New Roman"/>
          <w:i/>
          <w:sz w:val="24"/>
          <w:szCs w:val="24"/>
        </w:rPr>
        <w:t>Human Reproductive Ecology</w:t>
      </w:r>
      <w:r w:rsidRPr="00CE13BC">
        <w:rPr>
          <w:rFonts w:ascii="Times New Roman" w:hAnsi="Times New Roman" w:cs="Times New Roman"/>
          <w:sz w:val="24"/>
          <w:szCs w:val="24"/>
        </w:rPr>
        <w:t>,</w:t>
      </w:r>
      <w:r w:rsidRPr="00CE13BC">
        <w:rPr>
          <w:rFonts w:ascii="Times New Roman" w:hAnsi="Times New Roman" w:cs="Times New Roman"/>
          <w:i/>
          <w:sz w:val="24"/>
          <w:szCs w:val="24"/>
        </w:rPr>
        <w:t xml:space="preserve"> 709</w:t>
      </w:r>
      <w:r w:rsidRPr="00CE13BC">
        <w:rPr>
          <w:rFonts w:ascii="Times New Roman" w:hAnsi="Times New Roman" w:cs="Times New Roman"/>
          <w:sz w:val="24"/>
          <w:szCs w:val="24"/>
        </w:rPr>
        <w:t xml:space="preserve">, 9-28. </w:t>
      </w:r>
      <w:hyperlink r:id="rId10" w:history="1">
        <w:r w:rsidRPr="00CE13BC">
          <w:rPr>
            <w:rStyle w:val="Hyperlink"/>
            <w:rFonts w:ascii="Times New Roman" w:hAnsi="Times New Roman" w:cs="Times New Roman"/>
            <w:sz w:val="24"/>
            <w:szCs w:val="24"/>
          </w:rPr>
          <w:t>https://doi.org/10.1111/j.1749-6632.1994.tb30385.x</w:t>
        </w:r>
      </w:hyperlink>
      <w:r w:rsidRPr="00CE13BC">
        <w:rPr>
          <w:rFonts w:ascii="Times New Roman" w:hAnsi="Times New Roman" w:cs="Times New Roman"/>
          <w:sz w:val="24"/>
          <w:szCs w:val="24"/>
        </w:rPr>
        <w:t xml:space="preserve"> </w:t>
      </w:r>
    </w:p>
    <w:p w14:paraId="52E2F589" w14:textId="35CAFB6B" w:rsidR="00CE13BC" w:rsidRPr="00CE13BC" w:rsidRDefault="00CE13BC" w:rsidP="00CE13BC">
      <w:pPr>
        <w:pStyle w:val="EndNoteBibliography"/>
        <w:spacing w:after="0"/>
        <w:ind w:left="720" w:hanging="720"/>
        <w:rPr>
          <w:rFonts w:ascii="Times New Roman" w:hAnsi="Times New Roman" w:cs="Times New Roman"/>
          <w:sz w:val="24"/>
          <w:szCs w:val="24"/>
        </w:rPr>
      </w:pPr>
      <w:r w:rsidRPr="00CE13BC">
        <w:rPr>
          <w:rFonts w:ascii="Times New Roman" w:hAnsi="Times New Roman" w:cs="Times New Roman"/>
          <w:sz w:val="24"/>
          <w:szCs w:val="24"/>
        </w:rPr>
        <w:t xml:space="preserve">O'Connor, K. A., Holman, D. J., &amp; Wood, J. W. (1998). Declining fecundity and ovarian ageing in natural fertility populations. </w:t>
      </w:r>
      <w:r w:rsidRPr="00CE13BC">
        <w:rPr>
          <w:rFonts w:ascii="Times New Roman" w:hAnsi="Times New Roman" w:cs="Times New Roman"/>
          <w:i/>
          <w:sz w:val="24"/>
          <w:szCs w:val="24"/>
        </w:rPr>
        <w:t>Maturitas</w:t>
      </w:r>
      <w:r w:rsidRPr="00CE13BC">
        <w:rPr>
          <w:rFonts w:ascii="Times New Roman" w:hAnsi="Times New Roman" w:cs="Times New Roman"/>
          <w:sz w:val="24"/>
          <w:szCs w:val="24"/>
        </w:rPr>
        <w:t>,</w:t>
      </w:r>
      <w:r w:rsidRPr="00CE13BC">
        <w:rPr>
          <w:rFonts w:ascii="Times New Roman" w:hAnsi="Times New Roman" w:cs="Times New Roman"/>
          <w:i/>
          <w:sz w:val="24"/>
          <w:szCs w:val="24"/>
        </w:rPr>
        <w:t xml:space="preserve"> 30</w:t>
      </w:r>
      <w:r w:rsidRPr="00CE13BC">
        <w:rPr>
          <w:rFonts w:ascii="Times New Roman" w:hAnsi="Times New Roman" w:cs="Times New Roman"/>
          <w:sz w:val="24"/>
          <w:szCs w:val="24"/>
        </w:rPr>
        <w:t xml:space="preserve">(2), 127-136. </w:t>
      </w:r>
      <w:hyperlink r:id="rId11" w:history="1">
        <w:r w:rsidRPr="00CE13BC">
          <w:rPr>
            <w:rStyle w:val="Hyperlink"/>
            <w:rFonts w:ascii="Times New Roman" w:hAnsi="Times New Roman" w:cs="Times New Roman"/>
            <w:sz w:val="24"/>
            <w:szCs w:val="24"/>
          </w:rPr>
          <w:t>https://doi.org/10.1016/S0378-5122(98)00068-1</w:t>
        </w:r>
      </w:hyperlink>
      <w:r w:rsidRPr="00CE13BC">
        <w:rPr>
          <w:rFonts w:ascii="Times New Roman" w:hAnsi="Times New Roman" w:cs="Times New Roman"/>
          <w:sz w:val="24"/>
          <w:szCs w:val="24"/>
        </w:rPr>
        <w:t xml:space="preserve"> </w:t>
      </w:r>
    </w:p>
    <w:p w14:paraId="59BAC0F6" w14:textId="44016405" w:rsidR="00CE13BC" w:rsidRPr="00CE13BC" w:rsidRDefault="00CE13BC" w:rsidP="00CE13BC">
      <w:pPr>
        <w:pStyle w:val="EndNoteBibliography"/>
        <w:spacing w:after="0"/>
        <w:ind w:left="720" w:hanging="720"/>
        <w:rPr>
          <w:rFonts w:ascii="Times New Roman" w:hAnsi="Times New Roman" w:cs="Times New Roman"/>
          <w:sz w:val="24"/>
          <w:szCs w:val="24"/>
        </w:rPr>
      </w:pPr>
      <w:r w:rsidRPr="00CE13BC">
        <w:rPr>
          <w:rFonts w:ascii="Times New Roman" w:hAnsi="Times New Roman" w:cs="Times New Roman"/>
          <w:sz w:val="24"/>
          <w:szCs w:val="24"/>
        </w:rPr>
        <w:t xml:space="preserve">Russell, D., Douglas, A. S., &amp; Allan, T. M. (1993). Changing Seasonality of Birth - a Possible Environmental-Effect. </w:t>
      </w:r>
      <w:r w:rsidRPr="00CE13BC">
        <w:rPr>
          <w:rFonts w:ascii="Times New Roman" w:hAnsi="Times New Roman" w:cs="Times New Roman"/>
          <w:i/>
          <w:sz w:val="24"/>
          <w:szCs w:val="24"/>
        </w:rPr>
        <w:t>Journal of Epidemiology and Community Health</w:t>
      </w:r>
      <w:r w:rsidRPr="00CE13BC">
        <w:rPr>
          <w:rFonts w:ascii="Times New Roman" w:hAnsi="Times New Roman" w:cs="Times New Roman"/>
          <w:sz w:val="24"/>
          <w:szCs w:val="24"/>
        </w:rPr>
        <w:t>,</w:t>
      </w:r>
      <w:r w:rsidRPr="00CE13BC">
        <w:rPr>
          <w:rFonts w:ascii="Times New Roman" w:hAnsi="Times New Roman" w:cs="Times New Roman"/>
          <w:i/>
          <w:sz w:val="24"/>
          <w:szCs w:val="24"/>
        </w:rPr>
        <w:t xml:space="preserve"> 47</w:t>
      </w:r>
      <w:r w:rsidRPr="00CE13BC">
        <w:rPr>
          <w:rFonts w:ascii="Times New Roman" w:hAnsi="Times New Roman" w:cs="Times New Roman"/>
          <w:sz w:val="24"/>
          <w:szCs w:val="24"/>
        </w:rPr>
        <w:t xml:space="preserve">(5), 362-367. </w:t>
      </w:r>
      <w:hyperlink r:id="rId12" w:history="1">
        <w:r w:rsidRPr="00CE13BC">
          <w:rPr>
            <w:rStyle w:val="Hyperlink"/>
            <w:rFonts w:ascii="Times New Roman" w:hAnsi="Times New Roman" w:cs="Times New Roman"/>
            <w:sz w:val="24"/>
            <w:szCs w:val="24"/>
          </w:rPr>
          <w:t>https://doi.org/10.1136/jech.47.5.362</w:t>
        </w:r>
      </w:hyperlink>
      <w:r w:rsidRPr="00CE13BC">
        <w:rPr>
          <w:rFonts w:ascii="Times New Roman" w:hAnsi="Times New Roman" w:cs="Times New Roman"/>
          <w:sz w:val="24"/>
          <w:szCs w:val="24"/>
        </w:rPr>
        <w:t xml:space="preserve"> </w:t>
      </w:r>
    </w:p>
    <w:p w14:paraId="0BAD9C88" w14:textId="4A1B1BBD" w:rsidR="00CE13BC" w:rsidRPr="00CE13BC" w:rsidRDefault="00CE13BC" w:rsidP="00CE13BC">
      <w:pPr>
        <w:pStyle w:val="EndNoteBibliography"/>
        <w:ind w:left="720" w:hanging="720"/>
        <w:rPr>
          <w:rFonts w:ascii="Times New Roman" w:hAnsi="Times New Roman" w:cs="Times New Roman"/>
          <w:sz w:val="24"/>
          <w:szCs w:val="24"/>
        </w:rPr>
      </w:pPr>
      <w:r w:rsidRPr="00CE13BC">
        <w:rPr>
          <w:rFonts w:ascii="Times New Roman" w:hAnsi="Times New Roman" w:cs="Times New Roman"/>
          <w:sz w:val="24"/>
          <w:szCs w:val="24"/>
        </w:rPr>
        <w:t xml:space="preserve">Sandahl, B. (1978). Seasonal Birth Pattern in Sweden in Relation to Birth-Order and Maternal Age. </w:t>
      </w:r>
      <w:r w:rsidRPr="00CE13BC">
        <w:rPr>
          <w:rFonts w:ascii="Times New Roman" w:hAnsi="Times New Roman" w:cs="Times New Roman"/>
          <w:i/>
          <w:sz w:val="24"/>
          <w:szCs w:val="24"/>
        </w:rPr>
        <w:t>Acta Obstetricia Et Gynecologica Scandinavica</w:t>
      </w:r>
      <w:r w:rsidRPr="00CE13BC">
        <w:rPr>
          <w:rFonts w:ascii="Times New Roman" w:hAnsi="Times New Roman" w:cs="Times New Roman"/>
          <w:sz w:val="24"/>
          <w:szCs w:val="24"/>
        </w:rPr>
        <w:t>,</w:t>
      </w:r>
      <w:r w:rsidRPr="00CE13BC">
        <w:rPr>
          <w:rFonts w:ascii="Times New Roman" w:hAnsi="Times New Roman" w:cs="Times New Roman"/>
          <w:i/>
          <w:sz w:val="24"/>
          <w:szCs w:val="24"/>
        </w:rPr>
        <w:t xml:space="preserve"> 57</w:t>
      </w:r>
      <w:r w:rsidRPr="00CE13BC">
        <w:rPr>
          <w:rFonts w:ascii="Times New Roman" w:hAnsi="Times New Roman" w:cs="Times New Roman"/>
          <w:sz w:val="24"/>
          <w:szCs w:val="24"/>
        </w:rPr>
        <w:t xml:space="preserve">(5), 393-396. </w:t>
      </w:r>
      <w:hyperlink r:id="rId13" w:history="1">
        <w:r w:rsidRPr="00CE13BC">
          <w:rPr>
            <w:rStyle w:val="Hyperlink"/>
            <w:rFonts w:ascii="Times New Roman" w:hAnsi="Times New Roman" w:cs="Times New Roman"/>
            <w:sz w:val="24"/>
            <w:szCs w:val="24"/>
          </w:rPr>
          <w:t>https://doi.org/10.3109/00016347809156517</w:t>
        </w:r>
      </w:hyperlink>
      <w:r w:rsidRPr="00CE13BC">
        <w:rPr>
          <w:rFonts w:ascii="Times New Roman" w:hAnsi="Times New Roman" w:cs="Times New Roman"/>
          <w:sz w:val="24"/>
          <w:szCs w:val="24"/>
        </w:rPr>
        <w:t xml:space="preserve"> </w:t>
      </w:r>
    </w:p>
    <w:p w14:paraId="76BBE07E" w14:textId="73C29A7D" w:rsidR="000E5590" w:rsidRPr="00CE13BC" w:rsidRDefault="00CE13BC">
      <w:pPr>
        <w:rPr>
          <w:rFonts w:ascii="Times New Roman" w:hAnsi="Times New Roman" w:cs="Times New Roman"/>
          <w:sz w:val="24"/>
          <w:szCs w:val="24"/>
        </w:rPr>
      </w:pPr>
      <w:r w:rsidRPr="00CE13BC">
        <w:rPr>
          <w:rFonts w:ascii="Times New Roman" w:hAnsi="Times New Roman" w:cs="Times New Roman"/>
          <w:sz w:val="24"/>
          <w:szCs w:val="24"/>
        </w:rPr>
        <w:fldChar w:fldCharType="end"/>
      </w:r>
    </w:p>
    <w:sectPr w:rsidR="000E5590" w:rsidRPr="00CE13BC" w:rsidSect="00AC13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ffxv90d3exst3eadeux9wpuwt2t2f5xavs0&quot;&gt;Twin Seasonality&lt;record-ids&gt;&lt;item&gt;3&lt;/item&gt;&lt;item&gt;14&lt;/item&gt;&lt;item&gt;29&lt;/item&gt;&lt;item&gt;32&lt;/item&gt;&lt;item&gt;44&lt;/item&gt;&lt;item&gt;101&lt;/item&gt;&lt;item&gt;119&lt;/item&gt;&lt;item&gt;123&lt;/item&gt;&lt;item&gt;126&lt;/item&gt;&lt;item&gt;136&lt;/item&gt;&lt;/record-ids&gt;&lt;/item&gt;&lt;/Libraries&gt;"/>
  </w:docVars>
  <w:rsids>
    <w:rsidRoot w:val="00CE13BC"/>
    <w:rsid w:val="000E5590"/>
    <w:rsid w:val="002C3CB0"/>
    <w:rsid w:val="0041034D"/>
    <w:rsid w:val="00AC13C2"/>
    <w:rsid w:val="00CE13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57FF3"/>
  <w15:chartTrackingRefBased/>
  <w15:docId w15:val="{D01D4947-C3E5-4948-8D5D-24AF36EF2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3BC"/>
    <w:pPr>
      <w:suppressAutoHyphens/>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CE13BC"/>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E13BC"/>
    <w:rPr>
      <w:rFonts w:ascii="Calibri" w:hAnsi="Calibri" w:cs="Calibri"/>
      <w:noProof/>
      <w:kern w:val="0"/>
      <w:lang w:val="en-US"/>
      <w14:ligatures w14:val="none"/>
    </w:rPr>
  </w:style>
  <w:style w:type="paragraph" w:customStyle="1" w:styleId="EndNoteBibliography">
    <w:name w:val="EndNote Bibliography"/>
    <w:basedOn w:val="Normal"/>
    <w:link w:val="EndNoteBibliographyChar"/>
    <w:rsid w:val="00CE13BC"/>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E13BC"/>
    <w:rPr>
      <w:rFonts w:ascii="Calibri" w:hAnsi="Calibri" w:cs="Calibri"/>
      <w:noProof/>
      <w:kern w:val="0"/>
      <w:lang w:val="en-US"/>
      <w14:ligatures w14:val="none"/>
    </w:rPr>
  </w:style>
  <w:style w:type="character" w:styleId="Hyperlink">
    <w:name w:val="Hyperlink"/>
    <w:basedOn w:val="DefaultParagraphFont"/>
    <w:uiPriority w:val="99"/>
    <w:unhideWhenUsed/>
    <w:rsid w:val="00CE13BC"/>
    <w:rPr>
      <w:color w:val="0563C1" w:themeColor="hyperlink"/>
      <w:u w:val="single"/>
    </w:rPr>
  </w:style>
  <w:style w:type="character" w:customStyle="1" w:styleId="UnresolvedMention">
    <w:name w:val="Unresolved Mention"/>
    <w:basedOn w:val="DefaultParagraphFont"/>
    <w:uiPriority w:val="99"/>
    <w:semiHidden/>
    <w:unhideWhenUsed/>
    <w:rsid w:val="00CE13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5/136905203765693834" TargetMode="External"/><Relationship Id="rId13" Type="http://schemas.openxmlformats.org/officeDocument/2006/relationships/hyperlink" Target="https://doi.org/10.3109/00016347809156517" TargetMode="External"/><Relationship Id="rId3" Type="http://schemas.openxmlformats.org/officeDocument/2006/relationships/webSettings" Target="webSettings.xml"/><Relationship Id="rId7" Type="http://schemas.openxmlformats.org/officeDocument/2006/relationships/hyperlink" Target="https://doi.org/10.3378/1534-6617" TargetMode="External"/><Relationship Id="rId12" Type="http://schemas.openxmlformats.org/officeDocument/2006/relationships/hyperlink" Target="https://doi.org/10.1136/jech.47.5.36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75/twin.10.4.626" TargetMode="External"/><Relationship Id="rId11" Type="http://schemas.openxmlformats.org/officeDocument/2006/relationships/hyperlink" Target="https://doi.org/10.1016/S0378-5122(98)00068-1"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hyperlink" Target="https://doi.org/10.1111/j.1749-6632.1994.tb30385.x" TargetMode="External"/><Relationship Id="rId4" Type="http://schemas.openxmlformats.org/officeDocument/2006/relationships/image" Target="media/image1.png"/><Relationship Id="rId9" Type="http://schemas.openxmlformats.org/officeDocument/2006/relationships/hyperlink" Target="https://doi.org/10.1038/s41559-020-1173-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2112</Words>
  <Characters>12041</Characters>
  <Application>Microsoft Office Word</Application>
  <DocSecurity>0</DocSecurity>
  <Lines>100</Lines>
  <Paragraphs>28</Paragraphs>
  <ScaleCrop>false</ScaleCrop>
  <Company/>
  <LinksUpToDate>false</LinksUpToDate>
  <CharactersWithSpaces>14125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Tomkins</dc:creator>
  <cp:keywords/>
  <dc:description/>
  <cp:lastModifiedBy>Priyadharshini  Saravanan</cp:lastModifiedBy>
  <cp:revision>3</cp:revision>
  <dcterms:created xsi:type="dcterms:W3CDTF">2024-08-09T07:47:00Z</dcterms:created>
  <dcterms:modified xsi:type="dcterms:W3CDTF">2024-09-11T11:33:00Z</dcterms:modified>
</cp:coreProperties>
</file>