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EA8F1" w14:textId="78D73792" w:rsidR="008E0C17" w:rsidRDefault="002E08C2" w:rsidP="002E08C2">
      <w:pPr>
        <w:pStyle w:val="Stylepardfaut"/>
        <w:spacing w:line="480" w:lineRule="auto"/>
        <w:jc w:val="center"/>
        <w:rPr>
          <w:b/>
        </w:rPr>
      </w:pPr>
      <w:r>
        <w:rPr>
          <w:b/>
        </w:rPr>
        <w:t>SUPPLEMENTARY MATERIAL</w:t>
      </w:r>
    </w:p>
    <w:p w14:paraId="497B1CB3" w14:textId="77777777" w:rsidR="0014710A" w:rsidRDefault="0014710A" w:rsidP="002E08C2">
      <w:pPr>
        <w:pStyle w:val="Stylepardfaut"/>
        <w:spacing w:line="480" w:lineRule="auto"/>
        <w:jc w:val="center"/>
        <w:rPr>
          <w:b/>
        </w:rPr>
      </w:pPr>
    </w:p>
    <w:p w14:paraId="1D8DF610" w14:textId="36E20EBC" w:rsidR="0014710A" w:rsidRDefault="0014710A" w:rsidP="008E188C">
      <w:pPr>
        <w:pStyle w:val="Stylepardfaut"/>
        <w:numPr>
          <w:ilvl w:val="0"/>
          <w:numId w:val="4"/>
        </w:numPr>
        <w:spacing w:line="480" w:lineRule="auto"/>
        <w:rPr>
          <w:b/>
        </w:rPr>
      </w:pPr>
      <w:r>
        <w:rPr>
          <w:b/>
        </w:rPr>
        <w:t>Pilot study</w:t>
      </w:r>
    </w:p>
    <w:p w14:paraId="3AFF1C50" w14:textId="7D2F9585" w:rsidR="0014710A" w:rsidRDefault="0014710A" w:rsidP="001F062B">
      <w:pPr>
        <w:pStyle w:val="Stylepardfaut"/>
        <w:numPr>
          <w:ilvl w:val="0"/>
          <w:numId w:val="4"/>
        </w:numPr>
        <w:spacing w:line="480" w:lineRule="auto"/>
        <w:rPr>
          <w:b/>
        </w:rPr>
      </w:pPr>
      <w:r>
        <w:rPr>
          <w:b/>
        </w:rPr>
        <w:t xml:space="preserve">Additional </w:t>
      </w:r>
      <w:r w:rsidR="008E188C">
        <w:rPr>
          <w:b/>
        </w:rPr>
        <w:t>material</w:t>
      </w:r>
      <w:r w:rsidR="001F062B">
        <w:rPr>
          <w:b/>
        </w:rPr>
        <w:t>s</w:t>
      </w:r>
    </w:p>
    <w:p w14:paraId="2DB165DE" w14:textId="77777777" w:rsidR="0014710A" w:rsidRDefault="0014710A" w:rsidP="002E08C2">
      <w:pPr>
        <w:pStyle w:val="Stylepardfaut"/>
        <w:spacing w:line="480" w:lineRule="auto"/>
        <w:jc w:val="center"/>
        <w:rPr>
          <w:b/>
        </w:rPr>
        <w:sectPr w:rsidR="0014710A" w:rsidSect="004E3C3E">
          <w:pgSz w:w="11900" w:h="16840"/>
          <w:pgMar w:top="1417" w:right="1417" w:bottom="1417" w:left="1417" w:header="708" w:footer="708" w:gutter="0"/>
          <w:cols w:space="708"/>
          <w:docGrid w:linePitch="360"/>
        </w:sectPr>
      </w:pPr>
    </w:p>
    <w:p w14:paraId="20631AEF" w14:textId="77777777" w:rsidR="000D43A0" w:rsidRDefault="000D43A0" w:rsidP="000D43A0">
      <w:pPr>
        <w:pStyle w:val="Stylepardfaut"/>
        <w:spacing w:line="480" w:lineRule="auto"/>
        <w:rPr>
          <w:b/>
        </w:rPr>
      </w:pPr>
      <w:r>
        <w:rPr>
          <w:b/>
        </w:rPr>
        <w:lastRenderedPageBreak/>
        <w:t>1) PILOT STUDY</w:t>
      </w:r>
    </w:p>
    <w:p w14:paraId="032CBD2A" w14:textId="2B9606B9" w:rsidR="00861F55" w:rsidRDefault="000D43A0" w:rsidP="000D43A0">
      <w:pPr>
        <w:pStyle w:val="Stylepardfaut"/>
        <w:spacing w:line="480" w:lineRule="auto"/>
        <w:ind w:firstLine="709"/>
      </w:pPr>
      <w:r w:rsidRPr="009D6BA8">
        <w:t>In order to provide a first test of our hypothesis, we r</w:t>
      </w:r>
      <w:r>
        <w:t>a</w:t>
      </w:r>
      <w:r w:rsidRPr="009D6BA8">
        <w:t>n a pilot study in which</w:t>
      </w:r>
      <w:r>
        <w:t>, instead of assessing participants’ religiosity,</w:t>
      </w:r>
      <w:r w:rsidRPr="009D6BA8">
        <w:t xml:space="preserve"> we </w:t>
      </w:r>
      <w:r w:rsidR="00861F55">
        <w:t xml:space="preserve">rather </w:t>
      </w:r>
      <w:r>
        <w:t xml:space="preserve">focused on </w:t>
      </w:r>
      <w:r w:rsidR="00861F55">
        <w:t xml:space="preserve">participants’ </w:t>
      </w:r>
      <w:r>
        <w:t>religious affiliation</w:t>
      </w:r>
      <w:r w:rsidR="00861F55">
        <w:t xml:space="preserve">. We recruited a sample of both </w:t>
      </w:r>
      <w:r w:rsidR="00861F55" w:rsidRPr="009D6BA8">
        <w:t>Atheistic</w:t>
      </w:r>
      <w:r w:rsidR="00861F55">
        <w:t xml:space="preserve"> and</w:t>
      </w:r>
      <w:r w:rsidR="00861F55" w:rsidRPr="009D6BA8">
        <w:t xml:space="preserve"> Catholic </w:t>
      </w:r>
      <w:r w:rsidR="00861F55">
        <w:t xml:space="preserve">male </w:t>
      </w:r>
      <w:r w:rsidR="00861F55" w:rsidRPr="009D6BA8">
        <w:t>participants</w:t>
      </w:r>
      <w:r w:rsidR="00861F55">
        <w:t xml:space="preserve"> in the realm of two master dissertations.</w:t>
      </w:r>
      <w:r w:rsidR="00861F55" w:rsidRPr="00581B9A">
        <w:rPr>
          <w:rStyle w:val="Appelnotedebasdep"/>
        </w:rPr>
        <w:footnoteReference w:id="1"/>
      </w:r>
      <w:r w:rsidR="00861F55">
        <w:t xml:space="preserve"> S</w:t>
      </w:r>
      <w:r>
        <w:t xml:space="preserve">pecifically, </w:t>
      </w:r>
      <w:r w:rsidR="00861F55">
        <w:t xml:space="preserve">we assessed </w:t>
      </w:r>
      <w:r>
        <w:t>individuals’ self-declaration as either members of a religious community (i.e., Catholics) or as Atheists</w:t>
      </w:r>
      <w:r w:rsidR="000C173F">
        <w:t>, w</w:t>
      </w:r>
      <w:r>
        <w:t xml:space="preserve">e </w:t>
      </w:r>
      <w:r w:rsidRPr="009D6BA8">
        <w:t>experimentally manipulat</w:t>
      </w:r>
      <w:r>
        <w:t>ed</w:t>
      </w:r>
      <w:r w:rsidRPr="009D6BA8">
        <w:t xml:space="preserve"> the biological </w:t>
      </w:r>
      <w:r>
        <w:t>bases of sexual orientation</w:t>
      </w:r>
      <w:r w:rsidRPr="009D6BA8">
        <w:t xml:space="preserve"> as in Study 1</w:t>
      </w:r>
      <w:r>
        <w:t xml:space="preserve"> (main document)</w:t>
      </w:r>
      <w:r w:rsidR="00861F55">
        <w:t xml:space="preserve">, and </w:t>
      </w:r>
      <w:r w:rsidR="000C173F">
        <w:t xml:space="preserve">assessed </w:t>
      </w:r>
      <w:r w:rsidR="00861F55">
        <w:t xml:space="preserve">the main dependent variable </w:t>
      </w:r>
      <w:r w:rsidR="000C173F">
        <w:t>(a</w:t>
      </w:r>
      <w:r w:rsidR="00861F55">
        <w:t>ttitude towards homosexuality</w:t>
      </w:r>
      <w:r w:rsidR="000C173F">
        <w:t>) as</w:t>
      </w:r>
      <w:r w:rsidR="00861F55">
        <w:t xml:space="preserve"> in Studies 1 and 2. </w:t>
      </w:r>
      <w:r w:rsidR="000C173F">
        <w:t>As in the two main studies described in the main document, t</w:t>
      </w:r>
      <w:r w:rsidR="000C173F" w:rsidRPr="009D6BA8">
        <w:t xml:space="preserve">his </w:t>
      </w:r>
      <w:r w:rsidR="000C173F">
        <w:t xml:space="preserve">pilot study also assessed participants’ </w:t>
      </w:r>
      <w:r w:rsidR="000C173F" w:rsidRPr="009D6BA8">
        <w:t>perce</w:t>
      </w:r>
      <w:r w:rsidR="000C173F">
        <w:t>ption of</w:t>
      </w:r>
      <w:r w:rsidR="000C173F" w:rsidRPr="009D6BA8">
        <w:t xml:space="preserve"> </w:t>
      </w:r>
      <w:r w:rsidR="000C173F">
        <w:t xml:space="preserve">intergroup differences between heterosexual and </w:t>
      </w:r>
      <w:r w:rsidR="000C173F" w:rsidRPr="009D6BA8">
        <w:t>gay men</w:t>
      </w:r>
      <w:r w:rsidR="000C173F">
        <w:t>.</w:t>
      </w:r>
    </w:p>
    <w:p w14:paraId="0DBF251C" w14:textId="204A3AC4" w:rsidR="00861F55" w:rsidRDefault="000C173F" w:rsidP="000D43A0">
      <w:pPr>
        <w:pStyle w:val="Stylepardfaut"/>
        <w:spacing w:line="480" w:lineRule="auto"/>
        <w:ind w:firstLine="709"/>
      </w:pPr>
      <w:r>
        <w:t>R</w:t>
      </w:r>
      <w:r w:rsidR="000D43A0">
        <w:t xml:space="preserve">esults showed that, </w:t>
      </w:r>
      <w:r w:rsidR="000D43A0" w:rsidRPr="009D6BA8">
        <w:t>in the biological</w:t>
      </w:r>
      <w:r w:rsidR="000D43A0">
        <w:t xml:space="preserve"> </w:t>
      </w:r>
      <w:r w:rsidR="000D43A0" w:rsidRPr="009D6BA8">
        <w:t>differen</w:t>
      </w:r>
      <w:r w:rsidR="000D43A0">
        <w:t xml:space="preserve">ces </w:t>
      </w:r>
      <w:r w:rsidR="000D43A0" w:rsidRPr="009D6BA8">
        <w:t>condition, Catholic</w:t>
      </w:r>
      <w:r w:rsidR="000D43A0">
        <w:t xml:space="preserve"> male participants</w:t>
      </w:r>
      <w:r w:rsidR="000D43A0" w:rsidRPr="009D6BA8">
        <w:t xml:space="preserve"> showed more negative attitudes towards homosexuality</w:t>
      </w:r>
      <w:r w:rsidR="000D43A0">
        <w:t xml:space="preserve"> as</w:t>
      </w:r>
      <w:r w:rsidR="000D43A0" w:rsidRPr="009D6BA8">
        <w:t xml:space="preserve"> compared to Atheist</w:t>
      </w:r>
      <w:r w:rsidR="000D43A0">
        <w:t xml:space="preserve"> male participants</w:t>
      </w:r>
      <w:r w:rsidR="000D43A0" w:rsidRPr="009D6BA8">
        <w:t xml:space="preserve">, but </w:t>
      </w:r>
      <w:r w:rsidR="000D43A0">
        <w:t>this effect was not significant</w:t>
      </w:r>
      <w:r w:rsidR="000D43A0" w:rsidRPr="009D6BA8">
        <w:t xml:space="preserve"> in the biological</w:t>
      </w:r>
      <w:r w:rsidR="000D43A0">
        <w:t xml:space="preserve"> </w:t>
      </w:r>
      <w:r w:rsidR="000D43A0" w:rsidRPr="009D6BA8">
        <w:t>similar</w:t>
      </w:r>
      <w:r w:rsidR="000D43A0">
        <w:t>ities</w:t>
      </w:r>
      <w:r w:rsidR="000D43A0" w:rsidRPr="009D6BA8">
        <w:t xml:space="preserve"> condition. </w:t>
      </w:r>
      <w:r w:rsidR="000D43A0">
        <w:t>Furthermore, t</w:t>
      </w:r>
      <w:r w:rsidR="000D43A0" w:rsidRPr="009D6BA8">
        <w:t xml:space="preserve">his pattern was </w:t>
      </w:r>
      <w:r>
        <w:t>similar for the</w:t>
      </w:r>
      <w:r w:rsidR="000D43A0">
        <w:t xml:space="preserve"> additional dependent variable </w:t>
      </w:r>
      <w:r>
        <w:t>(</w:t>
      </w:r>
      <w:r w:rsidR="000D43A0" w:rsidRPr="009D6BA8">
        <w:t xml:space="preserve">perceived </w:t>
      </w:r>
      <w:r w:rsidR="00861F55">
        <w:t>intergroup differences</w:t>
      </w:r>
      <w:r w:rsidR="000D43A0" w:rsidRPr="009D6BA8">
        <w:t xml:space="preserve">. </w:t>
      </w:r>
      <w:r>
        <w:t>Therefore</w:t>
      </w:r>
      <w:r w:rsidR="000D43A0" w:rsidRPr="009D6BA8">
        <w:t xml:space="preserve">, these findings </w:t>
      </w:r>
      <w:r w:rsidR="000D43A0">
        <w:t>provide evidence in support of</w:t>
      </w:r>
      <w:r w:rsidR="000D43A0" w:rsidRPr="009D6BA8">
        <w:t xml:space="preserve"> </w:t>
      </w:r>
      <w:r w:rsidR="00861F55">
        <w:t>the</w:t>
      </w:r>
      <w:r w:rsidR="000D43A0" w:rsidRPr="009D6BA8">
        <w:t xml:space="preserve"> main hypothesis</w:t>
      </w:r>
      <w:r w:rsidR="00861F55">
        <w:t xml:space="preserve"> investigated in this research</w:t>
      </w:r>
      <w:r>
        <w:t>, this time whilst focusing on participants’ religious affiliation rather than religiosity.</w:t>
      </w:r>
    </w:p>
    <w:p w14:paraId="150D11E0" w14:textId="341FC26E" w:rsidR="000D43A0" w:rsidRPr="00E81CB3" w:rsidRDefault="000C173F" w:rsidP="00861F55">
      <w:pPr>
        <w:pStyle w:val="Stylepardfaut"/>
        <w:spacing w:line="480" w:lineRule="auto"/>
        <w:ind w:firstLine="709"/>
      </w:pPr>
      <w:r>
        <w:t>Despite the relevance of these results, this pilot study is not described in the main document for simplicity and length reasons, but also b</w:t>
      </w:r>
      <w:r w:rsidR="00861F55">
        <w:t xml:space="preserve">ecause </w:t>
      </w:r>
      <w:r w:rsidR="00C542DD">
        <w:t xml:space="preserve">our main hypothesis focuses on religiosity </w:t>
      </w:r>
      <w:r w:rsidR="009A2053">
        <w:t xml:space="preserve">(rather than religious affiliation), </w:t>
      </w:r>
      <w:r w:rsidR="00861F55">
        <w:t>th</w:t>
      </w:r>
      <w:r>
        <w:t>e</w:t>
      </w:r>
      <w:r w:rsidR="00861F55">
        <w:t xml:space="preserve"> sample combined two sub-samples </w:t>
      </w:r>
      <w:r>
        <w:t xml:space="preserve">that were </w:t>
      </w:r>
      <w:r w:rsidR="00861F55">
        <w:t xml:space="preserve">recruited within two different master dissertations, </w:t>
      </w:r>
      <w:r w:rsidR="009A2053">
        <w:t xml:space="preserve">and </w:t>
      </w:r>
      <w:r w:rsidR="00861F55">
        <w:t xml:space="preserve">the </w:t>
      </w:r>
      <w:r w:rsidR="009A2053">
        <w:t xml:space="preserve">sample </w:t>
      </w:r>
      <w:r w:rsidR="00861F55">
        <w:t xml:space="preserve">size was </w:t>
      </w:r>
      <w:r>
        <w:t xml:space="preserve">nevertheless </w:t>
      </w:r>
      <w:r w:rsidR="00861F55">
        <w:t>relatively small</w:t>
      </w:r>
      <w:r w:rsidR="00374025">
        <w:t xml:space="preserve"> for a 2 x 2 experimental </w:t>
      </w:r>
      <w:r w:rsidR="00D77396">
        <w:t>design</w:t>
      </w:r>
      <w:r w:rsidR="00861F55">
        <w:t xml:space="preserve">. However, for transparency purposes, we describe method and results of this pilot study </w:t>
      </w:r>
      <w:r>
        <w:t xml:space="preserve">here </w:t>
      </w:r>
      <w:r w:rsidR="00861F55">
        <w:t>in this Supplementary Material.</w:t>
      </w:r>
    </w:p>
    <w:p w14:paraId="31738A0E" w14:textId="77777777" w:rsidR="000D43A0" w:rsidRPr="00E81CB3" w:rsidRDefault="000D43A0" w:rsidP="000D43A0">
      <w:pPr>
        <w:pStyle w:val="Stylepardfaut"/>
        <w:spacing w:line="480" w:lineRule="auto"/>
      </w:pPr>
      <w:r w:rsidRPr="00E81CB3">
        <w:rPr>
          <w:b/>
        </w:rPr>
        <w:lastRenderedPageBreak/>
        <w:t>Method</w:t>
      </w:r>
    </w:p>
    <w:p w14:paraId="38840018" w14:textId="77777777" w:rsidR="000D43A0" w:rsidRPr="00E81CB3" w:rsidRDefault="000D43A0" w:rsidP="000D43A0">
      <w:pPr>
        <w:pStyle w:val="Stylepardfaut"/>
        <w:spacing w:line="480" w:lineRule="auto"/>
        <w:ind w:firstLine="709"/>
      </w:pPr>
      <w:r w:rsidRPr="00E81CB3">
        <w:rPr>
          <w:b/>
          <w:iCs/>
        </w:rPr>
        <w:t>Participants and procedure</w:t>
      </w:r>
      <w:r w:rsidRPr="00E81CB3">
        <w:rPr>
          <w:iCs/>
        </w:rPr>
        <w:t xml:space="preserve">. This research was conducted as a part of two different master theses. </w:t>
      </w:r>
      <w:r w:rsidRPr="00E81CB3">
        <w:t>Whereas each thesis had specific research goals and materials, the two shared the materials described in the present pilot study.</w:t>
      </w:r>
      <w:r w:rsidRPr="00581B9A">
        <w:rPr>
          <w:rStyle w:val="Appelnotedebasdep"/>
        </w:rPr>
        <w:footnoteReference w:id="2"/>
      </w:r>
      <w:r w:rsidRPr="00E81CB3">
        <w:t xml:space="preserve"> </w:t>
      </w:r>
      <w:r>
        <w:rPr>
          <w:iCs/>
        </w:rPr>
        <w:t>Participants were</w:t>
      </w:r>
      <w:r w:rsidRPr="00E81CB3">
        <w:t xml:space="preserve"> recruited to volunteer in an online questionnaire about sexual orientation and sexual prejudice. From the 347 participants initially recruited, 61 were excluded </w:t>
      </w:r>
      <w:r>
        <w:t>because they did</w:t>
      </w:r>
      <w:r w:rsidRPr="00E81CB3">
        <w:t xml:space="preserve"> not identify as heterosexual (see Materials: Sexual orientation).</w:t>
      </w:r>
      <w:r>
        <w:t xml:space="preserve"> For the analyses, w</w:t>
      </w:r>
      <w:r w:rsidRPr="00E81CB3">
        <w:t>e retained self-declared Catholics (</w:t>
      </w:r>
      <w:r w:rsidRPr="0080590A">
        <w:rPr>
          <w:i/>
          <w:iCs/>
        </w:rPr>
        <w:t>n</w:t>
      </w:r>
      <w:r w:rsidRPr="00E81CB3">
        <w:t xml:space="preserve"> = 79) and </w:t>
      </w:r>
      <w:r>
        <w:t>a</w:t>
      </w:r>
      <w:r w:rsidRPr="00E81CB3">
        <w:t>theist</w:t>
      </w:r>
      <w:r>
        <w:t>s</w:t>
      </w:r>
      <w:r w:rsidRPr="00E81CB3">
        <w:t xml:space="preserve"> (</w:t>
      </w:r>
      <w:r w:rsidRPr="0080590A">
        <w:rPr>
          <w:i/>
          <w:iCs/>
        </w:rPr>
        <w:t>n</w:t>
      </w:r>
      <w:r w:rsidRPr="00E81CB3">
        <w:t xml:space="preserve"> = 101). The next largest groups were Protestants (</w:t>
      </w:r>
      <w:r w:rsidRPr="00F260B8">
        <w:rPr>
          <w:i/>
          <w:iCs/>
        </w:rPr>
        <w:t>n</w:t>
      </w:r>
      <w:r>
        <w:t xml:space="preserve"> </w:t>
      </w:r>
      <w:r w:rsidRPr="00E81CB3">
        <w:t>=</w:t>
      </w:r>
      <w:r>
        <w:t xml:space="preserve"> </w:t>
      </w:r>
      <w:r w:rsidRPr="00E81CB3">
        <w:t>44), agnostics (</w:t>
      </w:r>
      <w:r w:rsidRPr="00F260B8">
        <w:rPr>
          <w:i/>
          <w:iCs/>
        </w:rPr>
        <w:t>n</w:t>
      </w:r>
      <w:r w:rsidRPr="00E81CB3">
        <w:t xml:space="preserve"> = 24), and Muslims (</w:t>
      </w:r>
      <w:r w:rsidRPr="00F260B8">
        <w:rPr>
          <w:i/>
          <w:iCs/>
        </w:rPr>
        <w:t>n</w:t>
      </w:r>
      <w:r w:rsidRPr="00E81CB3">
        <w:t xml:space="preserve"> = 24), but the</w:t>
      </w:r>
      <w:r>
        <w:t>ir</w:t>
      </w:r>
      <w:r w:rsidRPr="00E81CB3">
        <w:t xml:space="preserve"> number was too small to allow an appropriate test of our hypothesis. The final sample thus comprised 180 heterosexual</w:t>
      </w:r>
      <w:r>
        <w:t xml:space="preserve"> people</w:t>
      </w:r>
      <w:r w:rsidRPr="00E81CB3">
        <w:t xml:space="preserve"> (80 students and 47 females; </w:t>
      </w:r>
      <w:r w:rsidRPr="00E81CB3">
        <w:rPr>
          <w:i/>
          <w:iCs/>
        </w:rPr>
        <w:t>M</w:t>
      </w:r>
      <w:r w:rsidRPr="00E81CB3">
        <w:rPr>
          <w:vertAlign w:val="subscript"/>
        </w:rPr>
        <w:t>age</w:t>
      </w:r>
      <w:r w:rsidRPr="00E81CB3">
        <w:t xml:space="preserve"> = 21.66 years, </w:t>
      </w:r>
      <w:r w:rsidRPr="00E81CB3">
        <w:rPr>
          <w:i/>
          <w:iCs/>
        </w:rPr>
        <w:t xml:space="preserve">SD </w:t>
      </w:r>
      <w:r w:rsidRPr="00E81CB3">
        <w:t>= 3.70). They were randomly assigned to one of the two conditions of a 2 (</w:t>
      </w:r>
      <w:r w:rsidRPr="00F260B8">
        <w:rPr>
          <w:i/>
          <w:iCs/>
        </w:rPr>
        <w:t>biological theory</w:t>
      </w:r>
      <w:r w:rsidRPr="00E81CB3">
        <w:t xml:space="preserve">: differences vs. similarities) between-participants design. </w:t>
      </w:r>
      <w:r>
        <w:rPr>
          <w:color w:val="000000"/>
          <w:lang w:eastAsia="tr-TR" w:bidi="he-IL"/>
        </w:rPr>
        <w:t>A</w:t>
      </w:r>
      <w:r w:rsidRPr="00E42C2E">
        <w:rPr>
          <w:lang w:eastAsia="tr-TR" w:bidi="he-IL"/>
        </w:rPr>
        <w:t xml:space="preserve"> sensitivity power analysis on G*Power for a</w:t>
      </w:r>
      <w:r>
        <w:t>n ANOVA</w:t>
      </w:r>
      <w:r w:rsidRPr="00E42C2E">
        <w:rPr>
          <w:lang w:eastAsia="tr-TR" w:bidi="he-IL"/>
        </w:rPr>
        <w:t xml:space="preserve"> with </w:t>
      </w:r>
      <w:r>
        <w:t>four</w:t>
      </w:r>
      <w:r w:rsidRPr="00E42C2E">
        <w:rPr>
          <w:lang w:eastAsia="tr-TR" w:bidi="he-IL"/>
        </w:rPr>
        <w:t xml:space="preserve"> </w:t>
      </w:r>
      <w:r>
        <w:t>groups</w:t>
      </w:r>
      <w:r>
        <w:rPr>
          <w:color w:val="000000"/>
          <w:lang w:eastAsia="tr-TR" w:bidi="he-IL"/>
        </w:rPr>
        <w:t xml:space="preserve"> (</w:t>
      </w:r>
      <w:r>
        <w:sym w:font="Symbol" w:char="F061"/>
      </w:r>
      <w:r>
        <w:t xml:space="preserve"> </w:t>
      </w:r>
      <w:r>
        <w:rPr>
          <w:lang w:eastAsia="tr-TR" w:bidi="he-IL"/>
        </w:rPr>
        <w:t>=</w:t>
      </w:r>
      <w:r w:rsidRPr="00E42C2E">
        <w:rPr>
          <w:lang w:eastAsia="tr-TR" w:bidi="he-IL"/>
        </w:rPr>
        <w:t xml:space="preserve"> .05</w:t>
      </w:r>
      <w:r>
        <w:rPr>
          <w:lang w:eastAsia="tr-TR" w:bidi="he-IL"/>
        </w:rPr>
        <w:t>,</w:t>
      </w:r>
      <w:r w:rsidRPr="00E42C2E">
        <w:rPr>
          <w:lang w:eastAsia="tr-TR" w:bidi="he-IL"/>
        </w:rPr>
        <w:t xml:space="preserve"> two-tailed</w:t>
      </w:r>
      <w:r>
        <w:rPr>
          <w:lang w:eastAsia="tr-TR" w:bidi="he-IL"/>
        </w:rPr>
        <w:t xml:space="preserve">, </w:t>
      </w:r>
      <w:r w:rsidRPr="00E42C2E">
        <w:rPr>
          <w:lang w:eastAsia="tr-TR" w:bidi="he-IL"/>
        </w:rPr>
        <w:t>and a power of .80</w:t>
      </w:r>
      <w:r>
        <w:rPr>
          <w:lang w:eastAsia="tr-TR" w:bidi="he-IL"/>
        </w:rPr>
        <w:t>)</w:t>
      </w:r>
      <w:r w:rsidRPr="00E42C2E">
        <w:rPr>
          <w:lang w:eastAsia="tr-TR" w:bidi="he-IL"/>
        </w:rPr>
        <w:t xml:space="preserve"> revealed that our final sample was powered enough to detect a </w:t>
      </w:r>
      <w:r>
        <w:rPr>
          <w:lang w:eastAsia="tr-TR" w:bidi="he-IL"/>
        </w:rPr>
        <w:t xml:space="preserve">small to </w:t>
      </w:r>
      <w:r>
        <w:t>medium</w:t>
      </w:r>
      <w:r w:rsidRPr="00E42C2E">
        <w:rPr>
          <w:lang w:eastAsia="tr-TR" w:bidi="he-IL"/>
        </w:rPr>
        <w:t xml:space="preserve"> effect size (</w:t>
      </w:r>
      <w:r w:rsidRPr="00E42C2E">
        <w:rPr>
          <w:i/>
          <w:iCs/>
          <w:lang w:eastAsia="tr-TR" w:bidi="he-IL"/>
        </w:rPr>
        <w:t>f</w:t>
      </w:r>
      <w:r w:rsidRPr="00E42C2E">
        <w:rPr>
          <w:i/>
          <w:iCs/>
          <w:position w:val="6"/>
          <w:lang w:eastAsia="tr-TR" w:bidi="he-IL"/>
        </w:rPr>
        <w:t xml:space="preserve"> </w:t>
      </w:r>
      <w:r w:rsidRPr="00E42C2E">
        <w:rPr>
          <w:lang w:eastAsia="tr-TR" w:bidi="he-IL"/>
        </w:rPr>
        <w:t>= 0.</w:t>
      </w:r>
      <w:r>
        <w:t>20</w:t>
      </w:r>
      <w:r w:rsidRPr="00E42C2E">
        <w:rPr>
          <w:lang w:eastAsia="tr-TR" w:bidi="he-IL"/>
        </w:rPr>
        <w:t>).</w:t>
      </w:r>
      <w:r>
        <w:rPr>
          <w:lang w:eastAsia="tr-TR" w:bidi="he-IL"/>
        </w:rPr>
        <w:t xml:space="preserve"> All materials were in French. Participants were randomly attributed to one of the two experimental conditions (</w:t>
      </w:r>
      <w:r w:rsidRPr="00F260B8">
        <w:rPr>
          <w:i/>
          <w:iCs/>
          <w:lang w:eastAsia="tr-TR" w:bidi="he-IL"/>
        </w:rPr>
        <w:t>BTSO</w:t>
      </w:r>
      <w:r>
        <w:rPr>
          <w:lang w:eastAsia="tr-TR" w:bidi="he-IL"/>
        </w:rPr>
        <w:t>: biological differences vs. biological similarities).</w:t>
      </w:r>
    </w:p>
    <w:p w14:paraId="3B047DB9" w14:textId="77777777" w:rsidR="000D43A0" w:rsidRPr="00E81CB3" w:rsidRDefault="000D43A0" w:rsidP="000D43A0">
      <w:pPr>
        <w:pStyle w:val="Stylepardfaut"/>
        <w:spacing w:line="480" w:lineRule="auto"/>
        <w:ind w:firstLine="709"/>
      </w:pPr>
      <w:r w:rsidRPr="00E81CB3">
        <w:rPr>
          <w:b/>
          <w:iCs/>
        </w:rPr>
        <w:t xml:space="preserve">Materials.  </w:t>
      </w:r>
    </w:p>
    <w:p w14:paraId="3657F65A" w14:textId="438ED8BF" w:rsidR="000D43A0" w:rsidRPr="00E81CB3" w:rsidRDefault="000D43A0" w:rsidP="000D43A0">
      <w:pPr>
        <w:pStyle w:val="Stylepardfaut"/>
        <w:spacing w:line="480" w:lineRule="auto"/>
        <w:ind w:firstLine="709"/>
      </w:pPr>
      <w:r w:rsidRPr="00E81CB3">
        <w:rPr>
          <w:b/>
          <w:i/>
          <w:iCs/>
        </w:rPr>
        <w:t>Biological theory of sexual orientation</w:t>
      </w:r>
      <w:r>
        <w:rPr>
          <w:b/>
          <w:i/>
          <w:iCs/>
        </w:rPr>
        <w:t xml:space="preserve"> (BTSO)</w:t>
      </w:r>
      <w:r w:rsidRPr="00E81CB3">
        <w:rPr>
          <w:b/>
          <w:iCs/>
        </w:rPr>
        <w:t>.</w:t>
      </w:r>
      <w:r w:rsidRPr="00E81CB3">
        <w:t xml:space="preserve"> The biological theory was manipulated as in </w:t>
      </w:r>
      <w:r>
        <w:t xml:space="preserve">Study 1 </w:t>
      </w:r>
      <w:r w:rsidR="00241318">
        <w:rPr>
          <w:noProof/>
        </w:rPr>
        <w:t>(Falomir-Pichastor &amp; Mugny, 2009</w:t>
      </w:r>
      <w:r w:rsidRPr="00E81CB3">
        <w:t>, Study 5). The material was gender-specific</w:t>
      </w:r>
      <w:r>
        <w:t xml:space="preserve"> – that is</w:t>
      </w:r>
      <w:r w:rsidRPr="00E81CB3">
        <w:t xml:space="preserve">, women and men received information </w:t>
      </w:r>
      <w:r>
        <w:t>based on</w:t>
      </w:r>
      <w:r w:rsidRPr="00E81CB3">
        <w:t xml:space="preserve"> their own gender. Participants read a text that summarized scientific evidence comparing heterosexual and gay men (or heterosexual and lesbian</w:t>
      </w:r>
      <w:r w:rsidRPr="00F0648B">
        <w:t xml:space="preserve"> </w:t>
      </w:r>
      <w:r w:rsidRPr="00E81CB3">
        <w:t xml:space="preserve">women, as a function of participant gender) </w:t>
      </w:r>
      <w:r w:rsidRPr="00E81CB3">
        <w:rPr>
          <w:lang w:eastAsia="fr-CH"/>
        </w:rPr>
        <w:t xml:space="preserve">with respect to </w:t>
      </w:r>
      <w:r w:rsidRPr="00E81CB3">
        <w:rPr>
          <w:lang w:eastAsia="fr-CH"/>
        </w:rPr>
        <w:lastRenderedPageBreak/>
        <w:t xml:space="preserve">their genes, mother’s androgen rate during pregnancy, and </w:t>
      </w:r>
      <w:r>
        <w:rPr>
          <w:lang w:eastAsia="fr-CH"/>
        </w:rPr>
        <w:t>neurological</w:t>
      </w:r>
      <w:r w:rsidRPr="00E81CB3">
        <w:rPr>
          <w:lang w:eastAsia="fr-CH"/>
        </w:rPr>
        <w:t xml:space="preserve"> make-up</w:t>
      </w:r>
      <w:r w:rsidRPr="00E81CB3">
        <w:t xml:space="preserve"> (i.e., the weight of the part of the hypothalamus responsible for sexual orientation). In the </w:t>
      </w:r>
      <w:r w:rsidRPr="00E81CB3">
        <w:rPr>
          <w:i/>
        </w:rPr>
        <w:t>biological</w:t>
      </w:r>
      <w:r>
        <w:rPr>
          <w:i/>
        </w:rPr>
        <w:t xml:space="preserve"> </w:t>
      </w:r>
      <w:r w:rsidRPr="00E81CB3">
        <w:rPr>
          <w:i/>
        </w:rPr>
        <w:t>differen</w:t>
      </w:r>
      <w:r>
        <w:rPr>
          <w:i/>
        </w:rPr>
        <w:t>ces</w:t>
      </w:r>
      <w:r w:rsidRPr="00E81CB3">
        <w:rPr>
          <w:i/>
        </w:rPr>
        <w:t xml:space="preserve"> condition</w:t>
      </w:r>
      <w:r w:rsidRPr="00E81CB3">
        <w:t>, the results of these studies highlighted the existence of biological differences between heterosexual and gay men (or heterosexual and lesbian</w:t>
      </w:r>
      <w:r w:rsidRPr="00F0648B">
        <w:t xml:space="preserve"> </w:t>
      </w:r>
      <w:r w:rsidRPr="00E81CB3">
        <w:t>women), thereby suggesting that sexual orientation is determined biologically. In the</w:t>
      </w:r>
      <w:r w:rsidRPr="00E81CB3">
        <w:rPr>
          <w:i/>
        </w:rPr>
        <w:t xml:space="preserve"> biologica</w:t>
      </w:r>
      <w:r>
        <w:rPr>
          <w:i/>
        </w:rPr>
        <w:t xml:space="preserve">l </w:t>
      </w:r>
      <w:r w:rsidRPr="00E81CB3">
        <w:rPr>
          <w:i/>
        </w:rPr>
        <w:t>similar</w:t>
      </w:r>
      <w:r>
        <w:rPr>
          <w:i/>
        </w:rPr>
        <w:t>ities</w:t>
      </w:r>
      <w:r w:rsidRPr="00E81CB3">
        <w:rPr>
          <w:i/>
        </w:rPr>
        <w:t xml:space="preserve"> condition</w:t>
      </w:r>
      <w:r w:rsidRPr="00E81CB3">
        <w:t>, the results emphasized that heterosexual and gay men (or heterosexual and lesbian</w:t>
      </w:r>
      <w:r w:rsidRPr="00F0648B">
        <w:t xml:space="preserve"> </w:t>
      </w:r>
      <w:r w:rsidRPr="00E81CB3">
        <w:t xml:space="preserve">women) are biologically similar, indicating the lack of scientific evidence for biological determinism of sexual orientation. </w:t>
      </w:r>
    </w:p>
    <w:p w14:paraId="6792B3DC" w14:textId="77777777" w:rsidR="000D43A0" w:rsidRPr="00E81CB3" w:rsidRDefault="000D43A0" w:rsidP="000D43A0">
      <w:pPr>
        <w:pStyle w:val="Stylepardfaut"/>
        <w:spacing w:line="480" w:lineRule="auto"/>
        <w:ind w:firstLine="709"/>
      </w:pPr>
      <w:r w:rsidRPr="00E81CB3">
        <w:rPr>
          <w:b/>
          <w:i/>
        </w:rPr>
        <w:t>Manipulation checks</w:t>
      </w:r>
      <w:r w:rsidRPr="00E81CB3">
        <w:t>. We tested the manipulation of the biological theory through a single item: “Homosexuality is biologically determined” (1 ‘</w:t>
      </w:r>
      <w:r w:rsidRPr="00E81CB3">
        <w:rPr>
          <w:i/>
        </w:rPr>
        <w:t>not at all</w:t>
      </w:r>
      <w:r w:rsidRPr="00E81CB3">
        <w:t xml:space="preserve">’ </w:t>
      </w:r>
      <w:r>
        <w:t>to</w:t>
      </w:r>
      <w:r w:rsidRPr="00E81CB3">
        <w:t xml:space="preserve"> 7 ‘</w:t>
      </w:r>
      <w:r w:rsidRPr="00E81CB3">
        <w:rPr>
          <w:i/>
        </w:rPr>
        <w:t>absolutely</w:t>
      </w:r>
      <w:r w:rsidRPr="00E81CB3">
        <w:t xml:space="preserve">’; </w:t>
      </w:r>
      <w:r w:rsidRPr="00E81CB3">
        <w:rPr>
          <w:i/>
          <w:iCs/>
        </w:rPr>
        <w:t>M</w:t>
      </w:r>
      <w:r w:rsidRPr="00E81CB3">
        <w:t xml:space="preserve"> = 3.05, </w:t>
      </w:r>
      <w:r w:rsidRPr="00E81CB3">
        <w:rPr>
          <w:i/>
          <w:iCs/>
        </w:rPr>
        <w:t>SD</w:t>
      </w:r>
      <w:r w:rsidRPr="00E81CB3">
        <w:t xml:space="preserve"> = 1.82).</w:t>
      </w:r>
    </w:p>
    <w:p w14:paraId="020ADE9C" w14:textId="77777777" w:rsidR="000D43A0" w:rsidRDefault="000D43A0" w:rsidP="000D43A0">
      <w:pPr>
        <w:pStyle w:val="Stylepardfaut"/>
        <w:spacing w:line="480" w:lineRule="auto"/>
        <w:ind w:firstLine="709"/>
        <w:rPr>
          <w:b/>
          <w:i/>
        </w:rPr>
      </w:pPr>
      <w:r>
        <w:rPr>
          <w:b/>
          <w:i/>
        </w:rPr>
        <w:t>Positive attitude towards homosexuality.</w:t>
      </w:r>
      <w:r w:rsidRPr="00AF5733">
        <w:t xml:space="preserve"> </w:t>
      </w:r>
      <w:r>
        <w:t>W</w:t>
      </w:r>
      <w:r w:rsidRPr="00AF5733">
        <w:t xml:space="preserve">e </w:t>
      </w:r>
      <w:r w:rsidRPr="00AF5733">
        <w:rPr>
          <w:rFonts w:eastAsia="Arial Unicode MS"/>
          <w:iCs/>
        </w:rPr>
        <w:t>used a 16-item</w:t>
      </w:r>
      <w:r>
        <w:rPr>
          <w:rFonts w:eastAsia="Arial Unicode MS"/>
          <w:iCs/>
        </w:rPr>
        <w:t xml:space="preserve"> scale measuring participants'</w:t>
      </w:r>
      <w:r w:rsidRPr="0093591D">
        <w:rPr>
          <w:rFonts w:eastAsia="Arial Unicode MS"/>
          <w:iCs/>
        </w:rPr>
        <w:t xml:space="preserve"> </w:t>
      </w:r>
      <w:r w:rsidRPr="00AF5733">
        <w:rPr>
          <w:rFonts w:eastAsia="Arial Unicode MS"/>
          <w:iCs/>
        </w:rPr>
        <w:t>attitude towards homosexuality (e.g., ‘Gay couples should have the right to marry’; 1 = ‘</w:t>
      </w:r>
      <w:r w:rsidRPr="00AF5733">
        <w:rPr>
          <w:rFonts w:eastAsia="Arial Unicode MS"/>
          <w:i/>
          <w:iCs/>
        </w:rPr>
        <w:t>strongly disagree’</w:t>
      </w:r>
      <w:r w:rsidRPr="00AF5733">
        <w:rPr>
          <w:rFonts w:eastAsia="Arial Unicode MS"/>
          <w:iCs/>
        </w:rPr>
        <w:t xml:space="preserve"> </w:t>
      </w:r>
      <w:r>
        <w:rPr>
          <w:rFonts w:eastAsia="Arial Unicode MS"/>
          <w:iCs/>
        </w:rPr>
        <w:t>to</w:t>
      </w:r>
      <w:r w:rsidRPr="00AF5733">
        <w:rPr>
          <w:rFonts w:eastAsia="Arial Unicode MS"/>
          <w:iCs/>
        </w:rPr>
        <w:t xml:space="preserve"> 7 = ‘</w:t>
      </w:r>
      <w:r w:rsidRPr="00AF5733">
        <w:rPr>
          <w:rFonts w:eastAsia="Arial Unicode MS"/>
          <w:i/>
          <w:iCs/>
        </w:rPr>
        <w:t>strongly agree’</w:t>
      </w:r>
      <w:r w:rsidRPr="00AF5733">
        <w:rPr>
          <w:rFonts w:eastAsia="Arial Unicode MS"/>
          <w:iCs/>
        </w:rPr>
        <w:t>; Anderson</w:t>
      </w:r>
      <w:r>
        <w:rPr>
          <w:rFonts w:eastAsia="Arial Unicode MS"/>
          <w:iCs/>
        </w:rPr>
        <w:t xml:space="preserve"> et al., 2019</w:t>
      </w:r>
      <w:r w:rsidRPr="00AF5733">
        <w:rPr>
          <w:rFonts w:eastAsia="Arial Unicode MS"/>
          <w:iCs/>
        </w:rPr>
        <w:t xml:space="preserve">). </w:t>
      </w:r>
      <w:r>
        <w:rPr>
          <w:rFonts w:eastAsia="Arial Unicode MS"/>
          <w:iCs/>
        </w:rPr>
        <w:t>A</w:t>
      </w:r>
      <w:r w:rsidRPr="00AF5733">
        <w:rPr>
          <w:rFonts w:eastAsia="Arial Unicode MS"/>
          <w:iCs/>
        </w:rPr>
        <w:t xml:space="preserve">n overall score measuring positive attitudes was computed by averaging the answers to all items after reverse-coding appropriate items </w:t>
      </w:r>
      <w:r w:rsidRPr="00AF5733">
        <w:t>(</w:t>
      </w:r>
      <w:r w:rsidRPr="00AF5733">
        <w:rPr>
          <w:i/>
        </w:rPr>
        <w:t>M</w:t>
      </w:r>
      <w:r w:rsidRPr="00AF5733">
        <w:t xml:space="preserve"> = </w:t>
      </w:r>
      <w:r>
        <w:t>5.02</w:t>
      </w:r>
      <w:r w:rsidRPr="00AF5733">
        <w:t xml:space="preserve">, </w:t>
      </w:r>
      <w:r w:rsidRPr="00AF5733">
        <w:rPr>
          <w:i/>
        </w:rPr>
        <w:t>SD</w:t>
      </w:r>
      <w:r w:rsidRPr="00AF5733">
        <w:t xml:space="preserve"> = 1.</w:t>
      </w:r>
      <w:r>
        <w:t>13</w:t>
      </w:r>
      <w:r w:rsidRPr="00AF5733">
        <w:t>, α = .9</w:t>
      </w:r>
      <w:r>
        <w:t>0</w:t>
      </w:r>
      <w:r w:rsidRPr="00AF5733">
        <w:t>).</w:t>
      </w:r>
    </w:p>
    <w:p w14:paraId="760AB86C" w14:textId="26CE9768" w:rsidR="000D43A0" w:rsidRDefault="000D43A0" w:rsidP="000D43A0">
      <w:pPr>
        <w:pStyle w:val="Stylepardfaut"/>
        <w:spacing w:line="480" w:lineRule="auto"/>
        <w:ind w:firstLine="709"/>
      </w:pPr>
      <w:r w:rsidRPr="00E81CB3">
        <w:rPr>
          <w:b/>
          <w:i/>
        </w:rPr>
        <w:t>Perceived</w:t>
      </w:r>
      <w:r>
        <w:rPr>
          <w:b/>
          <w:i/>
        </w:rPr>
        <w:t xml:space="preserve"> </w:t>
      </w:r>
      <w:r w:rsidR="000C173F">
        <w:rPr>
          <w:b/>
          <w:i/>
        </w:rPr>
        <w:t>intergroup differences</w:t>
      </w:r>
      <w:r w:rsidRPr="00E81CB3">
        <w:t xml:space="preserve">. We measured perceived entitativity through 3 items: </w:t>
      </w:r>
      <w:r w:rsidRPr="00E81CB3">
        <w:rPr>
          <w:rStyle w:val="Numrodepage"/>
        </w:rPr>
        <w:t>“One can easily identify gay people by their way of being and behaving”, “Gay people and heterosexuals have different emotional characteristics”, and “Gay people and heterosexuals have different personality traits” (</w:t>
      </w:r>
      <w:r w:rsidRPr="00E81CB3">
        <w:t>1 ‘</w:t>
      </w:r>
      <w:r w:rsidRPr="00E81CB3">
        <w:rPr>
          <w:i/>
        </w:rPr>
        <w:t>strongly disagree</w:t>
      </w:r>
      <w:r w:rsidRPr="00E81CB3">
        <w:t xml:space="preserve">’ </w:t>
      </w:r>
      <w:r>
        <w:t>to</w:t>
      </w:r>
      <w:r w:rsidRPr="00E81CB3">
        <w:t xml:space="preserve"> 7 ‘</w:t>
      </w:r>
      <w:r w:rsidRPr="00E81CB3">
        <w:rPr>
          <w:i/>
        </w:rPr>
        <w:t>strongly agree’</w:t>
      </w:r>
      <w:r w:rsidRPr="00E81CB3">
        <w:t xml:space="preserve">). Scores for these items were averaged to form a reliable measure of intergroup differentiation (higher scores indicate greater differentiation; </w:t>
      </w:r>
      <w:r w:rsidRPr="00E81CB3">
        <w:rPr>
          <w:i/>
          <w:iCs/>
        </w:rPr>
        <w:t>M</w:t>
      </w:r>
      <w:r w:rsidRPr="00E81CB3">
        <w:t xml:space="preserve"> = 3.63, </w:t>
      </w:r>
      <w:r w:rsidRPr="00E81CB3">
        <w:rPr>
          <w:i/>
          <w:iCs/>
        </w:rPr>
        <w:t>SD</w:t>
      </w:r>
      <w:r w:rsidRPr="00E81CB3">
        <w:t xml:space="preserve"> = 1.49</w:t>
      </w:r>
      <w:r>
        <w:t>,</w:t>
      </w:r>
      <w:r w:rsidRPr="00F0648B">
        <w:t xml:space="preserve"> </w:t>
      </w:r>
      <w:r w:rsidRPr="00E81CB3">
        <w:t xml:space="preserve">α = .82). </w:t>
      </w:r>
    </w:p>
    <w:p w14:paraId="1451F875" w14:textId="77777777" w:rsidR="000D43A0" w:rsidRPr="00E81CB3" w:rsidRDefault="000D43A0" w:rsidP="000D43A0">
      <w:pPr>
        <w:pStyle w:val="Stylepardfaut"/>
        <w:spacing w:line="480" w:lineRule="auto"/>
        <w:ind w:firstLine="709"/>
      </w:pPr>
      <w:r w:rsidRPr="00E81CB3">
        <w:rPr>
          <w:b/>
          <w:i/>
        </w:rPr>
        <w:t>Perceived controllability</w:t>
      </w:r>
      <w:r w:rsidRPr="00E81CB3">
        <w:t xml:space="preserve">. We measured perceived controllability through 3 items: </w:t>
      </w:r>
      <w:r w:rsidRPr="00E81CB3">
        <w:rPr>
          <w:rStyle w:val="Numrodepage"/>
        </w:rPr>
        <w:t>“</w:t>
      </w:r>
      <w:r>
        <w:rPr>
          <w:rStyle w:val="Numrodepage"/>
        </w:rPr>
        <w:t>A gay man</w:t>
      </w:r>
      <w:r w:rsidRPr="00E81CB3">
        <w:rPr>
          <w:rStyle w:val="Numrodepage"/>
        </w:rPr>
        <w:t>,</w:t>
      </w:r>
      <w:r w:rsidRPr="00E81CB3">
        <w:t xml:space="preserve"> at some point in his life, decides his sexual orientation voluntarily</w:t>
      </w:r>
      <w:r w:rsidRPr="00E81CB3">
        <w:rPr>
          <w:rStyle w:val="Numrodepage"/>
        </w:rPr>
        <w:t xml:space="preserve">”, “Gay people </w:t>
      </w:r>
      <w:r w:rsidRPr="00E81CB3">
        <w:t>have the possibility to change his sexual orientation</w:t>
      </w:r>
      <w:r w:rsidRPr="00E81CB3">
        <w:rPr>
          <w:rStyle w:val="Numrodepage"/>
        </w:rPr>
        <w:t xml:space="preserve">”, and “Gay people </w:t>
      </w:r>
      <w:r w:rsidRPr="00E81CB3">
        <w:t xml:space="preserve">are personally </w:t>
      </w:r>
      <w:r w:rsidRPr="00E81CB3">
        <w:lastRenderedPageBreak/>
        <w:t>responsible for their sexual orientation</w:t>
      </w:r>
      <w:r w:rsidRPr="00E81CB3">
        <w:rPr>
          <w:rStyle w:val="Numrodepage"/>
        </w:rPr>
        <w:t xml:space="preserve">” </w:t>
      </w:r>
      <w:r w:rsidRPr="00E81CB3">
        <w:t>(</w:t>
      </w:r>
      <w:r>
        <w:t>1 ‘</w:t>
      </w:r>
      <w:r w:rsidRPr="00E81CB3">
        <w:rPr>
          <w:i/>
        </w:rPr>
        <w:t>strongly disagree</w:t>
      </w:r>
      <w:r w:rsidRPr="00E81CB3">
        <w:t xml:space="preserve">’ </w:t>
      </w:r>
      <w:r>
        <w:t>to</w:t>
      </w:r>
      <w:r w:rsidRPr="00E81CB3">
        <w:t xml:space="preserve"> 7 ‘</w:t>
      </w:r>
      <w:r w:rsidRPr="00E81CB3">
        <w:rPr>
          <w:i/>
        </w:rPr>
        <w:t>strongly agree</w:t>
      </w:r>
      <w:r w:rsidRPr="00E81CB3">
        <w:rPr>
          <w:iCs/>
        </w:rPr>
        <w:t>’)</w:t>
      </w:r>
      <w:r w:rsidRPr="00E81CB3">
        <w:rPr>
          <w:rStyle w:val="Numrodepage"/>
        </w:rPr>
        <w:t xml:space="preserve">. </w:t>
      </w:r>
      <w:r w:rsidRPr="00E81CB3">
        <w:t xml:space="preserve">Scores for these items were averaged to form a reliable measure of </w:t>
      </w:r>
      <w:r>
        <w:t>perceived controllability</w:t>
      </w:r>
      <w:r w:rsidRPr="00E81CB3">
        <w:t xml:space="preserve"> (higher scores indicate greater</w:t>
      </w:r>
      <w:r w:rsidRPr="00F0648B">
        <w:t xml:space="preserve"> </w:t>
      </w:r>
      <w:r w:rsidRPr="00E81CB3">
        <w:t>perceived controllability</w:t>
      </w:r>
      <w:r>
        <w:t>;</w:t>
      </w:r>
      <w:r w:rsidRPr="00E81CB3" w:rsidDel="00F0648B">
        <w:t xml:space="preserve"> </w:t>
      </w:r>
      <w:r w:rsidRPr="00E81CB3">
        <w:rPr>
          <w:i/>
          <w:iCs/>
        </w:rPr>
        <w:t>M</w:t>
      </w:r>
      <w:r w:rsidRPr="00E81CB3">
        <w:t xml:space="preserve"> = 3.</w:t>
      </w:r>
      <w:r>
        <w:t>22</w:t>
      </w:r>
      <w:r w:rsidRPr="00E81CB3">
        <w:t xml:space="preserve">, </w:t>
      </w:r>
      <w:r w:rsidRPr="00E81CB3">
        <w:rPr>
          <w:i/>
          <w:iCs/>
        </w:rPr>
        <w:t>SD</w:t>
      </w:r>
      <w:r w:rsidRPr="00E81CB3">
        <w:t xml:space="preserve"> = 1.</w:t>
      </w:r>
      <w:r>
        <w:t xml:space="preserve">67, </w:t>
      </w:r>
      <w:r w:rsidRPr="00E81CB3">
        <w:t>α = .8</w:t>
      </w:r>
      <w:r>
        <w:t>1</w:t>
      </w:r>
      <w:r w:rsidRPr="00E81CB3">
        <w:t xml:space="preserve">). </w:t>
      </w:r>
    </w:p>
    <w:p w14:paraId="27B5563B" w14:textId="3AD02679" w:rsidR="000D43A0" w:rsidRPr="00E81CB3" w:rsidRDefault="000D43A0" w:rsidP="000D43A0">
      <w:pPr>
        <w:spacing w:line="480" w:lineRule="auto"/>
        <w:ind w:firstLine="709"/>
      </w:pPr>
      <w:r w:rsidRPr="00E81CB3">
        <w:rPr>
          <w:b/>
          <w:i/>
        </w:rPr>
        <w:t>Sexual orientation</w:t>
      </w:r>
      <w:r w:rsidRPr="00E81CB3">
        <w:rPr>
          <w:b/>
        </w:rPr>
        <w:t>.</w:t>
      </w:r>
      <w:r w:rsidRPr="00E81CB3">
        <w:t xml:space="preserve"> At the end of the study, participants responded to several demographic items including three questions about their sexual orientation: they defined themselves as ‘heterosexual’, ‘bisexual’, or ‘homosexual’, indicated previous sexual relations with a person of the same-sex (‘yes’ vs. ‘no’), and indicated whether they felt attracted to people of the same-sex (1 ‘</w:t>
      </w:r>
      <w:r w:rsidRPr="00E81CB3">
        <w:rPr>
          <w:i/>
        </w:rPr>
        <w:t>never</w:t>
      </w:r>
      <w:r w:rsidRPr="00E81CB3">
        <w:t>’ to 7 ‘</w:t>
      </w:r>
      <w:r w:rsidRPr="00E81CB3">
        <w:rPr>
          <w:i/>
        </w:rPr>
        <w:t>frequently</w:t>
      </w:r>
      <w:r w:rsidRPr="00E81CB3">
        <w:t>’). If participants defined themselves as heterosexual, reported not having had sexual relationships with a same-sex person, and scored below the mid-point of the attraction item scale (4), then they were categorized as heterosexual and retained for the analyses</w:t>
      </w:r>
      <w:r w:rsidR="00CD6508">
        <w:t xml:space="preserve"> </w:t>
      </w:r>
      <w:r w:rsidR="00CD6508" w:rsidRPr="00CD6508">
        <w:t>(</w:t>
      </w:r>
      <w:proofErr w:type="spellStart"/>
      <w:r w:rsidR="00CD6508" w:rsidRPr="00CD6508">
        <w:t>Falomir‐Pichastor</w:t>
      </w:r>
      <w:proofErr w:type="spellEnd"/>
      <w:r w:rsidR="00CD6508" w:rsidRPr="00CD6508">
        <w:t xml:space="preserve"> &amp; Hegarty, 2014)</w:t>
      </w:r>
      <w:r w:rsidRPr="00E81CB3">
        <w:t>.</w:t>
      </w:r>
    </w:p>
    <w:p w14:paraId="72B9D1F9" w14:textId="77777777" w:rsidR="000D43A0" w:rsidRPr="00E81CB3" w:rsidRDefault="000D43A0" w:rsidP="000D43A0">
      <w:pPr>
        <w:pStyle w:val="Stylepardfaut"/>
        <w:spacing w:line="480" w:lineRule="auto"/>
      </w:pPr>
      <w:r w:rsidRPr="00E81CB3">
        <w:rPr>
          <w:b/>
        </w:rPr>
        <w:t>Results</w:t>
      </w:r>
    </w:p>
    <w:p w14:paraId="5DB934AB" w14:textId="0DE4E2AF" w:rsidR="000D43A0" w:rsidRPr="00E81CB3" w:rsidRDefault="000D43A0" w:rsidP="000D43A0">
      <w:pPr>
        <w:pStyle w:val="Stylepardfaut"/>
        <w:spacing w:line="480" w:lineRule="auto"/>
        <w:ind w:firstLine="709"/>
      </w:pPr>
      <w:r w:rsidRPr="00E81CB3">
        <w:t>Dependent variables were analyzed using a 2 (</w:t>
      </w:r>
      <w:r>
        <w:rPr>
          <w:i/>
          <w:iCs/>
        </w:rPr>
        <w:t>r</w:t>
      </w:r>
      <w:r w:rsidRPr="0080590A">
        <w:rPr>
          <w:i/>
          <w:iCs/>
        </w:rPr>
        <w:t>eligio</w:t>
      </w:r>
      <w:r>
        <w:rPr>
          <w:i/>
          <w:iCs/>
        </w:rPr>
        <w:t>us affiliation</w:t>
      </w:r>
      <w:r w:rsidRPr="00E81CB3">
        <w:t xml:space="preserve">: </w:t>
      </w:r>
      <w:r>
        <w:t>Catholic</w:t>
      </w:r>
      <w:r w:rsidRPr="00E81CB3">
        <w:t xml:space="preserve">, </w:t>
      </w:r>
      <w:r>
        <w:t>Atheist</w:t>
      </w:r>
      <w:r w:rsidRPr="00E81CB3">
        <w:t>) x 2 (</w:t>
      </w:r>
      <w:r w:rsidRPr="0080590A">
        <w:rPr>
          <w:i/>
          <w:iCs/>
        </w:rPr>
        <w:t>biological theory</w:t>
      </w:r>
      <w:r w:rsidRPr="00E81CB3">
        <w:t>: differen</w:t>
      </w:r>
      <w:r>
        <w:t>ces</w:t>
      </w:r>
      <w:r w:rsidRPr="00E81CB3">
        <w:t>, similar</w:t>
      </w:r>
      <w:r>
        <w:t>ities</w:t>
      </w:r>
      <w:r w:rsidRPr="00E81CB3">
        <w:t>) ANOVA.</w:t>
      </w:r>
      <w:r w:rsidRPr="00581B9A">
        <w:rPr>
          <w:rStyle w:val="Appelnotedebasdep"/>
        </w:rPr>
        <w:footnoteReference w:id="3"/>
      </w:r>
    </w:p>
    <w:p w14:paraId="25265DAA" w14:textId="77777777" w:rsidR="000D43A0" w:rsidRPr="00E81CB3" w:rsidRDefault="000D43A0" w:rsidP="000D43A0">
      <w:pPr>
        <w:pStyle w:val="Stylepardfaut"/>
        <w:spacing w:line="480" w:lineRule="auto"/>
        <w:ind w:firstLine="709"/>
      </w:pPr>
      <w:r w:rsidRPr="00E81CB3">
        <w:rPr>
          <w:b/>
        </w:rPr>
        <w:t>Manipulation check</w:t>
      </w:r>
      <w:r w:rsidRPr="00E81CB3">
        <w:rPr>
          <w:b/>
          <w:i/>
        </w:rPr>
        <w:t>.</w:t>
      </w:r>
      <w:r w:rsidRPr="00E81CB3">
        <w:t xml:space="preserve"> Regarding the endorsement of the biological theory, results revealed a main effect of the biological theory </w:t>
      </w:r>
      <w:r>
        <w:t>manipulation</w:t>
      </w:r>
      <w:r w:rsidRPr="00E81CB3">
        <w:t xml:space="preserve">, </w:t>
      </w:r>
      <w:proofErr w:type="gramStart"/>
      <w:r w:rsidRPr="00E81CB3">
        <w:rPr>
          <w:i/>
        </w:rPr>
        <w:t>F</w:t>
      </w:r>
      <w:r w:rsidRPr="00E81CB3">
        <w:t>(</w:t>
      </w:r>
      <w:proofErr w:type="gramEnd"/>
      <w:r w:rsidRPr="00E81CB3">
        <w:t>1,</w:t>
      </w:r>
      <w:r>
        <w:t>175</w:t>
      </w:r>
      <w:r w:rsidRPr="00E81CB3">
        <w:t xml:space="preserve">) = </w:t>
      </w:r>
      <w:r>
        <w:t>17.39</w:t>
      </w:r>
      <w:r w:rsidRPr="00E81CB3">
        <w:t xml:space="preserve">, </w:t>
      </w:r>
      <w:r w:rsidRPr="00E81CB3">
        <w:rPr>
          <w:i/>
        </w:rPr>
        <w:t>p</w:t>
      </w:r>
      <w:r w:rsidRPr="00E81CB3">
        <w:t xml:space="preserve"> </w:t>
      </w:r>
      <w:r>
        <w:t>&lt;</w:t>
      </w:r>
      <w:r w:rsidRPr="00E81CB3">
        <w:t xml:space="preserve"> .001, η</w:t>
      </w:r>
      <w:r w:rsidRPr="00E81CB3">
        <w:rPr>
          <w:vertAlign w:val="subscript"/>
        </w:rPr>
        <w:t>p</w:t>
      </w:r>
      <w:r w:rsidRPr="00E81CB3">
        <w:rPr>
          <w:vertAlign w:val="superscript"/>
        </w:rPr>
        <w:t>2</w:t>
      </w:r>
      <w:r w:rsidRPr="00E81CB3">
        <w:t xml:space="preserve"> = .0</w:t>
      </w:r>
      <w:r>
        <w:t>9</w:t>
      </w:r>
      <w:r w:rsidRPr="00E81CB3">
        <w:t xml:space="preserve">. Participants endorsed more strongly that sexual orientation is biologically determined </w:t>
      </w:r>
      <w:r>
        <w:t>following</w:t>
      </w:r>
      <w:r w:rsidRPr="00E81CB3">
        <w:t xml:space="preserve"> the biological</w:t>
      </w:r>
      <w:r>
        <w:t>-differences</w:t>
      </w:r>
      <w:r w:rsidRPr="00E81CB3">
        <w:t xml:space="preserve"> </w:t>
      </w:r>
      <w:r>
        <w:t>manipulation</w:t>
      </w:r>
      <w:r w:rsidRPr="00E81CB3">
        <w:t xml:space="preserve"> (</w:t>
      </w:r>
      <w:r w:rsidRPr="00E81CB3">
        <w:rPr>
          <w:i/>
        </w:rPr>
        <w:t>M</w:t>
      </w:r>
      <w:r w:rsidRPr="00E81CB3">
        <w:t xml:space="preserve"> = </w:t>
      </w:r>
      <w:r>
        <w:t>3.59</w:t>
      </w:r>
      <w:r w:rsidRPr="00E81CB3">
        <w:t xml:space="preserve">, </w:t>
      </w:r>
      <w:r w:rsidRPr="00E81CB3">
        <w:rPr>
          <w:i/>
        </w:rPr>
        <w:t>SD</w:t>
      </w:r>
      <w:r w:rsidRPr="00E81CB3">
        <w:t xml:space="preserve"> = </w:t>
      </w:r>
      <w:r>
        <w:t>1.66</w:t>
      </w:r>
      <w:r w:rsidRPr="00E81CB3">
        <w:t xml:space="preserve">) </w:t>
      </w:r>
      <w:r>
        <w:t>compared to</w:t>
      </w:r>
      <w:r w:rsidRPr="00E81CB3">
        <w:t xml:space="preserve"> the biological</w:t>
      </w:r>
      <w:r>
        <w:t>-similarities manipulation</w:t>
      </w:r>
      <w:r w:rsidRPr="00E81CB3">
        <w:t xml:space="preserve"> (</w:t>
      </w:r>
      <w:r w:rsidRPr="00E81CB3">
        <w:rPr>
          <w:i/>
        </w:rPr>
        <w:t>M</w:t>
      </w:r>
      <w:r w:rsidRPr="00E81CB3">
        <w:t xml:space="preserve"> = </w:t>
      </w:r>
      <w:r>
        <w:t>2.45</w:t>
      </w:r>
      <w:r w:rsidRPr="00E81CB3">
        <w:t xml:space="preserve">, </w:t>
      </w:r>
      <w:r w:rsidRPr="00E81CB3">
        <w:rPr>
          <w:i/>
        </w:rPr>
        <w:t>SD</w:t>
      </w:r>
      <w:r w:rsidRPr="00E81CB3">
        <w:t xml:space="preserve"> = </w:t>
      </w:r>
      <w:r>
        <w:t>1.82</w:t>
      </w:r>
      <w:r w:rsidRPr="00E81CB3">
        <w:t>).</w:t>
      </w:r>
      <w:r w:rsidRPr="00E81CB3">
        <w:rPr>
          <w:rStyle w:val="Appelnotedebasdep"/>
        </w:rPr>
        <w:t xml:space="preserve"> </w:t>
      </w:r>
      <w:r w:rsidRPr="00E81CB3">
        <w:t xml:space="preserve">No other main or interaction effects approached significance, </w:t>
      </w:r>
      <w:r w:rsidRPr="00E81CB3">
        <w:rPr>
          <w:i/>
        </w:rPr>
        <w:t>F</w:t>
      </w:r>
      <w:r w:rsidRPr="00E81CB3">
        <w:t xml:space="preserve">s </w:t>
      </w:r>
      <w:r>
        <w:t>&lt;</w:t>
      </w:r>
      <w:r w:rsidRPr="00E81CB3">
        <w:t xml:space="preserve"> 0.</w:t>
      </w:r>
      <w:r>
        <w:t>48</w:t>
      </w:r>
      <w:r w:rsidRPr="00E81CB3">
        <w:t xml:space="preserve">, </w:t>
      </w:r>
      <w:proofErr w:type="spellStart"/>
      <w:r w:rsidRPr="00E81CB3">
        <w:rPr>
          <w:i/>
        </w:rPr>
        <w:t>p</w:t>
      </w:r>
      <w:r w:rsidRPr="00E81CB3">
        <w:t>s</w:t>
      </w:r>
      <w:proofErr w:type="spellEnd"/>
      <w:r w:rsidRPr="00E81CB3">
        <w:t xml:space="preserve"> &gt; .</w:t>
      </w:r>
      <w:r>
        <w:t>48</w:t>
      </w:r>
      <w:r w:rsidRPr="00E81CB3">
        <w:t>.</w:t>
      </w:r>
    </w:p>
    <w:p w14:paraId="4BE3F88E" w14:textId="6EA4FEBE" w:rsidR="000D43A0" w:rsidRDefault="000D43A0" w:rsidP="000D43A0">
      <w:pPr>
        <w:pStyle w:val="Stylepardfaut"/>
        <w:spacing w:line="480" w:lineRule="auto"/>
        <w:ind w:firstLine="709"/>
      </w:pPr>
      <w:r>
        <w:rPr>
          <w:b/>
        </w:rPr>
        <w:t>Positive attitude towards homosexuality</w:t>
      </w:r>
      <w:r w:rsidRPr="00E81CB3">
        <w:t xml:space="preserve">. </w:t>
      </w:r>
      <w:r>
        <w:t>Regarding the main dependent variable, t</w:t>
      </w:r>
      <w:r w:rsidRPr="00E81CB3">
        <w:t xml:space="preserve">he ANOVA revealed a main effect of </w:t>
      </w:r>
      <w:r>
        <w:t>religious beliefs</w:t>
      </w:r>
      <w:r w:rsidRPr="00E81CB3">
        <w:t xml:space="preserve">, </w:t>
      </w:r>
      <w:proofErr w:type="gramStart"/>
      <w:r w:rsidRPr="00E81CB3">
        <w:rPr>
          <w:i/>
        </w:rPr>
        <w:t>F</w:t>
      </w:r>
      <w:r w:rsidRPr="00E81CB3">
        <w:t>(</w:t>
      </w:r>
      <w:proofErr w:type="gramEnd"/>
      <w:r w:rsidRPr="00E81CB3">
        <w:t>1,</w:t>
      </w:r>
      <w:r>
        <w:t>176</w:t>
      </w:r>
      <w:r w:rsidRPr="00E81CB3">
        <w:t xml:space="preserve">) = </w:t>
      </w:r>
      <w:r>
        <w:t>10.81</w:t>
      </w:r>
      <w:r w:rsidRPr="00E81CB3">
        <w:t xml:space="preserve">, </w:t>
      </w:r>
      <w:r w:rsidRPr="00E81CB3">
        <w:rPr>
          <w:i/>
        </w:rPr>
        <w:t>p</w:t>
      </w:r>
      <w:r w:rsidRPr="00E81CB3">
        <w:t xml:space="preserve"> &lt; .001, η</w:t>
      </w:r>
      <w:r w:rsidRPr="00E81CB3">
        <w:rPr>
          <w:vertAlign w:val="subscript"/>
        </w:rPr>
        <w:t>p</w:t>
      </w:r>
      <w:r w:rsidRPr="00E81CB3">
        <w:rPr>
          <w:vertAlign w:val="superscript"/>
        </w:rPr>
        <w:t>2</w:t>
      </w:r>
      <w:r w:rsidRPr="00E81CB3">
        <w:t xml:space="preserve"> = </w:t>
      </w:r>
      <w:r w:rsidRPr="00E81CB3">
        <w:lastRenderedPageBreak/>
        <w:t>.0</w:t>
      </w:r>
      <w:r>
        <w:t>58</w:t>
      </w:r>
      <w:r w:rsidRPr="00E81CB3">
        <w:t xml:space="preserve">. </w:t>
      </w:r>
      <w:r>
        <w:t xml:space="preserve">Atheists showed more positive attitudes towards homosexuality </w:t>
      </w:r>
      <w:r w:rsidRPr="00E81CB3">
        <w:t>(</w:t>
      </w:r>
      <w:r w:rsidRPr="00E81CB3">
        <w:rPr>
          <w:i/>
        </w:rPr>
        <w:t>M</w:t>
      </w:r>
      <w:r w:rsidRPr="00E81CB3">
        <w:t xml:space="preserve"> = </w:t>
      </w:r>
      <w:r>
        <w:t>5.27</w:t>
      </w:r>
      <w:r w:rsidRPr="00E81CB3">
        <w:t xml:space="preserve">, </w:t>
      </w:r>
      <w:r w:rsidRPr="00E81CB3">
        <w:rPr>
          <w:i/>
        </w:rPr>
        <w:t>SD</w:t>
      </w:r>
      <w:r w:rsidRPr="00E81CB3">
        <w:t xml:space="preserve"> = </w:t>
      </w:r>
      <w:r>
        <w:t>1.11) than Catholics (</w:t>
      </w:r>
      <w:r w:rsidRPr="00E81CB3">
        <w:rPr>
          <w:i/>
        </w:rPr>
        <w:t>M</w:t>
      </w:r>
      <w:r w:rsidRPr="00E81CB3">
        <w:t xml:space="preserve"> = </w:t>
      </w:r>
      <w:r>
        <w:t>4.70</w:t>
      </w:r>
      <w:r w:rsidRPr="00E81CB3">
        <w:t xml:space="preserve">, </w:t>
      </w:r>
      <w:r w:rsidRPr="00E81CB3">
        <w:rPr>
          <w:i/>
        </w:rPr>
        <w:t>SD</w:t>
      </w:r>
      <w:r w:rsidRPr="00E81CB3">
        <w:t xml:space="preserve"> = 1.</w:t>
      </w:r>
      <w:r>
        <w:t>07</w:t>
      </w:r>
      <w:r w:rsidRPr="00E81CB3">
        <w:t xml:space="preserve">). Moreover, the predicted </w:t>
      </w:r>
      <w:r>
        <w:t>two</w:t>
      </w:r>
      <w:r w:rsidRPr="00E81CB3">
        <w:t xml:space="preserve">-way interaction was </w:t>
      </w:r>
      <w:r>
        <w:t xml:space="preserve">also </w:t>
      </w:r>
      <w:r w:rsidRPr="00E81CB3">
        <w:t>significant,</w:t>
      </w:r>
      <w:r w:rsidRPr="00E81CB3">
        <w:rPr>
          <w:i/>
        </w:rPr>
        <w:t xml:space="preserve"> </w:t>
      </w:r>
      <w:proofErr w:type="gramStart"/>
      <w:r w:rsidRPr="00E81CB3">
        <w:rPr>
          <w:i/>
        </w:rPr>
        <w:t>F</w:t>
      </w:r>
      <w:r w:rsidRPr="00E81CB3">
        <w:t>(</w:t>
      </w:r>
      <w:proofErr w:type="gramEnd"/>
      <w:r w:rsidRPr="00E81CB3">
        <w:t>1,</w:t>
      </w:r>
      <w:r>
        <w:t>176</w:t>
      </w:r>
      <w:r w:rsidRPr="00E81CB3">
        <w:t xml:space="preserve">) = </w:t>
      </w:r>
      <w:r>
        <w:t>5.49</w:t>
      </w:r>
      <w:r w:rsidRPr="00E81CB3">
        <w:t xml:space="preserve">, </w:t>
      </w:r>
      <w:r w:rsidRPr="00E81CB3">
        <w:rPr>
          <w:i/>
        </w:rPr>
        <w:t>p</w:t>
      </w:r>
      <w:r w:rsidRPr="00E81CB3">
        <w:t xml:space="preserve"> = .0</w:t>
      </w:r>
      <w:r>
        <w:t>2</w:t>
      </w:r>
      <w:r w:rsidRPr="00E81CB3">
        <w:t>, η</w:t>
      </w:r>
      <w:r w:rsidRPr="00E81CB3">
        <w:rPr>
          <w:vertAlign w:val="subscript"/>
        </w:rPr>
        <w:t>p</w:t>
      </w:r>
      <w:r w:rsidRPr="00E81CB3">
        <w:rPr>
          <w:vertAlign w:val="superscript"/>
        </w:rPr>
        <w:t>2</w:t>
      </w:r>
      <w:r w:rsidRPr="00E81CB3">
        <w:t xml:space="preserve"> = .0</w:t>
      </w:r>
      <w:r>
        <w:t>3</w:t>
      </w:r>
      <w:r w:rsidRPr="00E81CB3">
        <w:t xml:space="preserve"> (see Figure 1). </w:t>
      </w:r>
      <w:r w:rsidR="000C173F">
        <w:t xml:space="preserve">Among Catholics, the effect of the biological theory was not significant, </w:t>
      </w:r>
      <w:r w:rsidR="000C173F" w:rsidRPr="001B6571">
        <w:rPr>
          <w:i/>
          <w:iCs/>
        </w:rPr>
        <w:t>p</w:t>
      </w:r>
      <w:r w:rsidR="000C173F">
        <w:t xml:space="preserve"> &gt; .27, 95% CI [-0.75, 0.21], but Atheists showed more positive attitudes towards homosexuality in the biological differences condition than in the biological similarities condition, </w:t>
      </w:r>
      <w:r w:rsidR="000C173F" w:rsidRPr="001B6571">
        <w:rPr>
          <w:i/>
          <w:iCs/>
        </w:rPr>
        <w:t>p</w:t>
      </w:r>
      <w:r w:rsidR="000C173F">
        <w:t xml:space="preserve"> &lt; .023, 95% CI [0.06, 0.93].</w:t>
      </w:r>
      <w:r w:rsidR="000C173F" w:rsidRPr="00E81CB3">
        <w:t xml:space="preserve"> </w:t>
      </w:r>
      <w:r w:rsidR="000C173F">
        <w:t>We also decomposed the interaction the other way around.</w:t>
      </w:r>
      <w:r w:rsidR="000C173F" w:rsidRPr="00E81CB3">
        <w:t xml:space="preserve"> </w:t>
      </w:r>
      <w:r w:rsidR="000C173F">
        <w:t>I</w:t>
      </w:r>
      <w:r w:rsidRPr="00E81CB3">
        <w:t>n the biological</w:t>
      </w:r>
      <w:r>
        <w:t xml:space="preserve"> differences</w:t>
      </w:r>
      <w:r w:rsidRPr="00E81CB3">
        <w:t xml:space="preserve"> condition</w:t>
      </w:r>
      <w:r>
        <w:t xml:space="preserve"> attitude towards homosexuality were less positive among Catholics (</w:t>
      </w:r>
      <w:r w:rsidRPr="00E81CB3">
        <w:rPr>
          <w:i/>
        </w:rPr>
        <w:t>M</w:t>
      </w:r>
      <w:r w:rsidRPr="00E81CB3">
        <w:t xml:space="preserve"> = </w:t>
      </w:r>
      <w:r>
        <w:t>4.55</w:t>
      </w:r>
      <w:r w:rsidRPr="00E81CB3">
        <w:t xml:space="preserve">, </w:t>
      </w:r>
      <w:r w:rsidRPr="00E81CB3">
        <w:rPr>
          <w:i/>
        </w:rPr>
        <w:t>SD</w:t>
      </w:r>
      <w:r w:rsidRPr="00E81CB3">
        <w:t xml:space="preserve"> = 1.</w:t>
      </w:r>
      <w:r>
        <w:t>23) than among Atheists (</w:t>
      </w:r>
      <w:r w:rsidRPr="00E81CB3">
        <w:rPr>
          <w:i/>
        </w:rPr>
        <w:t>M</w:t>
      </w:r>
      <w:r w:rsidRPr="00E81CB3">
        <w:t xml:space="preserve"> = </w:t>
      </w:r>
      <w:r>
        <w:t>5.47</w:t>
      </w:r>
      <w:r w:rsidRPr="00E81CB3">
        <w:t xml:space="preserve">, </w:t>
      </w:r>
      <w:r w:rsidRPr="00E81CB3">
        <w:rPr>
          <w:i/>
        </w:rPr>
        <w:t>SD</w:t>
      </w:r>
      <w:r w:rsidRPr="00E81CB3">
        <w:t xml:space="preserve"> = </w:t>
      </w:r>
      <w:r>
        <w:t>0.99</w:t>
      </w:r>
      <w:r w:rsidRPr="00E81CB3">
        <w:t>)</w:t>
      </w:r>
      <w:r>
        <w:t xml:space="preserve">, </w:t>
      </w:r>
      <w:r w:rsidRPr="005A08CF">
        <w:rPr>
          <w:i/>
          <w:iCs/>
        </w:rPr>
        <w:t>p</w:t>
      </w:r>
      <w:r>
        <w:t xml:space="preserve"> &lt; .001, 95% </w:t>
      </w:r>
      <w:r w:rsidRPr="005A08CF">
        <w:rPr>
          <w:i/>
          <w:iCs/>
        </w:rPr>
        <w:t>IC</w:t>
      </w:r>
      <w:r>
        <w:t xml:space="preserve"> [-1.38, -0.47]. However, this effect was not significant </w:t>
      </w:r>
      <w:r w:rsidRPr="00E81CB3">
        <w:t>in the biologica</w:t>
      </w:r>
      <w:r>
        <w:t xml:space="preserve">l similarities </w:t>
      </w:r>
      <w:r w:rsidRPr="00E81CB3">
        <w:t>condition</w:t>
      </w:r>
      <w:r>
        <w:t xml:space="preserve"> (</w:t>
      </w:r>
      <w:r w:rsidRPr="00E81CB3">
        <w:rPr>
          <w:i/>
        </w:rPr>
        <w:t>M</w:t>
      </w:r>
      <w:r w:rsidRPr="00E81CB3">
        <w:t xml:space="preserve"> = </w:t>
      </w:r>
      <w:r>
        <w:t>4.81</w:t>
      </w:r>
      <w:r w:rsidRPr="00E81CB3">
        <w:t xml:space="preserve">, </w:t>
      </w:r>
      <w:r w:rsidRPr="00E81CB3">
        <w:rPr>
          <w:i/>
        </w:rPr>
        <w:t>SD</w:t>
      </w:r>
      <w:r w:rsidRPr="00E81CB3">
        <w:t xml:space="preserve"> =</w:t>
      </w:r>
      <w:r>
        <w:t xml:space="preserve"> 0.93, and </w:t>
      </w:r>
      <w:r w:rsidRPr="00E81CB3">
        <w:rPr>
          <w:i/>
        </w:rPr>
        <w:t>M</w:t>
      </w:r>
      <w:r w:rsidRPr="00E81CB3">
        <w:t xml:space="preserve"> = </w:t>
      </w:r>
      <w:r>
        <w:t>4.97</w:t>
      </w:r>
      <w:r w:rsidRPr="00E81CB3">
        <w:t xml:space="preserve">, </w:t>
      </w:r>
      <w:r w:rsidRPr="00E81CB3">
        <w:rPr>
          <w:i/>
        </w:rPr>
        <w:t>SD</w:t>
      </w:r>
      <w:r w:rsidRPr="00E81CB3">
        <w:t xml:space="preserve"> = 1.</w:t>
      </w:r>
      <w:r>
        <w:t>21, respectively</w:t>
      </w:r>
      <w:r w:rsidRPr="00E81CB3">
        <w:t xml:space="preserve">), </w:t>
      </w:r>
      <w:r w:rsidRPr="00E81CB3">
        <w:rPr>
          <w:i/>
        </w:rPr>
        <w:t>p</w:t>
      </w:r>
      <w:r w:rsidRPr="00E81CB3">
        <w:t xml:space="preserve"> </w:t>
      </w:r>
      <w:r>
        <w:t>&gt;</w:t>
      </w:r>
      <w:r w:rsidRPr="00E81CB3">
        <w:t xml:space="preserve"> .</w:t>
      </w:r>
      <w:r>
        <w:t xml:space="preserve">50, 95% </w:t>
      </w:r>
      <w:r w:rsidRPr="00F260B8">
        <w:t>CI</w:t>
      </w:r>
      <w:r>
        <w:t xml:space="preserve"> [-0.61, 0.30]</w:t>
      </w:r>
      <w:r w:rsidRPr="00E81CB3">
        <w:t xml:space="preserve">. </w:t>
      </w:r>
    </w:p>
    <w:p w14:paraId="23FF51EC" w14:textId="77777777" w:rsidR="001E4C61" w:rsidRDefault="001E4C61" w:rsidP="001E4C61"/>
    <w:p w14:paraId="14F68016" w14:textId="77777777" w:rsidR="001E4C61" w:rsidRPr="00355C15" w:rsidRDefault="001E4C61" w:rsidP="00355C15">
      <w:pPr>
        <w:spacing w:line="360" w:lineRule="auto"/>
        <w:rPr>
          <w:iCs/>
          <w:sz w:val="20"/>
          <w:szCs w:val="20"/>
        </w:rPr>
      </w:pPr>
      <w:r w:rsidRPr="00E81CB3">
        <w:rPr>
          <w:noProof/>
        </w:rPr>
        <w:drawing>
          <wp:inline distT="0" distB="0" distL="0" distR="0" wp14:anchorId="4F9C8C0E" wp14:editId="43B5DA8A">
            <wp:extent cx="5716905" cy="3346238"/>
            <wp:effectExtent l="0" t="0" r="0" b="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355C15">
        <w:rPr>
          <w:b/>
          <w:bCs/>
          <w:iCs/>
          <w:sz w:val="20"/>
          <w:szCs w:val="20"/>
        </w:rPr>
        <w:t xml:space="preserve">Figure 1. </w:t>
      </w:r>
      <w:r w:rsidRPr="00355C15">
        <w:rPr>
          <w:iCs/>
          <w:sz w:val="20"/>
          <w:szCs w:val="20"/>
        </w:rPr>
        <w:t>Positive attitude towards homosexuality and perceived group entitativity as a function of participants’ religiosity and biological theory condition (bars represent ±1 standard deviation).</w:t>
      </w:r>
    </w:p>
    <w:p w14:paraId="4F3E4C3B" w14:textId="77777777" w:rsidR="001E4C61" w:rsidRDefault="001E4C61" w:rsidP="000D43A0">
      <w:pPr>
        <w:pStyle w:val="Stylepardfaut"/>
        <w:spacing w:line="480" w:lineRule="auto"/>
        <w:ind w:firstLine="709"/>
      </w:pPr>
    </w:p>
    <w:p w14:paraId="03C34977" w14:textId="7A69D06F" w:rsidR="000D43A0" w:rsidRDefault="000D43A0" w:rsidP="000D43A0">
      <w:pPr>
        <w:pStyle w:val="Stylepardfaut"/>
        <w:spacing w:line="480" w:lineRule="auto"/>
        <w:ind w:firstLine="709"/>
      </w:pPr>
      <w:r>
        <w:rPr>
          <w:b/>
        </w:rPr>
        <w:t xml:space="preserve">Perceived </w:t>
      </w:r>
      <w:r w:rsidR="000C173F">
        <w:rPr>
          <w:b/>
        </w:rPr>
        <w:t>intergroup differences</w:t>
      </w:r>
      <w:r w:rsidRPr="00E81CB3">
        <w:t xml:space="preserve">. The ANOVA </w:t>
      </w:r>
      <w:r>
        <w:t>only</w:t>
      </w:r>
      <w:r w:rsidRPr="00E81CB3">
        <w:t xml:space="preserve"> revealed a </w:t>
      </w:r>
      <w:r>
        <w:t xml:space="preserve">significant interaction </w:t>
      </w:r>
      <w:r w:rsidRPr="00E81CB3">
        <w:t>effect</w:t>
      </w:r>
      <w:r>
        <w:t xml:space="preserve"> on perceived </w:t>
      </w:r>
      <w:r w:rsidR="000C173F">
        <w:t>intergroup differences</w:t>
      </w:r>
      <w:r w:rsidRPr="00E81CB3">
        <w:t xml:space="preserve">, </w:t>
      </w:r>
      <w:proofErr w:type="gramStart"/>
      <w:r w:rsidRPr="00E81CB3">
        <w:rPr>
          <w:i/>
        </w:rPr>
        <w:t>F</w:t>
      </w:r>
      <w:r w:rsidRPr="00E81CB3">
        <w:t>(</w:t>
      </w:r>
      <w:proofErr w:type="gramEnd"/>
      <w:r w:rsidRPr="00E81CB3">
        <w:t>1,</w:t>
      </w:r>
      <w:r>
        <w:t>176</w:t>
      </w:r>
      <w:r w:rsidRPr="00E81CB3">
        <w:t xml:space="preserve">) = </w:t>
      </w:r>
      <w:r>
        <w:t>10.07</w:t>
      </w:r>
      <w:r w:rsidRPr="00E81CB3">
        <w:t xml:space="preserve">, </w:t>
      </w:r>
      <w:r w:rsidRPr="00E81CB3">
        <w:rPr>
          <w:i/>
        </w:rPr>
        <w:t>p</w:t>
      </w:r>
      <w:r w:rsidRPr="00E81CB3">
        <w:t xml:space="preserve"> </w:t>
      </w:r>
      <w:r>
        <w:t>=</w:t>
      </w:r>
      <w:r w:rsidRPr="00E81CB3">
        <w:t xml:space="preserve"> .00</w:t>
      </w:r>
      <w:r>
        <w:t>2</w:t>
      </w:r>
      <w:r w:rsidRPr="00E81CB3">
        <w:t>, η</w:t>
      </w:r>
      <w:r w:rsidRPr="00E81CB3">
        <w:rPr>
          <w:vertAlign w:val="subscript"/>
        </w:rPr>
        <w:t>p</w:t>
      </w:r>
      <w:r w:rsidRPr="00E81CB3">
        <w:rPr>
          <w:vertAlign w:val="superscript"/>
        </w:rPr>
        <w:t>2</w:t>
      </w:r>
      <w:r w:rsidRPr="00E81CB3">
        <w:t xml:space="preserve"> = .0</w:t>
      </w:r>
      <w:r>
        <w:t>54</w:t>
      </w:r>
      <w:r w:rsidRPr="00E81CB3">
        <w:t xml:space="preserve"> </w:t>
      </w:r>
      <w:r w:rsidRPr="00E81CB3">
        <w:lastRenderedPageBreak/>
        <w:t xml:space="preserve">(see Figure 1). </w:t>
      </w:r>
      <w:r w:rsidR="000C173F">
        <w:t>Among Atheists</w:t>
      </w:r>
      <w:r w:rsidR="000C173F" w:rsidRPr="00E81CB3">
        <w:t xml:space="preserve">, </w:t>
      </w:r>
      <w:r w:rsidR="000C173F">
        <w:t>perceived differe</w:t>
      </w:r>
      <w:r w:rsidR="00D565F1">
        <w:t>n</w:t>
      </w:r>
      <w:r w:rsidR="000C173F">
        <w:t>ces</w:t>
      </w:r>
      <w:r w:rsidR="000C173F" w:rsidRPr="00E81CB3">
        <w:t xml:space="preserve"> </w:t>
      </w:r>
      <w:r w:rsidR="00FD2518" w:rsidRPr="00E81CB3">
        <w:t>were</w:t>
      </w:r>
      <w:r w:rsidR="000C173F" w:rsidRPr="00E81CB3">
        <w:t xml:space="preserve"> </w:t>
      </w:r>
      <w:r w:rsidR="000C173F">
        <w:t>lower</w:t>
      </w:r>
      <w:r w:rsidR="000C173F" w:rsidRPr="00E81CB3">
        <w:t xml:space="preserve"> in the biological</w:t>
      </w:r>
      <w:r w:rsidR="000C173F">
        <w:t xml:space="preserve"> differences</w:t>
      </w:r>
      <w:r w:rsidR="000C173F" w:rsidRPr="00E81CB3">
        <w:t xml:space="preserve"> condition</w:t>
      </w:r>
      <w:r w:rsidR="000C173F">
        <w:t xml:space="preserve"> </w:t>
      </w:r>
      <w:r w:rsidR="000C173F" w:rsidRPr="00E81CB3">
        <w:t>than in the biological</w:t>
      </w:r>
      <w:r w:rsidR="000C173F">
        <w:t xml:space="preserve"> similarities</w:t>
      </w:r>
      <w:r w:rsidR="000C173F" w:rsidRPr="00E81CB3">
        <w:t xml:space="preserve"> conditio</w:t>
      </w:r>
      <w:r w:rsidR="000C173F">
        <w:t>n</w:t>
      </w:r>
      <w:r w:rsidR="000C173F" w:rsidRPr="00E81CB3">
        <w:t xml:space="preserve">, </w:t>
      </w:r>
      <w:r w:rsidR="000C173F" w:rsidRPr="00E81CB3">
        <w:rPr>
          <w:i/>
        </w:rPr>
        <w:t>p</w:t>
      </w:r>
      <w:r w:rsidR="000C173F" w:rsidRPr="00E81CB3">
        <w:t xml:space="preserve"> = .0</w:t>
      </w:r>
      <w:r w:rsidR="000C173F">
        <w:t>08, 95% CI [-1.37, -0.20]</w:t>
      </w:r>
      <w:r w:rsidR="000C173F" w:rsidRPr="00E81CB3">
        <w:t xml:space="preserve">. </w:t>
      </w:r>
      <w:r w:rsidR="000C173F">
        <w:t xml:space="preserve">However, the reverse tended to approach significance among Catholics, </w:t>
      </w:r>
      <w:r w:rsidR="000C173F" w:rsidRPr="001B6571">
        <w:rPr>
          <w:i/>
          <w:iCs/>
        </w:rPr>
        <w:t>p</w:t>
      </w:r>
      <w:r w:rsidR="000C173F">
        <w:t xml:space="preserve"> = .064, 95% CI [-1.26, 0.03]. </w:t>
      </w:r>
      <w:r>
        <w:t>In the biological differences condition, Atheists (</w:t>
      </w:r>
      <w:r w:rsidRPr="00E81CB3">
        <w:rPr>
          <w:i/>
        </w:rPr>
        <w:t>M</w:t>
      </w:r>
      <w:r w:rsidRPr="00E81CB3">
        <w:t xml:space="preserve"> = </w:t>
      </w:r>
      <w:r>
        <w:t>3.20</w:t>
      </w:r>
      <w:r w:rsidRPr="00E81CB3">
        <w:t xml:space="preserve">, </w:t>
      </w:r>
      <w:r w:rsidRPr="00E81CB3">
        <w:rPr>
          <w:i/>
        </w:rPr>
        <w:t>SD</w:t>
      </w:r>
      <w:r w:rsidRPr="00E81CB3">
        <w:t xml:space="preserve"> = </w:t>
      </w:r>
      <w:r>
        <w:t>1.26</w:t>
      </w:r>
      <w:r w:rsidRPr="00E81CB3">
        <w:t>)</w:t>
      </w:r>
      <w:r>
        <w:t xml:space="preserve"> showed less entitativity than Catholics (</w:t>
      </w:r>
      <w:r w:rsidRPr="00E81CB3">
        <w:rPr>
          <w:i/>
        </w:rPr>
        <w:t>M</w:t>
      </w:r>
      <w:r w:rsidRPr="00E81CB3">
        <w:t xml:space="preserve"> = </w:t>
      </w:r>
      <w:r>
        <w:t>4.11</w:t>
      </w:r>
      <w:r w:rsidRPr="00E81CB3">
        <w:t xml:space="preserve">, </w:t>
      </w:r>
      <w:r w:rsidRPr="00E81CB3">
        <w:rPr>
          <w:i/>
        </w:rPr>
        <w:t>SD</w:t>
      </w:r>
      <w:r w:rsidRPr="00E81CB3">
        <w:t xml:space="preserve"> = 1.</w:t>
      </w:r>
      <w:r>
        <w:t xml:space="preserve">51), </w:t>
      </w:r>
      <w:r w:rsidRPr="001B6571">
        <w:rPr>
          <w:i/>
          <w:iCs/>
        </w:rPr>
        <w:t>p</w:t>
      </w:r>
      <w:r>
        <w:t xml:space="preserve"> = .004, 95% CI [-1.52, -0.30]. However, this difference was not significant in the biological similarities condition</w:t>
      </w:r>
      <w:r w:rsidRPr="00C07102">
        <w:rPr>
          <w:i/>
        </w:rPr>
        <w:t xml:space="preserve"> </w:t>
      </w:r>
      <w:r w:rsidRPr="00C07102">
        <w:rPr>
          <w:iCs/>
        </w:rPr>
        <w:t>(</w:t>
      </w:r>
      <w:r w:rsidRPr="00E81CB3">
        <w:rPr>
          <w:i/>
        </w:rPr>
        <w:t>M</w:t>
      </w:r>
      <w:r w:rsidRPr="00E81CB3">
        <w:t xml:space="preserve"> = </w:t>
      </w:r>
      <w:r>
        <w:t>3.99</w:t>
      </w:r>
      <w:r w:rsidRPr="00E81CB3">
        <w:t xml:space="preserve">, </w:t>
      </w:r>
      <w:r w:rsidRPr="00E81CB3">
        <w:rPr>
          <w:i/>
        </w:rPr>
        <w:t>SD</w:t>
      </w:r>
      <w:r w:rsidRPr="00E81CB3">
        <w:t xml:space="preserve"> = 1.</w:t>
      </w:r>
      <w:r>
        <w:t>67, and</w:t>
      </w:r>
      <w:r w:rsidRPr="00C07102">
        <w:rPr>
          <w:i/>
        </w:rPr>
        <w:t xml:space="preserve"> </w:t>
      </w:r>
      <w:r w:rsidRPr="00E81CB3">
        <w:rPr>
          <w:i/>
        </w:rPr>
        <w:t>M</w:t>
      </w:r>
      <w:r w:rsidRPr="00E81CB3">
        <w:t xml:space="preserve"> = </w:t>
      </w:r>
      <w:r>
        <w:t>3.50</w:t>
      </w:r>
      <w:r w:rsidRPr="00E81CB3">
        <w:t xml:space="preserve">, </w:t>
      </w:r>
      <w:r w:rsidRPr="00E81CB3">
        <w:rPr>
          <w:i/>
        </w:rPr>
        <w:t>SD</w:t>
      </w:r>
      <w:r w:rsidRPr="00E81CB3">
        <w:t xml:space="preserve"> =</w:t>
      </w:r>
      <w:r>
        <w:t xml:space="preserve"> 1.44, respectively), </w:t>
      </w:r>
      <w:r w:rsidRPr="001B6571">
        <w:rPr>
          <w:i/>
          <w:iCs/>
        </w:rPr>
        <w:t>p</w:t>
      </w:r>
      <w:r>
        <w:t xml:space="preserve"> &gt; .12, 95% CI [-0.13, 1.11].</w:t>
      </w:r>
      <w:r w:rsidRPr="00E81CB3">
        <w:t xml:space="preserve"> </w:t>
      </w:r>
    </w:p>
    <w:p w14:paraId="75E60097" w14:textId="77777777" w:rsidR="000D43A0" w:rsidRPr="00E81CB3" w:rsidRDefault="000D43A0" w:rsidP="000D43A0">
      <w:pPr>
        <w:pStyle w:val="Stylepardfaut"/>
        <w:spacing w:line="480" w:lineRule="auto"/>
        <w:ind w:firstLine="709"/>
      </w:pPr>
      <w:r>
        <w:rPr>
          <w:b/>
        </w:rPr>
        <w:t>Perceived Controllability</w:t>
      </w:r>
      <w:r w:rsidRPr="00E81CB3">
        <w:t xml:space="preserve">. The ANOVA </w:t>
      </w:r>
      <w:r>
        <w:t xml:space="preserve">did not </w:t>
      </w:r>
      <w:r w:rsidRPr="00E81CB3">
        <w:t>reveal a</w:t>
      </w:r>
      <w:r>
        <w:t>ny</w:t>
      </w:r>
      <w:r w:rsidRPr="00E81CB3">
        <w:t xml:space="preserve"> </w:t>
      </w:r>
      <w:r>
        <w:t xml:space="preserve">significant interaction </w:t>
      </w:r>
      <w:r w:rsidRPr="00E81CB3">
        <w:t xml:space="preserve">effect, </w:t>
      </w:r>
      <w:r w:rsidRPr="00E81CB3">
        <w:rPr>
          <w:i/>
        </w:rPr>
        <w:t>F</w:t>
      </w:r>
      <w:r>
        <w:t>s</w:t>
      </w:r>
      <w:r w:rsidRPr="00E81CB3">
        <w:t xml:space="preserve"> </w:t>
      </w:r>
      <w:r>
        <w:t>&lt;</w:t>
      </w:r>
      <w:r w:rsidRPr="00E81CB3">
        <w:t xml:space="preserve"> </w:t>
      </w:r>
      <w:r>
        <w:t>1.34</w:t>
      </w:r>
      <w:r w:rsidRPr="00E81CB3">
        <w:t xml:space="preserve">, </w:t>
      </w:r>
      <w:proofErr w:type="spellStart"/>
      <w:r w:rsidRPr="00E81CB3">
        <w:rPr>
          <w:i/>
        </w:rPr>
        <w:t>p</w:t>
      </w:r>
      <w:r>
        <w:rPr>
          <w:i/>
        </w:rPr>
        <w:t>s</w:t>
      </w:r>
      <w:proofErr w:type="spellEnd"/>
      <w:r w:rsidRPr="00E81CB3">
        <w:t xml:space="preserve"> </w:t>
      </w:r>
      <w:r>
        <w:t>&gt;</w:t>
      </w:r>
      <w:r w:rsidRPr="00E81CB3">
        <w:t xml:space="preserve"> .</w:t>
      </w:r>
      <w:r>
        <w:t>24</w:t>
      </w:r>
      <w:r w:rsidRPr="00E81CB3">
        <w:t>.</w:t>
      </w:r>
    </w:p>
    <w:p w14:paraId="13B1A110" w14:textId="77777777" w:rsidR="000D43A0" w:rsidRPr="00E81CB3" w:rsidRDefault="000D43A0" w:rsidP="000D43A0">
      <w:pPr>
        <w:pStyle w:val="Stylepardfaut"/>
        <w:spacing w:line="480" w:lineRule="auto"/>
        <w:rPr>
          <w:b/>
        </w:rPr>
      </w:pPr>
      <w:r w:rsidRPr="00E81CB3">
        <w:rPr>
          <w:b/>
        </w:rPr>
        <w:t>Discussion</w:t>
      </w:r>
    </w:p>
    <w:p w14:paraId="207C8E33" w14:textId="79C42678" w:rsidR="000D43A0" w:rsidRPr="00E81CB3" w:rsidRDefault="000D43A0" w:rsidP="000D43A0">
      <w:pPr>
        <w:pStyle w:val="Stylepardfaut"/>
        <w:spacing w:line="480" w:lineRule="auto"/>
        <w:ind w:firstLine="709"/>
      </w:pPr>
      <w:r w:rsidRPr="00E81CB3">
        <w:t>The</w:t>
      </w:r>
      <w:r>
        <w:t xml:space="preserve"> results of this pilot study showed that religio</w:t>
      </w:r>
      <w:r w:rsidR="000C173F">
        <w:t>u</w:t>
      </w:r>
      <w:r>
        <w:t>s</w:t>
      </w:r>
      <w:r w:rsidR="000C173F">
        <w:t xml:space="preserve"> affiliation</w:t>
      </w:r>
      <w:r>
        <w:t xml:space="preserve">, as assessed through the difference between Catholic and Atheist participants, increased sexual prejudice to a greater extent </w:t>
      </w:r>
      <w:r w:rsidRPr="00E81CB3">
        <w:t xml:space="preserve">when science was thought to support the biological </w:t>
      </w:r>
      <w:r>
        <w:t>bases of sexual orientation</w:t>
      </w:r>
      <w:r w:rsidRPr="00E81CB3">
        <w:t xml:space="preserve">. This pattern was </w:t>
      </w:r>
      <w:r>
        <w:t>also</w:t>
      </w:r>
      <w:r w:rsidRPr="00E81CB3">
        <w:t xml:space="preserve"> observed </w:t>
      </w:r>
      <w:r>
        <w:t xml:space="preserve">regarding perceived </w:t>
      </w:r>
      <w:r w:rsidR="000C173F">
        <w:t>intergroup differences</w:t>
      </w:r>
      <w:r w:rsidRPr="00E81CB3">
        <w:t xml:space="preserve">. </w:t>
      </w:r>
      <w:r>
        <w:t>As compared to Atheists, Catholics perceived gay men to a greater extent as a</w:t>
      </w:r>
      <w:r w:rsidR="000C173F">
        <w:t xml:space="preserve"> different group</w:t>
      </w:r>
      <w:r>
        <w:t xml:space="preserve"> when exposed to scientific evidence in support of the biological bases of sexual orientation, but not when this evidence supported the lack of a biological determinism. In sum, the results of this pilot study are consistent with those observed in Studies 1 and 2, and therefore provide evidence in support of </w:t>
      </w:r>
      <w:r w:rsidR="001E4C61">
        <w:t>the</w:t>
      </w:r>
      <w:r>
        <w:t xml:space="preserve"> main hypothesis.</w:t>
      </w:r>
    </w:p>
    <w:p w14:paraId="6567F485" w14:textId="77777777" w:rsidR="000D43A0" w:rsidRDefault="000D43A0" w:rsidP="000D43A0">
      <w:pPr>
        <w:pStyle w:val="Stylepardfaut"/>
        <w:spacing w:line="480" w:lineRule="auto"/>
        <w:rPr>
          <w:b/>
        </w:rPr>
      </w:pPr>
    </w:p>
    <w:p w14:paraId="601C82C8" w14:textId="77777777" w:rsidR="000D43A0" w:rsidRDefault="000D43A0" w:rsidP="000D43A0"/>
    <w:p w14:paraId="7FA6C56A" w14:textId="77777777" w:rsidR="0014710A" w:rsidRDefault="0014710A" w:rsidP="001E4C61">
      <w:pPr>
        <w:pStyle w:val="Stylepardfaut"/>
        <w:spacing w:line="480" w:lineRule="auto"/>
        <w:rPr>
          <w:b/>
        </w:rPr>
      </w:pPr>
    </w:p>
    <w:p w14:paraId="5AF0C215" w14:textId="77777777" w:rsidR="000D43A0" w:rsidRDefault="000D43A0" w:rsidP="002E08C2">
      <w:pPr>
        <w:pStyle w:val="Stylepardfaut"/>
        <w:spacing w:line="480" w:lineRule="auto"/>
        <w:jc w:val="center"/>
        <w:rPr>
          <w:b/>
        </w:rPr>
      </w:pPr>
    </w:p>
    <w:p w14:paraId="0D2A1D72" w14:textId="77777777" w:rsidR="001E4C61" w:rsidRDefault="001E4C61" w:rsidP="001E4C61">
      <w:pPr>
        <w:pStyle w:val="Stylepardfaut"/>
        <w:spacing w:line="480" w:lineRule="auto"/>
        <w:rPr>
          <w:b/>
        </w:rPr>
      </w:pPr>
    </w:p>
    <w:p w14:paraId="1463341E" w14:textId="77777777" w:rsidR="007E6232" w:rsidRDefault="007E6232">
      <w:pPr>
        <w:rPr>
          <w:b/>
        </w:rPr>
      </w:pPr>
      <w:r>
        <w:rPr>
          <w:b/>
        </w:rPr>
        <w:br w:type="page"/>
      </w:r>
    </w:p>
    <w:p w14:paraId="687FC900" w14:textId="5CE6CF82" w:rsidR="001E4C61" w:rsidRDefault="001E4C61" w:rsidP="001E4C61">
      <w:pPr>
        <w:pStyle w:val="Stylepardfaut"/>
        <w:spacing w:line="480" w:lineRule="auto"/>
        <w:rPr>
          <w:b/>
        </w:rPr>
      </w:pPr>
      <w:r>
        <w:rPr>
          <w:b/>
        </w:rPr>
        <w:lastRenderedPageBreak/>
        <w:t>2) ADDITIONAL MATERIAL</w:t>
      </w:r>
    </w:p>
    <w:p w14:paraId="7E6670A2" w14:textId="1D9A7970" w:rsidR="0019060F" w:rsidRDefault="003937C0" w:rsidP="00442C42">
      <w:pPr>
        <w:pStyle w:val="Stylepardfaut"/>
        <w:spacing w:line="480" w:lineRule="auto"/>
        <w:ind w:firstLine="709"/>
      </w:pPr>
      <w:r>
        <w:t>As already stated</w:t>
      </w:r>
      <w:r w:rsidR="00FE336A">
        <w:t xml:space="preserve"> in the main document</w:t>
      </w:r>
      <w:r>
        <w:t>, the studies described were conducted independently by two master students as a part of their master dissertation</w:t>
      </w:r>
      <w:r w:rsidR="0019060F">
        <w:t xml:space="preserve">, and these studies had specific goals that did not completely </w:t>
      </w:r>
      <w:r w:rsidR="00AC7CF0">
        <w:t xml:space="preserve">suit </w:t>
      </w:r>
      <w:r w:rsidR="0019060F">
        <w:t>the main goal of the present research</w:t>
      </w:r>
      <w:r>
        <w:t xml:space="preserve">. </w:t>
      </w:r>
      <w:r w:rsidR="00355C15">
        <w:t>Therefore</w:t>
      </w:r>
      <w:r>
        <w:t xml:space="preserve">, </w:t>
      </w:r>
      <w:r w:rsidR="0019060F">
        <w:t xml:space="preserve">for </w:t>
      </w:r>
      <w:r w:rsidR="00FE336A">
        <w:t xml:space="preserve">both studies </w:t>
      </w:r>
      <w:r w:rsidR="0019060F">
        <w:t xml:space="preserve">the questionnaires included </w:t>
      </w:r>
      <w:r w:rsidR="00FE336A">
        <w:t xml:space="preserve">specific </w:t>
      </w:r>
      <w:r w:rsidRPr="006F2776">
        <w:t xml:space="preserve">materials </w:t>
      </w:r>
      <w:r w:rsidR="00FE336A">
        <w:t xml:space="preserve">that </w:t>
      </w:r>
      <w:r>
        <w:t xml:space="preserve">are </w:t>
      </w:r>
      <w:r w:rsidR="00F73558">
        <w:t>beyond the scope</w:t>
      </w:r>
      <w:r w:rsidR="0019060F" w:rsidRPr="0019060F">
        <w:t xml:space="preserve"> </w:t>
      </w:r>
      <w:r w:rsidR="0019060F">
        <w:t>and length</w:t>
      </w:r>
      <w:r w:rsidR="00F73558">
        <w:t xml:space="preserve"> of the </w:t>
      </w:r>
      <w:r>
        <w:t xml:space="preserve">main document. </w:t>
      </w:r>
      <w:r w:rsidR="007E6232">
        <w:t>We decided not to present these measures in the main document because of their exploratory nature, their no</w:t>
      </w:r>
      <w:r w:rsidR="00AC7CF0">
        <w:t>n-</w:t>
      </w:r>
      <w:r w:rsidR="007E6232">
        <w:t>systematic inclusion across the two studies, and their inconsistent results, and for length and concision purposes. However, f</w:t>
      </w:r>
      <w:r w:rsidR="0019060F">
        <w:t>or transparency purposes we describe below all the</w:t>
      </w:r>
      <w:r w:rsidR="007E6232">
        <w:t>se</w:t>
      </w:r>
      <w:r w:rsidR="0019060F">
        <w:t xml:space="preserve"> additional materials.</w:t>
      </w:r>
    </w:p>
    <w:p w14:paraId="78996A9B" w14:textId="3B0C6150" w:rsidR="0019060F" w:rsidRPr="00355C15" w:rsidRDefault="0019060F" w:rsidP="00355C15">
      <w:pPr>
        <w:pStyle w:val="Stylepardfaut"/>
        <w:spacing w:line="480" w:lineRule="auto"/>
        <w:rPr>
          <w:b/>
          <w:bCs/>
        </w:rPr>
      </w:pPr>
      <w:r w:rsidRPr="0019060F">
        <w:rPr>
          <w:b/>
          <w:bCs/>
        </w:rPr>
        <w:t xml:space="preserve">STUDY </w:t>
      </w:r>
      <w:r>
        <w:rPr>
          <w:b/>
          <w:bCs/>
        </w:rPr>
        <w:t>1</w:t>
      </w:r>
    </w:p>
    <w:p w14:paraId="05EFC852" w14:textId="498DD12D" w:rsidR="0019060F" w:rsidRDefault="0019060F" w:rsidP="00442C42">
      <w:pPr>
        <w:pStyle w:val="Stylepardfaut"/>
        <w:spacing w:line="480" w:lineRule="auto"/>
        <w:ind w:firstLine="709"/>
        <w:rPr>
          <w:lang w:eastAsia="ko-KR"/>
        </w:rPr>
      </w:pPr>
      <w:r w:rsidRPr="00355C15">
        <w:rPr>
          <w:b/>
          <w:bCs/>
        </w:rPr>
        <w:t>Independent variables</w:t>
      </w:r>
      <w:r>
        <w:t>. B</w:t>
      </w:r>
      <w:r w:rsidR="00FE336A">
        <w:t>eyond the material described in the main document,</w:t>
      </w:r>
      <w:r w:rsidR="00866A7B">
        <w:t xml:space="preserve"> </w:t>
      </w:r>
      <w:r w:rsidR="00A42183">
        <w:t xml:space="preserve">the questionnaire </w:t>
      </w:r>
      <w:r>
        <w:t xml:space="preserve">for Study 1 </w:t>
      </w:r>
      <w:r w:rsidR="00FE336A">
        <w:t xml:space="preserve">also </w:t>
      </w:r>
      <w:r w:rsidR="00A42183">
        <w:t xml:space="preserve">included </w:t>
      </w:r>
      <w:r w:rsidR="00FE336A">
        <w:t xml:space="preserve">at pre-test </w:t>
      </w:r>
      <w:r w:rsidR="00A42183">
        <w:t>a measure of endorsement of traditional masculinity norms</w:t>
      </w:r>
      <w:r w:rsidR="00CD6508">
        <w:t xml:space="preserve"> </w:t>
      </w:r>
      <w:r w:rsidR="00CD6508">
        <w:rPr>
          <w:noProof/>
        </w:rPr>
        <w:t>(Thompson &amp; Pleck, 1986)</w:t>
      </w:r>
      <w:r w:rsidR="00A42183">
        <w:t xml:space="preserve"> </w:t>
      </w:r>
      <w:r w:rsidR="00A42183">
        <w:rPr>
          <w:lang w:eastAsia="ko-KR"/>
        </w:rPr>
        <w:t>and a</w:t>
      </w:r>
      <w:r w:rsidR="00FE336A">
        <w:rPr>
          <w:lang w:eastAsia="ko-KR"/>
        </w:rPr>
        <w:t xml:space="preserve"> self-made</w:t>
      </w:r>
      <w:r w:rsidR="00A42183">
        <w:rPr>
          <w:lang w:eastAsia="ko-KR"/>
        </w:rPr>
        <w:t xml:space="preserve"> experimental manipulation of the gender prototypicity of gay men (i.e., whether personality tests show that gay men are feminine as heterosexual women or masculine as heterosexual men).</w:t>
      </w:r>
      <w:r w:rsidR="00FE336A">
        <w:rPr>
          <w:lang w:eastAsia="ko-KR"/>
        </w:rPr>
        <w:t xml:space="preserve"> </w:t>
      </w:r>
    </w:p>
    <w:p w14:paraId="581B7C2F" w14:textId="77777777" w:rsidR="0019060F" w:rsidRDefault="00186B38" w:rsidP="00442C42">
      <w:pPr>
        <w:pStyle w:val="Stylepardfaut"/>
        <w:spacing w:line="480" w:lineRule="auto"/>
        <w:ind w:firstLine="709"/>
      </w:pPr>
      <w:r>
        <w:rPr>
          <w:lang w:eastAsia="ko-KR"/>
        </w:rPr>
        <w:t>However, t</w:t>
      </w:r>
      <w:r w:rsidR="00FE336A">
        <w:rPr>
          <w:lang w:eastAsia="ko-KR"/>
        </w:rPr>
        <w:t xml:space="preserve">hese two </w:t>
      </w:r>
      <w:r>
        <w:rPr>
          <w:lang w:eastAsia="ko-KR"/>
        </w:rPr>
        <w:t>additional independent variables</w:t>
      </w:r>
      <w:r w:rsidR="00FE336A">
        <w:rPr>
          <w:lang w:eastAsia="ko-KR"/>
        </w:rPr>
        <w:t xml:space="preserve"> were</w:t>
      </w:r>
      <w:r w:rsidR="00A42183">
        <w:rPr>
          <w:lang w:eastAsia="ko-KR"/>
        </w:rPr>
        <w:t xml:space="preserve"> </w:t>
      </w:r>
      <w:r w:rsidR="00FE336A">
        <w:t>related to specific</w:t>
      </w:r>
      <w:r w:rsidR="00FE336A" w:rsidRPr="006F2776">
        <w:t xml:space="preserve"> research goals </w:t>
      </w:r>
      <w:r w:rsidR="00FE336A">
        <w:t>of the student’s master thesis</w:t>
      </w:r>
      <w:r>
        <w:t xml:space="preserve"> and </w:t>
      </w:r>
      <w:r w:rsidR="00FE336A">
        <w:t xml:space="preserve">were not included in Study 2. </w:t>
      </w:r>
      <w:r w:rsidR="001B5850">
        <w:t xml:space="preserve">Moreover, the analyses including the four independent variables, as well as their interactions, revealed that the critical religiosity by BTSO interaction effect was significant and any of the two additional independent variables moderated this effect. Nevertheless, </w:t>
      </w:r>
      <w:r w:rsidR="00BF7D78">
        <w:t xml:space="preserve">the small final sample </w:t>
      </w:r>
      <w:r>
        <w:t>in Study 1 (</w:t>
      </w:r>
      <w:r w:rsidRPr="00186B38">
        <w:rPr>
          <w:i/>
          <w:iCs/>
        </w:rPr>
        <w:t>N</w:t>
      </w:r>
      <w:r>
        <w:t xml:space="preserve"> = </w:t>
      </w:r>
      <w:r w:rsidR="00BF7D78">
        <w:t>118 participants</w:t>
      </w:r>
      <w:r>
        <w:t>)</w:t>
      </w:r>
      <w:r w:rsidR="00BF7D78">
        <w:t xml:space="preserve"> did not provide the sufficient power to test a </w:t>
      </w:r>
      <w:r w:rsidR="00D77396">
        <w:t>4</w:t>
      </w:r>
      <w:r w:rsidR="00BF7D78">
        <w:t xml:space="preserve">-way interaction resulting from a complex design including </w:t>
      </w:r>
      <w:r w:rsidR="00D77396">
        <w:t>four</w:t>
      </w:r>
      <w:r w:rsidR="00BF7D78">
        <w:t xml:space="preserve"> predictors</w:t>
      </w:r>
      <w:r>
        <w:t>:</w:t>
      </w:r>
      <w:r w:rsidR="00D77396">
        <w:t xml:space="preserve"> two individual differences measures</w:t>
      </w:r>
      <w:r w:rsidR="00BF7D78">
        <w:t xml:space="preserve"> (</w:t>
      </w:r>
      <w:r w:rsidR="00D77396">
        <w:t xml:space="preserve">religiosity and </w:t>
      </w:r>
      <w:r w:rsidR="00BF7D78">
        <w:t>masculinity norm endorsement</w:t>
      </w:r>
      <w:r w:rsidR="00D77396">
        <w:t xml:space="preserve">) and two experimental manipulations (BTSO </w:t>
      </w:r>
      <w:r w:rsidR="00BF7D78">
        <w:t xml:space="preserve">and gay gender prototypicity). </w:t>
      </w:r>
      <w:r>
        <w:t xml:space="preserve">Finally, it’s worth noting that these two additional independent variables are </w:t>
      </w:r>
      <w:r w:rsidRPr="006F2776">
        <w:t xml:space="preserve">beyond </w:t>
      </w:r>
      <w:r>
        <w:t>the</w:t>
      </w:r>
      <w:r w:rsidRPr="006F2776">
        <w:t xml:space="preserve"> </w:t>
      </w:r>
      <w:r>
        <w:t xml:space="preserve">theoretical </w:t>
      </w:r>
      <w:r w:rsidRPr="006F2776">
        <w:t xml:space="preserve">scope of the present </w:t>
      </w:r>
      <w:r>
        <w:t xml:space="preserve">manuscript </w:t>
      </w:r>
      <w:r>
        <w:lastRenderedPageBreak/>
        <w:t xml:space="preserve">which specifically focuses on the interplay between religiosity, gender and BTSO. </w:t>
      </w:r>
      <w:r w:rsidR="00FE336A">
        <w:t xml:space="preserve">Therefore, for simplicity and length concerns, </w:t>
      </w:r>
      <w:r>
        <w:t xml:space="preserve">in the main document we decided to </w:t>
      </w:r>
      <w:r w:rsidR="00BE5BFA">
        <w:t xml:space="preserve">focus on the religiosity by BTSO interaction investigated in the present research, and </w:t>
      </w:r>
      <w:r w:rsidR="00FE336A">
        <w:t xml:space="preserve">decided not to report </w:t>
      </w:r>
      <w:r w:rsidR="00BE5BFA">
        <w:t>the other</w:t>
      </w:r>
      <w:r w:rsidR="00BF7D78">
        <w:t xml:space="preserve"> two additional </w:t>
      </w:r>
      <w:r w:rsidR="00BE5BFA">
        <w:t>independent variables</w:t>
      </w:r>
      <w:r w:rsidR="00FE336A">
        <w:t xml:space="preserve">. </w:t>
      </w:r>
      <w:r w:rsidR="003937C0">
        <w:t>M</w:t>
      </w:r>
      <w:r w:rsidR="003937C0" w:rsidRPr="006F2776">
        <w:t xml:space="preserve">ore information </w:t>
      </w:r>
      <w:r w:rsidR="003937C0">
        <w:t>about the specific goals</w:t>
      </w:r>
      <w:r w:rsidR="00BE5BFA">
        <w:t>,</w:t>
      </w:r>
      <w:r w:rsidR="003937C0">
        <w:t xml:space="preserve"> materials </w:t>
      </w:r>
      <w:r w:rsidR="00BE5BFA">
        <w:t xml:space="preserve">and results regarding these two additional independent variables </w:t>
      </w:r>
      <w:r w:rsidR="003937C0" w:rsidRPr="006F2776">
        <w:t>can be obtained from the first author</w:t>
      </w:r>
      <w:r w:rsidR="00BE5BFA">
        <w:t xml:space="preserve"> upon request</w:t>
      </w:r>
      <w:r w:rsidR="003937C0">
        <w:t>.</w:t>
      </w:r>
    </w:p>
    <w:p w14:paraId="27EBACB8" w14:textId="44FA9B66" w:rsidR="00DC3575" w:rsidRDefault="0019060F" w:rsidP="00442C42">
      <w:pPr>
        <w:pStyle w:val="Stylepardfaut"/>
        <w:spacing w:line="480" w:lineRule="auto"/>
        <w:ind w:firstLine="709"/>
      </w:pPr>
      <w:r w:rsidRPr="00355C15">
        <w:rPr>
          <w:b/>
          <w:bCs/>
        </w:rPr>
        <w:t>Dependent variables</w:t>
      </w:r>
      <w:r>
        <w:t xml:space="preserve">. </w:t>
      </w:r>
      <w:r w:rsidR="007308D7">
        <w:t xml:space="preserve">In Study 1, the questionnaire also included </w:t>
      </w:r>
      <w:r w:rsidR="00DC3575">
        <w:t>three</w:t>
      </w:r>
      <w:r w:rsidR="007308D7">
        <w:t xml:space="preserve"> </w:t>
      </w:r>
      <w:r w:rsidR="00DC3575">
        <w:t>additional scales assessing</w:t>
      </w:r>
      <w:r w:rsidR="007308D7">
        <w:t xml:space="preserve"> psychological differentiation</w:t>
      </w:r>
      <w:r w:rsidR="00B03419">
        <w:t xml:space="preserve"> for exploratory purposes. We describe below these measures and the results.</w:t>
      </w:r>
    </w:p>
    <w:p w14:paraId="1F93F97B" w14:textId="70371DE2" w:rsidR="00DC3575" w:rsidRPr="000F297B" w:rsidRDefault="0075216D" w:rsidP="00DC3575">
      <w:pPr>
        <w:pStyle w:val="Stylepardfaut"/>
        <w:spacing w:line="480" w:lineRule="auto"/>
        <w:ind w:firstLine="709"/>
      </w:pPr>
      <w:r w:rsidRPr="00355C15">
        <w:rPr>
          <w:i/>
          <w:iCs/>
        </w:rPr>
        <w:t>Perceived intergroup differences</w:t>
      </w:r>
      <w:r w:rsidR="005472DC">
        <w:rPr>
          <w:i/>
          <w:iCs/>
        </w:rPr>
        <w:t xml:space="preserve"> (PIGD)</w:t>
      </w:r>
      <w:r>
        <w:t>. W</w:t>
      </w:r>
      <w:r w:rsidR="00DC3575" w:rsidRPr="000F297B">
        <w:t xml:space="preserve">e </w:t>
      </w:r>
      <w:r w:rsidR="00DC3575">
        <w:t xml:space="preserve">included a 3-item scale to measure participants’ </w:t>
      </w:r>
      <w:r w:rsidR="00DC3575" w:rsidRPr="00355C15">
        <w:t>perception of intergroup differences</w:t>
      </w:r>
      <w:r w:rsidR="00DC3575" w:rsidRPr="0075216D">
        <w:t xml:space="preserve"> </w:t>
      </w:r>
      <w:r w:rsidR="00DC3575">
        <w:t>between heterosexual and gay individuals</w:t>
      </w:r>
      <w:r w:rsidR="00DC3575" w:rsidRPr="000F297B">
        <w:t xml:space="preserve">: </w:t>
      </w:r>
      <w:r w:rsidR="00DC3575" w:rsidRPr="000F297B">
        <w:rPr>
          <w:rStyle w:val="Numrodepage"/>
        </w:rPr>
        <w:t>“One can easily identify gay people by their way of being and behaving”, “Gay people and heterosexuals have different emotional characteristics”, and “Gay people and heterosexuals have different personality traits” (</w:t>
      </w:r>
      <w:r w:rsidR="00DC3575" w:rsidRPr="000F297B">
        <w:t>1 ‘</w:t>
      </w:r>
      <w:r w:rsidR="00DC3575" w:rsidRPr="000F297B">
        <w:rPr>
          <w:i/>
        </w:rPr>
        <w:t>strongly disagree</w:t>
      </w:r>
      <w:r w:rsidR="00DC3575" w:rsidRPr="000F297B">
        <w:t xml:space="preserve">’ </w:t>
      </w:r>
      <w:r w:rsidR="00DC3575">
        <w:t>to</w:t>
      </w:r>
      <w:r w:rsidR="00DC3575" w:rsidRPr="000F297B">
        <w:t xml:space="preserve"> 7 ‘</w:t>
      </w:r>
      <w:r w:rsidR="00DC3575" w:rsidRPr="000F297B">
        <w:rPr>
          <w:i/>
        </w:rPr>
        <w:t>strongly agree’</w:t>
      </w:r>
      <w:r w:rsidR="00DC3575" w:rsidRPr="000F297B">
        <w:t xml:space="preserve">). </w:t>
      </w:r>
      <w:r w:rsidR="00DC3575">
        <w:t>The s</w:t>
      </w:r>
      <w:r w:rsidR="00DC3575" w:rsidRPr="000F297B">
        <w:t xml:space="preserve">cores for these items were averaged to </w:t>
      </w:r>
      <w:r w:rsidR="00DC3575">
        <w:t>create</w:t>
      </w:r>
      <w:r w:rsidR="00DC3575" w:rsidRPr="000F297B">
        <w:t xml:space="preserve"> a reliable measure of intergroup differentiation</w:t>
      </w:r>
      <w:r w:rsidR="00DC3575">
        <w:t xml:space="preserve">, with </w:t>
      </w:r>
      <w:r w:rsidR="00DC3575" w:rsidRPr="000F297B">
        <w:t>higher scores indicat</w:t>
      </w:r>
      <w:r w:rsidR="00DC3575">
        <w:t>ing</w:t>
      </w:r>
      <w:r w:rsidR="00DC3575" w:rsidRPr="000F297B">
        <w:t xml:space="preserve"> greater differentiation</w:t>
      </w:r>
      <w:r w:rsidR="00DC3575">
        <w:t xml:space="preserve"> (</w:t>
      </w:r>
      <w:r w:rsidR="00DC3575" w:rsidRPr="000F297B">
        <w:rPr>
          <w:i/>
        </w:rPr>
        <w:t>M</w:t>
      </w:r>
      <w:r w:rsidR="00DC3575" w:rsidRPr="000F297B">
        <w:t xml:space="preserve"> = 3.89, </w:t>
      </w:r>
      <w:r w:rsidR="00DC3575" w:rsidRPr="000F297B">
        <w:rPr>
          <w:i/>
        </w:rPr>
        <w:t>SD</w:t>
      </w:r>
      <w:r w:rsidR="00DC3575" w:rsidRPr="000F297B">
        <w:t xml:space="preserve"> = 1.79, α = .87). </w:t>
      </w:r>
    </w:p>
    <w:p w14:paraId="0AD6A8D9" w14:textId="14858277" w:rsidR="00DC3575" w:rsidRDefault="0075216D" w:rsidP="00DC3575">
      <w:pPr>
        <w:pStyle w:val="Stylepardfaut"/>
        <w:spacing w:line="480" w:lineRule="auto"/>
        <w:ind w:firstLine="709"/>
      </w:pPr>
      <w:r>
        <w:rPr>
          <w:i/>
          <w:iCs/>
        </w:rPr>
        <w:t>T</w:t>
      </w:r>
      <w:r w:rsidRPr="0031171C">
        <w:rPr>
          <w:i/>
          <w:iCs/>
        </w:rPr>
        <w:t>raditional beliefs about gender and gender identity</w:t>
      </w:r>
      <w:r w:rsidR="005472DC" w:rsidRPr="005472DC">
        <w:rPr>
          <w:i/>
          <w:iCs/>
        </w:rPr>
        <w:t xml:space="preserve"> (TBG&amp;GI)</w:t>
      </w:r>
      <w:r>
        <w:rPr>
          <w:i/>
          <w:iCs/>
        </w:rPr>
        <w:t>.</w:t>
      </w:r>
      <w:r>
        <w:rPr>
          <w:bCs/>
        </w:rPr>
        <w:t xml:space="preserve"> We </w:t>
      </w:r>
      <w:r w:rsidR="00DC3575">
        <w:rPr>
          <w:bCs/>
        </w:rPr>
        <w:t xml:space="preserve">also </w:t>
      </w:r>
      <w:r w:rsidR="00DC3575" w:rsidRPr="000F297B">
        <w:rPr>
          <w:bCs/>
        </w:rPr>
        <w:t xml:space="preserve">included </w:t>
      </w:r>
      <w:r w:rsidR="00DC3575" w:rsidRPr="000F297B">
        <w:t>15-item scale</w:t>
      </w:r>
      <w:r w:rsidR="00DC3575">
        <w:t xml:space="preserve"> to </w:t>
      </w:r>
      <w:r w:rsidR="00DC3575" w:rsidRPr="000F297B">
        <w:t>asses</w:t>
      </w:r>
      <w:r w:rsidR="00DC3575" w:rsidRPr="0075216D">
        <w:t xml:space="preserve">s </w:t>
      </w:r>
      <w:r w:rsidR="00DC3575" w:rsidRPr="00355C15">
        <w:t>traditional beliefs about gender and gender identity</w:t>
      </w:r>
      <w:r w:rsidR="00CD6508">
        <w:t xml:space="preserve"> </w:t>
      </w:r>
      <w:r w:rsidR="00CD6508">
        <w:rPr>
          <w:noProof/>
        </w:rPr>
        <w:t>(Dasgupta &amp; Rivera, 2006)</w:t>
      </w:r>
      <w:r w:rsidR="00DC3575" w:rsidRPr="0075216D">
        <w:t xml:space="preserve">. This scale consists of two subscales: one </w:t>
      </w:r>
      <w:r w:rsidR="00DC3575">
        <w:t xml:space="preserve">measuring </w:t>
      </w:r>
      <w:r w:rsidR="00DC3575" w:rsidRPr="0031171C">
        <w:rPr>
          <w:i/>
          <w:iCs/>
        </w:rPr>
        <w:t>t</w:t>
      </w:r>
      <w:r w:rsidR="00DC3575" w:rsidRPr="000F297B">
        <w:rPr>
          <w:i/>
          <w:iCs/>
        </w:rPr>
        <w:t>raditional beliefs about gender</w:t>
      </w:r>
      <w:r w:rsidR="00DC3575" w:rsidRPr="000F297B">
        <w:t xml:space="preserve"> </w:t>
      </w:r>
      <w:r w:rsidR="00DC3575">
        <w:t>subscale assesses</w:t>
      </w:r>
      <w:r w:rsidR="00DC3575" w:rsidRPr="000F297B">
        <w:t xml:space="preserve"> the degree to which people endorse traditional gender norms in various life domains (e.g., parenting, professional life, social interactions, or physical appearance; e.g., ‘</w:t>
      </w:r>
      <w:r w:rsidR="00DC3575" w:rsidRPr="006741DB">
        <w:t>It</w:t>
      </w:r>
      <w:r w:rsidR="00DC3575">
        <w:t xml:space="preserve"> i</w:t>
      </w:r>
      <w:r w:rsidR="00DC3575" w:rsidRPr="006741DB">
        <w:t>s important that men appear masculine and that women appear</w:t>
      </w:r>
      <w:r w:rsidR="00DC3575" w:rsidRPr="000F297B">
        <w:t xml:space="preserve"> </w:t>
      </w:r>
      <w:r w:rsidR="00DC3575" w:rsidRPr="006741DB">
        <w:t>feminine’</w:t>
      </w:r>
      <w:r w:rsidR="00DC3575">
        <w:t>;</w:t>
      </w:r>
      <w:r w:rsidR="00DC3575" w:rsidRPr="000F297B">
        <w:t xml:space="preserve"> </w:t>
      </w:r>
      <w:r w:rsidR="00DC3575" w:rsidRPr="000F297B">
        <w:rPr>
          <w:i/>
        </w:rPr>
        <w:t>M</w:t>
      </w:r>
      <w:r w:rsidR="00DC3575" w:rsidRPr="000F297B">
        <w:t xml:space="preserve"> = </w:t>
      </w:r>
      <w:r w:rsidR="00DC3575">
        <w:t>3.32</w:t>
      </w:r>
      <w:r w:rsidR="00DC3575" w:rsidRPr="000F297B">
        <w:t xml:space="preserve">, </w:t>
      </w:r>
      <w:r w:rsidR="00DC3575" w:rsidRPr="000F297B">
        <w:rPr>
          <w:i/>
        </w:rPr>
        <w:t>SD</w:t>
      </w:r>
      <w:r w:rsidR="00DC3575" w:rsidRPr="000F297B">
        <w:t xml:space="preserve"> = 1.</w:t>
      </w:r>
      <w:r w:rsidR="00DC3575">
        <w:t>38</w:t>
      </w:r>
      <w:r w:rsidR="00DC3575" w:rsidRPr="000F297B">
        <w:t>, α = .8</w:t>
      </w:r>
      <w:r w:rsidR="00DC3575">
        <w:t>4</w:t>
      </w:r>
      <w:r w:rsidR="00DC3575" w:rsidRPr="000F297B">
        <w:t>)</w:t>
      </w:r>
      <w:r w:rsidR="00DC3575">
        <w:t xml:space="preserve">, and another measuring </w:t>
      </w:r>
      <w:r w:rsidR="00DC3575" w:rsidRPr="0031171C">
        <w:rPr>
          <w:i/>
          <w:iCs/>
        </w:rPr>
        <w:t>t</w:t>
      </w:r>
      <w:r w:rsidR="00DC3575" w:rsidRPr="000F297B">
        <w:rPr>
          <w:i/>
          <w:iCs/>
        </w:rPr>
        <w:t>raditional beliefs about gender identity</w:t>
      </w:r>
      <w:r w:rsidR="00DC3575" w:rsidRPr="000F297B">
        <w:t xml:space="preserve"> emphasizing heterosexual identity (e.g., ‘If a member of my sex made a sexual advance toward me I would feel angry’</w:t>
      </w:r>
      <w:r w:rsidR="00DC3575">
        <w:t>;</w:t>
      </w:r>
      <w:r w:rsidR="00DC3575" w:rsidRPr="000F297B">
        <w:t xml:space="preserve"> </w:t>
      </w:r>
      <w:r w:rsidR="00DC3575" w:rsidRPr="000F297B">
        <w:rPr>
          <w:i/>
        </w:rPr>
        <w:t>M</w:t>
      </w:r>
      <w:r w:rsidR="00DC3575" w:rsidRPr="000F297B">
        <w:t xml:space="preserve"> = </w:t>
      </w:r>
      <w:r w:rsidR="00DC3575">
        <w:t>3.75</w:t>
      </w:r>
      <w:r w:rsidR="00DC3575" w:rsidRPr="000F297B">
        <w:t xml:space="preserve">, </w:t>
      </w:r>
      <w:r w:rsidR="00DC3575" w:rsidRPr="000F297B">
        <w:rPr>
          <w:i/>
        </w:rPr>
        <w:t>SD</w:t>
      </w:r>
      <w:r w:rsidR="00DC3575" w:rsidRPr="000F297B">
        <w:t xml:space="preserve"> = 1.</w:t>
      </w:r>
      <w:r w:rsidR="00DC3575">
        <w:t>24</w:t>
      </w:r>
      <w:r w:rsidR="00DC3575" w:rsidRPr="000F297B">
        <w:t>, α = .</w:t>
      </w:r>
      <w:r w:rsidR="00DC3575">
        <w:t>73</w:t>
      </w:r>
      <w:r w:rsidR="00DC3575" w:rsidRPr="000F297B">
        <w:t>)</w:t>
      </w:r>
      <w:r w:rsidR="00DC3575">
        <w:t xml:space="preserve">. </w:t>
      </w:r>
      <w:r w:rsidR="00DC3575">
        <w:rPr>
          <w:lang w:val="en-AU"/>
        </w:rPr>
        <w:t xml:space="preserve">Note that the second subscale assesses </w:t>
      </w:r>
      <w:r w:rsidR="00DC3575">
        <w:rPr>
          <w:lang w:val="en-AU"/>
        </w:rPr>
        <w:lastRenderedPageBreak/>
        <w:t xml:space="preserve">participants’ affirmation of </w:t>
      </w:r>
      <w:r w:rsidR="00AC7CF0">
        <w:rPr>
          <w:lang w:val="en-AU"/>
        </w:rPr>
        <w:t>(hetero)</w:t>
      </w:r>
      <w:r w:rsidR="00DC3575">
        <w:rPr>
          <w:lang w:val="en-AU"/>
        </w:rPr>
        <w:t xml:space="preserve">sexual identity, making it relevant to examine personal </w:t>
      </w:r>
      <w:r w:rsidR="00DC3575">
        <w:t>differentiation dynamics</w:t>
      </w:r>
      <w:r w:rsidR="00DC3575" w:rsidRPr="000F297B">
        <w:t xml:space="preserve">. </w:t>
      </w:r>
      <w:r w:rsidR="00DC3575">
        <w:t>However, b</w:t>
      </w:r>
      <w:r w:rsidR="00DC3575" w:rsidRPr="000F297B">
        <w:t xml:space="preserve">oth subscales were moderately correlated, </w:t>
      </w:r>
      <w:proofErr w:type="gramStart"/>
      <w:r w:rsidR="00DC3575" w:rsidRPr="000F297B">
        <w:rPr>
          <w:i/>
          <w:iCs/>
        </w:rPr>
        <w:t>r</w:t>
      </w:r>
      <w:r w:rsidR="00DC3575" w:rsidRPr="000F297B">
        <w:t>(</w:t>
      </w:r>
      <w:proofErr w:type="gramEnd"/>
      <w:r w:rsidR="00DC3575" w:rsidRPr="000F297B">
        <w:t>118) = .</w:t>
      </w:r>
      <w:r w:rsidR="00DC3575">
        <w:t>37</w:t>
      </w:r>
      <w:r w:rsidR="00DC3575" w:rsidRPr="000F297B">
        <w:t xml:space="preserve">, </w:t>
      </w:r>
      <w:r w:rsidR="00DC3575" w:rsidRPr="000F297B">
        <w:rPr>
          <w:i/>
          <w:iCs/>
        </w:rPr>
        <w:t>p</w:t>
      </w:r>
      <w:r w:rsidR="00DC3575" w:rsidRPr="000F297B">
        <w:t xml:space="preserve"> &lt; .001</w:t>
      </w:r>
      <w:r w:rsidR="00DC3575">
        <w:t>, and we computed an overall score of TBG&amp;GI (</w:t>
      </w:r>
      <w:r w:rsidR="00DC3575" w:rsidRPr="000F297B">
        <w:rPr>
          <w:i/>
        </w:rPr>
        <w:t>M</w:t>
      </w:r>
      <w:r w:rsidR="00DC3575" w:rsidRPr="000F297B">
        <w:t xml:space="preserve"> = </w:t>
      </w:r>
      <w:r w:rsidR="00DC3575">
        <w:t>3.55</w:t>
      </w:r>
      <w:r w:rsidR="00DC3575" w:rsidRPr="000F297B">
        <w:t xml:space="preserve">, </w:t>
      </w:r>
      <w:r w:rsidR="00DC3575" w:rsidRPr="000F297B">
        <w:rPr>
          <w:i/>
        </w:rPr>
        <w:t>SD</w:t>
      </w:r>
      <w:r w:rsidR="00DC3575" w:rsidRPr="000F297B">
        <w:t xml:space="preserve"> = 1.</w:t>
      </w:r>
      <w:r w:rsidR="00DC3575">
        <w:t>08</w:t>
      </w:r>
      <w:r w:rsidR="00DC3575" w:rsidRPr="000F297B">
        <w:t>, α = .8</w:t>
      </w:r>
      <w:r w:rsidR="00DC3575">
        <w:t>2)</w:t>
      </w:r>
      <w:r w:rsidR="00DC3575" w:rsidRPr="000F297B">
        <w:t>.</w:t>
      </w:r>
    </w:p>
    <w:p w14:paraId="6818330B" w14:textId="71E7782B" w:rsidR="00DC3575" w:rsidRDefault="0075216D" w:rsidP="00DC3575">
      <w:pPr>
        <w:pStyle w:val="Stylepardfaut"/>
        <w:spacing w:line="480" w:lineRule="auto"/>
        <w:ind w:firstLine="709"/>
      </w:pPr>
      <w:r w:rsidRPr="00355C15">
        <w:rPr>
          <w:bCs/>
          <w:i/>
        </w:rPr>
        <w:t xml:space="preserve">Perceived </w:t>
      </w:r>
      <w:r>
        <w:rPr>
          <w:bCs/>
          <w:i/>
        </w:rPr>
        <w:t>inter</w:t>
      </w:r>
      <w:r w:rsidRPr="00355C15">
        <w:rPr>
          <w:bCs/>
          <w:i/>
        </w:rPr>
        <w:t>personal similarity</w:t>
      </w:r>
      <w:r w:rsidR="005472DC">
        <w:rPr>
          <w:bCs/>
          <w:i/>
        </w:rPr>
        <w:t xml:space="preserve"> (PIPS)</w:t>
      </w:r>
      <w:r>
        <w:rPr>
          <w:bCs/>
          <w:iCs/>
        </w:rPr>
        <w:t xml:space="preserve">. </w:t>
      </w:r>
      <w:r w:rsidR="00DC3575" w:rsidRPr="0031171C">
        <w:rPr>
          <w:bCs/>
          <w:iCs/>
        </w:rPr>
        <w:t>Finally, w</w:t>
      </w:r>
      <w:r w:rsidR="00DC3575">
        <w:rPr>
          <w:bCs/>
          <w:iCs/>
        </w:rPr>
        <w:t>e</w:t>
      </w:r>
      <w:r w:rsidR="00DC3575" w:rsidRPr="002437EA">
        <w:rPr>
          <w:bCs/>
          <w:iCs/>
        </w:rPr>
        <w:t xml:space="preserve"> </w:t>
      </w:r>
      <w:r w:rsidR="00DC3575">
        <w:t xml:space="preserve">included a 6-item scale to measure participants’ </w:t>
      </w:r>
      <w:r w:rsidR="00DC3575" w:rsidRPr="000F297B">
        <w:t xml:space="preserve">perceived </w:t>
      </w:r>
      <w:r w:rsidR="00DC3575">
        <w:t>similarity</w:t>
      </w:r>
      <w:r w:rsidR="00DC3575" w:rsidRPr="000F297B">
        <w:t xml:space="preserve"> </w:t>
      </w:r>
      <w:r w:rsidR="00DC3575">
        <w:t xml:space="preserve">between themselves and gay men across various areas. We asked participants to rate their similarity at </w:t>
      </w:r>
      <w:r w:rsidR="00DC3575">
        <w:rPr>
          <w:rStyle w:val="rynqvb"/>
          <w:lang w:val="en"/>
        </w:rPr>
        <w:t>the biological</w:t>
      </w:r>
      <w:r w:rsidR="00DC3575">
        <w:rPr>
          <w:rStyle w:val="rynqvb"/>
          <w:rFonts w:hint="cs"/>
          <w:rtl/>
          <w:lang w:val="en" w:bidi="he-IL"/>
        </w:rPr>
        <w:t xml:space="preserve"> </w:t>
      </w:r>
      <w:r w:rsidR="00DC3575">
        <w:rPr>
          <w:rStyle w:val="rynqvb"/>
          <w:lang w:val="en-GB" w:bidi="he-IL"/>
        </w:rPr>
        <w:t xml:space="preserve">and </w:t>
      </w:r>
      <w:r w:rsidR="00DC3575">
        <w:rPr>
          <w:rStyle w:val="rynqvb"/>
          <w:lang w:val="en"/>
        </w:rPr>
        <w:t xml:space="preserve">psychological levels, emotional level, way of functioning, way of relating, and in general </w:t>
      </w:r>
      <w:r w:rsidR="00DC3575" w:rsidRPr="000F297B">
        <w:rPr>
          <w:rStyle w:val="Numrodepage"/>
        </w:rPr>
        <w:t>(</w:t>
      </w:r>
      <w:r w:rsidR="00DC3575" w:rsidRPr="000F297B">
        <w:t>1 ‘</w:t>
      </w:r>
      <w:r w:rsidR="00DC3575" w:rsidRPr="000F297B">
        <w:rPr>
          <w:i/>
        </w:rPr>
        <w:t xml:space="preserve">strongly </w:t>
      </w:r>
      <w:r w:rsidR="00DC3575">
        <w:rPr>
          <w:i/>
        </w:rPr>
        <w:t>different</w:t>
      </w:r>
      <w:r w:rsidR="00DC3575" w:rsidRPr="000F297B">
        <w:t xml:space="preserve">’ </w:t>
      </w:r>
      <w:r w:rsidR="00DC3575">
        <w:t>to</w:t>
      </w:r>
      <w:r w:rsidR="00DC3575" w:rsidRPr="000F297B">
        <w:t xml:space="preserve"> 7 ‘</w:t>
      </w:r>
      <w:r w:rsidR="00DC3575" w:rsidRPr="000F297B">
        <w:rPr>
          <w:i/>
        </w:rPr>
        <w:t xml:space="preserve">strongly </w:t>
      </w:r>
      <w:r w:rsidR="00DC3575">
        <w:rPr>
          <w:i/>
        </w:rPr>
        <w:t>similar’</w:t>
      </w:r>
      <w:r w:rsidR="00DC3575" w:rsidRPr="000F297B">
        <w:t xml:space="preserve">). </w:t>
      </w:r>
      <w:r w:rsidR="00DC3575">
        <w:t>The s</w:t>
      </w:r>
      <w:r w:rsidR="00DC3575" w:rsidRPr="000F297B">
        <w:t xml:space="preserve">cores for these items were averaged to </w:t>
      </w:r>
      <w:r w:rsidR="00DC3575">
        <w:t>create</w:t>
      </w:r>
      <w:r w:rsidR="00DC3575" w:rsidRPr="000F297B">
        <w:t xml:space="preserve"> a reliable measure of </w:t>
      </w:r>
      <w:r w:rsidR="00DC3575" w:rsidRPr="0031171C">
        <w:rPr>
          <w:i/>
          <w:iCs/>
        </w:rPr>
        <w:t xml:space="preserve">perceived </w:t>
      </w:r>
      <w:r w:rsidR="00DC3575">
        <w:rPr>
          <w:i/>
          <w:iCs/>
        </w:rPr>
        <w:t xml:space="preserve">personal </w:t>
      </w:r>
      <w:r w:rsidR="00DC3575" w:rsidRPr="0031171C">
        <w:rPr>
          <w:i/>
          <w:iCs/>
        </w:rPr>
        <w:t>similarity</w:t>
      </w:r>
      <w:r w:rsidR="00DC3575">
        <w:t xml:space="preserve">, with </w:t>
      </w:r>
      <w:r w:rsidR="00DC3575" w:rsidRPr="000F297B">
        <w:t xml:space="preserve">higher scores indicate greater </w:t>
      </w:r>
      <w:r w:rsidR="00DC3575">
        <w:t>similarity (</w:t>
      </w:r>
      <w:r w:rsidR="00DC3575" w:rsidRPr="000F297B">
        <w:rPr>
          <w:i/>
        </w:rPr>
        <w:t>M</w:t>
      </w:r>
      <w:r w:rsidR="00DC3575" w:rsidRPr="000F297B">
        <w:t xml:space="preserve"> = </w:t>
      </w:r>
      <w:r w:rsidR="00DC3575">
        <w:t>4.02</w:t>
      </w:r>
      <w:r w:rsidR="00DC3575" w:rsidRPr="000F297B">
        <w:t xml:space="preserve">, </w:t>
      </w:r>
      <w:r w:rsidR="00DC3575" w:rsidRPr="000F297B">
        <w:rPr>
          <w:i/>
        </w:rPr>
        <w:t>SD</w:t>
      </w:r>
      <w:r w:rsidR="00DC3575" w:rsidRPr="000F297B">
        <w:t xml:space="preserve"> = 1.7</w:t>
      </w:r>
      <w:r w:rsidR="00DC3575">
        <w:t>0</w:t>
      </w:r>
      <w:r w:rsidR="00DC3575" w:rsidRPr="000F297B">
        <w:t>, α = .</w:t>
      </w:r>
      <w:r w:rsidR="00DC3575">
        <w:t>91</w:t>
      </w:r>
      <w:r w:rsidR="00DC3575" w:rsidRPr="000F297B">
        <w:t>).</w:t>
      </w:r>
    </w:p>
    <w:p w14:paraId="1105FF0A" w14:textId="77777777" w:rsidR="00581B9A" w:rsidRDefault="00581B9A" w:rsidP="00DC3575">
      <w:pPr>
        <w:pStyle w:val="Stylepardfaut"/>
        <w:spacing w:line="480" w:lineRule="auto"/>
        <w:ind w:firstLine="709"/>
      </w:pPr>
    </w:p>
    <w:p w14:paraId="23D0C109" w14:textId="641B6039" w:rsidR="00581B9A" w:rsidRPr="008D3A18" w:rsidRDefault="00581B9A" w:rsidP="00581B9A">
      <w:pPr>
        <w:rPr>
          <w:b/>
          <w:bCs/>
          <w:iCs/>
        </w:rPr>
      </w:pPr>
      <w:r w:rsidRPr="008D3A18">
        <w:rPr>
          <w:b/>
          <w:bCs/>
          <w:iCs/>
        </w:rPr>
        <w:t>Table 1. Correlations between variables (N = 118; Study 1)</w:t>
      </w:r>
    </w:p>
    <w:p w14:paraId="1A8A4C24" w14:textId="77777777" w:rsidR="00581B9A" w:rsidRPr="00691FE3" w:rsidRDefault="00581B9A" w:rsidP="00581B9A">
      <w:pPr>
        <w:autoSpaceDE w:val="0"/>
        <w:autoSpaceDN w:val="0"/>
        <w:adjustRightInd w:val="0"/>
        <w:ind w:left="-709"/>
      </w:pPr>
    </w:p>
    <w:tbl>
      <w:tblPr>
        <w:tblW w:w="9640" w:type="dxa"/>
        <w:tblLayout w:type="fixed"/>
        <w:tblCellMar>
          <w:left w:w="0" w:type="dxa"/>
          <w:right w:w="0" w:type="dxa"/>
        </w:tblCellMar>
        <w:tblLook w:val="0000" w:firstRow="0" w:lastRow="0" w:firstColumn="0" w:lastColumn="0" w:noHBand="0" w:noVBand="0"/>
      </w:tblPr>
      <w:tblGrid>
        <w:gridCol w:w="4253"/>
        <w:gridCol w:w="851"/>
        <w:gridCol w:w="850"/>
        <w:gridCol w:w="1134"/>
        <w:gridCol w:w="851"/>
        <w:gridCol w:w="850"/>
        <w:gridCol w:w="851"/>
      </w:tblGrid>
      <w:tr w:rsidR="00581B9A" w:rsidRPr="00A408FA" w14:paraId="051F32C1" w14:textId="77777777" w:rsidTr="00584CC3">
        <w:trPr>
          <w:cantSplit/>
        </w:trPr>
        <w:tc>
          <w:tcPr>
            <w:tcW w:w="4253" w:type="dxa"/>
            <w:tcBorders>
              <w:top w:val="single" w:sz="4" w:space="0" w:color="auto"/>
              <w:left w:val="nil"/>
              <w:bottom w:val="single" w:sz="4" w:space="0" w:color="auto"/>
            </w:tcBorders>
            <w:shd w:val="clear" w:color="auto" w:fill="auto"/>
            <w:vAlign w:val="bottom"/>
          </w:tcPr>
          <w:p w14:paraId="4697BAB3" w14:textId="77777777" w:rsidR="00581B9A" w:rsidRPr="00A408FA" w:rsidRDefault="00581B9A" w:rsidP="00B15D98">
            <w:pPr>
              <w:autoSpaceDE w:val="0"/>
              <w:autoSpaceDN w:val="0"/>
              <w:adjustRightInd w:val="0"/>
              <w:rPr>
                <w:color w:val="000000" w:themeColor="text1"/>
                <w:sz w:val="20"/>
                <w:szCs w:val="20"/>
              </w:rPr>
            </w:pPr>
          </w:p>
        </w:tc>
        <w:tc>
          <w:tcPr>
            <w:tcW w:w="851" w:type="dxa"/>
            <w:tcBorders>
              <w:top w:val="single" w:sz="4" w:space="0" w:color="auto"/>
              <w:bottom w:val="single" w:sz="4" w:space="0" w:color="auto"/>
            </w:tcBorders>
            <w:shd w:val="clear" w:color="auto" w:fill="auto"/>
            <w:vAlign w:val="bottom"/>
          </w:tcPr>
          <w:p w14:paraId="45E232A7" w14:textId="77777777" w:rsidR="00581B9A" w:rsidRPr="00691FE3" w:rsidRDefault="00581B9A" w:rsidP="00B15D98">
            <w:pPr>
              <w:autoSpaceDE w:val="0"/>
              <w:autoSpaceDN w:val="0"/>
              <w:adjustRightInd w:val="0"/>
              <w:spacing w:line="320" w:lineRule="atLeast"/>
              <w:ind w:right="60"/>
              <w:jc w:val="center"/>
              <w:rPr>
                <w:color w:val="000000" w:themeColor="text1"/>
                <w:sz w:val="20"/>
                <w:szCs w:val="20"/>
              </w:rPr>
            </w:pPr>
            <w:r w:rsidRPr="00A408FA">
              <w:rPr>
                <w:color w:val="000000" w:themeColor="text1"/>
                <w:sz w:val="20"/>
                <w:szCs w:val="20"/>
              </w:rPr>
              <w:t>PATH</w:t>
            </w:r>
          </w:p>
        </w:tc>
        <w:tc>
          <w:tcPr>
            <w:tcW w:w="850" w:type="dxa"/>
            <w:tcBorders>
              <w:top w:val="single" w:sz="4" w:space="0" w:color="auto"/>
              <w:bottom w:val="single" w:sz="4" w:space="0" w:color="auto"/>
            </w:tcBorders>
            <w:shd w:val="clear" w:color="auto" w:fill="auto"/>
            <w:vAlign w:val="bottom"/>
          </w:tcPr>
          <w:p w14:paraId="11BE1167" w14:textId="77777777" w:rsidR="00581B9A" w:rsidRPr="00691FE3" w:rsidRDefault="00581B9A" w:rsidP="00B15D98">
            <w:pPr>
              <w:autoSpaceDE w:val="0"/>
              <w:autoSpaceDN w:val="0"/>
              <w:adjustRightInd w:val="0"/>
              <w:spacing w:line="320" w:lineRule="atLeast"/>
              <w:ind w:right="60"/>
              <w:jc w:val="center"/>
              <w:rPr>
                <w:color w:val="000000" w:themeColor="text1"/>
                <w:sz w:val="20"/>
                <w:szCs w:val="20"/>
              </w:rPr>
            </w:pPr>
            <w:r w:rsidRPr="00691FE3">
              <w:rPr>
                <w:color w:val="000000" w:themeColor="text1"/>
                <w:sz w:val="20"/>
                <w:szCs w:val="20"/>
              </w:rPr>
              <w:t>ATLG</w:t>
            </w:r>
          </w:p>
        </w:tc>
        <w:tc>
          <w:tcPr>
            <w:tcW w:w="1134" w:type="dxa"/>
            <w:tcBorders>
              <w:top w:val="single" w:sz="4" w:space="0" w:color="auto"/>
              <w:bottom w:val="single" w:sz="4" w:space="0" w:color="auto"/>
            </w:tcBorders>
            <w:shd w:val="clear" w:color="auto" w:fill="auto"/>
            <w:vAlign w:val="bottom"/>
          </w:tcPr>
          <w:p w14:paraId="43AE6300" w14:textId="77777777" w:rsidR="00581B9A" w:rsidRPr="00691FE3" w:rsidRDefault="00581B9A" w:rsidP="00B15D98">
            <w:pPr>
              <w:autoSpaceDE w:val="0"/>
              <w:autoSpaceDN w:val="0"/>
              <w:adjustRightInd w:val="0"/>
              <w:spacing w:line="320" w:lineRule="atLeast"/>
              <w:ind w:right="60"/>
              <w:jc w:val="center"/>
              <w:rPr>
                <w:color w:val="000000" w:themeColor="text1"/>
                <w:sz w:val="20"/>
                <w:szCs w:val="20"/>
              </w:rPr>
            </w:pPr>
            <w:r w:rsidRPr="00A408FA">
              <w:rPr>
                <w:color w:val="000000" w:themeColor="text1"/>
                <w:sz w:val="20"/>
                <w:szCs w:val="20"/>
              </w:rPr>
              <w:t>TBAG&amp;GI</w:t>
            </w:r>
          </w:p>
        </w:tc>
        <w:tc>
          <w:tcPr>
            <w:tcW w:w="851" w:type="dxa"/>
            <w:tcBorders>
              <w:top w:val="single" w:sz="4" w:space="0" w:color="auto"/>
              <w:bottom w:val="single" w:sz="4" w:space="0" w:color="auto"/>
            </w:tcBorders>
            <w:shd w:val="clear" w:color="auto" w:fill="auto"/>
            <w:vAlign w:val="bottom"/>
          </w:tcPr>
          <w:p w14:paraId="1418D4E3" w14:textId="77777777" w:rsidR="00581B9A" w:rsidRPr="00691FE3" w:rsidRDefault="00581B9A" w:rsidP="00B15D98">
            <w:pPr>
              <w:autoSpaceDE w:val="0"/>
              <w:autoSpaceDN w:val="0"/>
              <w:adjustRightInd w:val="0"/>
              <w:spacing w:line="320" w:lineRule="atLeast"/>
              <w:ind w:right="60"/>
              <w:jc w:val="center"/>
              <w:rPr>
                <w:color w:val="000000" w:themeColor="text1"/>
                <w:sz w:val="20"/>
                <w:szCs w:val="20"/>
              </w:rPr>
            </w:pPr>
            <w:r w:rsidRPr="00A408FA">
              <w:rPr>
                <w:color w:val="000000" w:themeColor="text1"/>
                <w:sz w:val="20"/>
                <w:szCs w:val="20"/>
              </w:rPr>
              <w:t>PC</w:t>
            </w:r>
          </w:p>
        </w:tc>
        <w:tc>
          <w:tcPr>
            <w:tcW w:w="850" w:type="dxa"/>
            <w:tcBorders>
              <w:top w:val="single" w:sz="4" w:space="0" w:color="auto"/>
              <w:bottom w:val="single" w:sz="4" w:space="0" w:color="auto"/>
            </w:tcBorders>
            <w:shd w:val="clear" w:color="auto" w:fill="auto"/>
            <w:vAlign w:val="bottom"/>
          </w:tcPr>
          <w:p w14:paraId="17ABD2CC" w14:textId="77777777" w:rsidR="00581B9A" w:rsidRPr="00691FE3" w:rsidRDefault="00581B9A" w:rsidP="00B15D98">
            <w:pPr>
              <w:autoSpaceDE w:val="0"/>
              <w:autoSpaceDN w:val="0"/>
              <w:adjustRightInd w:val="0"/>
              <w:spacing w:line="320" w:lineRule="atLeast"/>
              <w:ind w:right="60"/>
              <w:jc w:val="center"/>
              <w:rPr>
                <w:color w:val="000000" w:themeColor="text1"/>
                <w:sz w:val="20"/>
                <w:szCs w:val="20"/>
              </w:rPr>
            </w:pPr>
            <w:r w:rsidRPr="00A408FA">
              <w:rPr>
                <w:color w:val="000000" w:themeColor="text1"/>
                <w:sz w:val="20"/>
                <w:szCs w:val="20"/>
              </w:rPr>
              <w:t>PIGD</w:t>
            </w:r>
          </w:p>
        </w:tc>
        <w:tc>
          <w:tcPr>
            <w:tcW w:w="851" w:type="dxa"/>
            <w:tcBorders>
              <w:top w:val="single" w:sz="4" w:space="0" w:color="auto"/>
              <w:bottom w:val="single" w:sz="4" w:space="0" w:color="auto"/>
              <w:right w:val="nil"/>
            </w:tcBorders>
            <w:shd w:val="clear" w:color="auto" w:fill="auto"/>
            <w:vAlign w:val="bottom"/>
          </w:tcPr>
          <w:p w14:paraId="35C296C7" w14:textId="77777777" w:rsidR="00581B9A" w:rsidRPr="00691FE3" w:rsidRDefault="00581B9A" w:rsidP="00B15D98">
            <w:pPr>
              <w:autoSpaceDE w:val="0"/>
              <w:autoSpaceDN w:val="0"/>
              <w:adjustRightInd w:val="0"/>
              <w:spacing w:line="320" w:lineRule="atLeast"/>
              <w:ind w:right="60"/>
              <w:jc w:val="center"/>
              <w:rPr>
                <w:color w:val="000000" w:themeColor="text1"/>
                <w:sz w:val="20"/>
                <w:szCs w:val="20"/>
              </w:rPr>
            </w:pPr>
            <w:r w:rsidRPr="00A408FA">
              <w:rPr>
                <w:color w:val="000000" w:themeColor="text1"/>
                <w:sz w:val="20"/>
                <w:szCs w:val="20"/>
              </w:rPr>
              <w:t>PIPS</w:t>
            </w:r>
          </w:p>
        </w:tc>
      </w:tr>
      <w:tr w:rsidR="00581B9A" w:rsidRPr="00A408FA" w14:paraId="1BB8DBEA" w14:textId="77777777" w:rsidTr="00AC00FE">
        <w:trPr>
          <w:cantSplit/>
        </w:trPr>
        <w:tc>
          <w:tcPr>
            <w:tcW w:w="4253" w:type="dxa"/>
            <w:tcBorders>
              <w:top w:val="single" w:sz="4" w:space="0" w:color="auto"/>
              <w:left w:val="nil"/>
            </w:tcBorders>
            <w:shd w:val="clear" w:color="auto" w:fill="auto"/>
          </w:tcPr>
          <w:p w14:paraId="18EABD27" w14:textId="77777777" w:rsidR="00581B9A" w:rsidRPr="00691FE3" w:rsidRDefault="00581B9A" w:rsidP="00B15D98">
            <w:pPr>
              <w:autoSpaceDE w:val="0"/>
              <w:autoSpaceDN w:val="0"/>
              <w:adjustRightInd w:val="0"/>
              <w:spacing w:line="320" w:lineRule="atLeast"/>
              <w:ind w:right="60"/>
              <w:jc w:val="right"/>
              <w:rPr>
                <w:color w:val="000000" w:themeColor="text1"/>
                <w:sz w:val="20"/>
                <w:szCs w:val="20"/>
              </w:rPr>
            </w:pPr>
            <w:r w:rsidRPr="00A408FA">
              <w:rPr>
                <w:color w:val="000000" w:themeColor="text1"/>
                <w:sz w:val="20"/>
                <w:szCs w:val="20"/>
              </w:rPr>
              <w:t>Religiosity</w:t>
            </w:r>
          </w:p>
        </w:tc>
        <w:tc>
          <w:tcPr>
            <w:tcW w:w="851" w:type="dxa"/>
            <w:tcBorders>
              <w:top w:val="single" w:sz="4" w:space="0" w:color="auto"/>
            </w:tcBorders>
            <w:shd w:val="clear" w:color="auto" w:fill="auto"/>
          </w:tcPr>
          <w:p w14:paraId="00674D00"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-.161</w:t>
            </w:r>
          </w:p>
        </w:tc>
        <w:tc>
          <w:tcPr>
            <w:tcW w:w="850" w:type="dxa"/>
            <w:tcBorders>
              <w:top w:val="single" w:sz="4" w:space="0" w:color="auto"/>
            </w:tcBorders>
            <w:shd w:val="clear" w:color="auto" w:fill="auto"/>
          </w:tcPr>
          <w:p w14:paraId="1601A596"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.124</w:t>
            </w:r>
          </w:p>
        </w:tc>
        <w:tc>
          <w:tcPr>
            <w:tcW w:w="1134" w:type="dxa"/>
            <w:tcBorders>
              <w:top w:val="single" w:sz="4" w:space="0" w:color="auto"/>
            </w:tcBorders>
            <w:shd w:val="clear" w:color="auto" w:fill="auto"/>
          </w:tcPr>
          <w:p w14:paraId="583A21E4"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.210</w:t>
            </w:r>
            <w:r w:rsidRPr="00691FE3">
              <w:rPr>
                <w:color w:val="000000" w:themeColor="text1"/>
                <w:sz w:val="20"/>
                <w:szCs w:val="20"/>
                <w:vertAlign w:val="superscript"/>
              </w:rPr>
              <w:t>*</w:t>
            </w:r>
          </w:p>
        </w:tc>
        <w:tc>
          <w:tcPr>
            <w:tcW w:w="851" w:type="dxa"/>
            <w:tcBorders>
              <w:top w:val="single" w:sz="4" w:space="0" w:color="auto"/>
            </w:tcBorders>
            <w:shd w:val="clear" w:color="auto" w:fill="auto"/>
          </w:tcPr>
          <w:p w14:paraId="49330B17"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.043</w:t>
            </w:r>
          </w:p>
        </w:tc>
        <w:tc>
          <w:tcPr>
            <w:tcW w:w="850" w:type="dxa"/>
            <w:tcBorders>
              <w:top w:val="single" w:sz="4" w:space="0" w:color="auto"/>
            </w:tcBorders>
            <w:shd w:val="clear" w:color="auto" w:fill="auto"/>
          </w:tcPr>
          <w:p w14:paraId="463D468D"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-.050</w:t>
            </w:r>
          </w:p>
        </w:tc>
        <w:tc>
          <w:tcPr>
            <w:tcW w:w="851" w:type="dxa"/>
            <w:tcBorders>
              <w:top w:val="single" w:sz="4" w:space="0" w:color="auto"/>
              <w:right w:val="nil"/>
            </w:tcBorders>
            <w:shd w:val="clear" w:color="auto" w:fill="auto"/>
          </w:tcPr>
          <w:p w14:paraId="37C856DB"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-.072</w:t>
            </w:r>
          </w:p>
        </w:tc>
      </w:tr>
      <w:tr w:rsidR="00581B9A" w:rsidRPr="00A408FA" w14:paraId="1BF7BD9E" w14:textId="77777777" w:rsidTr="00AC00FE">
        <w:trPr>
          <w:cantSplit/>
        </w:trPr>
        <w:tc>
          <w:tcPr>
            <w:tcW w:w="4253" w:type="dxa"/>
            <w:tcBorders>
              <w:left w:val="nil"/>
            </w:tcBorders>
            <w:shd w:val="clear" w:color="auto" w:fill="auto"/>
          </w:tcPr>
          <w:p w14:paraId="1DD95702" w14:textId="77777777" w:rsidR="00581B9A" w:rsidRPr="00691FE3" w:rsidRDefault="00581B9A" w:rsidP="00B15D98">
            <w:pPr>
              <w:autoSpaceDE w:val="0"/>
              <w:autoSpaceDN w:val="0"/>
              <w:adjustRightInd w:val="0"/>
              <w:spacing w:line="320" w:lineRule="atLeast"/>
              <w:ind w:right="60"/>
              <w:jc w:val="right"/>
              <w:rPr>
                <w:color w:val="000000" w:themeColor="text1"/>
                <w:sz w:val="20"/>
                <w:szCs w:val="20"/>
              </w:rPr>
            </w:pPr>
            <w:r w:rsidRPr="00A408FA">
              <w:rPr>
                <w:color w:val="000000" w:themeColor="text1"/>
                <w:sz w:val="20"/>
                <w:szCs w:val="20"/>
              </w:rPr>
              <w:t xml:space="preserve">Positive </w:t>
            </w:r>
            <w:r>
              <w:rPr>
                <w:color w:val="000000" w:themeColor="text1"/>
                <w:sz w:val="20"/>
                <w:szCs w:val="20"/>
              </w:rPr>
              <w:t>A</w:t>
            </w:r>
            <w:r w:rsidRPr="00A408FA">
              <w:rPr>
                <w:color w:val="000000" w:themeColor="text1"/>
                <w:sz w:val="20"/>
                <w:szCs w:val="20"/>
              </w:rPr>
              <w:t xml:space="preserve">ttitude </w:t>
            </w:r>
            <w:r>
              <w:rPr>
                <w:color w:val="000000" w:themeColor="text1"/>
                <w:sz w:val="20"/>
                <w:szCs w:val="20"/>
              </w:rPr>
              <w:t>T</w:t>
            </w:r>
            <w:r w:rsidRPr="00A408FA">
              <w:rPr>
                <w:color w:val="000000" w:themeColor="text1"/>
                <w:sz w:val="20"/>
                <w:szCs w:val="20"/>
              </w:rPr>
              <w:t xml:space="preserve">owards </w:t>
            </w:r>
            <w:r>
              <w:rPr>
                <w:color w:val="000000" w:themeColor="text1"/>
                <w:sz w:val="20"/>
                <w:szCs w:val="20"/>
              </w:rPr>
              <w:t>H</w:t>
            </w:r>
            <w:r w:rsidRPr="00A408FA">
              <w:rPr>
                <w:color w:val="000000" w:themeColor="text1"/>
                <w:sz w:val="20"/>
                <w:szCs w:val="20"/>
              </w:rPr>
              <w:t>omosexuality (PATH)</w:t>
            </w:r>
          </w:p>
        </w:tc>
        <w:tc>
          <w:tcPr>
            <w:tcW w:w="851" w:type="dxa"/>
            <w:shd w:val="clear" w:color="auto" w:fill="auto"/>
          </w:tcPr>
          <w:p w14:paraId="35EBA7A4"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0" w:type="dxa"/>
            <w:shd w:val="clear" w:color="auto" w:fill="auto"/>
          </w:tcPr>
          <w:p w14:paraId="2C8B1619"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-.859</w:t>
            </w:r>
            <w:r w:rsidRPr="00691FE3">
              <w:rPr>
                <w:color w:val="000000" w:themeColor="text1"/>
                <w:sz w:val="20"/>
                <w:szCs w:val="20"/>
                <w:vertAlign w:val="superscript"/>
              </w:rPr>
              <w:t>**</w:t>
            </w:r>
          </w:p>
        </w:tc>
        <w:tc>
          <w:tcPr>
            <w:tcW w:w="1134" w:type="dxa"/>
            <w:shd w:val="clear" w:color="auto" w:fill="auto"/>
          </w:tcPr>
          <w:p w14:paraId="6EDB768D"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-.820</w:t>
            </w:r>
            <w:r w:rsidRPr="00691FE3">
              <w:rPr>
                <w:color w:val="000000" w:themeColor="text1"/>
                <w:sz w:val="20"/>
                <w:szCs w:val="20"/>
                <w:vertAlign w:val="superscript"/>
              </w:rPr>
              <w:t>**</w:t>
            </w:r>
          </w:p>
        </w:tc>
        <w:tc>
          <w:tcPr>
            <w:tcW w:w="851" w:type="dxa"/>
            <w:shd w:val="clear" w:color="auto" w:fill="auto"/>
          </w:tcPr>
          <w:p w14:paraId="745FE546"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-.317</w:t>
            </w:r>
            <w:r w:rsidRPr="00691FE3">
              <w:rPr>
                <w:color w:val="000000" w:themeColor="text1"/>
                <w:sz w:val="20"/>
                <w:szCs w:val="20"/>
                <w:vertAlign w:val="superscript"/>
              </w:rPr>
              <w:t>**</w:t>
            </w:r>
          </w:p>
        </w:tc>
        <w:tc>
          <w:tcPr>
            <w:tcW w:w="850" w:type="dxa"/>
            <w:shd w:val="clear" w:color="auto" w:fill="auto"/>
          </w:tcPr>
          <w:p w14:paraId="1DEB978E"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-.578</w:t>
            </w:r>
            <w:r w:rsidRPr="00691FE3">
              <w:rPr>
                <w:color w:val="000000" w:themeColor="text1"/>
                <w:sz w:val="20"/>
                <w:szCs w:val="20"/>
                <w:vertAlign w:val="superscript"/>
              </w:rPr>
              <w:t>**</w:t>
            </w:r>
          </w:p>
        </w:tc>
        <w:tc>
          <w:tcPr>
            <w:tcW w:w="851" w:type="dxa"/>
            <w:tcBorders>
              <w:right w:val="nil"/>
            </w:tcBorders>
            <w:shd w:val="clear" w:color="auto" w:fill="auto"/>
          </w:tcPr>
          <w:p w14:paraId="7221F66E"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.614</w:t>
            </w:r>
            <w:r w:rsidRPr="00691FE3">
              <w:rPr>
                <w:color w:val="000000" w:themeColor="text1"/>
                <w:sz w:val="20"/>
                <w:szCs w:val="20"/>
                <w:vertAlign w:val="superscript"/>
              </w:rPr>
              <w:t>**</w:t>
            </w:r>
          </w:p>
        </w:tc>
      </w:tr>
      <w:tr w:rsidR="00581B9A" w:rsidRPr="00A408FA" w14:paraId="6775C1C9" w14:textId="77777777" w:rsidTr="00AC00FE">
        <w:trPr>
          <w:cantSplit/>
        </w:trPr>
        <w:tc>
          <w:tcPr>
            <w:tcW w:w="4253" w:type="dxa"/>
            <w:tcBorders>
              <w:left w:val="nil"/>
            </w:tcBorders>
            <w:shd w:val="clear" w:color="auto" w:fill="auto"/>
          </w:tcPr>
          <w:p w14:paraId="0A32205B" w14:textId="77777777" w:rsidR="00581B9A" w:rsidRPr="00691FE3" w:rsidRDefault="00581B9A" w:rsidP="00B15D98">
            <w:pPr>
              <w:autoSpaceDE w:val="0"/>
              <w:autoSpaceDN w:val="0"/>
              <w:adjustRightInd w:val="0"/>
              <w:spacing w:line="320" w:lineRule="atLeast"/>
              <w:ind w:right="60"/>
              <w:jc w:val="right"/>
              <w:rPr>
                <w:color w:val="000000" w:themeColor="text1"/>
                <w:sz w:val="20"/>
                <w:szCs w:val="20"/>
              </w:rPr>
            </w:pPr>
            <w:r w:rsidRPr="00A408FA">
              <w:rPr>
                <w:color w:val="000000" w:themeColor="text1"/>
                <w:sz w:val="20"/>
                <w:szCs w:val="20"/>
              </w:rPr>
              <w:t xml:space="preserve">Attitude towards Lesbians and </w:t>
            </w:r>
            <w:r>
              <w:rPr>
                <w:color w:val="000000" w:themeColor="text1"/>
                <w:sz w:val="20"/>
                <w:szCs w:val="20"/>
              </w:rPr>
              <w:t>G</w:t>
            </w:r>
            <w:r w:rsidRPr="00A408FA">
              <w:rPr>
                <w:color w:val="000000" w:themeColor="text1"/>
                <w:sz w:val="20"/>
                <w:szCs w:val="20"/>
              </w:rPr>
              <w:t>ay men (ATLG)</w:t>
            </w:r>
          </w:p>
        </w:tc>
        <w:tc>
          <w:tcPr>
            <w:tcW w:w="851" w:type="dxa"/>
            <w:shd w:val="clear" w:color="auto" w:fill="auto"/>
          </w:tcPr>
          <w:p w14:paraId="40100140"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0" w:type="dxa"/>
            <w:shd w:val="clear" w:color="auto" w:fill="auto"/>
          </w:tcPr>
          <w:p w14:paraId="410CC4F3"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1134" w:type="dxa"/>
            <w:shd w:val="clear" w:color="auto" w:fill="auto"/>
          </w:tcPr>
          <w:p w14:paraId="21EC69CF"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.769</w:t>
            </w:r>
            <w:r w:rsidRPr="00691FE3">
              <w:rPr>
                <w:color w:val="000000" w:themeColor="text1"/>
                <w:sz w:val="20"/>
                <w:szCs w:val="20"/>
                <w:vertAlign w:val="superscript"/>
              </w:rPr>
              <w:t>**</w:t>
            </w:r>
          </w:p>
        </w:tc>
        <w:tc>
          <w:tcPr>
            <w:tcW w:w="851" w:type="dxa"/>
            <w:shd w:val="clear" w:color="auto" w:fill="auto"/>
          </w:tcPr>
          <w:p w14:paraId="05A3E147"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.308</w:t>
            </w:r>
            <w:r w:rsidRPr="00691FE3">
              <w:rPr>
                <w:color w:val="000000" w:themeColor="text1"/>
                <w:sz w:val="20"/>
                <w:szCs w:val="20"/>
                <w:vertAlign w:val="superscript"/>
              </w:rPr>
              <w:t>**</w:t>
            </w:r>
          </w:p>
        </w:tc>
        <w:tc>
          <w:tcPr>
            <w:tcW w:w="850" w:type="dxa"/>
            <w:shd w:val="clear" w:color="auto" w:fill="auto"/>
          </w:tcPr>
          <w:p w14:paraId="7B06014F"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.489</w:t>
            </w:r>
            <w:r w:rsidRPr="00691FE3">
              <w:rPr>
                <w:color w:val="000000" w:themeColor="text1"/>
                <w:sz w:val="20"/>
                <w:szCs w:val="20"/>
                <w:vertAlign w:val="superscript"/>
              </w:rPr>
              <w:t>**</w:t>
            </w:r>
          </w:p>
        </w:tc>
        <w:tc>
          <w:tcPr>
            <w:tcW w:w="851" w:type="dxa"/>
            <w:tcBorders>
              <w:right w:val="nil"/>
            </w:tcBorders>
            <w:shd w:val="clear" w:color="auto" w:fill="auto"/>
          </w:tcPr>
          <w:p w14:paraId="306D2D75"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-.486</w:t>
            </w:r>
            <w:r w:rsidRPr="00691FE3">
              <w:rPr>
                <w:color w:val="000000" w:themeColor="text1"/>
                <w:sz w:val="20"/>
                <w:szCs w:val="20"/>
                <w:vertAlign w:val="superscript"/>
              </w:rPr>
              <w:t>**</w:t>
            </w:r>
          </w:p>
        </w:tc>
      </w:tr>
      <w:tr w:rsidR="00581B9A" w:rsidRPr="00A408FA" w14:paraId="55648082" w14:textId="77777777" w:rsidTr="00AC00FE">
        <w:trPr>
          <w:cantSplit/>
        </w:trPr>
        <w:tc>
          <w:tcPr>
            <w:tcW w:w="4253" w:type="dxa"/>
            <w:tcBorders>
              <w:left w:val="nil"/>
            </w:tcBorders>
            <w:shd w:val="clear" w:color="auto" w:fill="auto"/>
          </w:tcPr>
          <w:p w14:paraId="2B982585" w14:textId="77777777" w:rsidR="00581B9A" w:rsidRPr="00691FE3" w:rsidRDefault="00581B9A" w:rsidP="00B15D98">
            <w:pPr>
              <w:autoSpaceDE w:val="0"/>
              <w:autoSpaceDN w:val="0"/>
              <w:adjustRightInd w:val="0"/>
              <w:spacing w:line="320" w:lineRule="atLeast"/>
              <w:ind w:right="60"/>
              <w:jc w:val="right"/>
              <w:rPr>
                <w:color w:val="000000" w:themeColor="text1"/>
                <w:sz w:val="20"/>
                <w:szCs w:val="20"/>
              </w:rPr>
            </w:pPr>
            <w:r w:rsidRPr="00A408FA">
              <w:rPr>
                <w:color w:val="000000" w:themeColor="text1"/>
                <w:sz w:val="20"/>
                <w:szCs w:val="20"/>
              </w:rPr>
              <w:t>Traditional Beliefs about Gender and Gender Identity (TBAG&amp;GI)</w:t>
            </w:r>
          </w:p>
        </w:tc>
        <w:tc>
          <w:tcPr>
            <w:tcW w:w="851" w:type="dxa"/>
            <w:shd w:val="clear" w:color="auto" w:fill="auto"/>
          </w:tcPr>
          <w:p w14:paraId="06E42F92"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0" w:type="dxa"/>
            <w:shd w:val="clear" w:color="auto" w:fill="auto"/>
          </w:tcPr>
          <w:p w14:paraId="7B0195C1"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1134" w:type="dxa"/>
            <w:shd w:val="clear" w:color="auto" w:fill="auto"/>
          </w:tcPr>
          <w:p w14:paraId="06DB0347"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1" w:type="dxa"/>
            <w:shd w:val="clear" w:color="auto" w:fill="auto"/>
          </w:tcPr>
          <w:p w14:paraId="1B197F81" w14:textId="77777777" w:rsidR="00581B9A" w:rsidRDefault="00581B9A" w:rsidP="00B15D98">
            <w:pPr>
              <w:autoSpaceDE w:val="0"/>
              <w:autoSpaceDN w:val="0"/>
              <w:adjustRightInd w:val="0"/>
              <w:spacing w:line="320" w:lineRule="atLeast"/>
              <w:ind w:right="21"/>
              <w:jc w:val="center"/>
              <w:rPr>
                <w:color w:val="000000" w:themeColor="text1"/>
                <w:sz w:val="20"/>
                <w:szCs w:val="20"/>
              </w:rPr>
            </w:pPr>
          </w:p>
          <w:p w14:paraId="3C3D40FE"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.287</w:t>
            </w:r>
            <w:r w:rsidRPr="00691FE3">
              <w:rPr>
                <w:color w:val="000000" w:themeColor="text1"/>
                <w:sz w:val="20"/>
                <w:szCs w:val="20"/>
                <w:vertAlign w:val="superscript"/>
              </w:rPr>
              <w:t>**</w:t>
            </w:r>
          </w:p>
        </w:tc>
        <w:tc>
          <w:tcPr>
            <w:tcW w:w="850" w:type="dxa"/>
            <w:shd w:val="clear" w:color="auto" w:fill="auto"/>
          </w:tcPr>
          <w:p w14:paraId="14F334E8" w14:textId="77777777" w:rsidR="00581B9A" w:rsidRDefault="00581B9A" w:rsidP="00B15D98">
            <w:pPr>
              <w:autoSpaceDE w:val="0"/>
              <w:autoSpaceDN w:val="0"/>
              <w:adjustRightInd w:val="0"/>
              <w:spacing w:line="320" w:lineRule="atLeast"/>
              <w:ind w:right="21"/>
              <w:jc w:val="center"/>
              <w:rPr>
                <w:color w:val="000000" w:themeColor="text1"/>
                <w:sz w:val="20"/>
                <w:szCs w:val="20"/>
              </w:rPr>
            </w:pPr>
          </w:p>
          <w:p w14:paraId="51415995"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.554</w:t>
            </w:r>
            <w:r w:rsidRPr="00691FE3">
              <w:rPr>
                <w:color w:val="000000" w:themeColor="text1"/>
                <w:sz w:val="20"/>
                <w:szCs w:val="20"/>
                <w:vertAlign w:val="superscript"/>
              </w:rPr>
              <w:t>**</w:t>
            </w:r>
          </w:p>
        </w:tc>
        <w:tc>
          <w:tcPr>
            <w:tcW w:w="851" w:type="dxa"/>
            <w:tcBorders>
              <w:right w:val="nil"/>
            </w:tcBorders>
            <w:shd w:val="clear" w:color="auto" w:fill="auto"/>
          </w:tcPr>
          <w:p w14:paraId="531696E6" w14:textId="77777777" w:rsidR="00581B9A" w:rsidRDefault="00581B9A" w:rsidP="00B15D98">
            <w:pPr>
              <w:autoSpaceDE w:val="0"/>
              <w:autoSpaceDN w:val="0"/>
              <w:adjustRightInd w:val="0"/>
              <w:spacing w:line="320" w:lineRule="atLeast"/>
              <w:ind w:right="21"/>
              <w:jc w:val="center"/>
              <w:rPr>
                <w:color w:val="000000" w:themeColor="text1"/>
                <w:sz w:val="20"/>
                <w:szCs w:val="20"/>
              </w:rPr>
            </w:pPr>
          </w:p>
          <w:p w14:paraId="24A7D35E"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-.546</w:t>
            </w:r>
            <w:r w:rsidRPr="00691FE3">
              <w:rPr>
                <w:color w:val="000000" w:themeColor="text1"/>
                <w:sz w:val="20"/>
                <w:szCs w:val="20"/>
                <w:vertAlign w:val="superscript"/>
              </w:rPr>
              <w:t>**</w:t>
            </w:r>
          </w:p>
        </w:tc>
      </w:tr>
      <w:tr w:rsidR="00581B9A" w:rsidRPr="00A408FA" w14:paraId="47AFC796" w14:textId="77777777" w:rsidTr="00AC00FE">
        <w:trPr>
          <w:cantSplit/>
        </w:trPr>
        <w:tc>
          <w:tcPr>
            <w:tcW w:w="4253" w:type="dxa"/>
            <w:tcBorders>
              <w:left w:val="nil"/>
            </w:tcBorders>
            <w:shd w:val="clear" w:color="auto" w:fill="auto"/>
          </w:tcPr>
          <w:p w14:paraId="0BA2E062" w14:textId="77777777" w:rsidR="00581B9A" w:rsidRPr="00691FE3" w:rsidRDefault="00581B9A" w:rsidP="00B15D98">
            <w:pPr>
              <w:autoSpaceDE w:val="0"/>
              <w:autoSpaceDN w:val="0"/>
              <w:adjustRightInd w:val="0"/>
              <w:spacing w:line="320" w:lineRule="atLeast"/>
              <w:ind w:right="60"/>
              <w:jc w:val="right"/>
              <w:rPr>
                <w:color w:val="000000" w:themeColor="text1"/>
                <w:sz w:val="20"/>
                <w:szCs w:val="20"/>
              </w:rPr>
            </w:pPr>
            <w:r w:rsidRPr="00A408FA">
              <w:rPr>
                <w:color w:val="000000" w:themeColor="text1"/>
                <w:sz w:val="20"/>
                <w:szCs w:val="20"/>
              </w:rPr>
              <w:t xml:space="preserve">Perceived </w:t>
            </w:r>
            <w:r>
              <w:rPr>
                <w:color w:val="000000" w:themeColor="text1"/>
                <w:sz w:val="20"/>
                <w:szCs w:val="20"/>
              </w:rPr>
              <w:t>C</w:t>
            </w:r>
            <w:r w:rsidRPr="00A408FA">
              <w:rPr>
                <w:color w:val="000000" w:themeColor="text1"/>
                <w:sz w:val="20"/>
                <w:szCs w:val="20"/>
              </w:rPr>
              <w:t>ontrol (PC)</w:t>
            </w:r>
          </w:p>
        </w:tc>
        <w:tc>
          <w:tcPr>
            <w:tcW w:w="851" w:type="dxa"/>
            <w:shd w:val="clear" w:color="auto" w:fill="auto"/>
          </w:tcPr>
          <w:p w14:paraId="0286CB53"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0" w:type="dxa"/>
            <w:shd w:val="clear" w:color="auto" w:fill="auto"/>
          </w:tcPr>
          <w:p w14:paraId="0832D9B7"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1134" w:type="dxa"/>
            <w:shd w:val="clear" w:color="auto" w:fill="auto"/>
          </w:tcPr>
          <w:p w14:paraId="21D6FB8E"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1" w:type="dxa"/>
            <w:shd w:val="clear" w:color="auto" w:fill="auto"/>
          </w:tcPr>
          <w:p w14:paraId="4F7D384A"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0" w:type="dxa"/>
            <w:shd w:val="clear" w:color="auto" w:fill="auto"/>
          </w:tcPr>
          <w:p w14:paraId="11E544F1"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.123</w:t>
            </w:r>
          </w:p>
        </w:tc>
        <w:tc>
          <w:tcPr>
            <w:tcW w:w="851" w:type="dxa"/>
            <w:tcBorders>
              <w:right w:val="nil"/>
            </w:tcBorders>
            <w:shd w:val="clear" w:color="auto" w:fill="auto"/>
          </w:tcPr>
          <w:p w14:paraId="23928973"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-.267</w:t>
            </w:r>
            <w:r w:rsidRPr="00691FE3">
              <w:rPr>
                <w:color w:val="000000" w:themeColor="text1"/>
                <w:sz w:val="20"/>
                <w:szCs w:val="20"/>
                <w:vertAlign w:val="superscript"/>
              </w:rPr>
              <w:t>**</w:t>
            </w:r>
          </w:p>
        </w:tc>
      </w:tr>
      <w:tr w:rsidR="00581B9A" w:rsidRPr="00A408FA" w14:paraId="5E26E16B" w14:textId="77777777" w:rsidTr="00AC00FE">
        <w:trPr>
          <w:cantSplit/>
        </w:trPr>
        <w:tc>
          <w:tcPr>
            <w:tcW w:w="4253" w:type="dxa"/>
            <w:tcBorders>
              <w:left w:val="nil"/>
            </w:tcBorders>
            <w:shd w:val="clear" w:color="auto" w:fill="auto"/>
          </w:tcPr>
          <w:p w14:paraId="3D8891EB" w14:textId="77777777" w:rsidR="00581B9A" w:rsidRPr="00691FE3" w:rsidRDefault="00581B9A" w:rsidP="00B15D98">
            <w:pPr>
              <w:autoSpaceDE w:val="0"/>
              <w:autoSpaceDN w:val="0"/>
              <w:adjustRightInd w:val="0"/>
              <w:spacing w:line="320" w:lineRule="atLeast"/>
              <w:ind w:right="60"/>
              <w:jc w:val="right"/>
              <w:rPr>
                <w:color w:val="000000" w:themeColor="text1"/>
                <w:sz w:val="20"/>
                <w:szCs w:val="20"/>
              </w:rPr>
            </w:pPr>
            <w:r w:rsidRPr="00A408FA">
              <w:rPr>
                <w:color w:val="000000" w:themeColor="text1"/>
                <w:sz w:val="20"/>
                <w:szCs w:val="20"/>
              </w:rPr>
              <w:t xml:space="preserve">Perceived </w:t>
            </w:r>
            <w:r>
              <w:rPr>
                <w:color w:val="000000" w:themeColor="text1"/>
                <w:sz w:val="20"/>
                <w:szCs w:val="20"/>
              </w:rPr>
              <w:t>I</w:t>
            </w:r>
            <w:r w:rsidRPr="00A408FA">
              <w:rPr>
                <w:color w:val="000000" w:themeColor="text1"/>
                <w:sz w:val="20"/>
                <w:szCs w:val="20"/>
              </w:rPr>
              <w:t>nter</w:t>
            </w:r>
            <w:r>
              <w:rPr>
                <w:color w:val="000000" w:themeColor="text1"/>
                <w:sz w:val="20"/>
                <w:szCs w:val="20"/>
              </w:rPr>
              <w:t>-G</w:t>
            </w:r>
            <w:r w:rsidRPr="00A408FA">
              <w:rPr>
                <w:color w:val="000000" w:themeColor="text1"/>
                <w:sz w:val="20"/>
                <w:szCs w:val="20"/>
              </w:rPr>
              <w:t xml:space="preserve">roup </w:t>
            </w:r>
            <w:r>
              <w:rPr>
                <w:color w:val="000000" w:themeColor="text1"/>
                <w:sz w:val="20"/>
                <w:szCs w:val="20"/>
              </w:rPr>
              <w:t>D</w:t>
            </w:r>
            <w:r w:rsidRPr="00A408FA">
              <w:rPr>
                <w:color w:val="000000" w:themeColor="text1"/>
                <w:sz w:val="20"/>
                <w:szCs w:val="20"/>
              </w:rPr>
              <w:t>ifferences (PIGD)</w:t>
            </w:r>
          </w:p>
        </w:tc>
        <w:tc>
          <w:tcPr>
            <w:tcW w:w="851" w:type="dxa"/>
            <w:shd w:val="clear" w:color="auto" w:fill="auto"/>
          </w:tcPr>
          <w:p w14:paraId="3B52C8B3"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0" w:type="dxa"/>
            <w:shd w:val="clear" w:color="auto" w:fill="auto"/>
          </w:tcPr>
          <w:p w14:paraId="71EA5D2E"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1134" w:type="dxa"/>
            <w:shd w:val="clear" w:color="auto" w:fill="auto"/>
          </w:tcPr>
          <w:p w14:paraId="4705ABF7"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1" w:type="dxa"/>
            <w:shd w:val="clear" w:color="auto" w:fill="auto"/>
          </w:tcPr>
          <w:p w14:paraId="3FA2FF1E"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0" w:type="dxa"/>
            <w:shd w:val="clear" w:color="auto" w:fill="auto"/>
          </w:tcPr>
          <w:p w14:paraId="6B21FA50"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1" w:type="dxa"/>
            <w:tcBorders>
              <w:right w:val="nil"/>
            </w:tcBorders>
            <w:shd w:val="clear" w:color="auto" w:fill="auto"/>
          </w:tcPr>
          <w:p w14:paraId="118CB5CB"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sidRPr="00691FE3">
              <w:rPr>
                <w:color w:val="000000" w:themeColor="text1"/>
                <w:sz w:val="20"/>
                <w:szCs w:val="20"/>
              </w:rPr>
              <w:t>-.715</w:t>
            </w:r>
            <w:r w:rsidRPr="00691FE3">
              <w:rPr>
                <w:color w:val="000000" w:themeColor="text1"/>
                <w:sz w:val="20"/>
                <w:szCs w:val="20"/>
                <w:vertAlign w:val="superscript"/>
              </w:rPr>
              <w:t>**</w:t>
            </w:r>
          </w:p>
        </w:tc>
      </w:tr>
      <w:tr w:rsidR="00581B9A" w:rsidRPr="00F31AA0" w14:paraId="52501CE8" w14:textId="77777777" w:rsidTr="00AC00FE">
        <w:trPr>
          <w:cantSplit/>
        </w:trPr>
        <w:tc>
          <w:tcPr>
            <w:tcW w:w="4253" w:type="dxa"/>
            <w:tcBorders>
              <w:left w:val="nil"/>
              <w:bottom w:val="single" w:sz="4" w:space="0" w:color="auto"/>
            </w:tcBorders>
            <w:shd w:val="clear" w:color="auto" w:fill="auto"/>
          </w:tcPr>
          <w:p w14:paraId="14A2BA50" w14:textId="77777777" w:rsidR="00581B9A" w:rsidRPr="00691FE3" w:rsidRDefault="00581B9A" w:rsidP="00B15D98">
            <w:pPr>
              <w:autoSpaceDE w:val="0"/>
              <w:autoSpaceDN w:val="0"/>
              <w:adjustRightInd w:val="0"/>
              <w:spacing w:line="320" w:lineRule="atLeast"/>
              <w:ind w:right="60"/>
              <w:jc w:val="right"/>
              <w:rPr>
                <w:color w:val="000000" w:themeColor="text1"/>
                <w:sz w:val="20"/>
                <w:szCs w:val="20"/>
              </w:rPr>
            </w:pPr>
            <w:r w:rsidRPr="00A408FA">
              <w:rPr>
                <w:color w:val="000000" w:themeColor="text1"/>
                <w:sz w:val="20"/>
                <w:szCs w:val="20"/>
              </w:rPr>
              <w:t>Perceived</w:t>
            </w:r>
            <w:r>
              <w:rPr>
                <w:color w:val="000000" w:themeColor="text1"/>
                <w:sz w:val="20"/>
                <w:szCs w:val="20"/>
              </w:rPr>
              <w:t xml:space="preserve"> I</w:t>
            </w:r>
            <w:r w:rsidRPr="00A408FA">
              <w:rPr>
                <w:color w:val="000000" w:themeColor="text1"/>
                <w:sz w:val="20"/>
                <w:szCs w:val="20"/>
              </w:rPr>
              <w:t>nter</w:t>
            </w:r>
            <w:r>
              <w:rPr>
                <w:color w:val="000000" w:themeColor="text1"/>
                <w:sz w:val="20"/>
                <w:szCs w:val="20"/>
              </w:rPr>
              <w:t>-P</w:t>
            </w:r>
            <w:r w:rsidRPr="00A408FA">
              <w:rPr>
                <w:color w:val="000000" w:themeColor="text1"/>
                <w:sz w:val="20"/>
                <w:szCs w:val="20"/>
              </w:rPr>
              <w:t xml:space="preserve">ersonal </w:t>
            </w:r>
            <w:r>
              <w:rPr>
                <w:color w:val="000000" w:themeColor="text1"/>
                <w:sz w:val="20"/>
                <w:szCs w:val="20"/>
              </w:rPr>
              <w:t>S</w:t>
            </w:r>
            <w:r w:rsidRPr="00A408FA">
              <w:rPr>
                <w:color w:val="000000" w:themeColor="text1"/>
                <w:sz w:val="20"/>
                <w:szCs w:val="20"/>
              </w:rPr>
              <w:t>imilarity (PIPS)</w:t>
            </w:r>
          </w:p>
        </w:tc>
        <w:tc>
          <w:tcPr>
            <w:tcW w:w="851" w:type="dxa"/>
            <w:tcBorders>
              <w:bottom w:val="single" w:sz="4" w:space="0" w:color="auto"/>
            </w:tcBorders>
            <w:shd w:val="clear" w:color="auto" w:fill="auto"/>
          </w:tcPr>
          <w:p w14:paraId="41D24CE1"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0" w:type="dxa"/>
            <w:tcBorders>
              <w:bottom w:val="single" w:sz="4" w:space="0" w:color="auto"/>
            </w:tcBorders>
            <w:shd w:val="clear" w:color="auto" w:fill="auto"/>
          </w:tcPr>
          <w:p w14:paraId="3BDC27F5"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1134" w:type="dxa"/>
            <w:tcBorders>
              <w:bottom w:val="single" w:sz="4" w:space="0" w:color="auto"/>
            </w:tcBorders>
            <w:shd w:val="clear" w:color="auto" w:fill="auto"/>
          </w:tcPr>
          <w:p w14:paraId="07F5C224"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1" w:type="dxa"/>
            <w:tcBorders>
              <w:bottom w:val="single" w:sz="4" w:space="0" w:color="auto"/>
            </w:tcBorders>
            <w:shd w:val="clear" w:color="auto" w:fill="auto"/>
          </w:tcPr>
          <w:p w14:paraId="7A259446"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0" w:type="dxa"/>
            <w:tcBorders>
              <w:bottom w:val="single" w:sz="4" w:space="0" w:color="auto"/>
            </w:tcBorders>
            <w:shd w:val="clear" w:color="auto" w:fill="auto"/>
          </w:tcPr>
          <w:p w14:paraId="0EB64049"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p>
        </w:tc>
        <w:tc>
          <w:tcPr>
            <w:tcW w:w="851" w:type="dxa"/>
            <w:tcBorders>
              <w:bottom w:val="single" w:sz="4" w:space="0" w:color="auto"/>
              <w:right w:val="nil"/>
            </w:tcBorders>
            <w:shd w:val="clear" w:color="auto" w:fill="auto"/>
          </w:tcPr>
          <w:p w14:paraId="00CCF7EE" w14:textId="77777777" w:rsidR="00581B9A" w:rsidRPr="00691FE3" w:rsidRDefault="00581B9A" w:rsidP="00B15D98">
            <w:pPr>
              <w:autoSpaceDE w:val="0"/>
              <w:autoSpaceDN w:val="0"/>
              <w:adjustRightInd w:val="0"/>
              <w:spacing w:line="320" w:lineRule="atLeast"/>
              <w:ind w:right="21"/>
              <w:jc w:val="center"/>
              <w:rPr>
                <w:color w:val="000000" w:themeColor="text1"/>
                <w:sz w:val="20"/>
                <w:szCs w:val="20"/>
              </w:rPr>
            </w:pPr>
            <w:r>
              <w:rPr>
                <w:color w:val="000000" w:themeColor="text1"/>
                <w:sz w:val="20"/>
                <w:szCs w:val="20"/>
              </w:rPr>
              <w:t>-</w:t>
            </w:r>
          </w:p>
        </w:tc>
      </w:tr>
    </w:tbl>
    <w:p w14:paraId="6671DA01" w14:textId="77777777" w:rsidR="00581B9A" w:rsidRDefault="00581B9A" w:rsidP="00581B9A">
      <w:pPr>
        <w:autoSpaceDE w:val="0"/>
        <w:autoSpaceDN w:val="0"/>
        <w:adjustRightInd w:val="0"/>
        <w:spacing w:line="400" w:lineRule="atLeast"/>
        <w:rPr>
          <w:sz w:val="20"/>
          <w:szCs w:val="20"/>
        </w:rPr>
      </w:pPr>
      <w:r w:rsidRPr="00A408FA">
        <w:rPr>
          <w:sz w:val="20"/>
          <w:szCs w:val="20"/>
        </w:rPr>
        <w:t xml:space="preserve">* </w:t>
      </w:r>
      <w:r w:rsidRPr="00A408FA">
        <w:rPr>
          <w:i/>
          <w:iCs/>
          <w:sz w:val="20"/>
          <w:szCs w:val="20"/>
        </w:rPr>
        <w:t>p</w:t>
      </w:r>
      <w:r w:rsidRPr="00A408FA">
        <w:rPr>
          <w:sz w:val="20"/>
          <w:szCs w:val="20"/>
        </w:rPr>
        <w:t xml:space="preserve"> &lt; .05, ** </w:t>
      </w:r>
      <w:r w:rsidRPr="00A408FA">
        <w:rPr>
          <w:i/>
          <w:iCs/>
          <w:sz w:val="20"/>
          <w:szCs w:val="20"/>
        </w:rPr>
        <w:t>p</w:t>
      </w:r>
      <w:r w:rsidRPr="00A408FA">
        <w:rPr>
          <w:sz w:val="20"/>
          <w:szCs w:val="20"/>
        </w:rPr>
        <w:t xml:space="preserve"> &lt; .01 (2-tailed)</w:t>
      </w:r>
    </w:p>
    <w:p w14:paraId="3F1ED07D" w14:textId="77777777" w:rsidR="00581B9A" w:rsidRDefault="00581B9A" w:rsidP="00DC3575">
      <w:pPr>
        <w:pStyle w:val="Stylepardfaut"/>
        <w:spacing w:line="480" w:lineRule="auto"/>
        <w:ind w:firstLine="709"/>
      </w:pPr>
    </w:p>
    <w:p w14:paraId="0B435F79" w14:textId="1DDA9CA8" w:rsidR="001F062B" w:rsidRPr="001F062B" w:rsidRDefault="001F062B" w:rsidP="001F062B">
      <w:pPr>
        <w:pStyle w:val="Stylepardfaut"/>
        <w:spacing w:line="480" w:lineRule="auto"/>
        <w:ind w:firstLine="709"/>
        <w:rPr>
          <w:b/>
          <w:bCs/>
        </w:rPr>
      </w:pPr>
      <w:r w:rsidRPr="00355C15">
        <w:rPr>
          <w:b/>
          <w:bCs/>
        </w:rPr>
        <w:t>Results</w:t>
      </w:r>
    </w:p>
    <w:p w14:paraId="1C8CEC76" w14:textId="45926B91" w:rsidR="00D953C3" w:rsidRDefault="00D953C3" w:rsidP="001F062B">
      <w:pPr>
        <w:pStyle w:val="Stylepardfaut"/>
        <w:spacing w:line="480" w:lineRule="auto"/>
        <w:ind w:firstLine="709"/>
        <w:rPr>
          <w:bCs/>
        </w:rPr>
      </w:pPr>
      <w:r>
        <w:rPr>
          <w:bCs/>
        </w:rPr>
        <w:t>As for the main dependent variables described in the main document, these complementary measures were submitted to an A</w:t>
      </w:r>
      <w:r w:rsidRPr="000F297B">
        <w:rPr>
          <w:bCs/>
        </w:rPr>
        <w:t xml:space="preserve">NCOVA in which </w:t>
      </w:r>
      <w:r>
        <w:rPr>
          <w:bCs/>
        </w:rPr>
        <w:t xml:space="preserve">we introduced </w:t>
      </w:r>
      <w:r w:rsidRPr="000F297B">
        <w:rPr>
          <w:bCs/>
        </w:rPr>
        <w:t>participants’ religio</w:t>
      </w:r>
      <w:r>
        <w:rPr>
          <w:bCs/>
        </w:rPr>
        <w:t>sity</w:t>
      </w:r>
      <w:r w:rsidRPr="000F297B">
        <w:rPr>
          <w:bCs/>
        </w:rPr>
        <w:t xml:space="preserve"> (standardized scores)</w:t>
      </w:r>
      <w:r>
        <w:rPr>
          <w:bCs/>
        </w:rPr>
        <w:t xml:space="preserve">, the experimental condition </w:t>
      </w:r>
      <w:r w:rsidRPr="000F297B">
        <w:t>(</w:t>
      </w:r>
      <w:r w:rsidRPr="006741DB">
        <w:rPr>
          <w:i/>
          <w:iCs/>
        </w:rPr>
        <w:t>biological bases</w:t>
      </w:r>
      <w:r w:rsidRPr="000F297B">
        <w:t xml:space="preserve">: </w:t>
      </w:r>
      <w:r>
        <w:t xml:space="preserve">-1 = </w:t>
      </w:r>
      <w:r w:rsidRPr="000F297B">
        <w:t xml:space="preserve">differences, </w:t>
      </w:r>
      <w:r>
        <w:t xml:space="preserve">+1 = </w:t>
      </w:r>
      <w:r w:rsidRPr="000F297B">
        <w:t>similarities)</w:t>
      </w:r>
      <w:r w:rsidRPr="000F297B">
        <w:rPr>
          <w:bCs/>
        </w:rPr>
        <w:t xml:space="preserve"> and the interaction between these two factors as covariate</w:t>
      </w:r>
      <w:r>
        <w:rPr>
          <w:bCs/>
        </w:rPr>
        <w:t>s</w:t>
      </w:r>
      <w:r w:rsidRPr="000F297B">
        <w:rPr>
          <w:bCs/>
        </w:rPr>
        <w:t>.</w:t>
      </w:r>
    </w:p>
    <w:p w14:paraId="32B25690" w14:textId="2F74527A" w:rsidR="001F062B" w:rsidRDefault="001F062B" w:rsidP="001F062B">
      <w:pPr>
        <w:pStyle w:val="Stylepardfaut"/>
        <w:spacing w:line="480" w:lineRule="auto"/>
        <w:ind w:firstLine="709"/>
      </w:pPr>
      <w:r w:rsidRPr="00C3516F">
        <w:rPr>
          <w:bCs/>
          <w:i/>
          <w:iCs/>
        </w:rPr>
        <w:lastRenderedPageBreak/>
        <w:t>Perceived intergroup differences</w:t>
      </w:r>
      <w:r w:rsidRPr="006741DB">
        <w:rPr>
          <w:i/>
          <w:iCs/>
        </w:rPr>
        <w:t xml:space="preserve">. </w:t>
      </w:r>
      <w:r w:rsidRPr="000F297B">
        <w:t xml:space="preserve">The main ANCOVA only revealed a significant interaction effect, </w:t>
      </w:r>
      <w:proofErr w:type="gramStart"/>
      <w:r w:rsidRPr="000F297B">
        <w:rPr>
          <w:i/>
        </w:rPr>
        <w:t>F</w:t>
      </w:r>
      <w:r w:rsidRPr="000F297B">
        <w:t>(</w:t>
      </w:r>
      <w:proofErr w:type="gramEnd"/>
      <w:r w:rsidRPr="000F297B">
        <w:t xml:space="preserve">1,114) = 4.98, </w:t>
      </w:r>
      <w:r w:rsidRPr="000F297B">
        <w:rPr>
          <w:i/>
        </w:rPr>
        <w:t>p</w:t>
      </w:r>
      <w:r w:rsidRPr="000F297B">
        <w:t xml:space="preserve"> = .028, η</w:t>
      </w:r>
      <w:r w:rsidRPr="000F297B">
        <w:rPr>
          <w:vertAlign w:val="subscript"/>
        </w:rPr>
        <w:t>p</w:t>
      </w:r>
      <w:r w:rsidRPr="000F297B">
        <w:rPr>
          <w:vertAlign w:val="superscript"/>
        </w:rPr>
        <w:t>2</w:t>
      </w:r>
      <w:r w:rsidRPr="000F297B">
        <w:t xml:space="preserve"> = .042</w:t>
      </w:r>
      <w:r>
        <w:t xml:space="preserve"> (Figure 2)</w:t>
      </w:r>
      <w:r w:rsidRPr="000F297B">
        <w:t xml:space="preserve">. Despite </w:t>
      </w:r>
      <w:r>
        <w:t>the pattern of this interaction was in the predicted direction,</w:t>
      </w:r>
      <w:r w:rsidRPr="000F297B">
        <w:t xml:space="preserve"> </w:t>
      </w:r>
      <w:r>
        <w:t>none</w:t>
      </w:r>
      <w:r w:rsidRPr="000F297B">
        <w:t xml:space="preserve"> of the slop</w:t>
      </w:r>
      <w:r>
        <w:t>e</w:t>
      </w:r>
      <w:r w:rsidRPr="000F297B">
        <w:t xml:space="preserve"> analyses was significant</w:t>
      </w:r>
      <w:r>
        <w:t xml:space="preserve">: </w:t>
      </w:r>
      <w:r w:rsidRPr="000F297B">
        <w:t>When religio</w:t>
      </w:r>
      <w:r>
        <w:t>sity was</w:t>
      </w:r>
      <w:r w:rsidRPr="000F297B">
        <w:t xml:space="preserve"> low (-1</w:t>
      </w:r>
      <w:r w:rsidRPr="000F297B">
        <w:rPr>
          <w:i/>
          <w:iCs/>
        </w:rPr>
        <w:t>SD</w:t>
      </w:r>
      <w:r w:rsidRPr="000F297B">
        <w:t xml:space="preserve">), the experimental manipulation did not influence perceived </w:t>
      </w:r>
      <w:r>
        <w:t>intergroup differences</w:t>
      </w:r>
      <w:r w:rsidRPr="000F297B">
        <w:t xml:space="preserve">, </w:t>
      </w:r>
      <w:proofErr w:type="gramStart"/>
      <w:r w:rsidRPr="000F297B">
        <w:rPr>
          <w:i/>
        </w:rPr>
        <w:t>t</w:t>
      </w:r>
      <w:r w:rsidRPr="000F297B">
        <w:t>(</w:t>
      </w:r>
      <w:proofErr w:type="gramEnd"/>
      <w:r w:rsidRPr="000F297B">
        <w:t xml:space="preserve">114) = 1.19, </w:t>
      </w:r>
      <w:r w:rsidRPr="000F297B">
        <w:rPr>
          <w:i/>
        </w:rPr>
        <w:t>p</w:t>
      </w:r>
      <w:r w:rsidRPr="000F297B">
        <w:t xml:space="preserve"> = .2</w:t>
      </w:r>
      <w:r>
        <w:t>33</w:t>
      </w:r>
      <w:r w:rsidRPr="000F297B">
        <w:t>, η</w:t>
      </w:r>
      <w:r w:rsidRPr="000F297B">
        <w:rPr>
          <w:vertAlign w:val="superscript"/>
        </w:rPr>
        <w:t>2</w:t>
      </w:r>
      <w:r w:rsidRPr="000F297B">
        <w:rPr>
          <w:vertAlign w:val="subscript"/>
        </w:rPr>
        <w:t>p</w:t>
      </w:r>
      <w:r w:rsidRPr="000F297B">
        <w:t xml:space="preserve"> = .01</w:t>
      </w:r>
      <w:r>
        <w:t>2</w:t>
      </w:r>
      <w:r w:rsidRPr="000F297B">
        <w:t>. However, when religio</w:t>
      </w:r>
      <w:r>
        <w:t>sity was</w:t>
      </w:r>
      <w:r w:rsidRPr="000F297B">
        <w:t xml:space="preserve"> high (+1</w:t>
      </w:r>
      <w:r w:rsidRPr="000F297B">
        <w:rPr>
          <w:i/>
          <w:iCs/>
        </w:rPr>
        <w:t>SD</w:t>
      </w:r>
      <w:r w:rsidRPr="000F297B">
        <w:t xml:space="preserve">), perceived </w:t>
      </w:r>
      <w:r>
        <w:t>intergroup differences</w:t>
      </w:r>
      <w:r w:rsidRPr="000F297B">
        <w:t xml:space="preserve"> was higher in the biological differences condition than in the biological similarities condition, </w:t>
      </w:r>
      <w:proofErr w:type="gramStart"/>
      <w:r w:rsidRPr="000F297B">
        <w:rPr>
          <w:i/>
        </w:rPr>
        <w:t>t</w:t>
      </w:r>
      <w:r w:rsidRPr="000F297B">
        <w:t>(</w:t>
      </w:r>
      <w:proofErr w:type="gramEnd"/>
      <w:r w:rsidRPr="000F297B">
        <w:t xml:space="preserve">114) = 1.97, </w:t>
      </w:r>
      <w:r w:rsidRPr="000F297B">
        <w:rPr>
          <w:i/>
        </w:rPr>
        <w:t>p</w:t>
      </w:r>
      <w:r w:rsidRPr="000F297B">
        <w:t xml:space="preserve"> = .05</w:t>
      </w:r>
      <w:r>
        <w:t>0</w:t>
      </w:r>
      <w:r w:rsidRPr="000F297B">
        <w:t>, η</w:t>
      </w:r>
      <w:r w:rsidRPr="000F297B">
        <w:rPr>
          <w:vertAlign w:val="superscript"/>
        </w:rPr>
        <w:t>2</w:t>
      </w:r>
      <w:r w:rsidRPr="000F297B">
        <w:rPr>
          <w:vertAlign w:val="subscript"/>
        </w:rPr>
        <w:t>p</w:t>
      </w:r>
      <w:r w:rsidRPr="000F297B">
        <w:t xml:space="preserve"> = .033.</w:t>
      </w:r>
      <w:r>
        <w:t xml:space="preserve"> R</w:t>
      </w:r>
      <w:r w:rsidRPr="000F297B">
        <w:t>eligio</w:t>
      </w:r>
      <w:r>
        <w:t>sity was not assoc</w:t>
      </w:r>
      <w:r w:rsidRPr="000F297B">
        <w:t xml:space="preserve">iated with perceived </w:t>
      </w:r>
      <w:r>
        <w:t>intergroup differences</w:t>
      </w:r>
      <w:r w:rsidRPr="000F297B">
        <w:t xml:space="preserve"> in the biological similarities condition (</w:t>
      </w:r>
      <w:r w:rsidRPr="000F297B">
        <w:rPr>
          <w:i/>
        </w:rPr>
        <w:t>B</w:t>
      </w:r>
      <w:r w:rsidRPr="000F297B">
        <w:t xml:space="preserve"> = -.38</w:t>
      </w:r>
      <w:r>
        <w:t xml:space="preserve">, </w:t>
      </w:r>
      <w:r w:rsidRPr="007C1D5B">
        <w:rPr>
          <w:i/>
          <w:iCs/>
        </w:rPr>
        <w:t>SE</w:t>
      </w:r>
      <w:r>
        <w:t xml:space="preserve"> = .21</w:t>
      </w:r>
      <w:r w:rsidRPr="000F297B">
        <w:t xml:space="preserve">), </w:t>
      </w:r>
      <w:proofErr w:type="gramStart"/>
      <w:r w:rsidRPr="000F297B">
        <w:rPr>
          <w:i/>
        </w:rPr>
        <w:t>t</w:t>
      </w:r>
      <w:r w:rsidRPr="000F297B">
        <w:t>(</w:t>
      </w:r>
      <w:proofErr w:type="gramEnd"/>
      <w:r w:rsidRPr="000F297B">
        <w:t xml:space="preserve">114) = 1.75, </w:t>
      </w:r>
      <w:r w:rsidRPr="000F297B">
        <w:rPr>
          <w:i/>
        </w:rPr>
        <w:t>p</w:t>
      </w:r>
      <w:r w:rsidRPr="000F297B">
        <w:t xml:space="preserve"> = .082, η</w:t>
      </w:r>
      <w:r w:rsidRPr="000F297B">
        <w:rPr>
          <w:vertAlign w:val="superscript"/>
        </w:rPr>
        <w:t>2</w:t>
      </w:r>
      <w:r w:rsidRPr="000F297B">
        <w:rPr>
          <w:vertAlign w:val="subscript"/>
        </w:rPr>
        <w:t>p</w:t>
      </w:r>
      <w:r w:rsidRPr="000F297B">
        <w:t xml:space="preserve"> = .026,</w:t>
      </w:r>
      <w:r>
        <w:t xml:space="preserve"> nor</w:t>
      </w:r>
      <w:r w:rsidRPr="000F297B">
        <w:t xml:space="preserve"> in the biological differences condition (</w:t>
      </w:r>
      <w:r w:rsidRPr="000F297B">
        <w:rPr>
          <w:i/>
        </w:rPr>
        <w:t>B</w:t>
      </w:r>
      <w:r w:rsidRPr="000F297B">
        <w:t xml:space="preserve"> = .37</w:t>
      </w:r>
      <w:r>
        <w:t xml:space="preserve">, </w:t>
      </w:r>
      <w:r w:rsidRPr="007C1D5B">
        <w:rPr>
          <w:i/>
          <w:iCs/>
        </w:rPr>
        <w:t>SE</w:t>
      </w:r>
      <w:r>
        <w:t xml:space="preserve"> = .26</w:t>
      </w:r>
      <w:r w:rsidRPr="000F297B">
        <w:t xml:space="preserve">), </w:t>
      </w:r>
      <w:r w:rsidRPr="000F297B">
        <w:rPr>
          <w:i/>
        </w:rPr>
        <w:t>t</w:t>
      </w:r>
      <w:r w:rsidRPr="000F297B">
        <w:t xml:space="preserve">(114) = 1.44, </w:t>
      </w:r>
      <w:r w:rsidRPr="000F297B">
        <w:rPr>
          <w:i/>
        </w:rPr>
        <w:t>p</w:t>
      </w:r>
      <w:r w:rsidRPr="000F297B">
        <w:t xml:space="preserve"> &gt; .15, η</w:t>
      </w:r>
      <w:r w:rsidRPr="000F297B">
        <w:rPr>
          <w:vertAlign w:val="superscript"/>
        </w:rPr>
        <w:t>2</w:t>
      </w:r>
      <w:r w:rsidRPr="000F297B">
        <w:rPr>
          <w:vertAlign w:val="subscript"/>
        </w:rPr>
        <w:t>p</w:t>
      </w:r>
      <w:r w:rsidRPr="000F297B">
        <w:t xml:space="preserve"> = .01. </w:t>
      </w:r>
    </w:p>
    <w:p w14:paraId="7EAF8F3A" w14:textId="77777777" w:rsidR="001F062B" w:rsidRDefault="001F062B" w:rsidP="001F062B">
      <w:pPr>
        <w:pStyle w:val="Stylepardfaut"/>
        <w:spacing w:line="480" w:lineRule="auto"/>
        <w:ind w:firstLine="709"/>
      </w:pPr>
      <w:r w:rsidRPr="00C3516F">
        <w:rPr>
          <w:bCs/>
          <w:i/>
          <w:iCs/>
        </w:rPr>
        <w:t>Traditional Beliefs about Gender and Gender Identity</w:t>
      </w:r>
      <w:r w:rsidRPr="006741DB">
        <w:rPr>
          <w:i/>
          <w:iCs/>
        </w:rPr>
        <w:t xml:space="preserve">. </w:t>
      </w:r>
      <w:r w:rsidRPr="00AC5E4E">
        <w:t>We initially ran a mixed ANCOVA in which the two subscales (TBG and TBGI) were introduced as a between-subjects factor. This analysis showed a main effect of the subscales,</w:t>
      </w:r>
      <w:r w:rsidRPr="00AC5E4E">
        <w:rPr>
          <w:i/>
        </w:rPr>
        <w:t xml:space="preserve"> </w:t>
      </w:r>
      <w:proofErr w:type="gramStart"/>
      <w:r w:rsidRPr="00AC5E4E">
        <w:rPr>
          <w:i/>
        </w:rPr>
        <w:t>F</w:t>
      </w:r>
      <w:r w:rsidRPr="00AC5E4E">
        <w:t>(</w:t>
      </w:r>
      <w:proofErr w:type="gramEnd"/>
      <w:r w:rsidRPr="00AC5E4E">
        <w:t xml:space="preserve">1,114) = 10.03, </w:t>
      </w:r>
      <w:r w:rsidRPr="00AC5E4E">
        <w:rPr>
          <w:i/>
        </w:rPr>
        <w:t>p</w:t>
      </w:r>
      <w:r w:rsidRPr="00AC5E4E">
        <w:t xml:space="preserve"> = .002, </w:t>
      </w:r>
      <w:r w:rsidRPr="000F297B">
        <w:t>η</w:t>
      </w:r>
      <w:r w:rsidRPr="00AC5E4E">
        <w:rPr>
          <w:vertAlign w:val="superscript"/>
        </w:rPr>
        <w:t>2</w:t>
      </w:r>
      <w:r w:rsidRPr="00AC5E4E">
        <w:rPr>
          <w:vertAlign w:val="subscript"/>
        </w:rPr>
        <w:t>p</w:t>
      </w:r>
      <w:r w:rsidRPr="00AC5E4E">
        <w:t xml:space="preserve"> = .081: </w:t>
      </w:r>
      <w:r>
        <w:t>T</w:t>
      </w:r>
      <w:r w:rsidRPr="00AC5E4E">
        <w:t xml:space="preserve">raditional beliefs were higher for </w:t>
      </w:r>
      <w:r>
        <w:t>TBGI</w:t>
      </w:r>
      <w:r w:rsidRPr="00AC5E4E">
        <w:t xml:space="preserve"> than for </w:t>
      </w:r>
      <w:r>
        <w:t>TBG</w:t>
      </w:r>
      <w:r w:rsidRPr="00AC5E4E">
        <w:t>. However, none of the interactions including the</w:t>
      </w:r>
      <w:r>
        <w:t>se</w:t>
      </w:r>
      <w:r w:rsidRPr="00AC5E4E">
        <w:t xml:space="preserve"> subscales was significant (overall interaction: </w:t>
      </w:r>
      <w:proofErr w:type="gramStart"/>
      <w:r w:rsidRPr="00AC5E4E">
        <w:rPr>
          <w:i/>
        </w:rPr>
        <w:t>F</w:t>
      </w:r>
      <w:r w:rsidRPr="00AC5E4E">
        <w:t>(</w:t>
      </w:r>
      <w:proofErr w:type="gramEnd"/>
      <w:r w:rsidRPr="00AC5E4E">
        <w:t xml:space="preserve">1,114) = 0.01, </w:t>
      </w:r>
      <w:r w:rsidRPr="00AC5E4E">
        <w:rPr>
          <w:i/>
        </w:rPr>
        <w:t>p</w:t>
      </w:r>
      <w:r w:rsidRPr="00AC5E4E">
        <w:t xml:space="preserve"> = .93, </w:t>
      </w:r>
      <w:r w:rsidRPr="000F297B">
        <w:t>η</w:t>
      </w:r>
      <w:r w:rsidRPr="00AC5E4E">
        <w:rPr>
          <w:vertAlign w:val="superscript"/>
        </w:rPr>
        <w:t>2</w:t>
      </w:r>
      <w:r w:rsidRPr="00AC5E4E">
        <w:rPr>
          <w:vertAlign w:val="subscript"/>
        </w:rPr>
        <w:t>p</w:t>
      </w:r>
      <w:r w:rsidRPr="00AC5E4E">
        <w:t xml:space="preserve"> </w:t>
      </w:r>
      <w:r>
        <w:t>&lt; .001</w:t>
      </w:r>
      <w:r w:rsidRPr="00AC5E4E">
        <w:t xml:space="preserve">). Therefore, for simplicity reasons, we describe </w:t>
      </w:r>
      <w:r>
        <w:t>here</w:t>
      </w:r>
      <w:r w:rsidRPr="00AC5E4E">
        <w:t xml:space="preserve"> the results of the </w:t>
      </w:r>
      <w:r>
        <w:t>analysis</w:t>
      </w:r>
      <w:r w:rsidRPr="00AC5E4E">
        <w:t xml:space="preserve"> conducted on the overall scale</w:t>
      </w:r>
      <w:r>
        <w:t xml:space="preserve"> TBG&amp;GI</w:t>
      </w:r>
      <w:r w:rsidRPr="000F297B">
        <w:t xml:space="preserve"> </w:t>
      </w:r>
      <w:r>
        <w:t>(</w:t>
      </w:r>
      <w:r w:rsidRPr="000F297B">
        <w:t>higher scores indicate more traditional beliefs about gender and gender identity)</w:t>
      </w:r>
      <w:r>
        <w:t xml:space="preserve">. </w:t>
      </w:r>
    </w:p>
    <w:p w14:paraId="301697C3" w14:textId="4AF096BC" w:rsidR="001F062B" w:rsidRDefault="001F062B" w:rsidP="001F062B">
      <w:pPr>
        <w:pStyle w:val="Stylepardfaut"/>
        <w:spacing w:line="480" w:lineRule="auto"/>
        <w:ind w:firstLine="709"/>
      </w:pPr>
      <w:r w:rsidRPr="000F297B">
        <w:t>Th</w:t>
      </w:r>
      <w:r>
        <w:t>is</w:t>
      </w:r>
      <w:r w:rsidRPr="000F297B">
        <w:t xml:space="preserve"> analysis revealed a significant main effect of religio</w:t>
      </w:r>
      <w:r>
        <w:t>sity</w:t>
      </w:r>
      <w:r w:rsidRPr="000F297B">
        <w:t xml:space="preserve"> (</w:t>
      </w:r>
      <w:r w:rsidRPr="000F297B">
        <w:rPr>
          <w:i/>
        </w:rPr>
        <w:t>B</w:t>
      </w:r>
      <w:r w:rsidRPr="000F297B">
        <w:t xml:space="preserve"> = .</w:t>
      </w:r>
      <w:r>
        <w:t xml:space="preserve">30, </w:t>
      </w:r>
      <w:r w:rsidRPr="00345439">
        <w:rPr>
          <w:i/>
          <w:iCs/>
        </w:rPr>
        <w:t>SE</w:t>
      </w:r>
      <w:r>
        <w:t xml:space="preserve"> =.09</w:t>
      </w:r>
      <w:r w:rsidRPr="000F297B">
        <w:t xml:space="preserve">), </w:t>
      </w:r>
      <w:proofErr w:type="gramStart"/>
      <w:r w:rsidRPr="000F297B">
        <w:rPr>
          <w:i/>
        </w:rPr>
        <w:t>F</w:t>
      </w:r>
      <w:r w:rsidRPr="000F297B">
        <w:t>(</w:t>
      </w:r>
      <w:proofErr w:type="gramEnd"/>
      <w:r w:rsidRPr="000F297B">
        <w:t xml:space="preserve">1,114) = </w:t>
      </w:r>
      <w:r>
        <w:t>9.27</w:t>
      </w:r>
      <w:r w:rsidRPr="000F297B">
        <w:t xml:space="preserve">, </w:t>
      </w:r>
      <w:r w:rsidRPr="000F297B">
        <w:rPr>
          <w:i/>
        </w:rPr>
        <w:t>p</w:t>
      </w:r>
      <w:r w:rsidRPr="000F297B">
        <w:t xml:space="preserve"> = .00</w:t>
      </w:r>
      <w:r>
        <w:t>3</w:t>
      </w:r>
      <w:r w:rsidRPr="000F297B">
        <w:t>, η</w:t>
      </w:r>
      <w:r w:rsidRPr="000F297B">
        <w:rPr>
          <w:vertAlign w:val="subscript"/>
        </w:rPr>
        <w:t>p</w:t>
      </w:r>
      <w:r w:rsidRPr="000F297B">
        <w:rPr>
          <w:vertAlign w:val="superscript"/>
        </w:rPr>
        <w:t>2</w:t>
      </w:r>
      <w:r w:rsidRPr="000F297B">
        <w:t xml:space="preserve"> = .0</w:t>
      </w:r>
      <w:r>
        <w:t>75</w:t>
      </w:r>
      <w:r w:rsidRPr="000F297B">
        <w:t xml:space="preserve">. </w:t>
      </w:r>
      <w:r>
        <w:t>Religiosity was related to higher TBG&amp;GI</w:t>
      </w:r>
      <w:r w:rsidRPr="000F297B">
        <w:t>. Moreover, the interaction between religio</w:t>
      </w:r>
      <w:r>
        <w:t>sity</w:t>
      </w:r>
      <w:r w:rsidRPr="000F297B">
        <w:t xml:space="preserve"> and the biological bases was also significant, </w:t>
      </w:r>
      <w:proofErr w:type="gramStart"/>
      <w:r w:rsidRPr="000F297B">
        <w:rPr>
          <w:i/>
        </w:rPr>
        <w:t>F</w:t>
      </w:r>
      <w:r w:rsidRPr="000F297B">
        <w:t>(</w:t>
      </w:r>
      <w:proofErr w:type="gramEnd"/>
      <w:r w:rsidRPr="000F297B">
        <w:t>1,114) = 10.0</w:t>
      </w:r>
      <w:r>
        <w:t>6</w:t>
      </w:r>
      <w:r w:rsidRPr="000F297B">
        <w:t xml:space="preserve">, </w:t>
      </w:r>
      <w:r w:rsidRPr="000F297B">
        <w:rPr>
          <w:i/>
        </w:rPr>
        <w:t>p</w:t>
      </w:r>
      <w:r w:rsidRPr="000F297B">
        <w:t xml:space="preserve"> = .002, η</w:t>
      </w:r>
      <w:r w:rsidRPr="000F297B">
        <w:rPr>
          <w:vertAlign w:val="subscript"/>
        </w:rPr>
        <w:t>p</w:t>
      </w:r>
      <w:r w:rsidRPr="000F297B">
        <w:rPr>
          <w:vertAlign w:val="superscript"/>
        </w:rPr>
        <w:t>2</w:t>
      </w:r>
      <w:r w:rsidRPr="000F297B">
        <w:t xml:space="preserve"> = .081</w:t>
      </w:r>
      <w:r w:rsidRPr="000F297B">
        <w:rPr>
          <w:rStyle w:val="hps"/>
          <w:b/>
        </w:rPr>
        <w:t xml:space="preserve"> </w:t>
      </w:r>
      <w:r w:rsidRPr="000F297B">
        <w:t xml:space="preserve">(see Figure </w:t>
      </w:r>
      <w:r>
        <w:t>2</w:t>
      </w:r>
      <w:r w:rsidRPr="000F297B">
        <w:t>). When religio</w:t>
      </w:r>
      <w:r>
        <w:t>sity was</w:t>
      </w:r>
      <w:r w:rsidRPr="000F297B">
        <w:t xml:space="preserve"> low (-1</w:t>
      </w:r>
      <w:r w:rsidRPr="000F297B">
        <w:rPr>
          <w:i/>
          <w:iCs/>
        </w:rPr>
        <w:t>SD</w:t>
      </w:r>
      <w:r w:rsidRPr="000F297B">
        <w:t xml:space="preserve">), the experimental manipulation did not influence TBG&amp;GI, </w:t>
      </w:r>
      <w:proofErr w:type="gramStart"/>
      <w:r w:rsidRPr="000F297B">
        <w:rPr>
          <w:i/>
        </w:rPr>
        <w:t>t</w:t>
      </w:r>
      <w:r w:rsidRPr="000F297B">
        <w:t>(</w:t>
      </w:r>
      <w:proofErr w:type="gramEnd"/>
      <w:r w:rsidRPr="000F297B">
        <w:t>114) = 1.</w:t>
      </w:r>
      <w:r>
        <w:t>70</w:t>
      </w:r>
      <w:r w:rsidRPr="000F297B">
        <w:t xml:space="preserve">, </w:t>
      </w:r>
      <w:r w:rsidRPr="000F297B">
        <w:rPr>
          <w:i/>
        </w:rPr>
        <w:t>p</w:t>
      </w:r>
      <w:r w:rsidRPr="000F297B">
        <w:t xml:space="preserve"> = .0</w:t>
      </w:r>
      <w:r>
        <w:t>92</w:t>
      </w:r>
      <w:r w:rsidRPr="000F297B">
        <w:t>, η</w:t>
      </w:r>
      <w:r w:rsidRPr="000F297B">
        <w:rPr>
          <w:vertAlign w:val="superscript"/>
        </w:rPr>
        <w:t>2</w:t>
      </w:r>
      <w:r w:rsidRPr="000F297B">
        <w:rPr>
          <w:vertAlign w:val="subscript"/>
        </w:rPr>
        <w:t>p</w:t>
      </w:r>
      <w:r w:rsidRPr="000F297B">
        <w:t xml:space="preserve"> = .0</w:t>
      </w:r>
      <w:r>
        <w:t>2</w:t>
      </w:r>
      <w:r w:rsidRPr="000F297B">
        <w:t>. However, when religio</w:t>
      </w:r>
      <w:r>
        <w:t>sity was</w:t>
      </w:r>
      <w:r w:rsidRPr="000F297B">
        <w:t xml:space="preserve"> high (+1</w:t>
      </w:r>
      <w:r w:rsidRPr="000F297B">
        <w:rPr>
          <w:i/>
          <w:iCs/>
        </w:rPr>
        <w:t>SD</w:t>
      </w:r>
      <w:r w:rsidRPr="000F297B">
        <w:t xml:space="preserve">), TBG&amp;GI were higher in the biological differences condition than in the biological similarities condition, </w:t>
      </w:r>
      <w:proofErr w:type="gramStart"/>
      <w:r w:rsidRPr="000F297B">
        <w:rPr>
          <w:i/>
        </w:rPr>
        <w:t>t</w:t>
      </w:r>
      <w:r w:rsidRPr="000F297B">
        <w:t>(</w:t>
      </w:r>
      <w:proofErr w:type="gramEnd"/>
      <w:r w:rsidRPr="000F297B">
        <w:t xml:space="preserve">114) = 2.68, </w:t>
      </w:r>
      <w:r w:rsidRPr="000F297B">
        <w:rPr>
          <w:i/>
        </w:rPr>
        <w:t>p</w:t>
      </w:r>
      <w:r w:rsidRPr="000F297B">
        <w:t xml:space="preserve"> = .008, η</w:t>
      </w:r>
      <w:r w:rsidRPr="000F297B">
        <w:rPr>
          <w:vertAlign w:val="superscript"/>
        </w:rPr>
        <w:t>2</w:t>
      </w:r>
      <w:r w:rsidRPr="000F297B">
        <w:rPr>
          <w:vertAlign w:val="subscript"/>
        </w:rPr>
        <w:t>p</w:t>
      </w:r>
      <w:r w:rsidRPr="000F297B">
        <w:t xml:space="preserve"> = .059. Religio</w:t>
      </w:r>
      <w:r>
        <w:t>sity</w:t>
      </w:r>
      <w:r w:rsidRPr="000F297B">
        <w:t xml:space="preserve"> </w:t>
      </w:r>
      <w:r>
        <w:lastRenderedPageBreak/>
        <w:t>was related to higher</w:t>
      </w:r>
      <w:r w:rsidRPr="000F297B">
        <w:t xml:space="preserve"> TBG&amp;GI in the biological differences condition (</w:t>
      </w:r>
      <w:r w:rsidRPr="000F297B">
        <w:rPr>
          <w:i/>
        </w:rPr>
        <w:t>B</w:t>
      </w:r>
      <w:r w:rsidRPr="000F297B">
        <w:t xml:space="preserve"> = .</w:t>
      </w:r>
      <w:r>
        <w:t>6</w:t>
      </w:r>
      <w:r w:rsidRPr="000F297B">
        <w:t>1</w:t>
      </w:r>
      <w:r>
        <w:t xml:space="preserve">, </w:t>
      </w:r>
      <w:r w:rsidRPr="00C314B8">
        <w:rPr>
          <w:i/>
          <w:iCs/>
        </w:rPr>
        <w:t>SE</w:t>
      </w:r>
      <w:r>
        <w:t xml:space="preserve"> =.15</w:t>
      </w:r>
      <w:r w:rsidRPr="000F297B">
        <w:t xml:space="preserve">), </w:t>
      </w:r>
      <w:proofErr w:type="gramStart"/>
      <w:r w:rsidRPr="000F297B">
        <w:rPr>
          <w:i/>
        </w:rPr>
        <w:t>t</w:t>
      </w:r>
      <w:r w:rsidRPr="000F297B">
        <w:t>(</w:t>
      </w:r>
      <w:proofErr w:type="gramEnd"/>
      <w:r w:rsidRPr="000F297B">
        <w:t xml:space="preserve">114) = </w:t>
      </w:r>
      <w:r>
        <w:t>4.03</w:t>
      </w:r>
      <w:r w:rsidRPr="000F297B">
        <w:t xml:space="preserve">, </w:t>
      </w:r>
      <w:r w:rsidRPr="000F297B">
        <w:rPr>
          <w:i/>
        </w:rPr>
        <w:t>p</w:t>
      </w:r>
      <w:r w:rsidRPr="000F297B">
        <w:t xml:space="preserve"> &lt; .001, η</w:t>
      </w:r>
      <w:r w:rsidRPr="000F297B">
        <w:rPr>
          <w:vertAlign w:val="superscript"/>
        </w:rPr>
        <w:t>2</w:t>
      </w:r>
      <w:r w:rsidRPr="000F297B">
        <w:rPr>
          <w:vertAlign w:val="subscript"/>
        </w:rPr>
        <w:t>p</w:t>
      </w:r>
      <w:r w:rsidRPr="000F297B">
        <w:t xml:space="preserve"> = .1</w:t>
      </w:r>
      <w:r>
        <w:t>2</w:t>
      </w:r>
      <w:r w:rsidRPr="000F297B">
        <w:t xml:space="preserve">, but </w:t>
      </w:r>
      <w:r>
        <w:t>this relation was</w:t>
      </w:r>
      <w:r w:rsidRPr="000F297B">
        <w:t xml:space="preserve"> not significantly in the biological similarities condition (</w:t>
      </w:r>
      <w:r w:rsidRPr="000F297B">
        <w:rPr>
          <w:i/>
        </w:rPr>
        <w:t>B</w:t>
      </w:r>
      <w:r w:rsidRPr="000F297B">
        <w:t xml:space="preserve"> = -.03</w:t>
      </w:r>
      <w:r w:rsidRPr="00AC5E4E">
        <w:t xml:space="preserve">, </w:t>
      </w:r>
      <w:r w:rsidRPr="00C314B8">
        <w:rPr>
          <w:i/>
          <w:iCs/>
        </w:rPr>
        <w:t>SE</w:t>
      </w:r>
      <w:r>
        <w:t xml:space="preserve"> = .12</w:t>
      </w:r>
      <w:r w:rsidRPr="000F297B">
        <w:t xml:space="preserve">), </w:t>
      </w:r>
      <w:r w:rsidRPr="000F297B">
        <w:rPr>
          <w:i/>
        </w:rPr>
        <w:t>t</w:t>
      </w:r>
      <w:r w:rsidRPr="000F297B">
        <w:t>(114) = 0.</w:t>
      </w:r>
      <w:r>
        <w:t>10</w:t>
      </w:r>
      <w:r w:rsidRPr="000F297B">
        <w:t xml:space="preserve">, </w:t>
      </w:r>
      <w:r w:rsidRPr="000F297B">
        <w:rPr>
          <w:i/>
        </w:rPr>
        <w:t>p</w:t>
      </w:r>
      <w:r w:rsidRPr="000F297B">
        <w:t xml:space="preserve"> = .</w:t>
      </w:r>
      <w:r>
        <w:t>920</w:t>
      </w:r>
      <w:r w:rsidRPr="000F297B">
        <w:t>, η</w:t>
      </w:r>
      <w:r w:rsidRPr="000F297B">
        <w:rPr>
          <w:vertAlign w:val="superscript"/>
        </w:rPr>
        <w:t>2</w:t>
      </w:r>
      <w:r w:rsidRPr="000F297B">
        <w:rPr>
          <w:vertAlign w:val="subscript"/>
        </w:rPr>
        <w:t>p</w:t>
      </w:r>
      <w:r w:rsidRPr="000F297B">
        <w:t xml:space="preserve"> </w:t>
      </w:r>
      <w:r>
        <w:t>&lt; .001</w:t>
      </w:r>
      <w:r w:rsidRPr="000F297B">
        <w:t xml:space="preserve">. </w:t>
      </w:r>
    </w:p>
    <w:p w14:paraId="6EF48323" w14:textId="77777777" w:rsidR="001F062B" w:rsidRDefault="001F062B" w:rsidP="001F062B">
      <w:pPr>
        <w:pStyle w:val="Stylepardfaut"/>
        <w:spacing w:line="480" w:lineRule="auto"/>
        <w:ind w:firstLine="709"/>
      </w:pPr>
    </w:p>
    <w:p w14:paraId="611CB327" w14:textId="77777777" w:rsidR="001F062B" w:rsidRPr="000F297B" w:rsidRDefault="001F062B" w:rsidP="001F062B">
      <w:pPr>
        <w:spacing w:line="480" w:lineRule="auto"/>
      </w:pPr>
      <w:r w:rsidRPr="00A11E60">
        <w:rPr>
          <w:noProof/>
          <w:lang w:val="nl-NL" w:eastAsia="zh-CN"/>
        </w:rPr>
        <w:drawing>
          <wp:inline distT="0" distB="0" distL="0" distR="0" wp14:anchorId="1ABA2D83" wp14:editId="7370AFF0">
            <wp:extent cx="5756910" cy="2846175"/>
            <wp:effectExtent l="0" t="0" r="0" b="0"/>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45ACEBE" w14:textId="441649BD" w:rsidR="001F062B" w:rsidRPr="00355C15" w:rsidRDefault="001F062B" w:rsidP="00355C15">
      <w:pPr>
        <w:spacing w:line="360" w:lineRule="auto"/>
        <w:ind w:right="48"/>
        <w:rPr>
          <w:iCs/>
          <w:sz w:val="20"/>
          <w:szCs w:val="20"/>
        </w:rPr>
      </w:pPr>
      <w:r w:rsidRPr="00355C15">
        <w:rPr>
          <w:b/>
          <w:bCs/>
          <w:iCs/>
          <w:sz w:val="20"/>
          <w:szCs w:val="20"/>
        </w:rPr>
        <w:t>Figure 2.</w:t>
      </w:r>
      <w:r w:rsidRPr="00355C15">
        <w:rPr>
          <w:iCs/>
          <w:sz w:val="20"/>
          <w:szCs w:val="20"/>
        </w:rPr>
        <w:t xml:space="preserve"> Predicted values for Traditional Beliefs about Gender and Gender Identity (TBG&amp;GI), Perceived Inter-Group Differences (PIGD) and Perceived Inter-Personal Similarity (PIPS) as a function of religiosity (±1SD) and biological theory framing (Study 1).</w:t>
      </w:r>
    </w:p>
    <w:p w14:paraId="502A533E" w14:textId="77777777" w:rsidR="001F062B" w:rsidRDefault="001F062B" w:rsidP="001F062B">
      <w:pPr>
        <w:pStyle w:val="Stylepardfaut"/>
        <w:spacing w:line="480" w:lineRule="auto"/>
        <w:ind w:firstLine="709"/>
      </w:pPr>
    </w:p>
    <w:p w14:paraId="6DC8D8B2" w14:textId="61C242CB" w:rsidR="001F062B" w:rsidRDefault="001F062B" w:rsidP="001F062B">
      <w:pPr>
        <w:pStyle w:val="Stylepardfaut"/>
        <w:spacing w:line="480" w:lineRule="auto"/>
        <w:ind w:firstLine="709"/>
      </w:pPr>
      <w:r w:rsidRPr="00C3516F">
        <w:rPr>
          <w:bCs/>
          <w:i/>
          <w:iCs/>
        </w:rPr>
        <w:t>Perceived personal similarity</w:t>
      </w:r>
      <w:r w:rsidRPr="006741DB">
        <w:rPr>
          <w:i/>
          <w:iCs/>
        </w:rPr>
        <w:t xml:space="preserve">. </w:t>
      </w:r>
      <w:r w:rsidRPr="000F297B">
        <w:t>Th</w:t>
      </w:r>
      <w:r>
        <w:t>e main</w:t>
      </w:r>
      <w:r w:rsidRPr="000F297B">
        <w:t xml:space="preserve"> analysis </w:t>
      </w:r>
      <w:r>
        <w:t xml:space="preserve">on perceived similarity </w:t>
      </w:r>
      <w:r w:rsidRPr="000F297B">
        <w:t xml:space="preserve">revealed a significant main effect of </w:t>
      </w:r>
      <w:r>
        <w:t>biological bases</w:t>
      </w:r>
      <w:r w:rsidRPr="000F297B">
        <w:t xml:space="preserve">, </w:t>
      </w:r>
      <w:proofErr w:type="gramStart"/>
      <w:r w:rsidRPr="000F297B">
        <w:rPr>
          <w:i/>
        </w:rPr>
        <w:t>F</w:t>
      </w:r>
      <w:r w:rsidRPr="000F297B">
        <w:t>(</w:t>
      </w:r>
      <w:proofErr w:type="gramEnd"/>
      <w:r w:rsidRPr="000F297B">
        <w:t xml:space="preserve">1,114) = </w:t>
      </w:r>
      <w:r>
        <w:t>4.70</w:t>
      </w:r>
      <w:r w:rsidRPr="000F297B">
        <w:t xml:space="preserve">, </w:t>
      </w:r>
      <w:r w:rsidRPr="000F297B">
        <w:rPr>
          <w:i/>
        </w:rPr>
        <w:t>p</w:t>
      </w:r>
      <w:r w:rsidRPr="000F297B">
        <w:t xml:space="preserve"> = .0</w:t>
      </w:r>
      <w:r>
        <w:t>32</w:t>
      </w:r>
      <w:r w:rsidRPr="000F297B">
        <w:t>, η</w:t>
      </w:r>
      <w:r w:rsidRPr="000F297B">
        <w:rPr>
          <w:vertAlign w:val="subscript"/>
        </w:rPr>
        <w:t>p</w:t>
      </w:r>
      <w:r w:rsidRPr="000F297B">
        <w:rPr>
          <w:vertAlign w:val="superscript"/>
        </w:rPr>
        <w:t>2</w:t>
      </w:r>
      <w:r w:rsidRPr="000F297B">
        <w:t xml:space="preserve"> = .0</w:t>
      </w:r>
      <w:r>
        <w:t>4</w:t>
      </w:r>
      <w:r w:rsidRPr="000F297B">
        <w:t xml:space="preserve">. </w:t>
      </w:r>
      <w:r>
        <w:t xml:space="preserve">Participants perceived gay men as more </w:t>
      </w:r>
      <w:proofErr w:type="gramStart"/>
      <w:r>
        <w:t>similar to</w:t>
      </w:r>
      <w:proofErr w:type="gramEnd"/>
      <w:r>
        <w:t xml:space="preserve"> themselves in the biological similarities condition (</w:t>
      </w:r>
      <w:r w:rsidRPr="000F297B">
        <w:rPr>
          <w:i/>
        </w:rPr>
        <w:t>M</w:t>
      </w:r>
      <w:r w:rsidRPr="000F297B">
        <w:t xml:space="preserve"> = </w:t>
      </w:r>
      <w:r>
        <w:t>4.31</w:t>
      </w:r>
      <w:r w:rsidRPr="000F297B">
        <w:t xml:space="preserve">, </w:t>
      </w:r>
      <w:r w:rsidRPr="000F297B">
        <w:rPr>
          <w:i/>
        </w:rPr>
        <w:t>SD</w:t>
      </w:r>
      <w:r w:rsidRPr="000F297B">
        <w:t xml:space="preserve"> = 1.7</w:t>
      </w:r>
      <w:r>
        <w:t>2) than in the biological differences condition (</w:t>
      </w:r>
      <w:r w:rsidRPr="000F297B">
        <w:rPr>
          <w:i/>
        </w:rPr>
        <w:t>M</w:t>
      </w:r>
      <w:r w:rsidRPr="000F297B">
        <w:t xml:space="preserve"> = </w:t>
      </w:r>
      <w:r>
        <w:t>3.75</w:t>
      </w:r>
      <w:r w:rsidRPr="000F297B">
        <w:t xml:space="preserve">, </w:t>
      </w:r>
      <w:r w:rsidRPr="000F297B">
        <w:rPr>
          <w:i/>
        </w:rPr>
        <w:t>SD</w:t>
      </w:r>
      <w:r w:rsidRPr="000F297B">
        <w:t xml:space="preserve"> = 1.7</w:t>
      </w:r>
      <w:r>
        <w:t xml:space="preserve">6). </w:t>
      </w:r>
      <w:r w:rsidRPr="000F297B">
        <w:t xml:space="preserve">Moreover, the interaction was also significant, </w:t>
      </w:r>
      <w:proofErr w:type="gramStart"/>
      <w:r w:rsidRPr="000F297B">
        <w:rPr>
          <w:i/>
        </w:rPr>
        <w:t>F</w:t>
      </w:r>
      <w:r w:rsidRPr="000F297B">
        <w:t>(</w:t>
      </w:r>
      <w:proofErr w:type="gramEnd"/>
      <w:r w:rsidRPr="000F297B">
        <w:t xml:space="preserve">1,114) = </w:t>
      </w:r>
      <w:r>
        <w:t>8.84</w:t>
      </w:r>
      <w:r w:rsidRPr="000F297B">
        <w:t xml:space="preserve">, </w:t>
      </w:r>
      <w:r w:rsidRPr="000F297B">
        <w:rPr>
          <w:i/>
        </w:rPr>
        <w:t>p</w:t>
      </w:r>
      <w:r w:rsidRPr="000F297B">
        <w:t xml:space="preserve"> = .00</w:t>
      </w:r>
      <w:r>
        <w:t>4</w:t>
      </w:r>
      <w:r w:rsidRPr="000F297B">
        <w:t>, η</w:t>
      </w:r>
      <w:r w:rsidRPr="000F297B">
        <w:rPr>
          <w:vertAlign w:val="subscript"/>
        </w:rPr>
        <w:t>p</w:t>
      </w:r>
      <w:r w:rsidRPr="000F297B">
        <w:rPr>
          <w:vertAlign w:val="superscript"/>
        </w:rPr>
        <w:t>2</w:t>
      </w:r>
      <w:r w:rsidRPr="000F297B">
        <w:t xml:space="preserve"> = .0</w:t>
      </w:r>
      <w:r>
        <w:t>72</w:t>
      </w:r>
      <w:r w:rsidRPr="000F297B">
        <w:rPr>
          <w:rStyle w:val="hps"/>
          <w:b/>
        </w:rPr>
        <w:t xml:space="preserve"> </w:t>
      </w:r>
      <w:r w:rsidRPr="000F297B">
        <w:t xml:space="preserve">(see Figure </w:t>
      </w:r>
      <w:r>
        <w:t>2</w:t>
      </w:r>
      <w:r w:rsidRPr="000F297B">
        <w:t>). When religio</w:t>
      </w:r>
      <w:r>
        <w:t>sity was</w:t>
      </w:r>
      <w:r w:rsidRPr="000F297B">
        <w:t xml:space="preserve"> low (-1</w:t>
      </w:r>
      <w:r w:rsidRPr="000F297B">
        <w:rPr>
          <w:i/>
          <w:iCs/>
        </w:rPr>
        <w:t>SD</w:t>
      </w:r>
      <w:r w:rsidRPr="000F297B">
        <w:t xml:space="preserve">), the experimental manipulation did not influence </w:t>
      </w:r>
      <w:r>
        <w:t>perceived similarity,</w:t>
      </w:r>
      <w:r w:rsidRPr="000F297B">
        <w:t xml:space="preserve"> </w:t>
      </w:r>
      <w:proofErr w:type="gramStart"/>
      <w:r w:rsidRPr="000F297B">
        <w:rPr>
          <w:i/>
        </w:rPr>
        <w:t>t</w:t>
      </w:r>
      <w:r w:rsidRPr="000F297B">
        <w:t>(</w:t>
      </w:r>
      <w:proofErr w:type="gramEnd"/>
      <w:r w:rsidRPr="000F297B">
        <w:t xml:space="preserve">114) = </w:t>
      </w:r>
      <w:r>
        <w:t>0.61</w:t>
      </w:r>
      <w:r w:rsidRPr="000F297B">
        <w:t xml:space="preserve">, </w:t>
      </w:r>
      <w:r w:rsidRPr="000F297B">
        <w:rPr>
          <w:i/>
        </w:rPr>
        <w:t>p</w:t>
      </w:r>
      <w:r w:rsidRPr="000F297B">
        <w:t xml:space="preserve"> = .</w:t>
      </w:r>
      <w:r>
        <w:t>538</w:t>
      </w:r>
      <w:r w:rsidRPr="000F297B">
        <w:t>, η</w:t>
      </w:r>
      <w:r w:rsidRPr="000F297B">
        <w:rPr>
          <w:vertAlign w:val="superscript"/>
        </w:rPr>
        <w:t>2</w:t>
      </w:r>
      <w:r w:rsidRPr="000F297B">
        <w:rPr>
          <w:vertAlign w:val="subscript"/>
        </w:rPr>
        <w:t>p</w:t>
      </w:r>
      <w:r w:rsidRPr="000F297B">
        <w:t xml:space="preserve"> = .0</w:t>
      </w:r>
      <w:r>
        <w:t>03.</w:t>
      </w:r>
      <w:r w:rsidRPr="000F297B">
        <w:t xml:space="preserve"> However, when religio</w:t>
      </w:r>
      <w:r>
        <w:t xml:space="preserve">sity was </w:t>
      </w:r>
      <w:r w:rsidRPr="000F297B">
        <w:t>high (+1</w:t>
      </w:r>
      <w:r w:rsidRPr="000F297B">
        <w:rPr>
          <w:i/>
          <w:iCs/>
        </w:rPr>
        <w:t>SD</w:t>
      </w:r>
      <w:r w:rsidRPr="000F297B">
        <w:t xml:space="preserve">), </w:t>
      </w:r>
      <w:r>
        <w:t>perceived similarity was</w:t>
      </w:r>
      <w:r w:rsidRPr="000F297B">
        <w:t xml:space="preserve"> </w:t>
      </w:r>
      <w:r>
        <w:t>lower</w:t>
      </w:r>
      <w:r w:rsidRPr="000F297B">
        <w:t xml:space="preserve"> in the biological differences condition than in the biological similarities condition, </w:t>
      </w:r>
      <w:proofErr w:type="gramStart"/>
      <w:r w:rsidRPr="000F297B">
        <w:rPr>
          <w:i/>
        </w:rPr>
        <w:t>t</w:t>
      </w:r>
      <w:r w:rsidRPr="000F297B">
        <w:t>(</w:t>
      </w:r>
      <w:proofErr w:type="gramEnd"/>
      <w:r w:rsidRPr="000F297B">
        <w:t xml:space="preserve">114) = </w:t>
      </w:r>
      <w:r>
        <w:t>3.58</w:t>
      </w:r>
      <w:r w:rsidRPr="000F297B">
        <w:t xml:space="preserve">, </w:t>
      </w:r>
      <w:r w:rsidRPr="000F297B">
        <w:rPr>
          <w:i/>
        </w:rPr>
        <w:t>p</w:t>
      </w:r>
      <w:r w:rsidRPr="000F297B">
        <w:t xml:space="preserve"> = .00</w:t>
      </w:r>
      <w:r>
        <w:t>1</w:t>
      </w:r>
      <w:r w:rsidRPr="000F297B">
        <w:t>, η</w:t>
      </w:r>
      <w:r w:rsidRPr="000F297B">
        <w:rPr>
          <w:vertAlign w:val="superscript"/>
        </w:rPr>
        <w:t>2</w:t>
      </w:r>
      <w:r w:rsidRPr="000F297B">
        <w:rPr>
          <w:vertAlign w:val="subscript"/>
        </w:rPr>
        <w:t>p</w:t>
      </w:r>
      <w:r w:rsidRPr="000F297B">
        <w:t xml:space="preserve"> = .</w:t>
      </w:r>
      <w:r>
        <w:t>101</w:t>
      </w:r>
      <w:r w:rsidRPr="000F297B">
        <w:t>.</w:t>
      </w:r>
      <w:r>
        <w:t xml:space="preserve"> </w:t>
      </w:r>
      <w:r w:rsidRPr="000F297B">
        <w:t>Religio</w:t>
      </w:r>
      <w:r>
        <w:t>sity</w:t>
      </w:r>
      <w:r w:rsidRPr="000F297B">
        <w:t xml:space="preserve"> </w:t>
      </w:r>
      <w:r>
        <w:t>was associated to a lower</w:t>
      </w:r>
      <w:r w:rsidRPr="000F297B">
        <w:t xml:space="preserve"> </w:t>
      </w:r>
      <w:r>
        <w:t xml:space="preserve">perceived similarity </w:t>
      </w:r>
      <w:r w:rsidRPr="000F297B">
        <w:t>in the biological differences condition (</w:t>
      </w:r>
      <w:r w:rsidRPr="000F297B">
        <w:rPr>
          <w:i/>
        </w:rPr>
        <w:t>B</w:t>
      </w:r>
      <w:r w:rsidRPr="000F297B">
        <w:t xml:space="preserve"> = </w:t>
      </w:r>
      <w:r>
        <w:t>-</w:t>
      </w:r>
      <w:r w:rsidRPr="000F297B">
        <w:t>.</w:t>
      </w:r>
      <w:r>
        <w:t xml:space="preserve">73, </w:t>
      </w:r>
      <w:r w:rsidRPr="00235917">
        <w:rPr>
          <w:i/>
          <w:iCs/>
        </w:rPr>
        <w:t>SE</w:t>
      </w:r>
      <w:r>
        <w:t xml:space="preserve"> </w:t>
      </w:r>
      <w:r>
        <w:lastRenderedPageBreak/>
        <w:t>= .74</w:t>
      </w:r>
      <w:r w:rsidRPr="000F297B">
        <w:t xml:space="preserve">), </w:t>
      </w:r>
      <w:proofErr w:type="gramStart"/>
      <w:r w:rsidRPr="000F297B">
        <w:rPr>
          <w:i/>
        </w:rPr>
        <w:t>t</w:t>
      </w:r>
      <w:r w:rsidRPr="000F297B">
        <w:t>(</w:t>
      </w:r>
      <w:proofErr w:type="gramEnd"/>
      <w:r w:rsidRPr="000F297B">
        <w:t>114) = 3.</w:t>
      </w:r>
      <w:r>
        <w:t>05</w:t>
      </w:r>
      <w:r w:rsidRPr="000F297B">
        <w:t xml:space="preserve">, </w:t>
      </w:r>
      <w:r w:rsidRPr="000F297B">
        <w:rPr>
          <w:i/>
        </w:rPr>
        <w:t>p</w:t>
      </w:r>
      <w:r w:rsidRPr="000F297B">
        <w:t xml:space="preserve"> </w:t>
      </w:r>
      <w:r>
        <w:t>=</w:t>
      </w:r>
      <w:r w:rsidRPr="000F297B">
        <w:t xml:space="preserve"> .00</w:t>
      </w:r>
      <w:r>
        <w:t>3</w:t>
      </w:r>
      <w:r w:rsidRPr="000F297B">
        <w:t>, η</w:t>
      </w:r>
      <w:r w:rsidRPr="000F297B">
        <w:rPr>
          <w:vertAlign w:val="superscript"/>
        </w:rPr>
        <w:t>2</w:t>
      </w:r>
      <w:r w:rsidRPr="000F297B">
        <w:rPr>
          <w:vertAlign w:val="subscript"/>
        </w:rPr>
        <w:t>p</w:t>
      </w:r>
      <w:r w:rsidRPr="000F297B">
        <w:t xml:space="preserve"> = .</w:t>
      </w:r>
      <w:r>
        <w:t>076</w:t>
      </w:r>
      <w:r w:rsidRPr="000F297B">
        <w:t xml:space="preserve">, but </w:t>
      </w:r>
      <w:r>
        <w:t xml:space="preserve">this effect was not significant </w:t>
      </w:r>
      <w:r w:rsidRPr="000F297B">
        <w:t>in the biological similarities condition (</w:t>
      </w:r>
      <w:r w:rsidRPr="000F297B">
        <w:rPr>
          <w:i/>
        </w:rPr>
        <w:t>B</w:t>
      </w:r>
      <w:r w:rsidRPr="000F297B">
        <w:t xml:space="preserve"> = </w:t>
      </w:r>
      <w:r>
        <w:t xml:space="preserve">.19, </w:t>
      </w:r>
      <w:r w:rsidRPr="008851C6">
        <w:rPr>
          <w:i/>
          <w:iCs/>
        </w:rPr>
        <w:t>SE</w:t>
      </w:r>
      <w:r>
        <w:t xml:space="preserve"> = .20</w:t>
      </w:r>
      <w:r w:rsidRPr="000F297B">
        <w:t xml:space="preserve">), </w:t>
      </w:r>
      <w:r w:rsidRPr="000F297B">
        <w:rPr>
          <w:i/>
        </w:rPr>
        <w:t>t</w:t>
      </w:r>
      <w:r w:rsidRPr="000F297B">
        <w:t>(114) = 0.</w:t>
      </w:r>
      <w:r>
        <w:t>97</w:t>
      </w:r>
      <w:r w:rsidRPr="000F297B">
        <w:t xml:space="preserve">, </w:t>
      </w:r>
      <w:r w:rsidRPr="000F297B">
        <w:rPr>
          <w:i/>
        </w:rPr>
        <w:t>p</w:t>
      </w:r>
      <w:r w:rsidRPr="000F297B">
        <w:t xml:space="preserve"> = </w:t>
      </w:r>
      <w:r>
        <w:t>.333</w:t>
      </w:r>
      <w:r w:rsidRPr="000F297B">
        <w:t>, η</w:t>
      </w:r>
      <w:r w:rsidRPr="000F297B">
        <w:rPr>
          <w:vertAlign w:val="superscript"/>
        </w:rPr>
        <w:t>2</w:t>
      </w:r>
      <w:r w:rsidRPr="000F297B">
        <w:rPr>
          <w:vertAlign w:val="subscript"/>
        </w:rPr>
        <w:t>p</w:t>
      </w:r>
      <w:r w:rsidRPr="000F297B">
        <w:t xml:space="preserve"> = .</w:t>
      </w:r>
      <w:r>
        <w:t>008</w:t>
      </w:r>
      <w:r w:rsidRPr="000F297B">
        <w:t xml:space="preserve">. </w:t>
      </w:r>
    </w:p>
    <w:p w14:paraId="58D56EB4" w14:textId="42AA22B9" w:rsidR="00E178F8" w:rsidRDefault="00EE4CCD" w:rsidP="00442C42">
      <w:pPr>
        <w:pStyle w:val="Stylepardfaut"/>
        <w:spacing w:line="480" w:lineRule="auto"/>
        <w:ind w:firstLine="709"/>
        <w:rPr>
          <w:lang w:eastAsia="ko-KR"/>
        </w:rPr>
      </w:pPr>
      <w:r>
        <w:t xml:space="preserve">In sum, </w:t>
      </w:r>
      <w:r w:rsidRPr="001F5A05">
        <w:t xml:space="preserve">the results </w:t>
      </w:r>
      <w:r>
        <w:t>regarding the complementary measures assessing perceived interpersonal and intergroup differences also provided evidence in support of the main hypothesis. Across three differentiation measures, participants with stronger religiosity interpreted the evidence supporting the BTSO as indicative of fundamental differences between heterosexual and gay men</w:t>
      </w:r>
      <w:r w:rsidRPr="001F5A05">
        <w:t>.</w:t>
      </w:r>
      <w:r>
        <w:t xml:space="preserve"> </w:t>
      </w:r>
    </w:p>
    <w:p w14:paraId="2F34EE3A" w14:textId="77777777" w:rsidR="00EC2399" w:rsidRDefault="00EC2399" w:rsidP="00355C15">
      <w:pPr>
        <w:pStyle w:val="Stylepardfaut"/>
        <w:spacing w:line="480" w:lineRule="auto"/>
        <w:ind w:firstLine="709"/>
      </w:pPr>
    </w:p>
    <w:p w14:paraId="75B80022" w14:textId="677E97E3" w:rsidR="003937C0" w:rsidRPr="003937C0" w:rsidRDefault="00291A30" w:rsidP="003937C0">
      <w:pPr>
        <w:pStyle w:val="Stylepardfaut"/>
        <w:spacing w:line="480" w:lineRule="auto"/>
        <w:rPr>
          <w:b/>
          <w:bCs/>
        </w:rPr>
      </w:pPr>
      <w:r w:rsidRPr="00291A30">
        <w:rPr>
          <w:b/>
          <w:bCs/>
        </w:rPr>
        <w:t>STUDY 2</w:t>
      </w:r>
    </w:p>
    <w:p w14:paraId="35B0FC0D" w14:textId="4F994571" w:rsidR="00F30111" w:rsidRDefault="0075216D" w:rsidP="00076F51">
      <w:pPr>
        <w:spacing w:line="480" w:lineRule="auto"/>
        <w:ind w:firstLine="709"/>
      </w:pPr>
      <w:r w:rsidRPr="00355C15">
        <w:rPr>
          <w:b/>
          <w:bCs/>
        </w:rPr>
        <w:t>Dependent variables</w:t>
      </w:r>
      <w:r>
        <w:t xml:space="preserve">. </w:t>
      </w:r>
      <w:r w:rsidR="00076F51" w:rsidRPr="00BB42E5">
        <w:t xml:space="preserve">In addition of the </w:t>
      </w:r>
      <w:r w:rsidR="00A40705">
        <w:t>materials</w:t>
      </w:r>
      <w:r w:rsidR="00076F51" w:rsidRPr="00BB42E5">
        <w:t xml:space="preserve"> described in the main document, Study 2 also included </w:t>
      </w:r>
      <w:r w:rsidR="00517841">
        <w:t xml:space="preserve">three </w:t>
      </w:r>
      <w:r w:rsidR="00F30111">
        <w:t>additional measures</w:t>
      </w:r>
      <w:r w:rsidR="00B03419">
        <w:t xml:space="preserve"> for exploratory purposes</w:t>
      </w:r>
      <w:r>
        <w:t>: a measure of morality and two the scales included in Study 1 assessing psychological differentiation</w:t>
      </w:r>
      <w:r w:rsidR="00F30111">
        <w:t xml:space="preserve">. </w:t>
      </w:r>
    </w:p>
    <w:p w14:paraId="123609CB" w14:textId="1B10E4F3" w:rsidR="00F30111" w:rsidRDefault="0019060F" w:rsidP="00076F51">
      <w:pPr>
        <w:spacing w:line="480" w:lineRule="auto"/>
        <w:ind w:firstLine="709"/>
      </w:pPr>
      <w:r w:rsidRPr="00355C15">
        <w:rPr>
          <w:i/>
          <w:iCs/>
        </w:rPr>
        <w:t>Morality</w:t>
      </w:r>
      <w:r>
        <w:t>.</w:t>
      </w:r>
      <w:r w:rsidR="00F30111">
        <w:t xml:space="preserve"> At pre-test, we also included a self-made 3-item measure assessing the </w:t>
      </w:r>
      <w:r w:rsidR="00F30111" w:rsidRPr="00F30111">
        <w:rPr>
          <w:i/>
          <w:iCs/>
        </w:rPr>
        <w:t>degree of morality attributed to homosexuality</w:t>
      </w:r>
      <w:r w:rsidR="00F30111">
        <w:t xml:space="preserve"> (e.g., ‘Compared to my personal values, homosexuality is immoral’).</w:t>
      </w:r>
      <w:r w:rsidR="00D66DFD">
        <w:t xml:space="preserve"> This measure was included for exploratory purposes in order to examine whether religiosity was related to the morality attributed to homosexuality, and whether religiosity moderates the effect of exposure to BTSO evidence over and above participants’ perceived morality. However, it is worth noting that measures of sexual prejudice actually include items related to the perceived morality of homosexuality and sexual minorities as indicators or individuals’ attitudes towards them. Since our 3-item scale focused on homosexuality, it was not an appropriate measure to examine the specific contribution of religiosity and morality in the investigated processes, and future research should use a measure of morality that is not related to homosexuality. Therefore, for simplicity and length issues, we decided not to describe this measure in the main document. </w:t>
      </w:r>
    </w:p>
    <w:p w14:paraId="77597230" w14:textId="77777777" w:rsidR="0075216D" w:rsidRDefault="0075216D" w:rsidP="00517841">
      <w:pPr>
        <w:pStyle w:val="Stylepardfaut"/>
        <w:spacing w:line="480" w:lineRule="auto"/>
        <w:ind w:firstLine="709"/>
      </w:pPr>
      <w:r w:rsidRPr="00590E44">
        <w:rPr>
          <w:i/>
          <w:iCs/>
        </w:rPr>
        <w:lastRenderedPageBreak/>
        <w:t>Perceived intergroup differences</w:t>
      </w:r>
      <w:r>
        <w:rPr>
          <w:i/>
          <w:iCs/>
        </w:rPr>
        <w:t xml:space="preserve">. </w:t>
      </w:r>
      <w:r>
        <w:t>W</w:t>
      </w:r>
      <w:r w:rsidR="00517841">
        <w:t>e used the same 3 items used in Study 1 and added two additional ones (</w:t>
      </w:r>
      <w:r w:rsidR="00517841" w:rsidRPr="000F297B">
        <w:t>‘Heterosexual and gay people are essentially different’ and ‘Heterosexual and gay people are psychologically different’</w:t>
      </w:r>
      <w:r w:rsidR="00517841">
        <w:t xml:space="preserve">) to obtain </w:t>
      </w:r>
      <w:r w:rsidR="00517841" w:rsidRPr="000F297B">
        <w:t>a 5-item scale</w:t>
      </w:r>
      <w:r w:rsidR="00517841">
        <w:t>: (</w:t>
      </w:r>
      <w:r w:rsidR="00517841" w:rsidRPr="000F297B">
        <w:rPr>
          <w:i/>
          <w:iCs/>
        </w:rPr>
        <w:t>M</w:t>
      </w:r>
      <w:r w:rsidR="00517841" w:rsidRPr="000F297B">
        <w:t xml:space="preserve"> = 2.92, </w:t>
      </w:r>
      <w:r w:rsidR="00517841" w:rsidRPr="000F297B">
        <w:rPr>
          <w:i/>
          <w:iCs/>
        </w:rPr>
        <w:t>SD</w:t>
      </w:r>
      <w:r w:rsidR="00517841" w:rsidRPr="000F297B">
        <w:t xml:space="preserve"> = 1.55</w:t>
      </w:r>
      <w:r w:rsidR="00517841">
        <w:t xml:space="preserve">, </w:t>
      </w:r>
      <w:r w:rsidR="00517841" w:rsidRPr="000F297B">
        <w:t>α = .87)</w:t>
      </w:r>
      <w:r w:rsidR="00517841">
        <w:t xml:space="preserve">. </w:t>
      </w:r>
    </w:p>
    <w:p w14:paraId="69310F3B" w14:textId="77777777" w:rsidR="008D3A18" w:rsidRDefault="008D3A18" w:rsidP="00517841">
      <w:pPr>
        <w:pStyle w:val="Stylepardfaut"/>
        <w:spacing w:line="480" w:lineRule="auto"/>
        <w:ind w:firstLine="709"/>
      </w:pPr>
    </w:p>
    <w:p w14:paraId="78F049D6" w14:textId="086CA752" w:rsidR="008D3A18" w:rsidRPr="008D3A18" w:rsidRDefault="008D3A18" w:rsidP="008D3A18">
      <w:pPr>
        <w:autoSpaceDE w:val="0"/>
        <w:autoSpaceDN w:val="0"/>
        <w:adjustRightInd w:val="0"/>
        <w:spacing w:line="400" w:lineRule="atLeast"/>
        <w:rPr>
          <w:b/>
          <w:bCs/>
        </w:rPr>
      </w:pPr>
      <w:r w:rsidRPr="008D3A18">
        <w:rPr>
          <w:b/>
          <w:bCs/>
        </w:rPr>
        <w:t>Table 2. Correlations between variables (N= 280; Study 2).</w:t>
      </w:r>
    </w:p>
    <w:p w14:paraId="354D887C" w14:textId="77777777" w:rsidR="008D3A18" w:rsidRPr="007F7C5B" w:rsidRDefault="008D3A18" w:rsidP="008D3A18">
      <w:pPr>
        <w:autoSpaceDE w:val="0"/>
        <w:autoSpaceDN w:val="0"/>
        <w:adjustRightInd w:val="0"/>
      </w:pPr>
    </w:p>
    <w:tbl>
      <w:tblPr>
        <w:tblW w:w="8789"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4253"/>
        <w:gridCol w:w="850"/>
        <w:gridCol w:w="709"/>
        <w:gridCol w:w="709"/>
        <w:gridCol w:w="709"/>
        <w:gridCol w:w="708"/>
        <w:gridCol w:w="851"/>
      </w:tblGrid>
      <w:tr w:rsidR="003F1054" w:rsidRPr="00147277" w14:paraId="527EEE04" w14:textId="77777777" w:rsidTr="006D43CB">
        <w:trPr>
          <w:cantSplit/>
        </w:trPr>
        <w:tc>
          <w:tcPr>
            <w:tcW w:w="4253" w:type="dxa"/>
            <w:shd w:val="clear" w:color="auto" w:fill="auto"/>
            <w:vAlign w:val="bottom"/>
          </w:tcPr>
          <w:p w14:paraId="7A79CCB1" w14:textId="77777777" w:rsidR="003F1054" w:rsidRPr="00147277" w:rsidRDefault="003F1054" w:rsidP="003F1054">
            <w:pPr>
              <w:autoSpaceDE w:val="0"/>
              <w:autoSpaceDN w:val="0"/>
              <w:adjustRightInd w:val="0"/>
              <w:rPr>
                <w:color w:val="000000" w:themeColor="text1"/>
                <w:sz w:val="20"/>
                <w:szCs w:val="20"/>
              </w:rPr>
            </w:pPr>
          </w:p>
        </w:tc>
        <w:tc>
          <w:tcPr>
            <w:tcW w:w="850" w:type="dxa"/>
            <w:shd w:val="clear" w:color="auto" w:fill="auto"/>
            <w:vAlign w:val="bottom"/>
          </w:tcPr>
          <w:p w14:paraId="2DAEA5BA" w14:textId="36B31066" w:rsidR="003F1054" w:rsidRPr="007F7C5B" w:rsidRDefault="003F1054" w:rsidP="003F1054">
            <w:pPr>
              <w:autoSpaceDE w:val="0"/>
              <w:autoSpaceDN w:val="0"/>
              <w:adjustRightInd w:val="0"/>
              <w:spacing w:line="320" w:lineRule="atLeast"/>
              <w:ind w:left="60" w:right="60"/>
              <w:jc w:val="center"/>
              <w:rPr>
                <w:color w:val="000000" w:themeColor="text1"/>
                <w:sz w:val="20"/>
                <w:szCs w:val="20"/>
              </w:rPr>
            </w:pPr>
            <w:r>
              <w:rPr>
                <w:color w:val="000000" w:themeColor="text1"/>
                <w:sz w:val="20"/>
                <w:szCs w:val="20"/>
              </w:rPr>
              <w:t xml:space="preserve">    </w:t>
            </w:r>
            <w:r w:rsidRPr="00147277">
              <w:rPr>
                <w:color w:val="000000" w:themeColor="text1"/>
                <w:sz w:val="20"/>
                <w:szCs w:val="20"/>
              </w:rPr>
              <w:t>PATH</w:t>
            </w:r>
          </w:p>
        </w:tc>
        <w:tc>
          <w:tcPr>
            <w:tcW w:w="709" w:type="dxa"/>
            <w:shd w:val="clear" w:color="auto" w:fill="auto"/>
            <w:vAlign w:val="bottom"/>
          </w:tcPr>
          <w:p w14:paraId="20189B20" w14:textId="0E88E33D" w:rsidR="003F1054" w:rsidRPr="007F7C5B" w:rsidRDefault="003F1054" w:rsidP="003F1054">
            <w:pPr>
              <w:autoSpaceDE w:val="0"/>
              <w:autoSpaceDN w:val="0"/>
              <w:adjustRightInd w:val="0"/>
              <w:spacing w:line="320" w:lineRule="atLeast"/>
              <w:ind w:left="60" w:right="60"/>
              <w:jc w:val="center"/>
              <w:rPr>
                <w:color w:val="000000" w:themeColor="text1"/>
                <w:sz w:val="20"/>
                <w:szCs w:val="20"/>
              </w:rPr>
            </w:pPr>
            <w:r>
              <w:rPr>
                <w:color w:val="000000" w:themeColor="text1"/>
                <w:sz w:val="20"/>
                <w:szCs w:val="20"/>
              </w:rPr>
              <w:t xml:space="preserve">   </w:t>
            </w:r>
            <w:r w:rsidRPr="00147277">
              <w:rPr>
                <w:color w:val="000000" w:themeColor="text1"/>
                <w:sz w:val="20"/>
                <w:szCs w:val="20"/>
              </w:rPr>
              <w:t>PBA</w:t>
            </w:r>
          </w:p>
        </w:tc>
        <w:tc>
          <w:tcPr>
            <w:tcW w:w="709" w:type="dxa"/>
            <w:shd w:val="clear" w:color="auto" w:fill="auto"/>
            <w:vAlign w:val="bottom"/>
          </w:tcPr>
          <w:p w14:paraId="6B03EA32" w14:textId="77777777" w:rsidR="003F1054" w:rsidRPr="007F7C5B" w:rsidRDefault="003F1054" w:rsidP="00174D9F">
            <w:pPr>
              <w:autoSpaceDE w:val="0"/>
              <w:autoSpaceDN w:val="0"/>
              <w:adjustRightInd w:val="0"/>
              <w:spacing w:line="320" w:lineRule="atLeast"/>
              <w:rPr>
                <w:color w:val="000000" w:themeColor="text1"/>
                <w:sz w:val="20"/>
                <w:szCs w:val="20"/>
              </w:rPr>
            </w:pPr>
            <w:r>
              <w:rPr>
                <w:color w:val="000000" w:themeColor="text1"/>
                <w:sz w:val="20"/>
                <w:szCs w:val="20"/>
              </w:rPr>
              <w:t xml:space="preserve">     </w:t>
            </w:r>
            <w:r w:rsidRPr="00147277">
              <w:rPr>
                <w:color w:val="000000" w:themeColor="text1"/>
                <w:sz w:val="20"/>
                <w:szCs w:val="20"/>
              </w:rPr>
              <w:t>PC</w:t>
            </w:r>
          </w:p>
        </w:tc>
        <w:tc>
          <w:tcPr>
            <w:tcW w:w="709" w:type="dxa"/>
            <w:shd w:val="clear" w:color="auto" w:fill="auto"/>
            <w:vAlign w:val="bottom"/>
          </w:tcPr>
          <w:p w14:paraId="103C7CA0" w14:textId="050CE088" w:rsidR="003F1054" w:rsidRPr="007F7C5B" w:rsidRDefault="003F1054" w:rsidP="003F1054">
            <w:pPr>
              <w:autoSpaceDE w:val="0"/>
              <w:autoSpaceDN w:val="0"/>
              <w:adjustRightInd w:val="0"/>
              <w:spacing w:line="320" w:lineRule="atLeast"/>
              <w:ind w:left="60" w:right="60"/>
              <w:jc w:val="center"/>
              <w:rPr>
                <w:color w:val="000000" w:themeColor="text1"/>
                <w:sz w:val="20"/>
                <w:szCs w:val="20"/>
              </w:rPr>
            </w:pPr>
            <w:r>
              <w:rPr>
                <w:color w:val="000000" w:themeColor="text1"/>
                <w:sz w:val="20"/>
                <w:szCs w:val="20"/>
              </w:rPr>
              <w:t xml:space="preserve">  </w:t>
            </w:r>
            <w:r w:rsidRPr="00147277">
              <w:rPr>
                <w:color w:val="000000" w:themeColor="text1"/>
                <w:sz w:val="20"/>
                <w:szCs w:val="20"/>
              </w:rPr>
              <w:t>PIGD</w:t>
            </w:r>
          </w:p>
        </w:tc>
        <w:tc>
          <w:tcPr>
            <w:tcW w:w="708" w:type="dxa"/>
            <w:vAlign w:val="bottom"/>
          </w:tcPr>
          <w:p w14:paraId="0251ED03" w14:textId="47FF1755" w:rsidR="003F1054" w:rsidRDefault="003F1054" w:rsidP="00070778">
            <w:pPr>
              <w:autoSpaceDE w:val="0"/>
              <w:autoSpaceDN w:val="0"/>
              <w:adjustRightInd w:val="0"/>
              <w:spacing w:line="320" w:lineRule="atLeast"/>
              <w:ind w:right="60"/>
              <w:rPr>
                <w:color w:val="000000" w:themeColor="text1"/>
                <w:sz w:val="20"/>
                <w:szCs w:val="20"/>
              </w:rPr>
            </w:pPr>
            <w:r>
              <w:rPr>
                <w:color w:val="000000" w:themeColor="text1"/>
                <w:sz w:val="20"/>
                <w:szCs w:val="20"/>
              </w:rPr>
              <w:t xml:space="preserve">    </w:t>
            </w:r>
            <w:r w:rsidRPr="00147277">
              <w:rPr>
                <w:color w:val="000000" w:themeColor="text1"/>
                <w:sz w:val="20"/>
                <w:szCs w:val="20"/>
              </w:rPr>
              <w:t>PIPS</w:t>
            </w:r>
          </w:p>
        </w:tc>
        <w:tc>
          <w:tcPr>
            <w:tcW w:w="851" w:type="dxa"/>
            <w:shd w:val="clear" w:color="auto" w:fill="auto"/>
            <w:vAlign w:val="bottom"/>
          </w:tcPr>
          <w:p w14:paraId="7B85AE5C" w14:textId="3F542653" w:rsidR="003F1054" w:rsidRPr="007F7C5B" w:rsidRDefault="003F1054" w:rsidP="00174D9F">
            <w:pPr>
              <w:autoSpaceDE w:val="0"/>
              <w:autoSpaceDN w:val="0"/>
              <w:adjustRightInd w:val="0"/>
              <w:spacing w:line="320" w:lineRule="atLeast"/>
              <w:ind w:right="62"/>
              <w:rPr>
                <w:color w:val="000000" w:themeColor="text1"/>
                <w:sz w:val="20"/>
                <w:szCs w:val="20"/>
              </w:rPr>
            </w:pPr>
            <w:r>
              <w:rPr>
                <w:color w:val="000000" w:themeColor="text1"/>
                <w:sz w:val="20"/>
                <w:szCs w:val="20"/>
              </w:rPr>
              <w:t xml:space="preserve">     RDH</w:t>
            </w:r>
          </w:p>
        </w:tc>
      </w:tr>
      <w:tr w:rsidR="003F1054" w:rsidRPr="00147277" w14:paraId="5B2618CE" w14:textId="77777777" w:rsidTr="006D43CB">
        <w:trPr>
          <w:cantSplit/>
        </w:trPr>
        <w:tc>
          <w:tcPr>
            <w:tcW w:w="4253" w:type="dxa"/>
            <w:shd w:val="clear" w:color="auto" w:fill="auto"/>
          </w:tcPr>
          <w:p w14:paraId="6A7DED30" w14:textId="77777777" w:rsidR="003F1054" w:rsidRPr="007F7C5B" w:rsidRDefault="003F1054" w:rsidP="003F1054">
            <w:pPr>
              <w:autoSpaceDE w:val="0"/>
              <w:autoSpaceDN w:val="0"/>
              <w:adjustRightInd w:val="0"/>
              <w:spacing w:line="320" w:lineRule="atLeast"/>
              <w:ind w:left="60" w:right="60"/>
              <w:rPr>
                <w:color w:val="000000" w:themeColor="text1"/>
                <w:sz w:val="20"/>
                <w:szCs w:val="20"/>
              </w:rPr>
            </w:pPr>
            <w:r w:rsidRPr="00147277">
              <w:rPr>
                <w:color w:val="000000" w:themeColor="text1"/>
                <w:sz w:val="20"/>
                <w:szCs w:val="20"/>
              </w:rPr>
              <w:t>Religiosity</w:t>
            </w:r>
          </w:p>
        </w:tc>
        <w:tc>
          <w:tcPr>
            <w:tcW w:w="850" w:type="dxa"/>
            <w:shd w:val="clear" w:color="auto" w:fill="auto"/>
          </w:tcPr>
          <w:p w14:paraId="7C012D31"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r w:rsidRPr="007F7C5B">
              <w:rPr>
                <w:color w:val="000000" w:themeColor="text1"/>
                <w:sz w:val="20"/>
                <w:szCs w:val="20"/>
              </w:rPr>
              <w:t>-.296</w:t>
            </w:r>
            <w:r w:rsidRPr="007F7C5B">
              <w:rPr>
                <w:color w:val="000000" w:themeColor="text1"/>
                <w:sz w:val="20"/>
                <w:szCs w:val="20"/>
                <w:vertAlign w:val="superscript"/>
              </w:rPr>
              <w:t>**</w:t>
            </w:r>
          </w:p>
        </w:tc>
        <w:tc>
          <w:tcPr>
            <w:tcW w:w="709" w:type="dxa"/>
            <w:shd w:val="clear" w:color="auto" w:fill="auto"/>
          </w:tcPr>
          <w:p w14:paraId="542F9A13"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r w:rsidRPr="007F7C5B">
              <w:rPr>
                <w:color w:val="000000" w:themeColor="text1"/>
                <w:sz w:val="20"/>
                <w:szCs w:val="20"/>
              </w:rPr>
              <w:t>.316</w:t>
            </w:r>
            <w:r w:rsidRPr="007F7C5B">
              <w:rPr>
                <w:color w:val="000000" w:themeColor="text1"/>
                <w:sz w:val="20"/>
                <w:szCs w:val="20"/>
                <w:vertAlign w:val="superscript"/>
              </w:rPr>
              <w:t>**</w:t>
            </w:r>
          </w:p>
        </w:tc>
        <w:tc>
          <w:tcPr>
            <w:tcW w:w="709" w:type="dxa"/>
            <w:shd w:val="clear" w:color="auto" w:fill="auto"/>
          </w:tcPr>
          <w:p w14:paraId="4136ACAF"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r w:rsidRPr="007F7C5B">
              <w:rPr>
                <w:color w:val="000000" w:themeColor="text1"/>
                <w:sz w:val="20"/>
                <w:szCs w:val="20"/>
              </w:rPr>
              <w:t>.194</w:t>
            </w:r>
            <w:r w:rsidRPr="007F7C5B">
              <w:rPr>
                <w:color w:val="000000" w:themeColor="text1"/>
                <w:sz w:val="20"/>
                <w:szCs w:val="20"/>
                <w:vertAlign w:val="superscript"/>
              </w:rPr>
              <w:t>**</w:t>
            </w:r>
          </w:p>
        </w:tc>
        <w:tc>
          <w:tcPr>
            <w:tcW w:w="709" w:type="dxa"/>
            <w:shd w:val="clear" w:color="auto" w:fill="auto"/>
          </w:tcPr>
          <w:p w14:paraId="698B90FC" w14:textId="77777777" w:rsidR="003F1054" w:rsidRPr="007F7C5B" w:rsidRDefault="003F1054" w:rsidP="003F1054">
            <w:pPr>
              <w:autoSpaceDE w:val="0"/>
              <w:autoSpaceDN w:val="0"/>
              <w:adjustRightInd w:val="0"/>
              <w:spacing w:line="320" w:lineRule="atLeast"/>
              <w:ind w:left="62" w:right="170"/>
              <w:jc w:val="right"/>
              <w:rPr>
                <w:color w:val="000000" w:themeColor="text1"/>
                <w:sz w:val="20"/>
                <w:szCs w:val="20"/>
              </w:rPr>
            </w:pPr>
            <w:r w:rsidRPr="007F7C5B">
              <w:rPr>
                <w:color w:val="000000" w:themeColor="text1"/>
                <w:sz w:val="20"/>
                <w:szCs w:val="20"/>
              </w:rPr>
              <w:t>.061</w:t>
            </w:r>
          </w:p>
        </w:tc>
        <w:tc>
          <w:tcPr>
            <w:tcW w:w="708" w:type="dxa"/>
          </w:tcPr>
          <w:p w14:paraId="0352556F" w14:textId="70C54F9A" w:rsidR="003F1054" w:rsidRPr="007F7C5B" w:rsidRDefault="003F1054" w:rsidP="003F1054">
            <w:pPr>
              <w:autoSpaceDE w:val="0"/>
              <w:autoSpaceDN w:val="0"/>
              <w:adjustRightInd w:val="0"/>
              <w:spacing w:line="320" w:lineRule="atLeast"/>
              <w:ind w:left="62" w:right="170"/>
              <w:jc w:val="right"/>
              <w:rPr>
                <w:color w:val="000000" w:themeColor="text1"/>
                <w:sz w:val="20"/>
                <w:szCs w:val="20"/>
              </w:rPr>
            </w:pPr>
            <w:r w:rsidRPr="007F7C5B">
              <w:rPr>
                <w:color w:val="000000" w:themeColor="text1"/>
                <w:sz w:val="20"/>
                <w:szCs w:val="20"/>
              </w:rPr>
              <w:t>-.058</w:t>
            </w:r>
          </w:p>
        </w:tc>
        <w:tc>
          <w:tcPr>
            <w:tcW w:w="851" w:type="dxa"/>
            <w:shd w:val="clear" w:color="auto" w:fill="auto"/>
          </w:tcPr>
          <w:p w14:paraId="2A460477" w14:textId="1DF04921" w:rsidR="003F1054" w:rsidRPr="007F7C5B" w:rsidRDefault="003F1054" w:rsidP="006D43CB">
            <w:pPr>
              <w:autoSpaceDE w:val="0"/>
              <w:autoSpaceDN w:val="0"/>
              <w:adjustRightInd w:val="0"/>
              <w:spacing w:line="320" w:lineRule="atLeast"/>
              <w:ind w:left="62" w:right="113"/>
              <w:jc w:val="center"/>
              <w:rPr>
                <w:color w:val="000000" w:themeColor="text1"/>
                <w:sz w:val="20"/>
                <w:szCs w:val="20"/>
              </w:rPr>
            </w:pPr>
            <w:r w:rsidRPr="007F7C5B">
              <w:rPr>
                <w:color w:val="000000" w:themeColor="text1"/>
                <w:sz w:val="20"/>
                <w:szCs w:val="20"/>
              </w:rPr>
              <w:t>-.05</w:t>
            </w:r>
            <w:r w:rsidR="006D43CB">
              <w:rPr>
                <w:color w:val="000000" w:themeColor="text1"/>
                <w:sz w:val="20"/>
                <w:szCs w:val="20"/>
              </w:rPr>
              <w:t>4</w:t>
            </w:r>
          </w:p>
        </w:tc>
      </w:tr>
      <w:tr w:rsidR="006D43CB" w:rsidRPr="00147277" w14:paraId="5882F15D" w14:textId="77777777" w:rsidTr="006D43CB">
        <w:trPr>
          <w:cantSplit/>
        </w:trPr>
        <w:tc>
          <w:tcPr>
            <w:tcW w:w="4253" w:type="dxa"/>
            <w:shd w:val="clear" w:color="auto" w:fill="auto"/>
          </w:tcPr>
          <w:p w14:paraId="5F926CED" w14:textId="77777777" w:rsidR="006D43CB" w:rsidRPr="007F7C5B" w:rsidRDefault="006D43CB" w:rsidP="006D43CB">
            <w:pPr>
              <w:autoSpaceDE w:val="0"/>
              <w:autoSpaceDN w:val="0"/>
              <w:adjustRightInd w:val="0"/>
              <w:spacing w:line="320" w:lineRule="atLeast"/>
              <w:ind w:left="60" w:right="60"/>
              <w:rPr>
                <w:color w:val="000000" w:themeColor="text1"/>
                <w:sz w:val="20"/>
                <w:szCs w:val="20"/>
              </w:rPr>
            </w:pPr>
            <w:r w:rsidRPr="00147277">
              <w:rPr>
                <w:color w:val="000000" w:themeColor="text1"/>
                <w:sz w:val="20"/>
                <w:szCs w:val="20"/>
              </w:rPr>
              <w:t>Positive Attitude Towards Homosexuality (PATH)</w:t>
            </w:r>
          </w:p>
        </w:tc>
        <w:tc>
          <w:tcPr>
            <w:tcW w:w="850" w:type="dxa"/>
            <w:shd w:val="clear" w:color="auto" w:fill="auto"/>
          </w:tcPr>
          <w:p w14:paraId="0F69B4FD" w14:textId="77777777" w:rsidR="006D43CB" w:rsidRPr="007F7C5B" w:rsidRDefault="006D43CB" w:rsidP="006D43CB">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65510F2C" w14:textId="77777777" w:rsidR="006D43CB" w:rsidRPr="007F7C5B" w:rsidRDefault="006D43CB" w:rsidP="006D43CB">
            <w:pPr>
              <w:autoSpaceDE w:val="0"/>
              <w:autoSpaceDN w:val="0"/>
              <w:adjustRightInd w:val="0"/>
              <w:spacing w:line="320" w:lineRule="atLeast"/>
              <w:ind w:left="60" w:right="60"/>
              <w:jc w:val="right"/>
              <w:rPr>
                <w:color w:val="000000" w:themeColor="text1"/>
                <w:sz w:val="20"/>
                <w:szCs w:val="20"/>
              </w:rPr>
            </w:pPr>
            <w:r w:rsidRPr="007F7C5B">
              <w:rPr>
                <w:color w:val="000000" w:themeColor="text1"/>
                <w:sz w:val="20"/>
                <w:szCs w:val="20"/>
              </w:rPr>
              <w:t>-.787</w:t>
            </w:r>
            <w:r w:rsidRPr="007F7C5B">
              <w:rPr>
                <w:color w:val="000000" w:themeColor="text1"/>
                <w:sz w:val="20"/>
                <w:szCs w:val="20"/>
                <w:vertAlign w:val="superscript"/>
              </w:rPr>
              <w:t>**</w:t>
            </w:r>
          </w:p>
        </w:tc>
        <w:tc>
          <w:tcPr>
            <w:tcW w:w="709" w:type="dxa"/>
            <w:shd w:val="clear" w:color="auto" w:fill="auto"/>
          </w:tcPr>
          <w:p w14:paraId="71BFECD7" w14:textId="77777777" w:rsidR="006D43CB" w:rsidRPr="007F7C5B" w:rsidRDefault="006D43CB" w:rsidP="006D43CB">
            <w:pPr>
              <w:autoSpaceDE w:val="0"/>
              <w:autoSpaceDN w:val="0"/>
              <w:adjustRightInd w:val="0"/>
              <w:spacing w:line="320" w:lineRule="atLeast"/>
              <w:ind w:left="60" w:right="60"/>
              <w:jc w:val="right"/>
              <w:rPr>
                <w:color w:val="000000" w:themeColor="text1"/>
                <w:sz w:val="20"/>
                <w:szCs w:val="20"/>
              </w:rPr>
            </w:pPr>
            <w:r w:rsidRPr="007F7C5B">
              <w:rPr>
                <w:color w:val="000000" w:themeColor="text1"/>
                <w:sz w:val="20"/>
                <w:szCs w:val="20"/>
              </w:rPr>
              <w:t>-.432</w:t>
            </w:r>
            <w:r w:rsidRPr="007F7C5B">
              <w:rPr>
                <w:color w:val="000000" w:themeColor="text1"/>
                <w:sz w:val="20"/>
                <w:szCs w:val="20"/>
                <w:vertAlign w:val="superscript"/>
              </w:rPr>
              <w:t>**</w:t>
            </w:r>
          </w:p>
        </w:tc>
        <w:tc>
          <w:tcPr>
            <w:tcW w:w="709" w:type="dxa"/>
            <w:shd w:val="clear" w:color="auto" w:fill="auto"/>
          </w:tcPr>
          <w:p w14:paraId="6AEDD67C" w14:textId="77777777" w:rsidR="006D43CB" w:rsidRPr="007F7C5B" w:rsidRDefault="006D43CB" w:rsidP="006D43CB">
            <w:pPr>
              <w:autoSpaceDE w:val="0"/>
              <w:autoSpaceDN w:val="0"/>
              <w:adjustRightInd w:val="0"/>
              <w:spacing w:line="320" w:lineRule="atLeast"/>
              <w:ind w:left="60" w:right="60"/>
              <w:jc w:val="right"/>
              <w:rPr>
                <w:color w:val="000000" w:themeColor="text1"/>
                <w:sz w:val="20"/>
                <w:szCs w:val="20"/>
              </w:rPr>
            </w:pPr>
            <w:r w:rsidRPr="007F7C5B">
              <w:rPr>
                <w:color w:val="000000" w:themeColor="text1"/>
                <w:sz w:val="20"/>
                <w:szCs w:val="20"/>
              </w:rPr>
              <w:t>-.623</w:t>
            </w:r>
            <w:r w:rsidRPr="007F7C5B">
              <w:rPr>
                <w:color w:val="000000" w:themeColor="text1"/>
                <w:sz w:val="20"/>
                <w:szCs w:val="20"/>
                <w:vertAlign w:val="superscript"/>
              </w:rPr>
              <w:t>**</w:t>
            </w:r>
          </w:p>
        </w:tc>
        <w:tc>
          <w:tcPr>
            <w:tcW w:w="708" w:type="dxa"/>
          </w:tcPr>
          <w:p w14:paraId="1CC08034" w14:textId="5C8BC9FE" w:rsidR="006D43CB" w:rsidRPr="007F7C5B" w:rsidRDefault="006D43CB" w:rsidP="006D43CB">
            <w:pPr>
              <w:autoSpaceDE w:val="0"/>
              <w:autoSpaceDN w:val="0"/>
              <w:adjustRightInd w:val="0"/>
              <w:spacing w:line="320" w:lineRule="atLeast"/>
              <w:ind w:left="60" w:right="60"/>
              <w:jc w:val="right"/>
              <w:rPr>
                <w:color w:val="000000" w:themeColor="text1"/>
                <w:sz w:val="20"/>
                <w:szCs w:val="20"/>
              </w:rPr>
            </w:pPr>
            <w:r w:rsidRPr="007F7C5B">
              <w:rPr>
                <w:color w:val="000000" w:themeColor="text1"/>
                <w:sz w:val="20"/>
                <w:szCs w:val="20"/>
              </w:rPr>
              <w:t>.606</w:t>
            </w:r>
            <w:r w:rsidRPr="007F7C5B">
              <w:rPr>
                <w:color w:val="000000" w:themeColor="text1"/>
                <w:sz w:val="20"/>
                <w:szCs w:val="20"/>
                <w:vertAlign w:val="superscript"/>
              </w:rPr>
              <w:t>**</w:t>
            </w:r>
          </w:p>
        </w:tc>
        <w:tc>
          <w:tcPr>
            <w:tcW w:w="851" w:type="dxa"/>
            <w:shd w:val="clear" w:color="auto" w:fill="auto"/>
          </w:tcPr>
          <w:p w14:paraId="414A3FEB" w14:textId="68426AAE" w:rsidR="006D43CB" w:rsidRPr="007F7C5B" w:rsidRDefault="006D43CB" w:rsidP="006D43CB">
            <w:pPr>
              <w:autoSpaceDE w:val="0"/>
              <w:autoSpaceDN w:val="0"/>
              <w:adjustRightInd w:val="0"/>
              <w:spacing w:line="320" w:lineRule="atLeast"/>
              <w:ind w:left="60" w:right="113"/>
              <w:jc w:val="center"/>
              <w:rPr>
                <w:color w:val="000000" w:themeColor="text1"/>
                <w:sz w:val="20"/>
                <w:szCs w:val="20"/>
              </w:rPr>
            </w:pPr>
            <w:r w:rsidRPr="007F7C5B">
              <w:rPr>
                <w:color w:val="000000" w:themeColor="text1"/>
                <w:sz w:val="20"/>
                <w:szCs w:val="20"/>
              </w:rPr>
              <w:t>-.0</w:t>
            </w:r>
            <w:r>
              <w:rPr>
                <w:color w:val="000000" w:themeColor="text1"/>
                <w:sz w:val="20"/>
                <w:szCs w:val="20"/>
              </w:rPr>
              <w:t>73</w:t>
            </w:r>
          </w:p>
        </w:tc>
      </w:tr>
      <w:tr w:rsidR="003F1054" w:rsidRPr="00147277" w14:paraId="22B734D6" w14:textId="77777777" w:rsidTr="006D43CB">
        <w:trPr>
          <w:cantSplit/>
        </w:trPr>
        <w:tc>
          <w:tcPr>
            <w:tcW w:w="4253" w:type="dxa"/>
            <w:shd w:val="clear" w:color="auto" w:fill="auto"/>
          </w:tcPr>
          <w:p w14:paraId="32725234" w14:textId="77777777" w:rsidR="003F1054" w:rsidRPr="007F7C5B" w:rsidRDefault="003F1054" w:rsidP="003F1054">
            <w:pPr>
              <w:autoSpaceDE w:val="0"/>
              <w:autoSpaceDN w:val="0"/>
              <w:adjustRightInd w:val="0"/>
              <w:spacing w:line="320" w:lineRule="atLeast"/>
              <w:ind w:left="60" w:right="60"/>
              <w:rPr>
                <w:color w:val="000000" w:themeColor="text1"/>
                <w:sz w:val="20"/>
                <w:szCs w:val="20"/>
              </w:rPr>
            </w:pPr>
            <w:r w:rsidRPr="00147277">
              <w:rPr>
                <w:color w:val="000000" w:themeColor="text1"/>
                <w:sz w:val="20"/>
                <w:szCs w:val="20"/>
              </w:rPr>
              <w:t>Perceived Biological Anomaly (PBA)</w:t>
            </w:r>
          </w:p>
        </w:tc>
        <w:tc>
          <w:tcPr>
            <w:tcW w:w="850" w:type="dxa"/>
            <w:shd w:val="clear" w:color="auto" w:fill="auto"/>
          </w:tcPr>
          <w:p w14:paraId="66C8716D"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32B448F3"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495F70C3"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r w:rsidRPr="007F7C5B">
              <w:rPr>
                <w:color w:val="000000" w:themeColor="text1"/>
                <w:sz w:val="20"/>
                <w:szCs w:val="20"/>
              </w:rPr>
              <w:t>.441</w:t>
            </w:r>
            <w:r w:rsidRPr="007F7C5B">
              <w:rPr>
                <w:color w:val="000000" w:themeColor="text1"/>
                <w:sz w:val="20"/>
                <w:szCs w:val="20"/>
                <w:vertAlign w:val="superscript"/>
              </w:rPr>
              <w:t>**</w:t>
            </w:r>
          </w:p>
        </w:tc>
        <w:tc>
          <w:tcPr>
            <w:tcW w:w="709" w:type="dxa"/>
            <w:shd w:val="clear" w:color="auto" w:fill="auto"/>
          </w:tcPr>
          <w:p w14:paraId="6D75C48D"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r w:rsidRPr="007F7C5B">
              <w:rPr>
                <w:color w:val="000000" w:themeColor="text1"/>
                <w:sz w:val="20"/>
                <w:szCs w:val="20"/>
              </w:rPr>
              <w:t>.688</w:t>
            </w:r>
            <w:r w:rsidRPr="007F7C5B">
              <w:rPr>
                <w:color w:val="000000" w:themeColor="text1"/>
                <w:sz w:val="20"/>
                <w:szCs w:val="20"/>
                <w:vertAlign w:val="superscript"/>
              </w:rPr>
              <w:t>**</w:t>
            </w:r>
          </w:p>
        </w:tc>
        <w:tc>
          <w:tcPr>
            <w:tcW w:w="708" w:type="dxa"/>
          </w:tcPr>
          <w:p w14:paraId="31294C37" w14:textId="79D109A2"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r w:rsidRPr="007F7C5B">
              <w:rPr>
                <w:color w:val="000000" w:themeColor="text1"/>
                <w:sz w:val="20"/>
                <w:szCs w:val="20"/>
              </w:rPr>
              <w:t>-.559</w:t>
            </w:r>
            <w:r w:rsidRPr="007F7C5B">
              <w:rPr>
                <w:color w:val="000000" w:themeColor="text1"/>
                <w:sz w:val="20"/>
                <w:szCs w:val="20"/>
                <w:vertAlign w:val="superscript"/>
              </w:rPr>
              <w:t>**</w:t>
            </w:r>
          </w:p>
        </w:tc>
        <w:tc>
          <w:tcPr>
            <w:tcW w:w="851" w:type="dxa"/>
            <w:shd w:val="clear" w:color="auto" w:fill="auto"/>
          </w:tcPr>
          <w:p w14:paraId="5A023BA6" w14:textId="16E35035" w:rsidR="003F1054" w:rsidRPr="007F7C5B" w:rsidRDefault="006D43CB" w:rsidP="006D43CB">
            <w:pPr>
              <w:autoSpaceDE w:val="0"/>
              <w:autoSpaceDN w:val="0"/>
              <w:adjustRightInd w:val="0"/>
              <w:spacing w:line="320" w:lineRule="atLeast"/>
              <w:ind w:left="60" w:right="60"/>
              <w:jc w:val="center"/>
              <w:rPr>
                <w:color w:val="000000" w:themeColor="text1"/>
                <w:sz w:val="20"/>
                <w:szCs w:val="20"/>
              </w:rPr>
            </w:pPr>
            <w:r>
              <w:rPr>
                <w:color w:val="000000" w:themeColor="text1"/>
                <w:sz w:val="20"/>
                <w:szCs w:val="20"/>
              </w:rPr>
              <w:t>.114</w:t>
            </w:r>
          </w:p>
        </w:tc>
      </w:tr>
      <w:tr w:rsidR="003F1054" w:rsidRPr="00147277" w14:paraId="75B65884" w14:textId="77777777" w:rsidTr="006D43CB">
        <w:trPr>
          <w:cantSplit/>
        </w:trPr>
        <w:tc>
          <w:tcPr>
            <w:tcW w:w="4253" w:type="dxa"/>
            <w:shd w:val="clear" w:color="auto" w:fill="auto"/>
          </w:tcPr>
          <w:p w14:paraId="6972ADF0" w14:textId="77777777" w:rsidR="003F1054" w:rsidRPr="007F7C5B" w:rsidRDefault="003F1054" w:rsidP="003F1054">
            <w:pPr>
              <w:autoSpaceDE w:val="0"/>
              <w:autoSpaceDN w:val="0"/>
              <w:adjustRightInd w:val="0"/>
              <w:spacing w:line="320" w:lineRule="atLeast"/>
              <w:ind w:left="60" w:right="60"/>
              <w:rPr>
                <w:color w:val="000000" w:themeColor="text1"/>
                <w:sz w:val="20"/>
                <w:szCs w:val="20"/>
              </w:rPr>
            </w:pPr>
            <w:r w:rsidRPr="00147277">
              <w:rPr>
                <w:color w:val="000000" w:themeColor="text1"/>
                <w:sz w:val="20"/>
                <w:szCs w:val="20"/>
              </w:rPr>
              <w:t>Perceived Control (PC)</w:t>
            </w:r>
          </w:p>
        </w:tc>
        <w:tc>
          <w:tcPr>
            <w:tcW w:w="850" w:type="dxa"/>
            <w:shd w:val="clear" w:color="auto" w:fill="auto"/>
          </w:tcPr>
          <w:p w14:paraId="6F87B2DE"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43E5D0F4"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628E0677"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7D9AFDA9"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r w:rsidRPr="007F7C5B">
              <w:rPr>
                <w:color w:val="000000" w:themeColor="text1"/>
                <w:sz w:val="20"/>
                <w:szCs w:val="20"/>
              </w:rPr>
              <w:t>.378</w:t>
            </w:r>
            <w:r w:rsidRPr="007F7C5B">
              <w:rPr>
                <w:color w:val="000000" w:themeColor="text1"/>
                <w:sz w:val="20"/>
                <w:szCs w:val="20"/>
                <w:vertAlign w:val="superscript"/>
              </w:rPr>
              <w:t>**</w:t>
            </w:r>
          </w:p>
        </w:tc>
        <w:tc>
          <w:tcPr>
            <w:tcW w:w="708" w:type="dxa"/>
          </w:tcPr>
          <w:p w14:paraId="598E11A7" w14:textId="636B8F6C"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r w:rsidRPr="007F7C5B">
              <w:rPr>
                <w:color w:val="000000" w:themeColor="text1"/>
                <w:sz w:val="20"/>
                <w:szCs w:val="20"/>
              </w:rPr>
              <w:t>-.294</w:t>
            </w:r>
            <w:r w:rsidRPr="007F7C5B">
              <w:rPr>
                <w:color w:val="000000" w:themeColor="text1"/>
                <w:sz w:val="20"/>
                <w:szCs w:val="20"/>
                <w:vertAlign w:val="superscript"/>
              </w:rPr>
              <w:t>**</w:t>
            </w:r>
          </w:p>
        </w:tc>
        <w:tc>
          <w:tcPr>
            <w:tcW w:w="851" w:type="dxa"/>
            <w:shd w:val="clear" w:color="auto" w:fill="auto"/>
          </w:tcPr>
          <w:p w14:paraId="3E0234F4" w14:textId="05CF3654" w:rsidR="003F1054" w:rsidRPr="007F7C5B" w:rsidRDefault="006D43CB" w:rsidP="006D43CB">
            <w:pPr>
              <w:autoSpaceDE w:val="0"/>
              <w:autoSpaceDN w:val="0"/>
              <w:adjustRightInd w:val="0"/>
              <w:spacing w:line="320" w:lineRule="atLeast"/>
              <w:ind w:left="60" w:right="60"/>
              <w:jc w:val="center"/>
              <w:rPr>
                <w:color w:val="000000" w:themeColor="text1"/>
                <w:sz w:val="20"/>
                <w:szCs w:val="20"/>
              </w:rPr>
            </w:pPr>
            <w:r>
              <w:rPr>
                <w:color w:val="000000" w:themeColor="text1"/>
                <w:sz w:val="20"/>
                <w:szCs w:val="20"/>
              </w:rPr>
              <w:t>.062</w:t>
            </w:r>
          </w:p>
        </w:tc>
      </w:tr>
      <w:tr w:rsidR="003F1054" w:rsidRPr="00147277" w14:paraId="0571ED90" w14:textId="77777777" w:rsidTr="006D43CB">
        <w:trPr>
          <w:cantSplit/>
        </w:trPr>
        <w:tc>
          <w:tcPr>
            <w:tcW w:w="4253" w:type="dxa"/>
            <w:shd w:val="clear" w:color="auto" w:fill="auto"/>
          </w:tcPr>
          <w:p w14:paraId="6F6EC506" w14:textId="77777777" w:rsidR="003F1054" w:rsidRPr="007F7C5B" w:rsidRDefault="003F1054" w:rsidP="003F1054">
            <w:pPr>
              <w:autoSpaceDE w:val="0"/>
              <w:autoSpaceDN w:val="0"/>
              <w:adjustRightInd w:val="0"/>
              <w:spacing w:line="320" w:lineRule="atLeast"/>
              <w:ind w:left="60" w:right="60"/>
              <w:rPr>
                <w:color w:val="000000" w:themeColor="text1"/>
                <w:sz w:val="20"/>
                <w:szCs w:val="20"/>
              </w:rPr>
            </w:pPr>
            <w:r w:rsidRPr="00147277">
              <w:rPr>
                <w:color w:val="000000" w:themeColor="text1"/>
                <w:sz w:val="20"/>
                <w:szCs w:val="20"/>
              </w:rPr>
              <w:t>Perceived Inter-Group Differences (PIGD)</w:t>
            </w:r>
          </w:p>
        </w:tc>
        <w:tc>
          <w:tcPr>
            <w:tcW w:w="850" w:type="dxa"/>
            <w:shd w:val="clear" w:color="auto" w:fill="auto"/>
          </w:tcPr>
          <w:p w14:paraId="078967CD"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3D5FD740"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20D1796F"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1F2C603B"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p>
        </w:tc>
        <w:tc>
          <w:tcPr>
            <w:tcW w:w="708" w:type="dxa"/>
          </w:tcPr>
          <w:p w14:paraId="78D7DA65" w14:textId="306A20F0"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r w:rsidRPr="007F7C5B">
              <w:rPr>
                <w:color w:val="000000" w:themeColor="text1"/>
                <w:sz w:val="20"/>
                <w:szCs w:val="20"/>
              </w:rPr>
              <w:t>-.590</w:t>
            </w:r>
            <w:r w:rsidRPr="007F7C5B">
              <w:rPr>
                <w:color w:val="000000" w:themeColor="text1"/>
                <w:sz w:val="20"/>
                <w:szCs w:val="20"/>
                <w:vertAlign w:val="superscript"/>
              </w:rPr>
              <w:t>**</w:t>
            </w:r>
          </w:p>
        </w:tc>
        <w:tc>
          <w:tcPr>
            <w:tcW w:w="851" w:type="dxa"/>
            <w:shd w:val="clear" w:color="auto" w:fill="auto"/>
          </w:tcPr>
          <w:p w14:paraId="04748729" w14:textId="43E99C22" w:rsidR="003F1054" w:rsidRPr="007F7C5B" w:rsidRDefault="006D43CB" w:rsidP="006D43CB">
            <w:pPr>
              <w:autoSpaceDE w:val="0"/>
              <w:autoSpaceDN w:val="0"/>
              <w:adjustRightInd w:val="0"/>
              <w:spacing w:line="320" w:lineRule="atLeast"/>
              <w:ind w:left="60" w:right="60"/>
              <w:jc w:val="center"/>
              <w:rPr>
                <w:color w:val="000000" w:themeColor="text1"/>
                <w:sz w:val="20"/>
                <w:szCs w:val="20"/>
              </w:rPr>
            </w:pPr>
            <w:r>
              <w:rPr>
                <w:color w:val="000000" w:themeColor="text1"/>
                <w:sz w:val="20"/>
                <w:szCs w:val="20"/>
              </w:rPr>
              <w:t>.098</w:t>
            </w:r>
          </w:p>
        </w:tc>
      </w:tr>
      <w:tr w:rsidR="003F1054" w:rsidRPr="00F31AA0" w14:paraId="6435B5A1" w14:textId="77777777" w:rsidTr="006D43CB">
        <w:trPr>
          <w:cantSplit/>
        </w:trPr>
        <w:tc>
          <w:tcPr>
            <w:tcW w:w="4253" w:type="dxa"/>
            <w:shd w:val="clear" w:color="auto" w:fill="auto"/>
          </w:tcPr>
          <w:p w14:paraId="23AA4FB8" w14:textId="77777777" w:rsidR="003F1054" w:rsidRPr="007F7C5B" w:rsidRDefault="003F1054" w:rsidP="00B15D98">
            <w:pPr>
              <w:autoSpaceDE w:val="0"/>
              <w:autoSpaceDN w:val="0"/>
              <w:adjustRightInd w:val="0"/>
              <w:spacing w:line="320" w:lineRule="atLeast"/>
              <w:ind w:left="60" w:right="60"/>
              <w:rPr>
                <w:color w:val="000000" w:themeColor="text1"/>
                <w:sz w:val="20"/>
                <w:szCs w:val="20"/>
              </w:rPr>
            </w:pPr>
            <w:r w:rsidRPr="00147277">
              <w:rPr>
                <w:color w:val="000000" w:themeColor="text1"/>
                <w:sz w:val="20"/>
                <w:szCs w:val="20"/>
              </w:rPr>
              <w:t>Perceived Inter-Personal Similarity (PIPS)</w:t>
            </w:r>
          </w:p>
        </w:tc>
        <w:tc>
          <w:tcPr>
            <w:tcW w:w="850" w:type="dxa"/>
            <w:shd w:val="clear" w:color="auto" w:fill="auto"/>
          </w:tcPr>
          <w:p w14:paraId="57C10037" w14:textId="77777777" w:rsidR="003F1054" w:rsidRPr="007F7C5B" w:rsidRDefault="003F1054" w:rsidP="00B15D98">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22321B91" w14:textId="77777777" w:rsidR="003F1054" w:rsidRPr="007F7C5B" w:rsidRDefault="003F1054" w:rsidP="00B15D98">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77585E7E" w14:textId="77777777" w:rsidR="003F1054" w:rsidRPr="007F7C5B" w:rsidRDefault="003F1054" w:rsidP="00B15D98">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142DF94B" w14:textId="77777777" w:rsidR="003F1054" w:rsidRPr="007F7C5B" w:rsidRDefault="003F1054" w:rsidP="00B15D98">
            <w:pPr>
              <w:autoSpaceDE w:val="0"/>
              <w:autoSpaceDN w:val="0"/>
              <w:adjustRightInd w:val="0"/>
              <w:spacing w:line="320" w:lineRule="atLeast"/>
              <w:ind w:left="60" w:right="60"/>
              <w:jc w:val="right"/>
              <w:rPr>
                <w:color w:val="000000" w:themeColor="text1"/>
                <w:sz w:val="20"/>
                <w:szCs w:val="20"/>
              </w:rPr>
            </w:pPr>
          </w:p>
        </w:tc>
        <w:tc>
          <w:tcPr>
            <w:tcW w:w="708" w:type="dxa"/>
          </w:tcPr>
          <w:p w14:paraId="42C16CEA" w14:textId="2DB42EBE" w:rsidR="003F1054" w:rsidRDefault="003F1054" w:rsidP="00B15D98">
            <w:pPr>
              <w:autoSpaceDE w:val="0"/>
              <w:autoSpaceDN w:val="0"/>
              <w:adjustRightInd w:val="0"/>
              <w:spacing w:line="320" w:lineRule="atLeast"/>
              <w:ind w:left="60" w:right="104"/>
              <w:jc w:val="center"/>
              <w:rPr>
                <w:color w:val="000000" w:themeColor="text1"/>
                <w:sz w:val="20"/>
                <w:szCs w:val="20"/>
              </w:rPr>
            </w:pPr>
            <w:r>
              <w:rPr>
                <w:color w:val="000000" w:themeColor="text1"/>
                <w:sz w:val="20"/>
                <w:szCs w:val="20"/>
              </w:rPr>
              <w:t xml:space="preserve">     </w:t>
            </w:r>
          </w:p>
        </w:tc>
        <w:tc>
          <w:tcPr>
            <w:tcW w:w="851" w:type="dxa"/>
            <w:shd w:val="clear" w:color="auto" w:fill="auto"/>
          </w:tcPr>
          <w:p w14:paraId="117C2F77" w14:textId="52039A5C" w:rsidR="003F1054" w:rsidRPr="007F7C5B" w:rsidRDefault="003F1054" w:rsidP="006D43CB">
            <w:pPr>
              <w:autoSpaceDE w:val="0"/>
              <w:autoSpaceDN w:val="0"/>
              <w:adjustRightInd w:val="0"/>
              <w:spacing w:line="320" w:lineRule="atLeast"/>
              <w:ind w:left="-57" w:right="-170"/>
              <w:rPr>
                <w:color w:val="000000" w:themeColor="text1"/>
                <w:sz w:val="20"/>
                <w:szCs w:val="20"/>
              </w:rPr>
            </w:pPr>
            <w:r>
              <w:rPr>
                <w:color w:val="000000" w:themeColor="text1"/>
                <w:sz w:val="20"/>
                <w:szCs w:val="20"/>
              </w:rPr>
              <w:t xml:space="preserve">     </w:t>
            </w:r>
            <w:r w:rsidR="006D43CB">
              <w:rPr>
                <w:color w:val="000000" w:themeColor="text1"/>
                <w:sz w:val="20"/>
                <w:szCs w:val="20"/>
              </w:rPr>
              <w:t>-.167</w:t>
            </w:r>
            <w:r w:rsidR="006D43CB" w:rsidRPr="006D43CB">
              <w:rPr>
                <w:color w:val="000000" w:themeColor="text1"/>
                <w:sz w:val="16"/>
                <w:szCs w:val="16"/>
              </w:rPr>
              <w:t>**</w:t>
            </w:r>
          </w:p>
        </w:tc>
      </w:tr>
      <w:tr w:rsidR="003F1054" w:rsidRPr="00F31AA0" w14:paraId="3EE9B9FB" w14:textId="77777777" w:rsidTr="006D43CB">
        <w:trPr>
          <w:cantSplit/>
        </w:trPr>
        <w:tc>
          <w:tcPr>
            <w:tcW w:w="4253" w:type="dxa"/>
            <w:shd w:val="clear" w:color="auto" w:fill="auto"/>
          </w:tcPr>
          <w:p w14:paraId="7EB37397" w14:textId="0104BC30" w:rsidR="003F1054" w:rsidRPr="007F7C5B" w:rsidRDefault="003F1054" w:rsidP="007E6053">
            <w:pPr>
              <w:autoSpaceDE w:val="0"/>
              <w:autoSpaceDN w:val="0"/>
              <w:adjustRightInd w:val="0"/>
              <w:spacing w:after="120" w:line="320" w:lineRule="atLeast"/>
              <w:ind w:left="62" w:right="62"/>
              <w:rPr>
                <w:color w:val="000000" w:themeColor="text1"/>
                <w:sz w:val="20"/>
                <w:szCs w:val="20"/>
              </w:rPr>
            </w:pPr>
            <w:r>
              <w:rPr>
                <w:color w:val="000000" w:themeColor="text1"/>
                <w:sz w:val="20"/>
                <w:szCs w:val="20"/>
              </w:rPr>
              <w:t>Relative Dehumanization</w:t>
            </w:r>
            <w:r w:rsidRPr="00147277">
              <w:rPr>
                <w:color w:val="000000" w:themeColor="text1"/>
                <w:sz w:val="20"/>
                <w:szCs w:val="20"/>
              </w:rPr>
              <w:t xml:space="preserve"> (</w:t>
            </w:r>
            <w:r>
              <w:rPr>
                <w:color w:val="000000" w:themeColor="text1"/>
                <w:sz w:val="20"/>
                <w:szCs w:val="20"/>
              </w:rPr>
              <w:t>RDH</w:t>
            </w:r>
            <w:r w:rsidRPr="00147277">
              <w:rPr>
                <w:color w:val="000000" w:themeColor="text1"/>
                <w:sz w:val="20"/>
                <w:szCs w:val="20"/>
              </w:rPr>
              <w:t>)</w:t>
            </w:r>
          </w:p>
        </w:tc>
        <w:tc>
          <w:tcPr>
            <w:tcW w:w="850" w:type="dxa"/>
            <w:shd w:val="clear" w:color="auto" w:fill="auto"/>
          </w:tcPr>
          <w:p w14:paraId="45667698"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06E0801C"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6D9F724F"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p>
        </w:tc>
        <w:tc>
          <w:tcPr>
            <w:tcW w:w="709" w:type="dxa"/>
            <w:shd w:val="clear" w:color="auto" w:fill="auto"/>
          </w:tcPr>
          <w:p w14:paraId="18F12D20" w14:textId="77777777" w:rsidR="003F1054" w:rsidRPr="007F7C5B" w:rsidRDefault="003F1054" w:rsidP="003F1054">
            <w:pPr>
              <w:autoSpaceDE w:val="0"/>
              <w:autoSpaceDN w:val="0"/>
              <w:adjustRightInd w:val="0"/>
              <w:spacing w:line="320" w:lineRule="atLeast"/>
              <w:ind w:left="60" w:right="60"/>
              <w:jc w:val="right"/>
              <w:rPr>
                <w:color w:val="000000" w:themeColor="text1"/>
                <w:sz w:val="20"/>
                <w:szCs w:val="20"/>
              </w:rPr>
            </w:pPr>
          </w:p>
        </w:tc>
        <w:tc>
          <w:tcPr>
            <w:tcW w:w="708" w:type="dxa"/>
          </w:tcPr>
          <w:p w14:paraId="03A3752B" w14:textId="7471F66E" w:rsidR="003F1054" w:rsidRDefault="003F1054" w:rsidP="003F1054">
            <w:pPr>
              <w:autoSpaceDE w:val="0"/>
              <w:autoSpaceDN w:val="0"/>
              <w:adjustRightInd w:val="0"/>
              <w:spacing w:line="320" w:lineRule="atLeast"/>
              <w:ind w:left="60" w:right="104"/>
              <w:jc w:val="center"/>
              <w:rPr>
                <w:color w:val="000000" w:themeColor="text1"/>
                <w:sz w:val="20"/>
                <w:szCs w:val="20"/>
              </w:rPr>
            </w:pPr>
            <w:r>
              <w:rPr>
                <w:color w:val="000000" w:themeColor="text1"/>
                <w:sz w:val="20"/>
                <w:szCs w:val="20"/>
              </w:rPr>
              <w:t xml:space="preserve">    </w:t>
            </w:r>
          </w:p>
        </w:tc>
        <w:tc>
          <w:tcPr>
            <w:tcW w:w="851" w:type="dxa"/>
            <w:shd w:val="clear" w:color="auto" w:fill="auto"/>
          </w:tcPr>
          <w:p w14:paraId="775CD1CE" w14:textId="0BE24CA8" w:rsidR="003F1054" w:rsidRPr="007F7C5B" w:rsidRDefault="003F1054" w:rsidP="003F1054">
            <w:pPr>
              <w:autoSpaceDE w:val="0"/>
              <w:autoSpaceDN w:val="0"/>
              <w:adjustRightInd w:val="0"/>
              <w:spacing w:line="320" w:lineRule="atLeast"/>
              <w:ind w:left="60" w:right="104"/>
              <w:jc w:val="center"/>
              <w:rPr>
                <w:color w:val="000000" w:themeColor="text1"/>
                <w:sz w:val="20"/>
                <w:szCs w:val="20"/>
              </w:rPr>
            </w:pPr>
            <w:r>
              <w:rPr>
                <w:color w:val="000000" w:themeColor="text1"/>
                <w:sz w:val="20"/>
                <w:szCs w:val="20"/>
              </w:rPr>
              <w:t xml:space="preserve">     -</w:t>
            </w:r>
          </w:p>
        </w:tc>
      </w:tr>
    </w:tbl>
    <w:p w14:paraId="2790ACA0" w14:textId="77777777" w:rsidR="008D3A18" w:rsidRDefault="008D3A18" w:rsidP="008D3A18">
      <w:pPr>
        <w:autoSpaceDE w:val="0"/>
        <w:autoSpaceDN w:val="0"/>
        <w:adjustRightInd w:val="0"/>
        <w:spacing w:line="400" w:lineRule="atLeast"/>
        <w:rPr>
          <w:sz w:val="20"/>
          <w:szCs w:val="20"/>
        </w:rPr>
      </w:pPr>
      <w:r w:rsidRPr="00A408FA">
        <w:rPr>
          <w:sz w:val="20"/>
          <w:szCs w:val="20"/>
        </w:rPr>
        <w:t xml:space="preserve">* </w:t>
      </w:r>
      <w:r w:rsidRPr="00A408FA">
        <w:rPr>
          <w:i/>
          <w:iCs/>
          <w:sz w:val="20"/>
          <w:szCs w:val="20"/>
        </w:rPr>
        <w:t>p</w:t>
      </w:r>
      <w:r w:rsidRPr="00A408FA">
        <w:rPr>
          <w:sz w:val="20"/>
          <w:szCs w:val="20"/>
        </w:rPr>
        <w:t xml:space="preserve"> &lt; .05, ** </w:t>
      </w:r>
      <w:r w:rsidRPr="00A408FA">
        <w:rPr>
          <w:i/>
          <w:iCs/>
          <w:sz w:val="20"/>
          <w:szCs w:val="20"/>
        </w:rPr>
        <w:t>p</w:t>
      </w:r>
      <w:r w:rsidRPr="00A408FA">
        <w:rPr>
          <w:sz w:val="20"/>
          <w:szCs w:val="20"/>
        </w:rPr>
        <w:t xml:space="preserve"> &lt; .01 (2-tailed)</w:t>
      </w:r>
    </w:p>
    <w:p w14:paraId="774B2353" w14:textId="77777777" w:rsidR="008D3A18" w:rsidRDefault="008D3A18" w:rsidP="00517841">
      <w:pPr>
        <w:pStyle w:val="Stylepardfaut"/>
        <w:spacing w:line="480" w:lineRule="auto"/>
        <w:ind w:firstLine="709"/>
      </w:pPr>
    </w:p>
    <w:p w14:paraId="0532682F" w14:textId="38D595C1" w:rsidR="00517841" w:rsidRPr="000F297B" w:rsidRDefault="0075216D" w:rsidP="00517841">
      <w:pPr>
        <w:pStyle w:val="Stylepardfaut"/>
        <w:spacing w:line="480" w:lineRule="auto"/>
        <w:ind w:firstLine="709"/>
      </w:pPr>
      <w:r w:rsidRPr="00590E44">
        <w:rPr>
          <w:bCs/>
          <w:i/>
        </w:rPr>
        <w:t xml:space="preserve">Perceived </w:t>
      </w:r>
      <w:r>
        <w:rPr>
          <w:bCs/>
          <w:i/>
        </w:rPr>
        <w:t>inter</w:t>
      </w:r>
      <w:r w:rsidRPr="00590E44">
        <w:rPr>
          <w:bCs/>
          <w:i/>
        </w:rPr>
        <w:t>personal similarity</w:t>
      </w:r>
      <w:r>
        <w:rPr>
          <w:bCs/>
          <w:iCs/>
        </w:rPr>
        <w:t xml:space="preserve">. </w:t>
      </w:r>
      <w:r w:rsidR="00517841">
        <w:t>Participants’</w:t>
      </w:r>
      <w:r w:rsidR="00517841" w:rsidRPr="0075216D">
        <w:t xml:space="preserve"> </w:t>
      </w:r>
      <w:r w:rsidR="00517841" w:rsidRPr="00355C15">
        <w:t>perceived similarity</w:t>
      </w:r>
      <w:r w:rsidR="00517841" w:rsidRPr="0075216D">
        <w:t xml:space="preserve"> </w:t>
      </w:r>
      <w:r w:rsidR="00517841">
        <w:t>between themselves and gay men and lesbians was assessed using</w:t>
      </w:r>
      <w:r w:rsidR="00517841" w:rsidRPr="000F297B">
        <w:t xml:space="preserve"> </w:t>
      </w:r>
      <w:r w:rsidR="00517841">
        <w:t>a 7-item</w:t>
      </w:r>
      <w:r w:rsidR="00517841" w:rsidRPr="000F297B">
        <w:t xml:space="preserve"> </w:t>
      </w:r>
      <w:r w:rsidR="00517841">
        <w:t xml:space="preserve">scale </w:t>
      </w:r>
      <w:proofErr w:type="gramStart"/>
      <w:r w:rsidR="00517841">
        <w:t>similar to</w:t>
      </w:r>
      <w:proofErr w:type="gramEnd"/>
      <w:r w:rsidR="00517841">
        <w:t xml:space="preserve"> that used in Study 1. Participants were asked</w:t>
      </w:r>
      <w:r w:rsidR="00517841" w:rsidRPr="000F297B">
        <w:t xml:space="preserve"> </w:t>
      </w:r>
      <w:r w:rsidR="00517841">
        <w:t xml:space="preserve">to indicate </w:t>
      </w:r>
      <w:r w:rsidR="00517841">
        <w:rPr>
          <w:rStyle w:val="rynqvb"/>
          <w:lang w:val="en"/>
        </w:rPr>
        <w:t xml:space="preserve">how similar they thought they were to gay men or lesbians (sex-matched) in various areas, including emotional level, needs, whishes, intimate relationships, friendships, professional relationships, and in general </w:t>
      </w:r>
      <w:r w:rsidR="00517841" w:rsidRPr="000F297B">
        <w:rPr>
          <w:rStyle w:val="Numrodepage"/>
        </w:rPr>
        <w:t>(</w:t>
      </w:r>
      <w:r w:rsidR="00517841" w:rsidRPr="000F297B">
        <w:t>1 ‘</w:t>
      </w:r>
      <w:r w:rsidR="00517841" w:rsidRPr="000F297B">
        <w:rPr>
          <w:i/>
        </w:rPr>
        <w:t xml:space="preserve">strongly </w:t>
      </w:r>
      <w:r w:rsidR="00517841">
        <w:rPr>
          <w:i/>
        </w:rPr>
        <w:t>different</w:t>
      </w:r>
      <w:r w:rsidR="00517841" w:rsidRPr="000F297B">
        <w:t xml:space="preserve">’ </w:t>
      </w:r>
      <w:r w:rsidR="00517841">
        <w:t>to</w:t>
      </w:r>
      <w:r w:rsidR="00517841" w:rsidRPr="000F297B">
        <w:t xml:space="preserve"> 7 ‘</w:t>
      </w:r>
      <w:r w:rsidR="00517841" w:rsidRPr="000F297B">
        <w:rPr>
          <w:i/>
        </w:rPr>
        <w:t xml:space="preserve">strongly </w:t>
      </w:r>
      <w:r w:rsidR="00517841">
        <w:rPr>
          <w:i/>
        </w:rPr>
        <w:t>similar’</w:t>
      </w:r>
      <w:r w:rsidR="00517841" w:rsidRPr="000F297B">
        <w:t xml:space="preserve">). Scores for </w:t>
      </w:r>
      <w:r w:rsidR="00517841">
        <w:t>these 7</w:t>
      </w:r>
      <w:r w:rsidR="00517841" w:rsidRPr="000F297B">
        <w:t xml:space="preserve"> items were averaged to </w:t>
      </w:r>
      <w:r w:rsidR="00517841">
        <w:t>create</w:t>
      </w:r>
      <w:r w:rsidR="00517841" w:rsidRPr="000F297B">
        <w:t xml:space="preserve"> a reliable measure of </w:t>
      </w:r>
      <w:r w:rsidR="00517841" w:rsidRPr="0031171C">
        <w:rPr>
          <w:i/>
          <w:iCs/>
        </w:rPr>
        <w:t>perceived personal similarity</w:t>
      </w:r>
      <w:r w:rsidR="00517841">
        <w:t xml:space="preserve">, with </w:t>
      </w:r>
      <w:r w:rsidR="00517841" w:rsidRPr="000F297B">
        <w:t>higher scores indicat</w:t>
      </w:r>
      <w:r w:rsidR="00517841">
        <w:t>ing</w:t>
      </w:r>
      <w:r w:rsidR="00517841" w:rsidRPr="000F297B">
        <w:t xml:space="preserve"> greater </w:t>
      </w:r>
      <w:r w:rsidR="00517841">
        <w:t>perceived similarity between participants and either gay men or lesbians (</w:t>
      </w:r>
      <w:r w:rsidR="00517841" w:rsidRPr="000F297B">
        <w:t>α = .</w:t>
      </w:r>
      <w:r w:rsidR="00517841">
        <w:t xml:space="preserve">92, </w:t>
      </w:r>
      <w:r w:rsidR="00517841" w:rsidRPr="000F297B">
        <w:rPr>
          <w:i/>
        </w:rPr>
        <w:t>M</w:t>
      </w:r>
      <w:r w:rsidR="00517841" w:rsidRPr="000F297B">
        <w:t xml:space="preserve"> = </w:t>
      </w:r>
      <w:r w:rsidR="00517841">
        <w:t>5.16</w:t>
      </w:r>
      <w:r w:rsidR="00517841" w:rsidRPr="000F297B">
        <w:t xml:space="preserve">, </w:t>
      </w:r>
      <w:r w:rsidR="00517841" w:rsidRPr="000F297B">
        <w:rPr>
          <w:i/>
        </w:rPr>
        <w:t>SD</w:t>
      </w:r>
      <w:r w:rsidR="00517841" w:rsidRPr="000F297B">
        <w:t xml:space="preserve"> = 1.</w:t>
      </w:r>
      <w:r w:rsidR="00517841">
        <w:t>54</w:t>
      </w:r>
      <w:r w:rsidR="00517841" w:rsidRPr="000F297B">
        <w:t xml:space="preserve">). </w:t>
      </w:r>
    </w:p>
    <w:p w14:paraId="58E3E106" w14:textId="0E282CC6" w:rsidR="00076F51" w:rsidRDefault="003F1054" w:rsidP="00076F51">
      <w:pPr>
        <w:spacing w:line="480" w:lineRule="auto"/>
        <w:ind w:firstLine="709"/>
      </w:pPr>
      <w:r>
        <w:rPr>
          <w:i/>
          <w:iCs/>
        </w:rPr>
        <w:t>Relative D</w:t>
      </w:r>
      <w:r w:rsidR="0019060F" w:rsidRPr="00355C15">
        <w:rPr>
          <w:i/>
          <w:iCs/>
        </w:rPr>
        <w:t>ehumanization</w:t>
      </w:r>
      <w:r w:rsidR="0019060F">
        <w:t xml:space="preserve">. </w:t>
      </w:r>
      <w:r w:rsidR="00F30111">
        <w:t>At post-test, we also included a</w:t>
      </w:r>
      <w:r w:rsidR="00675F21" w:rsidRPr="00BB42E5">
        <w:t xml:space="preserve"> measure of</w:t>
      </w:r>
      <w:r w:rsidR="00675F21" w:rsidRPr="00355C15">
        <w:t xml:space="preserve"> </w:t>
      </w:r>
      <w:r w:rsidR="00BB42E5" w:rsidRPr="00355C15">
        <w:t>intergroup</w:t>
      </w:r>
      <w:r w:rsidR="00675F21" w:rsidRPr="00355C15">
        <w:t xml:space="preserve"> dehumanization</w:t>
      </w:r>
      <w:r w:rsidR="00F30111" w:rsidRPr="00A85CDB">
        <w:t xml:space="preserve"> </w:t>
      </w:r>
      <w:r w:rsidR="00F30111">
        <w:t>as full dependent variable</w:t>
      </w:r>
      <w:r w:rsidR="00A40705">
        <w:t xml:space="preserve">. Indeed, in this study we aimed at </w:t>
      </w:r>
      <w:r w:rsidR="00675F21" w:rsidRPr="00BB42E5">
        <w:t>explor</w:t>
      </w:r>
      <w:r w:rsidR="00A40705">
        <w:t>ing</w:t>
      </w:r>
      <w:r w:rsidR="00076F51" w:rsidRPr="00BB42E5">
        <w:t xml:space="preserve"> </w:t>
      </w:r>
      <w:r w:rsidR="00675F21" w:rsidRPr="00BB42E5">
        <w:t>whether</w:t>
      </w:r>
      <w:r w:rsidR="00BB42E5" w:rsidRPr="00BB42E5">
        <w:t xml:space="preserve"> </w:t>
      </w:r>
      <w:r w:rsidR="00A40705">
        <w:t>the investigated processes also influenced</w:t>
      </w:r>
      <w:r w:rsidR="00BB42E5" w:rsidRPr="00BB42E5">
        <w:t xml:space="preserve"> participants’ relative dehumanization of gay people. </w:t>
      </w:r>
      <w:r w:rsidR="00A40705">
        <w:t>Because this measure introduced</w:t>
      </w:r>
      <w:r w:rsidR="00BB42E5">
        <w:t xml:space="preserve"> some important</w:t>
      </w:r>
      <w:r w:rsidR="00BB42E5" w:rsidRPr="00BB42E5">
        <w:t xml:space="preserve"> methodological </w:t>
      </w:r>
      <w:r w:rsidR="00BB42E5">
        <w:t xml:space="preserve">limitations, </w:t>
      </w:r>
      <w:r w:rsidR="00A40705">
        <w:t xml:space="preserve">we </w:t>
      </w:r>
      <w:r w:rsidR="00A40705">
        <w:lastRenderedPageBreak/>
        <w:t xml:space="preserve">decided not to include it the main document. However, </w:t>
      </w:r>
      <w:r w:rsidR="00BB42E5" w:rsidRPr="00BB42E5">
        <w:t xml:space="preserve">the results regarding this variable are described in this </w:t>
      </w:r>
      <w:r w:rsidR="00A40705">
        <w:t>S</w:t>
      </w:r>
      <w:r w:rsidR="00BB42E5" w:rsidRPr="00BB42E5">
        <w:t xml:space="preserve">upplementary </w:t>
      </w:r>
      <w:r w:rsidR="0081497C">
        <w:t>M</w:t>
      </w:r>
      <w:r w:rsidR="00BB42E5" w:rsidRPr="00BB42E5">
        <w:t>aterial</w:t>
      </w:r>
      <w:r w:rsidR="00BB42E5">
        <w:t xml:space="preserve"> for transparency and manuscript length concerns</w:t>
      </w:r>
      <w:r w:rsidR="00076F51" w:rsidRPr="00BB42E5">
        <w:t>.</w:t>
      </w:r>
    </w:p>
    <w:p w14:paraId="1BE44FE0" w14:textId="20873FC0" w:rsidR="007D0088" w:rsidRPr="00675F21" w:rsidRDefault="00675F21" w:rsidP="00BB42E5">
      <w:pPr>
        <w:pStyle w:val="Stylepardfaut"/>
        <w:spacing w:line="480" w:lineRule="auto"/>
        <w:ind w:firstLine="709"/>
        <w:rPr>
          <w:b/>
          <w:bCs/>
        </w:rPr>
      </w:pPr>
      <w:r>
        <w:t>We used a</w:t>
      </w:r>
      <w:r w:rsidR="00EC2399">
        <w:t xml:space="preserve"> measure of dehumanization that was adapted from </w:t>
      </w:r>
      <w:proofErr w:type="spellStart"/>
      <w:r w:rsidR="00EC2399">
        <w:t>Fasoli</w:t>
      </w:r>
      <w:proofErr w:type="spellEnd"/>
      <w:r w:rsidR="00EC2399">
        <w:t xml:space="preserve"> </w:t>
      </w:r>
      <w:r w:rsidR="00CD6508">
        <w:t xml:space="preserve">and colleagues </w:t>
      </w:r>
      <w:r w:rsidR="00CD6508">
        <w:rPr>
          <w:noProof/>
        </w:rPr>
        <w:t>(Fasoli et al., 2016)</w:t>
      </w:r>
      <w:r w:rsidR="00EC2399">
        <w:t>. Participants received a list 10 human-related and 10 animal-related words (randomized order) and were asked to choose the 8-10 words they considered the most representative of both gay and heterosexual people (randomized order). A score of dehumanization for each group was computed by subtracting the number of human-related words from the number of animal-related words that were chosen (higher values indicate higher</w:t>
      </w:r>
      <w:r w:rsidR="00AC7CF0">
        <w:t xml:space="preserve"> levels of </w:t>
      </w:r>
      <w:r w:rsidR="00EC2399">
        <w:t>animal</w:t>
      </w:r>
      <w:r w:rsidR="00AC7CF0">
        <w:t xml:space="preserve">istic </w:t>
      </w:r>
      <w:r w:rsidR="00355C15">
        <w:t>dehumanization</w:t>
      </w:r>
      <w:r w:rsidR="00EC2399">
        <w:t xml:space="preserve">). </w:t>
      </w:r>
      <w:r w:rsidR="00AC19DC">
        <w:t xml:space="preserve">Finally, we computed an overall score of relative dehumanization of </w:t>
      </w:r>
      <w:r w:rsidR="00720BCE">
        <w:t xml:space="preserve">gay </w:t>
      </w:r>
      <w:r w:rsidR="00AC19DC">
        <w:t xml:space="preserve">people compared to heterosexual people (i.e., higher scores mean greater dehumanization of </w:t>
      </w:r>
      <w:r w:rsidR="00720BCE">
        <w:t xml:space="preserve">gay </w:t>
      </w:r>
      <w:r w:rsidR="00AC19DC">
        <w:t xml:space="preserve">people, as compared to heterosexual people; </w:t>
      </w:r>
      <w:r w:rsidR="00AC19DC" w:rsidRPr="000611E9">
        <w:rPr>
          <w:i/>
          <w:iCs/>
        </w:rPr>
        <w:t>M</w:t>
      </w:r>
      <w:r w:rsidR="00AC19DC">
        <w:t xml:space="preserve"> = -0.56, </w:t>
      </w:r>
      <w:r w:rsidR="00AC19DC" w:rsidRPr="000611E9">
        <w:rPr>
          <w:i/>
          <w:iCs/>
        </w:rPr>
        <w:t>SD</w:t>
      </w:r>
      <w:r w:rsidR="00AC19DC">
        <w:t xml:space="preserve"> = 2.52). </w:t>
      </w:r>
    </w:p>
    <w:p w14:paraId="14354949" w14:textId="00BE1A49" w:rsidR="008F03B4" w:rsidRPr="008F03B4" w:rsidRDefault="009107F3" w:rsidP="00BB42E5">
      <w:pPr>
        <w:spacing w:line="480" w:lineRule="auto"/>
        <w:ind w:firstLine="709"/>
        <w:rPr>
          <w:b/>
          <w:bCs/>
        </w:rPr>
      </w:pPr>
      <w:r w:rsidRPr="008F03B4">
        <w:rPr>
          <w:b/>
          <w:bCs/>
        </w:rPr>
        <w:t>Results</w:t>
      </w:r>
    </w:p>
    <w:p w14:paraId="78650E73" w14:textId="0F8E3733" w:rsidR="00A85CDB" w:rsidRDefault="00A85CDB" w:rsidP="00B03419">
      <w:pPr>
        <w:pStyle w:val="Stylepardfaut"/>
        <w:spacing w:line="480" w:lineRule="auto"/>
        <w:ind w:firstLine="709"/>
        <w:rPr>
          <w:bCs/>
        </w:rPr>
      </w:pPr>
      <w:r>
        <w:rPr>
          <w:bCs/>
        </w:rPr>
        <w:t>These complementary measures were analyzed as a function of the same analytical strategy used for the main dependent variables (see main document). A</w:t>
      </w:r>
      <w:r w:rsidRPr="000F297B">
        <w:rPr>
          <w:bCs/>
        </w:rPr>
        <w:t xml:space="preserve"> first contrast (C1) </w:t>
      </w:r>
      <w:r>
        <w:rPr>
          <w:bCs/>
        </w:rPr>
        <w:t>oppose</w:t>
      </w:r>
      <w:r w:rsidR="00553BE9">
        <w:rPr>
          <w:bCs/>
        </w:rPr>
        <w:t>d</w:t>
      </w:r>
      <w:r w:rsidRPr="000F297B">
        <w:rPr>
          <w:bCs/>
        </w:rPr>
        <w:t xml:space="preserve"> the biological</w:t>
      </w:r>
      <w:r w:rsidR="00355C15">
        <w:rPr>
          <w:bCs/>
        </w:rPr>
        <w:t xml:space="preserve"> </w:t>
      </w:r>
      <w:r w:rsidRPr="000F297B">
        <w:rPr>
          <w:bCs/>
        </w:rPr>
        <w:t>differen</w:t>
      </w:r>
      <w:r w:rsidR="00355C15">
        <w:rPr>
          <w:bCs/>
        </w:rPr>
        <w:t>ces</w:t>
      </w:r>
      <w:r w:rsidRPr="000F297B">
        <w:rPr>
          <w:bCs/>
        </w:rPr>
        <w:t xml:space="preserve"> condition (coded as +2) to the other two conditions (each one coded as -1). The second residual contrast (C2) opposed the biological similarities condition (+1) to the control condition (-1), </w:t>
      </w:r>
      <w:r>
        <w:rPr>
          <w:bCs/>
        </w:rPr>
        <w:t>with</w:t>
      </w:r>
      <w:r w:rsidRPr="000F297B">
        <w:rPr>
          <w:bCs/>
        </w:rPr>
        <w:t xml:space="preserve"> the biological differences condition coded as 0. </w:t>
      </w:r>
      <w:r>
        <w:rPr>
          <w:bCs/>
        </w:rPr>
        <w:t xml:space="preserve">The </w:t>
      </w:r>
      <w:r w:rsidRPr="000F297B">
        <w:rPr>
          <w:bCs/>
        </w:rPr>
        <w:t>ANCOVA</w:t>
      </w:r>
      <w:r>
        <w:rPr>
          <w:bCs/>
        </w:rPr>
        <w:t xml:space="preserve"> tested the effect these two</w:t>
      </w:r>
      <w:r w:rsidRPr="000F297B">
        <w:rPr>
          <w:bCs/>
        </w:rPr>
        <w:t xml:space="preserve"> contrasts, religio</w:t>
      </w:r>
      <w:r>
        <w:rPr>
          <w:bCs/>
        </w:rPr>
        <w:t xml:space="preserve">sity </w:t>
      </w:r>
      <w:r w:rsidRPr="000F297B">
        <w:rPr>
          <w:bCs/>
        </w:rPr>
        <w:t xml:space="preserve">(standardized scores), participant’s </w:t>
      </w:r>
      <w:r>
        <w:rPr>
          <w:bCs/>
        </w:rPr>
        <w:t>sex</w:t>
      </w:r>
      <w:r w:rsidRPr="000F297B">
        <w:rPr>
          <w:bCs/>
        </w:rPr>
        <w:t xml:space="preserve"> (-1</w:t>
      </w:r>
      <w:r>
        <w:rPr>
          <w:bCs/>
        </w:rPr>
        <w:t xml:space="preserve"> </w:t>
      </w:r>
      <w:r w:rsidRPr="000F297B">
        <w:rPr>
          <w:bCs/>
        </w:rPr>
        <w:t>=</w:t>
      </w:r>
      <w:r>
        <w:rPr>
          <w:bCs/>
        </w:rPr>
        <w:t xml:space="preserve"> </w:t>
      </w:r>
      <w:r w:rsidRPr="000F297B">
        <w:rPr>
          <w:bCs/>
        </w:rPr>
        <w:t>women and +1</w:t>
      </w:r>
      <w:r>
        <w:rPr>
          <w:bCs/>
        </w:rPr>
        <w:t xml:space="preserve"> </w:t>
      </w:r>
      <w:r w:rsidRPr="000F297B">
        <w:rPr>
          <w:bCs/>
        </w:rPr>
        <w:t>=</w:t>
      </w:r>
      <w:r>
        <w:rPr>
          <w:bCs/>
        </w:rPr>
        <w:t xml:space="preserve"> </w:t>
      </w:r>
      <w:r w:rsidRPr="000F297B">
        <w:rPr>
          <w:bCs/>
        </w:rPr>
        <w:t>men), and the interactions between these three factors (interactions including the two contrasts were not included)</w:t>
      </w:r>
      <w:r>
        <w:rPr>
          <w:bCs/>
        </w:rPr>
        <w:t>. All effects were introduced as covariates</w:t>
      </w:r>
      <w:r w:rsidRPr="000F297B">
        <w:rPr>
          <w:bCs/>
        </w:rPr>
        <w:t>.</w:t>
      </w:r>
    </w:p>
    <w:p w14:paraId="1F6ED5FC" w14:textId="73FAD25C" w:rsidR="00B03419" w:rsidRDefault="00B03419" w:rsidP="00B03419">
      <w:pPr>
        <w:pStyle w:val="Stylepardfaut"/>
        <w:spacing w:line="480" w:lineRule="auto"/>
        <w:ind w:firstLine="709"/>
      </w:pPr>
      <w:r w:rsidRPr="00C97D0D">
        <w:rPr>
          <w:bCs/>
          <w:i/>
          <w:iCs/>
        </w:rPr>
        <w:t xml:space="preserve">Perceived </w:t>
      </w:r>
      <w:r>
        <w:rPr>
          <w:bCs/>
          <w:i/>
          <w:iCs/>
        </w:rPr>
        <w:t>intergroup differences</w:t>
      </w:r>
      <w:r w:rsidRPr="000F297B">
        <w:rPr>
          <w:b/>
          <w:i/>
          <w:iCs/>
        </w:rPr>
        <w:t>.</w:t>
      </w:r>
      <w:r w:rsidRPr="00A11E60">
        <w:rPr>
          <w:i/>
          <w:iCs/>
        </w:rPr>
        <w:t xml:space="preserve"> </w:t>
      </w:r>
      <w:r w:rsidRPr="000F297B">
        <w:t xml:space="preserve">The ANCOVA </w:t>
      </w:r>
      <w:r w:rsidR="00A85CDB">
        <w:t>revealed</w:t>
      </w:r>
      <w:r w:rsidRPr="000F297B">
        <w:t xml:space="preserve"> a significant main effect of participant’s </w:t>
      </w:r>
      <w:r>
        <w:t>sex</w:t>
      </w:r>
      <w:r w:rsidRPr="000F297B">
        <w:t xml:space="preserve">, </w:t>
      </w:r>
      <w:proofErr w:type="gramStart"/>
      <w:r w:rsidRPr="000F297B">
        <w:rPr>
          <w:i/>
        </w:rPr>
        <w:t>F</w:t>
      </w:r>
      <w:r w:rsidRPr="000F297B">
        <w:t>(</w:t>
      </w:r>
      <w:proofErr w:type="gramEnd"/>
      <w:r w:rsidRPr="000F297B">
        <w:t xml:space="preserve">1,268) = 21.56, </w:t>
      </w:r>
      <w:r w:rsidRPr="000F297B">
        <w:rPr>
          <w:i/>
        </w:rPr>
        <w:t>p</w:t>
      </w:r>
      <w:r w:rsidRPr="000F297B">
        <w:t xml:space="preserve"> = .001, η</w:t>
      </w:r>
      <w:r w:rsidRPr="000F297B">
        <w:rPr>
          <w:vertAlign w:val="superscript"/>
        </w:rPr>
        <w:t>2</w:t>
      </w:r>
      <w:r w:rsidRPr="000F297B">
        <w:rPr>
          <w:vertAlign w:val="subscript"/>
        </w:rPr>
        <w:t>p</w:t>
      </w:r>
      <w:r w:rsidRPr="000F297B">
        <w:t xml:space="preserve"> = .074. Male participants (</w:t>
      </w:r>
      <w:r w:rsidRPr="000F297B">
        <w:rPr>
          <w:i/>
        </w:rPr>
        <w:t>M</w:t>
      </w:r>
      <w:r w:rsidRPr="000F297B">
        <w:t xml:space="preserve"> = 3.50, </w:t>
      </w:r>
      <w:r w:rsidRPr="000F297B">
        <w:rPr>
          <w:i/>
        </w:rPr>
        <w:t>SD</w:t>
      </w:r>
      <w:r w:rsidRPr="000F297B">
        <w:t xml:space="preserve"> = 1.65) perceived more </w:t>
      </w:r>
      <w:r>
        <w:t>intergroup differences</w:t>
      </w:r>
      <w:r w:rsidRPr="000F297B">
        <w:t xml:space="preserve"> than female participants (</w:t>
      </w:r>
      <w:r w:rsidRPr="000F297B">
        <w:rPr>
          <w:i/>
        </w:rPr>
        <w:t>M</w:t>
      </w:r>
      <w:r w:rsidRPr="000F297B">
        <w:t xml:space="preserve"> = 2.66, </w:t>
      </w:r>
      <w:r w:rsidRPr="000F297B">
        <w:rPr>
          <w:i/>
        </w:rPr>
        <w:t>SD</w:t>
      </w:r>
      <w:r w:rsidRPr="000F297B">
        <w:t xml:space="preserve"> = 1.43). </w:t>
      </w:r>
      <w:r w:rsidRPr="000F297B">
        <w:lastRenderedPageBreak/>
        <w:t xml:space="preserve">The analysis also showed a significant effect of C1, </w:t>
      </w:r>
      <w:proofErr w:type="gramStart"/>
      <w:r w:rsidRPr="000F297B">
        <w:rPr>
          <w:i/>
        </w:rPr>
        <w:t>F</w:t>
      </w:r>
      <w:r w:rsidRPr="000F297B">
        <w:t>(</w:t>
      </w:r>
      <w:proofErr w:type="gramEnd"/>
      <w:r w:rsidRPr="000F297B">
        <w:t xml:space="preserve">1,268) = 7.59, </w:t>
      </w:r>
      <w:r w:rsidRPr="000F297B">
        <w:rPr>
          <w:i/>
        </w:rPr>
        <w:t>p</w:t>
      </w:r>
      <w:r w:rsidRPr="000F297B">
        <w:t xml:space="preserve"> = .006, η</w:t>
      </w:r>
      <w:r w:rsidRPr="000F297B">
        <w:rPr>
          <w:vertAlign w:val="superscript"/>
        </w:rPr>
        <w:t>2</w:t>
      </w:r>
      <w:r w:rsidRPr="000F297B">
        <w:rPr>
          <w:vertAlign w:val="subscript"/>
        </w:rPr>
        <w:t>p</w:t>
      </w:r>
      <w:r w:rsidRPr="000F297B">
        <w:t xml:space="preserve"> = .028. Perceived </w:t>
      </w:r>
      <w:r>
        <w:t>intergroup differences</w:t>
      </w:r>
      <w:r w:rsidRPr="000F297B">
        <w:t xml:space="preserve"> w</w:t>
      </w:r>
      <w:r>
        <w:t>ere</w:t>
      </w:r>
      <w:r w:rsidRPr="000F297B">
        <w:t xml:space="preserve"> higher in the biological differences condition (</w:t>
      </w:r>
      <w:r w:rsidRPr="000F297B">
        <w:rPr>
          <w:i/>
        </w:rPr>
        <w:t>M</w:t>
      </w:r>
      <w:r w:rsidRPr="000F297B">
        <w:t xml:space="preserve"> = 3.21, </w:t>
      </w:r>
      <w:r w:rsidRPr="000F297B">
        <w:rPr>
          <w:i/>
        </w:rPr>
        <w:t>SD</w:t>
      </w:r>
      <w:r w:rsidRPr="000F297B">
        <w:t xml:space="preserve"> = 1.69) than in the biological similarities (</w:t>
      </w:r>
      <w:r w:rsidRPr="000F297B">
        <w:rPr>
          <w:i/>
        </w:rPr>
        <w:t>M</w:t>
      </w:r>
      <w:r w:rsidRPr="000F297B">
        <w:t xml:space="preserve"> = 2.83, </w:t>
      </w:r>
      <w:r w:rsidRPr="000F297B">
        <w:rPr>
          <w:i/>
        </w:rPr>
        <w:t>SD</w:t>
      </w:r>
      <w:r w:rsidRPr="000F297B">
        <w:t xml:space="preserve"> = 1.45) and control (</w:t>
      </w:r>
      <w:r w:rsidRPr="000F297B">
        <w:rPr>
          <w:i/>
        </w:rPr>
        <w:t>M</w:t>
      </w:r>
      <w:r w:rsidRPr="000F297B">
        <w:t xml:space="preserve"> = 2.72, </w:t>
      </w:r>
      <w:r w:rsidRPr="000F297B">
        <w:rPr>
          <w:i/>
        </w:rPr>
        <w:t>SD</w:t>
      </w:r>
      <w:r w:rsidRPr="000F297B">
        <w:t xml:space="preserve"> = 1.47) conditions. These two last conditions did not differ significantly (C2), </w:t>
      </w:r>
      <w:proofErr w:type="gramStart"/>
      <w:r w:rsidRPr="000F297B">
        <w:rPr>
          <w:i/>
        </w:rPr>
        <w:t>F</w:t>
      </w:r>
      <w:r w:rsidRPr="000F297B">
        <w:t>(</w:t>
      </w:r>
      <w:proofErr w:type="gramEnd"/>
      <w:r w:rsidRPr="000F297B">
        <w:t xml:space="preserve">1,268) = 0.22, </w:t>
      </w:r>
      <w:r w:rsidRPr="000F297B">
        <w:rPr>
          <w:i/>
        </w:rPr>
        <w:t>p</w:t>
      </w:r>
      <w:r w:rsidRPr="000F297B">
        <w:t xml:space="preserve"> = .63, η</w:t>
      </w:r>
      <w:r w:rsidRPr="000F297B">
        <w:rPr>
          <w:vertAlign w:val="superscript"/>
        </w:rPr>
        <w:t>2</w:t>
      </w:r>
      <w:r w:rsidRPr="000F297B">
        <w:rPr>
          <w:vertAlign w:val="subscript"/>
        </w:rPr>
        <w:t>p</w:t>
      </w:r>
      <w:r w:rsidRPr="000F297B">
        <w:t xml:space="preserve"> = .001. No other effects were significant.</w:t>
      </w:r>
      <w:r>
        <w:t xml:space="preserve"> </w:t>
      </w:r>
    </w:p>
    <w:p w14:paraId="7A13D9BE" w14:textId="77777777" w:rsidR="00B03419" w:rsidRDefault="00B03419" w:rsidP="00B03419">
      <w:pPr>
        <w:pStyle w:val="Stylepardfaut"/>
        <w:spacing w:line="480" w:lineRule="auto"/>
        <w:ind w:firstLine="709"/>
      </w:pPr>
      <w:r w:rsidRPr="00C97D0D">
        <w:rPr>
          <w:bCs/>
          <w:i/>
          <w:iCs/>
        </w:rPr>
        <w:t xml:space="preserve">Perceived </w:t>
      </w:r>
      <w:r>
        <w:rPr>
          <w:bCs/>
          <w:i/>
          <w:iCs/>
        </w:rPr>
        <w:t xml:space="preserve">personal </w:t>
      </w:r>
      <w:r w:rsidRPr="00C97D0D">
        <w:rPr>
          <w:bCs/>
          <w:i/>
          <w:iCs/>
        </w:rPr>
        <w:t>similarity</w:t>
      </w:r>
      <w:r w:rsidRPr="000F297B">
        <w:rPr>
          <w:b/>
          <w:i/>
          <w:iCs/>
        </w:rPr>
        <w:t>.</w:t>
      </w:r>
      <w:r w:rsidRPr="00A11E60">
        <w:rPr>
          <w:i/>
          <w:iCs/>
        </w:rPr>
        <w:t xml:space="preserve"> </w:t>
      </w:r>
      <w:r w:rsidRPr="000F297B">
        <w:t xml:space="preserve">The main ANCOVA on perceived similarity </w:t>
      </w:r>
      <w:r>
        <w:t xml:space="preserve">only </w:t>
      </w:r>
      <w:r w:rsidRPr="000F297B">
        <w:t xml:space="preserve">showed a significant main effect of participant’s </w:t>
      </w:r>
      <w:r>
        <w:t>sex</w:t>
      </w:r>
      <w:r w:rsidRPr="000F297B">
        <w:t xml:space="preserve">, </w:t>
      </w:r>
      <w:proofErr w:type="gramStart"/>
      <w:r w:rsidRPr="000F297B">
        <w:rPr>
          <w:i/>
        </w:rPr>
        <w:t>F</w:t>
      </w:r>
      <w:r w:rsidRPr="000F297B">
        <w:t>(</w:t>
      </w:r>
      <w:proofErr w:type="gramEnd"/>
      <w:r w:rsidRPr="000F297B">
        <w:t>1,268) = 21.</w:t>
      </w:r>
      <w:r>
        <w:t>80</w:t>
      </w:r>
      <w:r w:rsidRPr="000F297B">
        <w:t xml:space="preserve">, </w:t>
      </w:r>
      <w:r w:rsidRPr="000F297B">
        <w:rPr>
          <w:i/>
        </w:rPr>
        <w:t>p</w:t>
      </w:r>
      <w:r w:rsidRPr="000F297B">
        <w:t xml:space="preserve"> </w:t>
      </w:r>
      <w:r>
        <w:t>&lt;</w:t>
      </w:r>
      <w:r w:rsidRPr="000F297B">
        <w:t xml:space="preserve"> .001, η</w:t>
      </w:r>
      <w:r w:rsidRPr="000F297B">
        <w:rPr>
          <w:vertAlign w:val="superscript"/>
        </w:rPr>
        <w:t>2</w:t>
      </w:r>
      <w:r w:rsidRPr="000F297B">
        <w:rPr>
          <w:vertAlign w:val="subscript"/>
        </w:rPr>
        <w:t>p</w:t>
      </w:r>
      <w:r w:rsidRPr="000F297B">
        <w:t xml:space="preserve"> = .07</w:t>
      </w:r>
      <w:r>
        <w:t>5</w:t>
      </w:r>
      <w:r w:rsidRPr="000F297B">
        <w:t>. Male participants (</w:t>
      </w:r>
      <w:r w:rsidRPr="000F297B">
        <w:rPr>
          <w:i/>
        </w:rPr>
        <w:t>M</w:t>
      </w:r>
      <w:r w:rsidRPr="000F297B">
        <w:t xml:space="preserve"> = </w:t>
      </w:r>
      <w:r>
        <w:t>4.56</w:t>
      </w:r>
      <w:r w:rsidRPr="000F297B">
        <w:t xml:space="preserve">, </w:t>
      </w:r>
      <w:r w:rsidRPr="000F297B">
        <w:rPr>
          <w:i/>
        </w:rPr>
        <w:t>SD</w:t>
      </w:r>
      <w:r w:rsidRPr="000F297B">
        <w:t xml:space="preserve"> = 1.6</w:t>
      </w:r>
      <w:r>
        <w:t>6</w:t>
      </w:r>
      <w:r w:rsidRPr="000F297B">
        <w:t xml:space="preserve">) perceived </w:t>
      </w:r>
      <w:r>
        <w:t xml:space="preserve">themselves as less </w:t>
      </w:r>
      <w:proofErr w:type="gramStart"/>
      <w:r>
        <w:t>similar to</w:t>
      </w:r>
      <w:proofErr w:type="gramEnd"/>
      <w:r>
        <w:t xml:space="preserve"> gay men than female participants did to lesbian women </w:t>
      </w:r>
      <w:r w:rsidRPr="000F297B">
        <w:t>(</w:t>
      </w:r>
      <w:r w:rsidRPr="000F297B">
        <w:rPr>
          <w:i/>
        </w:rPr>
        <w:t>M</w:t>
      </w:r>
      <w:r w:rsidRPr="000F297B">
        <w:t xml:space="preserve"> = </w:t>
      </w:r>
      <w:r>
        <w:t>5.44</w:t>
      </w:r>
      <w:r w:rsidRPr="000F297B">
        <w:t xml:space="preserve">, </w:t>
      </w:r>
      <w:r w:rsidRPr="000F297B">
        <w:rPr>
          <w:i/>
        </w:rPr>
        <w:t>SD</w:t>
      </w:r>
      <w:r w:rsidRPr="000F297B">
        <w:t xml:space="preserve"> = 1.4</w:t>
      </w:r>
      <w:r>
        <w:t>0</w:t>
      </w:r>
      <w:r w:rsidRPr="000F297B">
        <w:t>). No other effects were significant.</w:t>
      </w:r>
      <w:r>
        <w:t xml:space="preserve"> Thus, these results are not consistent with those observed in Study 1. </w:t>
      </w:r>
    </w:p>
    <w:p w14:paraId="3EB70775" w14:textId="6548E15C" w:rsidR="003B399C" w:rsidRDefault="003B399C" w:rsidP="003B399C">
      <w:pPr>
        <w:pStyle w:val="Stylepardfaut"/>
        <w:spacing w:line="480" w:lineRule="auto"/>
        <w:ind w:firstLine="709"/>
      </w:pPr>
      <w:r>
        <w:t>In sum, regarding these three measures of differentiation, male participants, in contrast to female participants, perceived greater intergroup differences and less personal similarity with gay individuals. Additionally, perceived intergroup differences were higher in the biological differences condition, suggesting that BTSO evidence not only impacts the naturalness dimension of essentialism, but also the discreetness or entitativity dimension</w:t>
      </w:r>
      <w:r w:rsidR="00CD6508">
        <w:t xml:space="preserve"> </w:t>
      </w:r>
      <w:r w:rsidR="00CD6508">
        <w:rPr>
          <w:noProof/>
        </w:rPr>
        <w:t>(Haslam &amp; Levy, 2006)</w:t>
      </w:r>
      <w:r>
        <w:t>. However, this pattern was not moderated by participant’s sex or religiosity, which contrasts with the results observed in Study 1. These findings were unexpected, especially considering the effort made in Study 2 to improve the validity of these scales compared to those used in Study 1.</w:t>
      </w:r>
    </w:p>
    <w:p w14:paraId="3CA4EFA5" w14:textId="3EDAF574" w:rsidR="00D12788" w:rsidRDefault="00B03419" w:rsidP="00BB42E5">
      <w:pPr>
        <w:spacing w:line="480" w:lineRule="auto"/>
        <w:ind w:firstLine="709"/>
      </w:pPr>
      <w:r w:rsidRPr="00355C15">
        <w:rPr>
          <w:b/>
          <w:bCs/>
          <w:i/>
          <w:iCs/>
        </w:rPr>
        <w:t>Dehumanization</w:t>
      </w:r>
      <w:r>
        <w:t xml:space="preserve">. </w:t>
      </w:r>
      <w:r w:rsidR="00BB42E5">
        <w:t>P</w:t>
      </w:r>
      <w:r w:rsidR="00AC19DC">
        <w:t>reliminary exploratory analyses identified 32 outliers on the scores of dehumanization for each group</w:t>
      </w:r>
      <w:r w:rsidR="00D12788">
        <w:t xml:space="preserve">, but we decided not to remove them from the analyses given their </w:t>
      </w:r>
      <w:r w:rsidR="00F0648B">
        <w:t>large frequency</w:t>
      </w:r>
      <w:r w:rsidR="00AC19DC">
        <w:t>. In addition, participants overall attributed more human-related words than animal-related words to both groups, and dehumanization was even lower for gay people (</w:t>
      </w:r>
      <w:r w:rsidR="00AC19DC" w:rsidRPr="000611E9">
        <w:rPr>
          <w:i/>
          <w:iCs/>
        </w:rPr>
        <w:t>M</w:t>
      </w:r>
      <w:r w:rsidR="00AC19DC">
        <w:t xml:space="preserve"> = -3.51, </w:t>
      </w:r>
      <w:r w:rsidR="00AC19DC" w:rsidRPr="000611E9">
        <w:rPr>
          <w:i/>
          <w:iCs/>
        </w:rPr>
        <w:t>SD</w:t>
      </w:r>
      <w:r w:rsidR="00AC19DC">
        <w:t xml:space="preserve"> = 2.66) than for heterosexual people (</w:t>
      </w:r>
      <w:r w:rsidR="00AC19DC" w:rsidRPr="00A058D0">
        <w:rPr>
          <w:i/>
          <w:iCs/>
        </w:rPr>
        <w:t>M</w:t>
      </w:r>
      <w:r w:rsidR="00AC19DC">
        <w:t xml:space="preserve"> = -2.94, </w:t>
      </w:r>
      <w:r w:rsidR="00AC19DC" w:rsidRPr="00A058D0">
        <w:rPr>
          <w:i/>
          <w:iCs/>
        </w:rPr>
        <w:t>SD</w:t>
      </w:r>
      <w:r w:rsidR="00AC19DC">
        <w:t xml:space="preserve"> = 2.52), </w:t>
      </w:r>
      <w:proofErr w:type="gramStart"/>
      <w:r w:rsidR="00AC19DC" w:rsidRPr="00AC19DC">
        <w:rPr>
          <w:i/>
          <w:iCs/>
        </w:rPr>
        <w:t>t</w:t>
      </w:r>
      <w:r w:rsidR="00AC19DC">
        <w:t>(</w:t>
      </w:r>
      <w:proofErr w:type="gramEnd"/>
      <w:r w:rsidR="00AC19DC">
        <w:t xml:space="preserve">279) = 3.75, </w:t>
      </w:r>
      <w:r w:rsidR="00AC19DC" w:rsidRPr="00AC19DC">
        <w:rPr>
          <w:i/>
          <w:iCs/>
        </w:rPr>
        <w:t>p</w:t>
      </w:r>
      <w:r w:rsidR="00AC19DC">
        <w:t xml:space="preserve"> &lt; .001. Furthermore, only 6.1% of participants dehumanized gay people, and only </w:t>
      </w:r>
      <w:r w:rsidR="00AC19DC">
        <w:lastRenderedPageBreak/>
        <w:t xml:space="preserve">15% of participants relatively dehumanized gay people more than heterosexual people. These results could be explained by the fact that this </w:t>
      </w:r>
      <w:r w:rsidR="00F0648B">
        <w:t xml:space="preserve">is measure of </w:t>
      </w:r>
      <w:r w:rsidR="00AC19DC">
        <w:t>dehumanization</w:t>
      </w:r>
      <w:r w:rsidR="00AC7CF0">
        <w:t xml:space="preserve"> is </w:t>
      </w:r>
      <w:r w:rsidR="00F0648B">
        <w:t>likely to be subjected to socially desirable responding effects</w:t>
      </w:r>
      <w:r w:rsidR="002A6294">
        <w:t xml:space="preserve">—i.e., </w:t>
      </w:r>
      <w:r w:rsidR="00F0648B">
        <w:t>participants are likely to be aware of the social norms around sexual orientation being a socially protected group and thus may be unable or unwilling to report explicit dehumanization of this group.</w:t>
      </w:r>
    </w:p>
    <w:p w14:paraId="5F31F1B1" w14:textId="363A75D7" w:rsidR="00DE6404" w:rsidRDefault="00AC19DC" w:rsidP="00D12788">
      <w:pPr>
        <w:pStyle w:val="Stylepardfaut"/>
        <w:spacing w:line="480" w:lineRule="auto"/>
        <w:ind w:firstLine="708"/>
      </w:pPr>
      <w:r>
        <w:t>Despite th</w:t>
      </w:r>
      <w:r w:rsidR="00D12788">
        <w:t>ese</w:t>
      </w:r>
      <w:r>
        <w:t xml:space="preserve"> </w:t>
      </w:r>
      <w:r w:rsidR="00BB42E5">
        <w:t xml:space="preserve">methodological </w:t>
      </w:r>
      <w:r>
        <w:t>concerns,</w:t>
      </w:r>
      <w:r w:rsidR="00D12788">
        <w:t xml:space="preserve"> and for exploratory </w:t>
      </w:r>
      <w:r w:rsidR="00BB42E5">
        <w:t xml:space="preserve">and transparency </w:t>
      </w:r>
      <w:r w:rsidR="00D12788">
        <w:t>purposes, w</w:t>
      </w:r>
      <w:r w:rsidR="009107F3">
        <w:t xml:space="preserve">e conducted the main ANCOVA </w:t>
      </w:r>
      <w:r w:rsidR="00BB42E5">
        <w:t xml:space="preserve">used in Study 2 (main document) </w:t>
      </w:r>
      <w:r w:rsidR="009107F3">
        <w:t xml:space="preserve">on the relative dehumanization of gay people compared to heterosexual people. The interaction between C1 and religious beliefs felt short of significance, </w:t>
      </w:r>
      <w:proofErr w:type="gramStart"/>
      <w:r w:rsidR="00553971">
        <w:rPr>
          <w:i/>
          <w:iCs/>
        </w:rPr>
        <w:t>F</w:t>
      </w:r>
      <w:r w:rsidR="009107F3" w:rsidRPr="000611E9">
        <w:t>(</w:t>
      </w:r>
      <w:proofErr w:type="gramEnd"/>
      <w:r w:rsidR="00553971">
        <w:t>1,</w:t>
      </w:r>
      <w:r w:rsidR="009107F3">
        <w:t xml:space="preserve">268) = </w:t>
      </w:r>
      <w:r w:rsidR="00553971">
        <w:t>3.79</w:t>
      </w:r>
      <w:r w:rsidR="009107F3">
        <w:t xml:space="preserve">, </w:t>
      </w:r>
      <w:r w:rsidR="009107F3" w:rsidRPr="000611E9">
        <w:rPr>
          <w:i/>
          <w:iCs/>
        </w:rPr>
        <w:t>p</w:t>
      </w:r>
      <w:r w:rsidR="009107F3">
        <w:t xml:space="preserve"> = .053, </w:t>
      </w:r>
      <w:r w:rsidR="009107F3" w:rsidRPr="000F297B">
        <w:t>η</w:t>
      </w:r>
      <w:r w:rsidR="009107F3" w:rsidRPr="000F297B">
        <w:rPr>
          <w:vertAlign w:val="superscript"/>
        </w:rPr>
        <w:t>2</w:t>
      </w:r>
      <w:r w:rsidR="009107F3" w:rsidRPr="000F297B">
        <w:rPr>
          <w:vertAlign w:val="subscript"/>
        </w:rPr>
        <w:t>p</w:t>
      </w:r>
      <w:r w:rsidR="009107F3" w:rsidRPr="000F297B">
        <w:t xml:space="preserve"> =</w:t>
      </w:r>
      <w:r w:rsidR="009107F3">
        <w:t xml:space="preserve"> .014, but that the overall interaction between C1, religious beliefs and participant gender was significant, </w:t>
      </w:r>
      <w:r w:rsidR="00553971">
        <w:rPr>
          <w:i/>
          <w:iCs/>
        </w:rPr>
        <w:t>F</w:t>
      </w:r>
      <w:r w:rsidR="009107F3" w:rsidRPr="00A058D0">
        <w:t>(</w:t>
      </w:r>
      <w:r w:rsidR="00553971">
        <w:t>1,</w:t>
      </w:r>
      <w:r w:rsidR="009107F3">
        <w:t xml:space="preserve">268) = </w:t>
      </w:r>
      <w:r w:rsidR="00553971">
        <w:t>3.92</w:t>
      </w:r>
      <w:r w:rsidR="009107F3">
        <w:t xml:space="preserve">, </w:t>
      </w:r>
      <w:r w:rsidR="009107F3" w:rsidRPr="00A058D0">
        <w:rPr>
          <w:i/>
          <w:iCs/>
        </w:rPr>
        <w:t>p</w:t>
      </w:r>
      <w:r w:rsidR="009107F3">
        <w:t xml:space="preserve"> = .048, </w:t>
      </w:r>
      <w:r w:rsidR="009107F3" w:rsidRPr="000F297B">
        <w:t>η</w:t>
      </w:r>
      <w:r w:rsidR="009107F3" w:rsidRPr="000F297B">
        <w:rPr>
          <w:vertAlign w:val="superscript"/>
        </w:rPr>
        <w:t>2</w:t>
      </w:r>
      <w:r w:rsidR="009107F3" w:rsidRPr="000F297B">
        <w:rPr>
          <w:vertAlign w:val="subscript"/>
        </w:rPr>
        <w:t>p</w:t>
      </w:r>
      <w:r w:rsidR="009107F3" w:rsidRPr="000F297B">
        <w:t xml:space="preserve"> =</w:t>
      </w:r>
      <w:r w:rsidR="009107F3">
        <w:t xml:space="preserve"> .014</w:t>
      </w:r>
      <w:r w:rsidR="00586793">
        <w:t xml:space="preserve"> (Figure </w:t>
      </w:r>
      <w:r w:rsidR="008F03B4">
        <w:t>3</w:t>
      </w:r>
      <w:r w:rsidR="00586793">
        <w:t>)</w:t>
      </w:r>
      <w:r w:rsidR="009107F3">
        <w:t xml:space="preserve">. </w:t>
      </w:r>
    </w:p>
    <w:p w14:paraId="3F83A712" w14:textId="5C9E398A" w:rsidR="00DE6404" w:rsidRDefault="00DE6404" w:rsidP="00DE6404">
      <w:pPr>
        <w:spacing w:line="480" w:lineRule="auto"/>
        <w:ind w:right="48"/>
        <w:rPr>
          <w:b/>
          <w:bCs/>
          <w:iCs/>
        </w:rPr>
      </w:pPr>
    </w:p>
    <w:p w14:paraId="0252B0BF" w14:textId="77777777" w:rsidR="00DE6404" w:rsidRDefault="00DE6404" w:rsidP="00DE6404">
      <w:pPr>
        <w:spacing w:line="480" w:lineRule="auto"/>
      </w:pPr>
      <w:r w:rsidRPr="00A11E60">
        <w:rPr>
          <w:noProof/>
          <w:lang w:val="nl-NL" w:eastAsia="zh-CN"/>
        </w:rPr>
        <w:drawing>
          <wp:inline distT="0" distB="0" distL="0" distR="0" wp14:anchorId="497292E2" wp14:editId="285193C2">
            <wp:extent cx="5945505" cy="2594187"/>
            <wp:effectExtent l="0" t="0" r="0" b="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4856AEC" w14:textId="77777777" w:rsidR="008F03B4" w:rsidRPr="00355C15" w:rsidRDefault="008F03B4" w:rsidP="00DE133F">
      <w:pPr>
        <w:spacing w:line="360" w:lineRule="auto"/>
        <w:ind w:right="48"/>
        <w:rPr>
          <w:iCs/>
          <w:sz w:val="20"/>
          <w:szCs w:val="20"/>
        </w:rPr>
      </w:pPr>
      <w:r w:rsidRPr="00355C15">
        <w:rPr>
          <w:b/>
          <w:bCs/>
          <w:iCs/>
          <w:sz w:val="20"/>
          <w:szCs w:val="20"/>
        </w:rPr>
        <w:t xml:space="preserve">Figure 3. </w:t>
      </w:r>
      <w:r w:rsidRPr="00355C15">
        <w:rPr>
          <w:iCs/>
          <w:sz w:val="20"/>
          <w:szCs w:val="20"/>
        </w:rPr>
        <w:t>Predicted values for the relative dehumanization of gay people (as compared to heterosexual people) as a function of religious beliefs (±1SD), biological theory framing and participant gender (Study 2).</w:t>
      </w:r>
    </w:p>
    <w:p w14:paraId="52C399AF" w14:textId="77777777" w:rsidR="00DE6404" w:rsidRDefault="00DE6404" w:rsidP="00D12788">
      <w:pPr>
        <w:pStyle w:val="Stylepardfaut"/>
        <w:spacing w:line="480" w:lineRule="auto"/>
        <w:ind w:firstLine="708"/>
      </w:pPr>
    </w:p>
    <w:p w14:paraId="60568711" w14:textId="46D41F5A" w:rsidR="002C3A76" w:rsidRDefault="009107F3" w:rsidP="00D12788">
      <w:pPr>
        <w:pStyle w:val="Stylepardfaut"/>
        <w:spacing w:line="480" w:lineRule="auto"/>
        <w:ind w:firstLine="708"/>
      </w:pPr>
      <w:r>
        <w:t>No significant effects were observed among female participants</w:t>
      </w:r>
      <w:r w:rsidR="00553971">
        <w:t xml:space="preserve">, </w:t>
      </w:r>
      <w:r w:rsidR="00553971" w:rsidRPr="00553971">
        <w:rPr>
          <w:i/>
          <w:iCs/>
        </w:rPr>
        <w:t>F</w:t>
      </w:r>
      <w:r w:rsidR="00553971">
        <w:t>s</w:t>
      </w:r>
      <w:r w:rsidR="00CA2FE4">
        <w:t xml:space="preserve"> </w:t>
      </w:r>
      <w:r w:rsidR="00553971">
        <w:t xml:space="preserve">&lt; 1.75, </w:t>
      </w:r>
      <w:proofErr w:type="spellStart"/>
      <w:r w:rsidR="00553971" w:rsidRPr="00553971">
        <w:rPr>
          <w:i/>
          <w:iCs/>
        </w:rPr>
        <w:t>p</w:t>
      </w:r>
      <w:r w:rsidR="00553971">
        <w:t>s</w:t>
      </w:r>
      <w:proofErr w:type="spellEnd"/>
      <w:r w:rsidR="00553971">
        <w:t xml:space="preserve"> &gt; .18</w:t>
      </w:r>
      <w:r>
        <w:t xml:space="preserve">. However, among male participants, the interaction between C1 and religious beliefs was significant, </w:t>
      </w:r>
      <w:proofErr w:type="gramStart"/>
      <w:r w:rsidR="007E3680">
        <w:rPr>
          <w:i/>
          <w:iCs/>
        </w:rPr>
        <w:t>F</w:t>
      </w:r>
      <w:r w:rsidRPr="00A058D0">
        <w:t>(</w:t>
      </w:r>
      <w:proofErr w:type="gramEnd"/>
      <w:r w:rsidR="007E3680">
        <w:t>1,</w:t>
      </w:r>
      <w:r>
        <w:t xml:space="preserve">268) = </w:t>
      </w:r>
      <w:r w:rsidR="007E3680">
        <w:t>4.85</w:t>
      </w:r>
      <w:r>
        <w:t xml:space="preserve">, </w:t>
      </w:r>
      <w:r w:rsidRPr="00A058D0">
        <w:rPr>
          <w:i/>
          <w:iCs/>
        </w:rPr>
        <w:t>p</w:t>
      </w:r>
      <w:r>
        <w:t xml:space="preserve"> = .028, </w:t>
      </w:r>
      <w:r w:rsidRPr="000F297B">
        <w:t>η</w:t>
      </w:r>
      <w:r w:rsidRPr="000F297B">
        <w:rPr>
          <w:vertAlign w:val="superscript"/>
        </w:rPr>
        <w:t>2</w:t>
      </w:r>
      <w:r w:rsidRPr="000F297B">
        <w:rPr>
          <w:vertAlign w:val="subscript"/>
        </w:rPr>
        <w:t>p</w:t>
      </w:r>
      <w:r w:rsidRPr="000F297B">
        <w:t xml:space="preserve"> =</w:t>
      </w:r>
      <w:r>
        <w:t xml:space="preserve"> .018. </w:t>
      </w:r>
      <w:r w:rsidRPr="000F297B">
        <w:t xml:space="preserve">Religious beliefs </w:t>
      </w:r>
      <w:r>
        <w:t>tended</w:t>
      </w:r>
      <w:r w:rsidRPr="000F297B">
        <w:t xml:space="preserve"> </w:t>
      </w:r>
      <w:r>
        <w:t xml:space="preserve">to be </w:t>
      </w:r>
      <w:r w:rsidRPr="000F297B">
        <w:t xml:space="preserve">associated </w:t>
      </w:r>
      <w:r w:rsidRPr="00A11E60">
        <w:rPr>
          <w:lang w:bidi="he-IL"/>
        </w:rPr>
        <w:lastRenderedPageBreak/>
        <w:t>with</w:t>
      </w:r>
      <w:r w:rsidRPr="000F297B">
        <w:t xml:space="preserve"> </w:t>
      </w:r>
      <w:r>
        <w:t xml:space="preserve">greater relative dehumanization of gay people </w:t>
      </w:r>
      <w:r w:rsidRPr="000F297B">
        <w:t>in the biological differences condition (</w:t>
      </w:r>
      <w:r w:rsidRPr="000F297B">
        <w:rPr>
          <w:i/>
        </w:rPr>
        <w:t>B</w:t>
      </w:r>
      <w:r w:rsidRPr="000F297B">
        <w:t xml:space="preserve"> = </w:t>
      </w:r>
      <w:r>
        <w:t>1.23</w:t>
      </w:r>
      <w:r w:rsidRPr="000F297B">
        <w:t xml:space="preserve">), </w:t>
      </w:r>
      <w:r w:rsidRPr="000F297B">
        <w:rPr>
          <w:i/>
        </w:rPr>
        <w:t>t</w:t>
      </w:r>
      <w:r w:rsidRPr="000F297B">
        <w:t xml:space="preserve">(268) = </w:t>
      </w:r>
      <w:r>
        <w:t>1.94</w:t>
      </w:r>
      <w:r w:rsidRPr="000F297B">
        <w:t xml:space="preserve">, </w:t>
      </w:r>
      <w:r w:rsidRPr="000F297B">
        <w:rPr>
          <w:i/>
        </w:rPr>
        <w:t>p</w:t>
      </w:r>
      <w:r w:rsidRPr="000F297B">
        <w:t xml:space="preserve"> </w:t>
      </w:r>
      <w:r>
        <w:t>=</w:t>
      </w:r>
      <w:r w:rsidRPr="000F297B">
        <w:t xml:space="preserve"> .0</w:t>
      </w:r>
      <w:r>
        <w:t>53</w:t>
      </w:r>
      <w:r w:rsidRPr="000F297B">
        <w:t>, η</w:t>
      </w:r>
      <w:r w:rsidRPr="000F297B">
        <w:rPr>
          <w:vertAlign w:val="superscript"/>
        </w:rPr>
        <w:t>2</w:t>
      </w:r>
      <w:r w:rsidRPr="000F297B">
        <w:rPr>
          <w:vertAlign w:val="subscript"/>
        </w:rPr>
        <w:t>p</w:t>
      </w:r>
      <w:r w:rsidRPr="000F297B">
        <w:t xml:space="preserve"> = .0</w:t>
      </w:r>
      <w:r>
        <w:t>14</w:t>
      </w:r>
      <w:r w:rsidRPr="000F297B">
        <w:t xml:space="preserve">, </w:t>
      </w:r>
      <w:r>
        <w:t xml:space="preserve">and to a lower relative dehumanization in the control condition </w:t>
      </w:r>
      <w:r w:rsidRPr="000F297B">
        <w:t>(</w:t>
      </w:r>
      <w:r w:rsidRPr="000F297B">
        <w:rPr>
          <w:i/>
        </w:rPr>
        <w:t>B</w:t>
      </w:r>
      <w:r w:rsidRPr="000F297B">
        <w:t xml:space="preserve"> = -.</w:t>
      </w:r>
      <w:r>
        <w:t>77</w:t>
      </w:r>
      <w:r w:rsidRPr="000F297B">
        <w:t xml:space="preserve">), </w:t>
      </w:r>
      <w:r w:rsidRPr="000F297B">
        <w:rPr>
          <w:i/>
        </w:rPr>
        <w:t>t</w:t>
      </w:r>
      <w:r w:rsidRPr="000F297B">
        <w:t>(268) = 1.</w:t>
      </w:r>
      <w:r>
        <w:t>72</w:t>
      </w:r>
      <w:r w:rsidRPr="000F297B">
        <w:t xml:space="preserve">, </w:t>
      </w:r>
      <w:r w:rsidRPr="000F297B">
        <w:rPr>
          <w:i/>
        </w:rPr>
        <w:t>p</w:t>
      </w:r>
      <w:r w:rsidRPr="000F297B">
        <w:t xml:space="preserve"> = .0</w:t>
      </w:r>
      <w:r>
        <w:t>86</w:t>
      </w:r>
      <w:r w:rsidRPr="000F297B">
        <w:t>, η</w:t>
      </w:r>
      <w:r w:rsidRPr="000F297B">
        <w:rPr>
          <w:vertAlign w:val="superscript"/>
        </w:rPr>
        <w:t>2</w:t>
      </w:r>
      <w:r w:rsidRPr="000F297B">
        <w:rPr>
          <w:vertAlign w:val="subscript"/>
        </w:rPr>
        <w:t>p</w:t>
      </w:r>
      <w:r w:rsidRPr="000F297B">
        <w:t xml:space="preserve"> = .01</w:t>
      </w:r>
      <w:r>
        <w:t>1</w:t>
      </w:r>
      <w:r w:rsidRPr="000F297B">
        <w:t xml:space="preserve">, </w:t>
      </w:r>
      <w:r>
        <w:t>but t</w:t>
      </w:r>
      <w:r w:rsidR="00DE6404">
        <w:t>his relationship</w:t>
      </w:r>
      <w:r>
        <w:t xml:space="preserve"> was far from significance in </w:t>
      </w:r>
      <w:r w:rsidRPr="000F297B">
        <w:t xml:space="preserve">the </w:t>
      </w:r>
      <w:r w:rsidR="00DE6404">
        <w:t xml:space="preserve">biological </w:t>
      </w:r>
      <w:r>
        <w:t>similarities</w:t>
      </w:r>
      <w:r w:rsidRPr="000F297B">
        <w:t xml:space="preserve"> condition (</w:t>
      </w:r>
      <w:r w:rsidRPr="000F297B">
        <w:rPr>
          <w:i/>
        </w:rPr>
        <w:t>B</w:t>
      </w:r>
      <w:r w:rsidRPr="000F297B">
        <w:t xml:space="preserve"> = </w:t>
      </w:r>
      <w:r>
        <w:t>.06</w:t>
      </w:r>
      <w:r w:rsidRPr="000F297B">
        <w:t xml:space="preserve">), </w:t>
      </w:r>
      <w:r w:rsidRPr="000F297B">
        <w:rPr>
          <w:i/>
        </w:rPr>
        <w:t>t</w:t>
      </w:r>
      <w:r w:rsidRPr="000F297B">
        <w:t xml:space="preserve">(268) = </w:t>
      </w:r>
      <w:r>
        <w:t>0.12</w:t>
      </w:r>
      <w:r w:rsidRPr="000F297B">
        <w:t xml:space="preserve">, </w:t>
      </w:r>
      <w:r w:rsidRPr="000F297B">
        <w:rPr>
          <w:i/>
        </w:rPr>
        <w:t>p</w:t>
      </w:r>
      <w:r w:rsidRPr="000F297B">
        <w:t xml:space="preserve"> = .</w:t>
      </w:r>
      <w:r>
        <w:t>89</w:t>
      </w:r>
      <w:r w:rsidRPr="000F297B">
        <w:t>, η</w:t>
      </w:r>
      <w:r w:rsidRPr="000F297B">
        <w:rPr>
          <w:vertAlign w:val="superscript"/>
        </w:rPr>
        <w:t>2</w:t>
      </w:r>
      <w:r w:rsidRPr="000F297B">
        <w:rPr>
          <w:vertAlign w:val="subscript"/>
        </w:rPr>
        <w:t>p</w:t>
      </w:r>
      <w:r w:rsidRPr="000F297B">
        <w:t xml:space="preserve"> </w:t>
      </w:r>
      <w:r>
        <w:t>&lt;</w:t>
      </w:r>
      <w:r w:rsidRPr="000F297B">
        <w:t xml:space="preserve"> .0</w:t>
      </w:r>
      <w:r>
        <w:t xml:space="preserve">01. </w:t>
      </w:r>
      <w:r w:rsidR="00DE6404">
        <w:t>We also d</w:t>
      </w:r>
      <w:r w:rsidRPr="002C3A76">
        <w:t>ecompos</w:t>
      </w:r>
      <w:r w:rsidR="00DE6404">
        <w:t>ed</w:t>
      </w:r>
      <w:r w:rsidRPr="002C3A76">
        <w:t xml:space="preserve"> the interaction the other way</w:t>
      </w:r>
      <w:r>
        <w:t xml:space="preserve"> around</w:t>
      </w:r>
      <w:r w:rsidR="00DE6404">
        <w:t>. T</w:t>
      </w:r>
      <w:r>
        <w:t xml:space="preserve">he effect of C1 was significant when religious beliefs were </w:t>
      </w:r>
      <w:r w:rsidR="00DE6404">
        <w:t xml:space="preserve">relatively </w:t>
      </w:r>
      <w:r>
        <w:t>weak</w:t>
      </w:r>
      <w:r w:rsidRPr="000F297B">
        <w:t xml:space="preserve"> (</w:t>
      </w:r>
      <w:r w:rsidR="00DE6404">
        <w:t>-1</w:t>
      </w:r>
      <w:r w:rsidR="00DE6404" w:rsidRPr="00DE6404">
        <w:rPr>
          <w:i/>
          <w:iCs/>
        </w:rPr>
        <w:t>SD</w:t>
      </w:r>
      <w:r w:rsidR="00DE6404">
        <w:t xml:space="preserve">; </w:t>
      </w:r>
      <w:r w:rsidRPr="000F297B">
        <w:rPr>
          <w:i/>
        </w:rPr>
        <w:t>B</w:t>
      </w:r>
      <w:r w:rsidRPr="000F297B">
        <w:t xml:space="preserve"> = </w:t>
      </w:r>
      <w:r>
        <w:t>.57</w:t>
      </w:r>
      <w:r w:rsidRPr="000F297B">
        <w:t xml:space="preserve">), </w:t>
      </w:r>
      <w:proofErr w:type="gramStart"/>
      <w:r w:rsidRPr="000F297B">
        <w:rPr>
          <w:i/>
        </w:rPr>
        <w:t>t</w:t>
      </w:r>
      <w:r w:rsidRPr="000F297B">
        <w:t>(</w:t>
      </w:r>
      <w:proofErr w:type="gramEnd"/>
      <w:r w:rsidRPr="000F297B">
        <w:t>268) = 1.</w:t>
      </w:r>
      <w:r>
        <w:t>97</w:t>
      </w:r>
      <w:r w:rsidRPr="000F297B">
        <w:t xml:space="preserve">, </w:t>
      </w:r>
      <w:r w:rsidRPr="000F297B">
        <w:rPr>
          <w:i/>
        </w:rPr>
        <w:t>p</w:t>
      </w:r>
      <w:r w:rsidRPr="000F297B">
        <w:t xml:space="preserve"> = .0</w:t>
      </w:r>
      <w:r>
        <w:t>5</w:t>
      </w:r>
      <w:r w:rsidRPr="000F297B">
        <w:t>, η</w:t>
      </w:r>
      <w:r w:rsidRPr="000F297B">
        <w:rPr>
          <w:vertAlign w:val="superscript"/>
        </w:rPr>
        <w:t>2</w:t>
      </w:r>
      <w:r w:rsidRPr="000F297B">
        <w:rPr>
          <w:vertAlign w:val="subscript"/>
        </w:rPr>
        <w:t>p</w:t>
      </w:r>
      <w:r w:rsidRPr="000F297B">
        <w:t xml:space="preserve"> = .01</w:t>
      </w:r>
      <w:r>
        <w:t>4</w:t>
      </w:r>
      <w:r w:rsidR="00DE6404">
        <w:t>:</w:t>
      </w:r>
      <w:r>
        <w:t xml:space="preserve"> male participants with low religious beliefs dehumanized gay people (as compared to heterosexual people) to a lesser extent in the biological differences condition, as compared to the biological similarities condition. However, when religious beliefs were strong</w:t>
      </w:r>
      <w:r w:rsidRPr="000F297B">
        <w:t xml:space="preserve"> </w:t>
      </w:r>
      <w:r w:rsidR="00DE6404">
        <w:t>(+1</w:t>
      </w:r>
      <w:r w:rsidR="00DE6404" w:rsidRPr="00DE6404">
        <w:rPr>
          <w:i/>
          <w:iCs/>
        </w:rPr>
        <w:t>SD</w:t>
      </w:r>
      <w:r w:rsidR="00DE6404">
        <w:t xml:space="preserve">) </w:t>
      </w:r>
      <w:r>
        <w:t xml:space="preserve">the effect of C1 was not significant </w:t>
      </w:r>
      <w:r w:rsidRPr="000F297B">
        <w:t>(</w:t>
      </w:r>
      <w:r w:rsidRPr="000F297B">
        <w:rPr>
          <w:i/>
        </w:rPr>
        <w:t>B</w:t>
      </w:r>
      <w:r w:rsidRPr="000F297B">
        <w:t xml:space="preserve"> = </w:t>
      </w:r>
      <w:r>
        <w:t>.49</w:t>
      </w:r>
      <w:r w:rsidRPr="000F297B">
        <w:t xml:space="preserve">), </w:t>
      </w:r>
      <w:proofErr w:type="gramStart"/>
      <w:r w:rsidRPr="000F297B">
        <w:rPr>
          <w:i/>
        </w:rPr>
        <w:t>t</w:t>
      </w:r>
      <w:r w:rsidRPr="000F297B">
        <w:t>(</w:t>
      </w:r>
      <w:proofErr w:type="gramEnd"/>
      <w:r w:rsidRPr="000F297B">
        <w:t>268) = 1.</w:t>
      </w:r>
      <w:r>
        <w:t>47</w:t>
      </w:r>
      <w:r w:rsidRPr="000F297B">
        <w:t xml:space="preserve">, </w:t>
      </w:r>
      <w:r w:rsidRPr="000F297B">
        <w:rPr>
          <w:i/>
        </w:rPr>
        <w:t>p</w:t>
      </w:r>
      <w:r w:rsidRPr="000F297B">
        <w:t xml:space="preserve"> = .</w:t>
      </w:r>
      <w:r>
        <w:t>14</w:t>
      </w:r>
      <w:r w:rsidRPr="000F297B">
        <w:t>, η</w:t>
      </w:r>
      <w:r w:rsidRPr="000F297B">
        <w:rPr>
          <w:vertAlign w:val="superscript"/>
        </w:rPr>
        <w:t>2</w:t>
      </w:r>
      <w:r w:rsidRPr="000F297B">
        <w:rPr>
          <w:vertAlign w:val="subscript"/>
        </w:rPr>
        <w:t>p</w:t>
      </w:r>
      <w:r w:rsidRPr="000F297B">
        <w:t xml:space="preserve"> = .0</w:t>
      </w:r>
      <w:r>
        <w:t xml:space="preserve">08. </w:t>
      </w:r>
    </w:p>
    <w:p w14:paraId="1AC4948D" w14:textId="73D78990" w:rsidR="00586793" w:rsidRDefault="009107F3" w:rsidP="002A6294">
      <w:pPr>
        <w:spacing w:line="480" w:lineRule="auto"/>
        <w:ind w:firstLine="709"/>
      </w:pPr>
      <w:r w:rsidRPr="00F260B8">
        <w:t>Despite these findings are consistent with our predictions, and with the results observed as a function of participant’s gender, the observed effects were relatively weak</w:t>
      </w:r>
      <w:r w:rsidR="00DE6404">
        <w:t xml:space="preserve"> and the measure </w:t>
      </w:r>
      <w:r w:rsidRPr="00F260B8">
        <w:t xml:space="preserve">of </w:t>
      </w:r>
      <w:r w:rsidR="00DE6404">
        <w:t xml:space="preserve">explicit </w:t>
      </w:r>
      <w:r w:rsidRPr="00F260B8">
        <w:t xml:space="preserve">dehumanization </w:t>
      </w:r>
      <w:r w:rsidR="00DE6404">
        <w:t>of</w:t>
      </w:r>
      <w:r w:rsidRPr="00F260B8">
        <w:t xml:space="preserve"> gay people</w:t>
      </w:r>
      <w:r w:rsidR="00DE6404">
        <w:t xml:space="preserve"> had </w:t>
      </w:r>
      <w:r w:rsidR="00FE34AB">
        <w:t xml:space="preserve">important </w:t>
      </w:r>
      <w:r w:rsidR="00DE6404">
        <w:t>methodological limitations</w:t>
      </w:r>
      <w:r w:rsidRPr="00F260B8">
        <w:t>. Therefore, further research is needed to examine more appropriately whether our main hypothesis also generalizes to explicit and implicit measures of dehumanization.</w:t>
      </w:r>
    </w:p>
    <w:p w14:paraId="3E4839A0" w14:textId="77777777" w:rsidR="00C55FC7" w:rsidRDefault="00C55FC7" w:rsidP="00CD6508">
      <w:pPr>
        <w:spacing w:line="480" w:lineRule="auto"/>
        <w:rPr>
          <w:b/>
          <w:bCs/>
        </w:rPr>
      </w:pPr>
    </w:p>
    <w:p w14:paraId="2792C8CD" w14:textId="66574D95" w:rsidR="00CD6508" w:rsidRPr="00CD6508" w:rsidRDefault="00CD6508" w:rsidP="00CD6508">
      <w:pPr>
        <w:spacing w:line="480" w:lineRule="auto"/>
        <w:rPr>
          <w:b/>
          <w:bCs/>
        </w:rPr>
      </w:pPr>
      <w:r w:rsidRPr="00CD6508">
        <w:rPr>
          <w:b/>
          <w:bCs/>
        </w:rPr>
        <w:t>References</w:t>
      </w:r>
    </w:p>
    <w:p w14:paraId="10A66055" w14:textId="2DF4666D" w:rsidR="00C55FC7" w:rsidRPr="00C55FC7" w:rsidRDefault="00C55FC7" w:rsidP="00C55FC7">
      <w:pPr>
        <w:pStyle w:val="Bibliographie1"/>
      </w:pPr>
      <w:r w:rsidRPr="00C55FC7">
        <w:t xml:space="preserve">Dasgupta, N., &amp; Rivera, L. M. (2006). From automatic antigay prejudice to behavior: The moderating role of conscious beliefs about gender and behavioral control. </w:t>
      </w:r>
      <w:r w:rsidRPr="00C55FC7">
        <w:rPr>
          <w:i/>
          <w:iCs/>
        </w:rPr>
        <w:t>Journal of Personality and Social Psychology</w:t>
      </w:r>
      <w:r w:rsidRPr="00C55FC7">
        <w:t xml:space="preserve">, </w:t>
      </w:r>
      <w:r w:rsidRPr="00C55FC7">
        <w:rPr>
          <w:i/>
          <w:iCs/>
        </w:rPr>
        <w:t>91</w:t>
      </w:r>
      <w:r w:rsidRPr="00C55FC7">
        <w:t>(2), 268–280. https://doi.org/10.1037/0022-3514.91.2.268</w:t>
      </w:r>
    </w:p>
    <w:p w14:paraId="59CA5B85" w14:textId="77777777" w:rsidR="00C55FC7" w:rsidRPr="00C55FC7" w:rsidRDefault="00C55FC7" w:rsidP="00C55FC7">
      <w:pPr>
        <w:pStyle w:val="Bibliographie1"/>
      </w:pPr>
      <w:proofErr w:type="spellStart"/>
      <w:r w:rsidRPr="00C55FC7">
        <w:t>Falomir‐Pichastor</w:t>
      </w:r>
      <w:proofErr w:type="spellEnd"/>
      <w:r w:rsidRPr="00C55FC7">
        <w:t xml:space="preserve">, J. M., &amp; Hegarty, P. (2014). Maintaining distinctions under threat: Heterosexual men endorse the biological theory of sexuality when equality is the norm. </w:t>
      </w:r>
      <w:r w:rsidRPr="00C55FC7">
        <w:rPr>
          <w:i/>
          <w:iCs/>
        </w:rPr>
        <w:t>British Journal of Social Psychology</w:t>
      </w:r>
      <w:r w:rsidRPr="00C55FC7">
        <w:t xml:space="preserve">, </w:t>
      </w:r>
      <w:r w:rsidRPr="00C55FC7">
        <w:rPr>
          <w:i/>
          <w:iCs/>
        </w:rPr>
        <w:t>53</w:t>
      </w:r>
      <w:r w:rsidRPr="00C55FC7">
        <w:t>(4), 731–751. https://doi.org/10.1111/bjso.12051</w:t>
      </w:r>
    </w:p>
    <w:p w14:paraId="4325D176" w14:textId="77777777" w:rsidR="00C55FC7" w:rsidRPr="00C55FC7" w:rsidRDefault="00C55FC7" w:rsidP="00C55FC7">
      <w:pPr>
        <w:pStyle w:val="Bibliographie1"/>
      </w:pPr>
      <w:proofErr w:type="spellStart"/>
      <w:r w:rsidRPr="00C55FC7">
        <w:lastRenderedPageBreak/>
        <w:t>Falomir-Pichastor</w:t>
      </w:r>
      <w:proofErr w:type="spellEnd"/>
      <w:r w:rsidRPr="00C55FC7">
        <w:t xml:space="preserve">, J. M., &amp; </w:t>
      </w:r>
      <w:proofErr w:type="spellStart"/>
      <w:r w:rsidRPr="00C55FC7">
        <w:t>Mugny</w:t>
      </w:r>
      <w:proofErr w:type="spellEnd"/>
      <w:r w:rsidRPr="00C55FC7">
        <w:t>, G. (2009). “I’m not gay</w:t>
      </w:r>
      <w:proofErr w:type="gramStart"/>
      <w:r w:rsidRPr="00C55FC7">
        <w:t>. . . .</w:t>
      </w:r>
      <w:proofErr w:type="gramEnd"/>
      <w:r w:rsidRPr="00C55FC7">
        <w:t xml:space="preserve"> I’m a real man!”: Heterosexual Men’s Gender Self-Esteem and Sexual Prejudice. </w:t>
      </w:r>
      <w:r w:rsidRPr="00C55FC7">
        <w:rPr>
          <w:i/>
          <w:iCs/>
        </w:rPr>
        <w:t>Personality and Social Psychology Bulletin</w:t>
      </w:r>
      <w:r w:rsidRPr="00C55FC7">
        <w:t xml:space="preserve">, </w:t>
      </w:r>
      <w:r w:rsidRPr="00C55FC7">
        <w:rPr>
          <w:i/>
          <w:iCs/>
        </w:rPr>
        <w:t>35</w:t>
      </w:r>
      <w:r w:rsidRPr="00C55FC7">
        <w:t>(9), 1233–1243. https://doi.org/10.1177/0146167209338072</w:t>
      </w:r>
    </w:p>
    <w:p w14:paraId="1CE17509" w14:textId="77777777" w:rsidR="00C55FC7" w:rsidRPr="00C55FC7" w:rsidRDefault="00C55FC7" w:rsidP="00C55FC7">
      <w:pPr>
        <w:pStyle w:val="Bibliographie1"/>
      </w:pPr>
      <w:proofErr w:type="spellStart"/>
      <w:r w:rsidRPr="00C55FC7">
        <w:t>Fasoli</w:t>
      </w:r>
      <w:proofErr w:type="spellEnd"/>
      <w:r w:rsidRPr="00C55FC7">
        <w:t xml:space="preserve">, F., Paladino, M. P., </w:t>
      </w:r>
      <w:proofErr w:type="spellStart"/>
      <w:r w:rsidRPr="00C55FC7">
        <w:t>Carnaghi</w:t>
      </w:r>
      <w:proofErr w:type="spellEnd"/>
      <w:r w:rsidRPr="00C55FC7">
        <w:t xml:space="preserve">, A., Jetten, J., Bastian, B., &amp; Bain, P. G. (2016). Not “just words”: Exposure to homophobic epithets leads to dehumanizing and physical distancing from gay men. </w:t>
      </w:r>
      <w:r w:rsidRPr="00C55FC7">
        <w:rPr>
          <w:i/>
          <w:iCs/>
        </w:rPr>
        <w:t>European Journal of Social Psychology</w:t>
      </w:r>
      <w:r w:rsidRPr="00C55FC7">
        <w:t xml:space="preserve">, </w:t>
      </w:r>
      <w:r w:rsidRPr="00C55FC7">
        <w:rPr>
          <w:i/>
          <w:iCs/>
        </w:rPr>
        <w:t>46</w:t>
      </w:r>
      <w:r w:rsidRPr="00C55FC7">
        <w:t>(2), 237–248. https://doi.org/10.1002/ejsp.2148</w:t>
      </w:r>
    </w:p>
    <w:p w14:paraId="10539398" w14:textId="77777777" w:rsidR="00C55FC7" w:rsidRPr="00C55FC7" w:rsidRDefault="00C55FC7" w:rsidP="00C55FC7">
      <w:pPr>
        <w:pStyle w:val="Bibliographie1"/>
      </w:pPr>
      <w:r w:rsidRPr="00C55FC7">
        <w:t xml:space="preserve">Haslam, N., &amp; Levy, S. R. (2006). Essentialist Beliefs About Homosexuality: Structure and Implications for Prejudice. </w:t>
      </w:r>
      <w:r w:rsidRPr="00C55FC7">
        <w:rPr>
          <w:i/>
          <w:iCs/>
        </w:rPr>
        <w:t>Personality and Social Psychology Bulletin</w:t>
      </w:r>
      <w:r w:rsidRPr="00C55FC7">
        <w:t xml:space="preserve">, </w:t>
      </w:r>
      <w:r w:rsidRPr="00C55FC7">
        <w:rPr>
          <w:i/>
          <w:iCs/>
        </w:rPr>
        <w:t>32</w:t>
      </w:r>
      <w:r w:rsidRPr="00C55FC7">
        <w:t>(4), 471–485. https://doi.org/10.1177/0146167205276516</w:t>
      </w:r>
    </w:p>
    <w:p w14:paraId="7151DFF8" w14:textId="77777777" w:rsidR="00C55FC7" w:rsidRPr="00C55FC7" w:rsidRDefault="00C55FC7" w:rsidP="00C55FC7">
      <w:pPr>
        <w:pStyle w:val="Bibliographie1"/>
        <w:rPr>
          <w:lang w:val="fr-FR"/>
        </w:rPr>
      </w:pPr>
      <w:r w:rsidRPr="00C55FC7">
        <w:t xml:space="preserve">Thompson, E. H., &amp; </w:t>
      </w:r>
      <w:proofErr w:type="spellStart"/>
      <w:r w:rsidRPr="00C55FC7">
        <w:t>Pleck</w:t>
      </w:r>
      <w:proofErr w:type="spellEnd"/>
      <w:r w:rsidRPr="00C55FC7">
        <w:t xml:space="preserve">, J. H. (1986). The Structure of Male Role Norms. </w:t>
      </w:r>
      <w:r w:rsidRPr="00C55FC7">
        <w:rPr>
          <w:i/>
          <w:iCs/>
          <w:lang w:val="fr-FR"/>
        </w:rPr>
        <w:t xml:space="preserve">American </w:t>
      </w:r>
      <w:proofErr w:type="spellStart"/>
      <w:r w:rsidRPr="00C55FC7">
        <w:rPr>
          <w:i/>
          <w:iCs/>
          <w:lang w:val="fr-FR"/>
        </w:rPr>
        <w:t>Behavioral</w:t>
      </w:r>
      <w:proofErr w:type="spellEnd"/>
      <w:r w:rsidRPr="00C55FC7">
        <w:rPr>
          <w:i/>
          <w:iCs/>
          <w:lang w:val="fr-FR"/>
        </w:rPr>
        <w:t xml:space="preserve"> </w:t>
      </w:r>
      <w:proofErr w:type="spellStart"/>
      <w:r w:rsidRPr="00C55FC7">
        <w:rPr>
          <w:i/>
          <w:iCs/>
          <w:lang w:val="fr-FR"/>
        </w:rPr>
        <w:t>Scientist</w:t>
      </w:r>
      <w:proofErr w:type="spellEnd"/>
      <w:r w:rsidRPr="00C55FC7">
        <w:rPr>
          <w:lang w:val="fr-FR"/>
        </w:rPr>
        <w:t xml:space="preserve">, </w:t>
      </w:r>
      <w:r w:rsidRPr="00C55FC7">
        <w:rPr>
          <w:i/>
          <w:iCs/>
          <w:lang w:val="fr-FR"/>
        </w:rPr>
        <w:t>29</w:t>
      </w:r>
      <w:r w:rsidRPr="00C55FC7">
        <w:rPr>
          <w:lang w:val="fr-FR"/>
        </w:rPr>
        <w:t>(5), 531–543. https://doi.org/10.1177/000276486029005003</w:t>
      </w:r>
    </w:p>
    <w:p w14:paraId="0B959E7F" w14:textId="48A646BC" w:rsidR="00CD6508" w:rsidRPr="002A6294" w:rsidRDefault="00CD6508" w:rsidP="00140E3A">
      <w:pPr>
        <w:spacing w:line="480" w:lineRule="auto"/>
      </w:pPr>
    </w:p>
    <w:sectPr w:rsidR="00CD6508" w:rsidRPr="002A6294" w:rsidSect="004E3C3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D7AC4" w14:textId="77777777" w:rsidR="00471753" w:rsidRDefault="00471753" w:rsidP="006B0E9D">
      <w:r>
        <w:separator/>
      </w:r>
    </w:p>
  </w:endnote>
  <w:endnote w:type="continuationSeparator" w:id="0">
    <w:p w14:paraId="286E498D" w14:textId="77777777" w:rsidR="00471753" w:rsidRDefault="00471753" w:rsidP="006B0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990F1" w14:textId="77777777" w:rsidR="00471753" w:rsidRDefault="00471753" w:rsidP="006B0E9D">
      <w:r>
        <w:separator/>
      </w:r>
    </w:p>
  </w:footnote>
  <w:footnote w:type="continuationSeparator" w:id="0">
    <w:p w14:paraId="446E99EC" w14:textId="77777777" w:rsidR="00471753" w:rsidRDefault="00471753" w:rsidP="006B0E9D">
      <w:r>
        <w:continuationSeparator/>
      </w:r>
    </w:p>
  </w:footnote>
  <w:footnote w:id="1">
    <w:p w14:paraId="5E979F4D" w14:textId="25BA50A1" w:rsidR="00861F55" w:rsidRPr="007579F5" w:rsidRDefault="00861F55" w:rsidP="00861F55">
      <w:pPr>
        <w:pStyle w:val="Notedebasdepage"/>
        <w:rPr>
          <w:lang w:val="en-US"/>
        </w:rPr>
      </w:pPr>
      <w:r w:rsidRPr="00581B9A">
        <w:rPr>
          <w:rStyle w:val="Appelnotedebasdep"/>
        </w:rPr>
        <w:footnoteRef/>
      </w:r>
      <w:r w:rsidRPr="007579F5">
        <w:rPr>
          <w:lang w:val="en-US"/>
        </w:rPr>
        <w:t xml:space="preserve"> These two master dissertations </w:t>
      </w:r>
      <w:r>
        <w:rPr>
          <w:lang w:val="en-US"/>
        </w:rPr>
        <w:t>were conducted independently</w:t>
      </w:r>
      <w:r w:rsidRPr="007579F5">
        <w:rPr>
          <w:lang w:val="en-US"/>
        </w:rPr>
        <w:t>, had different goals and materials that are beyond the scope of this pilot study</w:t>
      </w:r>
      <w:r>
        <w:rPr>
          <w:lang w:val="en-US"/>
        </w:rPr>
        <w:t xml:space="preserve">, and are not described here. </w:t>
      </w:r>
      <w:r w:rsidR="006F4CFD">
        <w:rPr>
          <w:lang w:val="en-US"/>
        </w:rPr>
        <w:t xml:space="preserve">Therefore, we only describe here the parts of the material that fit the scope of the present research. </w:t>
      </w:r>
      <w:r>
        <w:rPr>
          <w:lang w:val="en-US"/>
        </w:rPr>
        <w:t>M</w:t>
      </w:r>
      <w:r w:rsidRPr="006F2776">
        <w:rPr>
          <w:lang w:val="en-US"/>
        </w:rPr>
        <w:t xml:space="preserve">ore information </w:t>
      </w:r>
      <w:r>
        <w:rPr>
          <w:lang w:val="en-US"/>
        </w:rPr>
        <w:t xml:space="preserve">about these specific goals and materials </w:t>
      </w:r>
      <w:r w:rsidRPr="006F2776">
        <w:rPr>
          <w:lang w:val="en-US"/>
        </w:rPr>
        <w:t>can be obtained from the first author.</w:t>
      </w:r>
    </w:p>
  </w:footnote>
  <w:footnote w:id="2">
    <w:p w14:paraId="4AEC63C8" w14:textId="77777777" w:rsidR="000D43A0" w:rsidRPr="00012B8C" w:rsidRDefault="000D43A0" w:rsidP="000D43A0">
      <w:pPr>
        <w:pStyle w:val="Notedebasdepage"/>
        <w:rPr>
          <w:lang w:val="en-US"/>
        </w:rPr>
      </w:pPr>
      <w:r w:rsidRPr="00581B9A">
        <w:rPr>
          <w:rStyle w:val="Appelnotedebasdep"/>
        </w:rPr>
        <w:footnoteRef/>
      </w:r>
      <w:r w:rsidRPr="00012B8C">
        <w:rPr>
          <w:lang w:val="en-US"/>
        </w:rPr>
        <w:t xml:space="preserve"> We are grateful to Amandine Friedman and Annie Chemla</w:t>
      </w:r>
      <w:r>
        <w:rPr>
          <w:lang w:val="en-US"/>
        </w:rPr>
        <w:t>, who recruited participants in the realm of their master dissertation</w:t>
      </w:r>
      <w:r w:rsidRPr="00012B8C">
        <w:rPr>
          <w:lang w:val="en-US"/>
        </w:rPr>
        <w:t>.</w:t>
      </w:r>
      <w:r>
        <w:rPr>
          <w:lang w:val="en-US"/>
        </w:rPr>
        <w:t xml:space="preserve"> The two studies were conducted separately and independently, and therefore they included different goals and additional materials that are not described here.</w:t>
      </w:r>
    </w:p>
  </w:footnote>
  <w:footnote w:id="3">
    <w:p w14:paraId="69BCC6CC" w14:textId="77777777" w:rsidR="000D43A0" w:rsidRPr="00012B8C" w:rsidRDefault="000D43A0" w:rsidP="000D43A0">
      <w:pPr>
        <w:pStyle w:val="Notedebasdepage"/>
        <w:rPr>
          <w:lang w:val="en-US"/>
        </w:rPr>
      </w:pPr>
      <w:r w:rsidRPr="00581B9A">
        <w:rPr>
          <w:rStyle w:val="Appelnotedebasdep"/>
        </w:rPr>
        <w:footnoteRef/>
      </w:r>
      <w:r w:rsidRPr="00012B8C">
        <w:rPr>
          <w:lang w:val="en-US"/>
        </w:rPr>
        <w:t xml:space="preserve"> The same analysis was also conducted whilst additionally including participant’s gender. Gender main effect was significant,</w:t>
      </w:r>
      <w:r w:rsidRPr="00012B8C">
        <w:rPr>
          <w:i/>
          <w:lang w:val="en-US"/>
        </w:rPr>
        <w:t xml:space="preserve"> F</w:t>
      </w:r>
      <w:r w:rsidRPr="00012B8C">
        <w:rPr>
          <w:lang w:val="en-US"/>
        </w:rPr>
        <w:t xml:space="preserve">(1,176) = 12.39, </w:t>
      </w:r>
      <w:r w:rsidRPr="00012B8C">
        <w:rPr>
          <w:i/>
          <w:lang w:val="en-US"/>
        </w:rPr>
        <w:t>p</w:t>
      </w:r>
      <w:r w:rsidRPr="00012B8C">
        <w:rPr>
          <w:lang w:val="en-US"/>
        </w:rPr>
        <w:t xml:space="preserve"> = .001, </w:t>
      </w:r>
      <w:r w:rsidRPr="00E81CB3">
        <w:t>η</w:t>
      </w:r>
      <w:r w:rsidRPr="00012B8C">
        <w:rPr>
          <w:vertAlign w:val="subscript"/>
          <w:lang w:val="en-US"/>
        </w:rPr>
        <w:t>p</w:t>
      </w:r>
      <w:r w:rsidRPr="00012B8C">
        <w:rPr>
          <w:vertAlign w:val="superscript"/>
          <w:lang w:val="en-US"/>
        </w:rPr>
        <w:t>2</w:t>
      </w:r>
      <w:r w:rsidRPr="00012B8C">
        <w:rPr>
          <w:lang w:val="en-US"/>
        </w:rPr>
        <w:t xml:space="preserve"> = .067, indicating that female participants (</w:t>
      </w:r>
      <w:r w:rsidRPr="00012B8C">
        <w:rPr>
          <w:i/>
          <w:lang w:val="en-US"/>
        </w:rPr>
        <w:t>M</w:t>
      </w:r>
      <w:r w:rsidRPr="00012B8C">
        <w:rPr>
          <w:lang w:val="en-US"/>
        </w:rPr>
        <w:t xml:space="preserve"> = 5.55, </w:t>
      </w:r>
      <w:r w:rsidRPr="00012B8C">
        <w:rPr>
          <w:i/>
          <w:lang w:val="en-US"/>
        </w:rPr>
        <w:t>SD</w:t>
      </w:r>
      <w:r w:rsidRPr="00012B8C">
        <w:rPr>
          <w:lang w:val="en-US"/>
        </w:rPr>
        <w:t xml:space="preserve"> = 1.09) showed more positive attitudes than male participants (</w:t>
      </w:r>
      <w:r w:rsidRPr="00012B8C">
        <w:rPr>
          <w:i/>
          <w:lang w:val="en-US"/>
        </w:rPr>
        <w:t>M</w:t>
      </w:r>
      <w:r w:rsidRPr="00012B8C">
        <w:rPr>
          <w:lang w:val="en-US"/>
        </w:rPr>
        <w:t xml:space="preserve"> = 4.83, </w:t>
      </w:r>
      <w:r w:rsidRPr="00012B8C">
        <w:rPr>
          <w:i/>
          <w:lang w:val="en-US"/>
        </w:rPr>
        <w:t>SD</w:t>
      </w:r>
      <w:r w:rsidRPr="00012B8C">
        <w:rPr>
          <w:lang w:val="en-US"/>
        </w:rPr>
        <w:t xml:space="preserve"> = 1.08). However, </w:t>
      </w:r>
      <w:r>
        <w:rPr>
          <w:lang w:val="en-US"/>
        </w:rPr>
        <w:t>none</w:t>
      </w:r>
      <w:r w:rsidRPr="00012B8C">
        <w:rPr>
          <w:lang w:val="en-US"/>
        </w:rPr>
        <w:t xml:space="preserve"> of the interaction effects including participant’s gender w</w:t>
      </w:r>
      <w:r>
        <w:rPr>
          <w:lang w:val="en-US"/>
        </w:rPr>
        <w:t>ere</w:t>
      </w:r>
      <w:r w:rsidRPr="00012B8C">
        <w:rPr>
          <w:lang w:val="en-US"/>
        </w:rPr>
        <w:t xml:space="preserve"> significant, </w:t>
      </w:r>
      <w:r w:rsidRPr="00012B8C">
        <w:rPr>
          <w:i/>
          <w:lang w:val="en-US"/>
        </w:rPr>
        <w:t>F</w:t>
      </w:r>
      <w:r w:rsidRPr="00012B8C">
        <w:rPr>
          <w:lang w:val="en-US"/>
        </w:rPr>
        <w:t xml:space="preserve">s </w:t>
      </w:r>
      <w:r>
        <w:rPr>
          <w:lang w:val="en-US"/>
        </w:rPr>
        <w:t>&lt;</w:t>
      </w:r>
      <w:r w:rsidRPr="00012B8C">
        <w:rPr>
          <w:lang w:val="en-US"/>
        </w:rPr>
        <w:t xml:space="preserve"> 1.37, </w:t>
      </w:r>
      <w:r w:rsidRPr="00012B8C">
        <w:rPr>
          <w:i/>
          <w:lang w:val="en-US"/>
        </w:rPr>
        <w:t>p</w:t>
      </w:r>
      <w:r w:rsidRPr="00012B8C">
        <w:rPr>
          <w:lang w:val="en-US"/>
        </w:rPr>
        <w:t>s &gt; .24. Given that female participants (</w:t>
      </w:r>
      <w:r w:rsidRPr="0080590A">
        <w:rPr>
          <w:i/>
          <w:iCs/>
          <w:lang w:val="en-US"/>
        </w:rPr>
        <w:t>n</w:t>
      </w:r>
      <w:r>
        <w:rPr>
          <w:i/>
          <w:iCs/>
          <w:lang w:val="en-US"/>
        </w:rPr>
        <w:t xml:space="preserve"> </w:t>
      </w:r>
      <w:r w:rsidRPr="00012B8C">
        <w:rPr>
          <w:lang w:val="en-US"/>
        </w:rPr>
        <w:t xml:space="preserve">= 47) were underrepresented in the present sample, </w:t>
      </w:r>
      <w:r>
        <w:rPr>
          <w:lang w:val="en-US"/>
        </w:rPr>
        <w:t xml:space="preserve">and that analyses including gender as an additional predictor were underpowered, </w:t>
      </w:r>
      <w:r w:rsidRPr="00012B8C">
        <w:rPr>
          <w:lang w:val="en-US"/>
        </w:rPr>
        <w:t>we decided not to take participants gender into consideration</w:t>
      </w:r>
      <w:r>
        <w:rPr>
          <w:lang w:val="en-US"/>
        </w:rPr>
        <w:t xml:space="preserve"> in these analyses</w:t>
      </w:r>
      <w:r w:rsidRPr="00012B8C">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F1E"/>
    <w:multiLevelType w:val="hybridMultilevel"/>
    <w:tmpl w:val="C1B6FB0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ED64A91"/>
    <w:multiLevelType w:val="hybridMultilevel"/>
    <w:tmpl w:val="847AB73A"/>
    <w:lvl w:ilvl="0" w:tplc="040C0011">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3369D0"/>
    <w:multiLevelType w:val="hybridMultilevel"/>
    <w:tmpl w:val="96B87B9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6D37538"/>
    <w:multiLevelType w:val="hybridMultilevel"/>
    <w:tmpl w:val="F4C4C0D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CB21085"/>
    <w:multiLevelType w:val="hybridMultilevel"/>
    <w:tmpl w:val="30BE5D5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67291388">
    <w:abstractNumId w:val="3"/>
  </w:num>
  <w:num w:numId="2" w16cid:durableId="614484823">
    <w:abstractNumId w:val="4"/>
  </w:num>
  <w:num w:numId="3" w16cid:durableId="1801802328">
    <w:abstractNumId w:val="2"/>
  </w:num>
  <w:num w:numId="4" w16cid:durableId="1140537926">
    <w:abstractNumId w:val="0"/>
  </w:num>
  <w:num w:numId="5" w16cid:durableId="2064789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8C2"/>
    <w:rsid w:val="00001649"/>
    <w:rsid w:val="00012B8C"/>
    <w:rsid w:val="00021359"/>
    <w:rsid w:val="0004553A"/>
    <w:rsid w:val="00070778"/>
    <w:rsid w:val="00076F51"/>
    <w:rsid w:val="00085BA6"/>
    <w:rsid w:val="0009314C"/>
    <w:rsid w:val="000A7468"/>
    <w:rsid w:val="000C173F"/>
    <w:rsid w:val="000D43A0"/>
    <w:rsid w:val="000D5344"/>
    <w:rsid w:val="000E3DB6"/>
    <w:rsid w:val="000F0951"/>
    <w:rsid w:val="00103517"/>
    <w:rsid w:val="001039F7"/>
    <w:rsid w:val="00140E3A"/>
    <w:rsid w:val="0014710A"/>
    <w:rsid w:val="001738A1"/>
    <w:rsid w:val="00174D9F"/>
    <w:rsid w:val="00182606"/>
    <w:rsid w:val="00186B38"/>
    <w:rsid w:val="0019060F"/>
    <w:rsid w:val="001A4B6F"/>
    <w:rsid w:val="001B5850"/>
    <w:rsid w:val="001E4C61"/>
    <w:rsid w:val="001F062B"/>
    <w:rsid w:val="00225DEE"/>
    <w:rsid w:val="002309DF"/>
    <w:rsid w:val="00241318"/>
    <w:rsid w:val="0027072E"/>
    <w:rsid w:val="00277966"/>
    <w:rsid w:val="00280009"/>
    <w:rsid w:val="00291A30"/>
    <w:rsid w:val="002A6294"/>
    <w:rsid w:val="002C005B"/>
    <w:rsid w:val="002C3A76"/>
    <w:rsid w:val="002C5463"/>
    <w:rsid w:val="002E08C2"/>
    <w:rsid w:val="002F29B9"/>
    <w:rsid w:val="002F3692"/>
    <w:rsid w:val="002F60A4"/>
    <w:rsid w:val="00317064"/>
    <w:rsid w:val="00355C15"/>
    <w:rsid w:val="00371260"/>
    <w:rsid w:val="00374025"/>
    <w:rsid w:val="003826CC"/>
    <w:rsid w:val="003937C0"/>
    <w:rsid w:val="003B399C"/>
    <w:rsid w:val="003C0745"/>
    <w:rsid w:val="003C0918"/>
    <w:rsid w:val="003C1149"/>
    <w:rsid w:val="003F1054"/>
    <w:rsid w:val="003F7879"/>
    <w:rsid w:val="004014FE"/>
    <w:rsid w:val="00411F64"/>
    <w:rsid w:val="00442C42"/>
    <w:rsid w:val="004471CA"/>
    <w:rsid w:val="00451E05"/>
    <w:rsid w:val="00471753"/>
    <w:rsid w:val="0048481F"/>
    <w:rsid w:val="00485E09"/>
    <w:rsid w:val="004E3C3E"/>
    <w:rsid w:val="004E3FD6"/>
    <w:rsid w:val="004F7913"/>
    <w:rsid w:val="00517841"/>
    <w:rsid w:val="005201BD"/>
    <w:rsid w:val="00525642"/>
    <w:rsid w:val="005269A3"/>
    <w:rsid w:val="00533B7B"/>
    <w:rsid w:val="005472DC"/>
    <w:rsid w:val="00553971"/>
    <w:rsid w:val="00553BE9"/>
    <w:rsid w:val="00555D6A"/>
    <w:rsid w:val="005574FF"/>
    <w:rsid w:val="00581B9A"/>
    <w:rsid w:val="00584CC3"/>
    <w:rsid w:val="00586793"/>
    <w:rsid w:val="0059198B"/>
    <w:rsid w:val="00591BEB"/>
    <w:rsid w:val="005A08CF"/>
    <w:rsid w:val="005A43B5"/>
    <w:rsid w:val="005C738D"/>
    <w:rsid w:val="00611C19"/>
    <w:rsid w:val="00611CEC"/>
    <w:rsid w:val="0062250C"/>
    <w:rsid w:val="0063043A"/>
    <w:rsid w:val="00664185"/>
    <w:rsid w:val="00665E47"/>
    <w:rsid w:val="00675F21"/>
    <w:rsid w:val="00695A94"/>
    <w:rsid w:val="006A61D3"/>
    <w:rsid w:val="006B0E9D"/>
    <w:rsid w:val="006C6E47"/>
    <w:rsid w:val="006D43CB"/>
    <w:rsid w:val="006F16CE"/>
    <w:rsid w:val="006F4CFD"/>
    <w:rsid w:val="00713345"/>
    <w:rsid w:val="00720BCE"/>
    <w:rsid w:val="00721A61"/>
    <w:rsid w:val="0073080D"/>
    <w:rsid w:val="007308D7"/>
    <w:rsid w:val="0075216D"/>
    <w:rsid w:val="007579F5"/>
    <w:rsid w:val="0077544C"/>
    <w:rsid w:val="00784086"/>
    <w:rsid w:val="0078474B"/>
    <w:rsid w:val="007A04B9"/>
    <w:rsid w:val="007B315E"/>
    <w:rsid w:val="007D0088"/>
    <w:rsid w:val="007E3680"/>
    <w:rsid w:val="007E6053"/>
    <w:rsid w:val="007E6232"/>
    <w:rsid w:val="007F1527"/>
    <w:rsid w:val="007F54E3"/>
    <w:rsid w:val="0080590A"/>
    <w:rsid w:val="0081497C"/>
    <w:rsid w:val="0081682D"/>
    <w:rsid w:val="00850FC9"/>
    <w:rsid w:val="00861F55"/>
    <w:rsid w:val="00864621"/>
    <w:rsid w:val="00866A7B"/>
    <w:rsid w:val="0087335D"/>
    <w:rsid w:val="00884C73"/>
    <w:rsid w:val="008A1CD3"/>
    <w:rsid w:val="008D3A18"/>
    <w:rsid w:val="008D5B88"/>
    <w:rsid w:val="008E0C17"/>
    <w:rsid w:val="008E188C"/>
    <w:rsid w:val="008E4B77"/>
    <w:rsid w:val="008F03B4"/>
    <w:rsid w:val="009107F3"/>
    <w:rsid w:val="00913DB7"/>
    <w:rsid w:val="00913F85"/>
    <w:rsid w:val="00922269"/>
    <w:rsid w:val="009379BA"/>
    <w:rsid w:val="00940E7B"/>
    <w:rsid w:val="00940FD2"/>
    <w:rsid w:val="0095579A"/>
    <w:rsid w:val="00961686"/>
    <w:rsid w:val="00995788"/>
    <w:rsid w:val="009A2053"/>
    <w:rsid w:val="009B3194"/>
    <w:rsid w:val="009D7B17"/>
    <w:rsid w:val="009E37CC"/>
    <w:rsid w:val="009E503F"/>
    <w:rsid w:val="009F389F"/>
    <w:rsid w:val="00A14DF5"/>
    <w:rsid w:val="00A17872"/>
    <w:rsid w:val="00A40705"/>
    <w:rsid w:val="00A42183"/>
    <w:rsid w:val="00A43AE0"/>
    <w:rsid w:val="00A6028A"/>
    <w:rsid w:val="00A61CF9"/>
    <w:rsid w:val="00A62D1C"/>
    <w:rsid w:val="00A70FAF"/>
    <w:rsid w:val="00A85CDB"/>
    <w:rsid w:val="00AA0603"/>
    <w:rsid w:val="00AC00FE"/>
    <w:rsid w:val="00AC19DC"/>
    <w:rsid w:val="00AC7CF0"/>
    <w:rsid w:val="00AD17E7"/>
    <w:rsid w:val="00AF07E1"/>
    <w:rsid w:val="00AF497F"/>
    <w:rsid w:val="00B03419"/>
    <w:rsid w:val="00B060BA"/>
    <w:rsid w:val="00B14AC2"/>
    <w:rsid w:val="00B43E65"/>
    <w:rsid w:val="00B4706F"/>
    <w:rsid w:val="00B576C4"/>
    <w:rsid w:val="00B71EB0"/>
    <w:rsid w:val="00BB42E5"/>
    <w:rsid w:val="00BC084B"/>
    <w:rsid w:val="00BE2648"/>
    <w:rsid w:val="00BE5BFA"/>
    <w:rsid w:val="00BF7D78"/>
    <w:rsid w:val="00C07102"/>
    <w:rsid w:val="00C3272F"/>
    <w:rsid w:val="00C53DAA"/>
    <w:rsid w:val="00C542DD"/>
    <w:rsid w:val="00C55FC7"/>
    <w:rsid w:val="00CA2FE4"/>
    <w:rsid w:val="00CC539D"/>
    <w:rsid w:val="00CD5C21"/>
    <w:rsid w:val="00CD6508"/>
    <w:rsid w:val="00CE544C"/>
    <w:rsid w:val="00CE5943"/>
    <w:rsid w:val="00CF6E23"/>
    <w:rsid w:val="00D12788"/>
    <w:rsid w:val="00D157A0"/>
    <w:rsid w:val="00D2040E"/>
    <w:rsid w:val="00D228DC"/>
    <w:rsid w:val="00D24A68"/>
    <w:rsid w:val="00D30288"/>
    <w:rsid w:val="00D3333C"/>
    <w:rsid w:val="00D50D9C"/>
    <w:rsid w:val="00D557A1"/>
    <w:rsid w:val="00D565F1"/>
    <w:rsid w:val="00D66DFD"/>
    <w:rsid w:val="00D77396"/>
    <w:rsid w:val="00D81E31"/>
    <w:rsid w:val="00D953C3"/>
    <w:rsid w:val="00DC3575"/>
    <w:rsid w:val="00DD46E0"/>
    <w:rsid w:val="00DE133F"/>
    <w:rsid w:val="00DE6404"/>
    <w:rsid w:val="00E17861"/>
    <w:rsid w:val="00E178F8"/>
    <w:rsid w:val="00E326BB"/>
    <w:rsid w:val="00E422D8"/>
    <w:rsid w:val="00E517D0"/>
    <w:rsid w:val="00E61592"/>
    <w:rsid w:val="00E91786"/>
    <w:rsid w:val="00EC2399"/>
    <w:rsid w:val="00EC6DDB"/>
    <w:rsid w:val="00ED468D"/>
    <w:rsid w:val="00EE4CCD"/>
    <w:rsid w:val="00EF1C70"/>
    <w:rsid w:val="00F0648B"/>
    <w:rsid w:val="00F260B8"/>
    <w:rsid w:val="00F30111"/>
    <w:rsid w:val="00F73558"/>
    <w:rsid w:val="00F949F6"/>
    <w:rsid w:val="00FD2518"/>
    <w:rsid w:val="00FE1BCB"/>
    <w:rsid w:val="00FE336A"/>
    <w:rsid w:val="00FE34A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D5F62"/>
  <w15:chartTrackingRefBased/>
  <w15:docId w15:val="{934A20C8-3110-9F48-9190-6F118E251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44C"/>
    <w:rPr>
      <w:rFonts w:ascii="Times New Roman" w:eastAsia="Times New Roman" w:hAnsi="Times New Roman" w:cs="Times New Roman"/>
      <w:lang w:val="en-US"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ps">
    <w:name w:val="hps"/>
    <w:basedOn w:val="Policepardfaut"/>
    <w:rsid w:val="002E08C2"/>
  </w:style>
  <w:style w:type="paragraph" w:customStyle="1" w:styleId="Stylepardfaut">
    <w:name w:val="Style par défaut"/>
    <w:rsid w:val="002E08C2"/>
    <w:pPr>
      <w:suppressAutoHyphens/>
    </w:pPr>
    <w:rPr>
      <w:rFonts w:ascii="Times New Roman" w:eastAsia="Times New Roman" w:hAnsi="Times New Roman" w:cs="Times New Roman"/>
      <w:lang w:val="en-US" w:eastAsia="fr-FR"/>
    </w:rPr>
  </w:style>
  <w:style w:type="paragraph" w:styleId="NormalWeb">
    <w:name w:val="Normal (Web)"/>
    <w:basedOn w:val="Normal"/>
    <w:uiPriority w:val="99"/>
    <w:unhideWhenUsed/>
    <w:rsid w:val="00CE5943"/>
    <w:pPr>
      <w:spacing w:before="100" w:beforeAutospacing="1" w:after="100" w:afterAutospacing="1"/>
    </w:pPr>
    <w:rPr>
      <w:lang w:val="fr-CH"/>
    </w:rPr>
  </w:style>
  <w:style w:type="character" w:styleId="Appelnotedebasdep">
    <w:name w:val="footnote reference"/>
    <w:basedOn w:val="Policepardfaut"/>
    <w:rsid w:val="006B0E9D"/>
    <w:rPr>
      <w:vertAlign w:val="superscript"/>
    </w:rPr>
  </w:style>
  <w:style w:type="paragraph" w:styleId="Notedebasdepage">
    <w:name w:val="footnote text"/>
    <w:basedOn w:val="Normal"/>
    <w:link w:val="NotedebasdepageCar"/>
    <w:semiHidden/>
    <w:rsid w:val="006B0E9D"/>
    <w:pPr>
      <w:snapToGrid w:val="0"/>
    </w:pPr>
    <w:rPr>
      <w:sz w:val="20"/>
      <w:szCs w:val="20"/>
      <w:lang w:val="fr-CA"/>
    </w:rPr>
  </w:style>
  <w:style w:type="character" w:customStyle="1" w:styleId="NotedebasdepageCar">
    <w:name w:val="Note de bas de page Car"/>
    <w:basedOn w:val="Policepardfaut"/>
    <w:link w:val="Notedebasdepage"/>
    <w:semiHidden/>
    <w:rsid w:val="006B0E9D"/>
    <w:rPr>
      <w:rFonts w:ascii="Times New Roman" w:eastAsia="Times New Roman" w:hAnsi="Times New Roman" w:cs="Times New Roman"/>
      <w:sz w:val="20"/>
      <w:szCs w:val="20"/>
      <w:lang w:val="fr-CA" w:eastAsia="fr-FR"/>
    </w:rPr>
  </w:style>
  <w:style w:type="character" w:styleId="Marquedecommentaire">
    <w:name w:val="annotation reference"/>
    <w:basedOn w:val="Policepardfaut"/>
    <w:uiPriority w:val="99"/>
    <w:semiHidden/>
    <w:rsid w:val="006B0E9D"/>
    <w:rPr>
      <w:sz w:val="16"/>
      <w:szCs w:val="16"/>
    </w:rPr>
  </w:style>
  <w:style w:type="paragraph" w:styleId="Commentaire">
    <w:name w:val="annotation text"/>
    <w:basedOn w:val="Normal"/>
    <w:link w:val="CommentaireCar"/>
    <w:uiPriority w:val="99"/>
    <w:rsid w:val="006B0E9D"/>
    <w:rPr>
      <w:sz w:val="20"/>
      <w:szCs w:val="20"/>
    </w:rPr>
  </w:style>
  <w:style w:type="character" w:customStyle="1" w:styleId="CommentaireCar">
    <w:name w:val="Commentaire Car"/>
    <w:basedOn w:val="Policepardfaut"/>
    <w:link w:val="Commentaire"/>
    <w:uiPriority w:val="99"/>
    <w:rsid w:val="006B0E9D"/>
    <w:rPr>
      <w:rFonts w:ascii="Times New Roman" w:eastAsia="Times New Roman" w:hAnsi="Times New Roman" w:cs="Times New Roman"/>
      <w:sz w:val="20"/>
      <w:szCs w:val="20"/>
      <w:lang w:val="en-US" w:eastAsia="fr-FR"/>
    </w:rPr>
  </w:style>
  <w:style w:type="character" w:styleId="Numrodepage">
    <w:name w:val="page number"/>
    <w:basedOn w:val="Policepardfaut"/>
    <w:rsid w:val="006B0E9D"/>
  </w:style>
  <w:style w:type="paragraph" w:styleId="Rvision">
    <w:name w:val="Revision"/>
    <w:hidden/>
    <w:uiPriority w:val="99"/>
    <w:semiHidden/>
    <w:rsid w:val="009B3194"/>
    <w:rPr>
      <w:rFonts w:ascii="Times New Roman" w:eastAsia="Times New Roman" w:hAnsi="Times New Roman" w:cs="Times New Roman"/>
      <w:lang w:val="en-US" w:eastAsia="fr-FR"/>
    </w:rPr>
  </w:style>
  <w:style w:type="paragraph" w:styleId="Objetducommentaire">
    <w:name w:val="annotation subject"/>
    <w:basedOn w:val="Commentaire"/>
    <w:next w:val="Commentaire"/>
    <w:link w:val="ObjetducommentaireCar"/>
    <w:uiPriority w:val="99"/>
    <w:semiHidden/>
    <w:unhideWhenUsed/>
    <w:rsid w:val="009B3194"/>
    <w:rPr>
      <w:b/>
      <w:bCs/>
    </w:rPr>
  </w:style>
  <w:style w:type="character" w:customStyle="1" w:styleId="ObjetducommentaireCar">
    <w:name w:val="Objet du commentaire Car"/>
    <w:basedOn w:val="CommentaireCar"/>
    <w:link w:val="Objetducommentaire"/>
    <w:uiPriority w:val="99"/>
    <w:semiHidden/>
    <w:rsid w:val="009B3194"/>
    <w:rPr>
      <w:rFonts w:ascii="Times New Roman" w:eastAsia="Times New Roman" w:hAnsi="Times New Roman" w:cs="Times New Roman"/>
      <w:b/>
      <w:bCs/>
      <w:sz w:val="20"/>
      <w:szCs w:val="20"/>
      <w:lang w:val="en-US" w:eastAsia="fr-FR"/>
    </w:rPr>
  </w:style>
  <w:style w:type="table" w:styleId="Grilledutableau">
    <w:name w:val="Table Grid"/>
    <w:basedOn w:val="TableauNormal"/>
    <w:rsid w:val="00CD5C21"/>
    <w:rPr>
      <w:rFonts w:ascii="Times New Roman" w:eastAsia="Times New Roman" w:hAnsi="Times New Roman" w:cs="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
    <w:name w:val="Body Text Indent"/>
    <w:basedOn w:val="Normal"/>
    <w:link w:val="RetraitcorpsdetexteCar"/>
    <w:semiHidden/>
    <w:unhideWhenUsed/>
    <w:rsid w:val="00CD5C21"/>
    <w:pPr>
      <w:spacing w:after="120"/>
      <w:ind w:left="283"/>
    </w:pPr>
    <w:rPr>
      <w:lang w:val="fr-CH"/>
    </w:rPr>
  </w:style>
  <w:style w:type="character" w:customStyle="1" w:styleId="RetraitcorpsdetexteCar">
    <w:name w:val="Retrait corps de texte Car"/>
    <w:basedOn w:val="Policepardfaut"/>
    <w:link w:val="Retraitcorpsdetexte"/>
    <w:semiHidden/>
    <w:rsid w:val="00CD5C21"/>
    <w:rPr>
      <w:rFonts w:ascii="Times New Roman" w:eastAsia="Times New Roman" w:hAnsi="Times New Roman" w:cs="Times New Roman"/>
      <w:lang w:eastAsia="fr-FR"/>
    </w:rPr>
  </w:style>
  <w:style w:type="paragraph" w:styleId="Paragraphedeliste">
    <w:name w:val="List Paragraph"/>
    <w:basedOn w:val="Normal"/>
    <w:uiPriority w:val="34"/>
    <w:qFormat/>
    <w:rsid w:val="00CD5C21"/>
    <w:pPr>
      <w:ind w:left="720"/>
      <w:contextualSpacing/>
    </w:pPr>
  </w:style>
  <w:style w:type="character" w:customStyle="1" w:styleId="rynqvb">
    <w:name w:val="rynqvb"/>
    <w:basedOn w:val="Policepardfaut"/>
    <w:rsid w:val="002C5463"/>
  </w:style>
  <w:style w:type="paragraph" w:customStyle="1" w:styleId="Bibliographie1">
    <w:name w:val="Bibliographie1"/>
    <w:basedOn w:val="Normal"/>
    <w:link w:val="BibliographyCar"/>
    <w:rsid w:val="00C55FC7"/>
    <w:pPr>
      <w:spacing w:line="480" w:lineRule="auto"/>
      <w:ind w:left="720" w:hanging="720"/>
    </w:pPr>
  </w:style>
  <w:style w:type="character" w:customStyle="1" w:styleId="BibliographyCar">
    <w:name w:val="Bibliography Car"/>
    <w:basedOn w:val="Policepardfaut"/>
    <w:link w:val="Bibliographie1"/>
    <w:rsid w:val="00C55FC7"/>
    <w:rPr>
      <w:rFonts w:ascii="Times New Roman" w:eastAsia="Times New Roman" w:hAnsi="Times New Roman" w:cs="Times New Roman"/>
      <w:lang w:val="en-US" w:eastAsia="fr-FR"/>
    </w:rPr>
  </w:style>
  <w:style w:type="character" w:styleId="Appeldenotedefin">
    <w:name w:val="endnote reference"/>
    <w:basedOn w:val="Policepardfaut"/>
    <w:uiPriority w:val="99"/>
    <w:semiHidden/>
    <w:unhideWhenUsed/>
    <w:rsid w:val="00581B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14135">
      <w:bodyDiv w:val="1"/>
      <w:marLeft w:val="0"/>
      <w:marRight w:val="0"/>
      <w:marTop w:val="0"/>
      <w:marBottom w:val="0"/>
      <w:divBdr>
        <w:top w:val="none" w:sz="0" w:space="0" w:color="auto"/>
        <w:left w:val="none" w:sz="0" w:space="0" w:color="auto"/>
        <w:bottom w:val="none" w:sz="0" w:space="0" w:color="auto"/>
        <w:right w:val="none" w:sz="0" w:space="0" w:color="auto"/>
      </w:divBdr>
      <w:divsChild>
        <w:div w:id="1418480002">
          <w:marLeft w:val="0"/>
          <w:marRight w:val="0"/>
          <w:marTop w:val="0"/>
          <w:marBottom w:val="0"/>
          <w:divBdr>
            <w:top w:val="none" w:sz="0" w:space="0" w:color="auto"/>
            <w:left w:val="none" w:sz="0" w:space="0" w:color="auto"/>
            <w:bottom w:val="none" w:sz="0" w:space="0" w:color="auto"/>
            <w:right w:val="none" w:sz="0" w:space="0" w:color="auto"/>
          </w:divBdr>
          <w:divsChild>
            <w:div w:id="1248811160">
              <w:marLeft w:val="0"/>
              <w:marRight w:val="0"/>
              <w:marTop w:val="0"/>
              <w:marBottom w:val="0"/>
              <w:divBdr>
                <w:top w:val="none" w:sz="0" w:space="0" w:color="auto"/>
                <w:left w:val="none" w:sz="0" w:space="0" w:color="auto"/>
                <w:bottom w:val="none" w:sz="0" w:space="0" w:color="auto"/>
                <w:right w:val="none" w:sz="0" w:space="0" w:color="auto"/>
              </w:divBdr>
              <w:divsChild>
                <w:div w:id="124349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443075">
      <w:bodyDiv w:val="1"/>
      <w:marLeft w:val="0"/>
      <w:marRight w:val="0"/>
      <w:marTop w:val="0"/>
      <w:marBottom w:val="0"/>
      <w:divBdr>
        <w:top w:val="none" w:sz="0" w:space="0" w:color="auto"/>
        <w:left w:val="none" w:sz="0" w:space="0" w:color="auto"/>
        <w:bottom w:val="none" w:sz="0" w:space="0" w:color="auto"/>
        <w:right w:val="none" w:sz="0" w:space="0" w:color="auto"/>
      </w:divBdr>
      <w:divsChild>
        <w:div w:id="1313876884">
          <w:marLeft w:val="0"/>
          <w:marRight w:val="0"/>
          <w:marTop w:val="0"/>
          <w:marBottom w:val="0"/>
          <w:divBdr>
            <w:top w:val="none" w:sz="0" w:space="0" w:color="auto"/>
            <w:left w:val="none" w:sz="0" w:space="0" w:color="auto"/>
            <w:bottom w:val="none" w:sz="0" w:space="0" w:color="auto"/>
            <w:right w:val="none" w:sz="0" w:space="0" w:color="auto"/>
          </w:divBdr>
          <w:divsChild>
            <w:div w:id="1299844202">
              <w:marLeft w:val="0"/>
              <w:marRight w:val="0"/>
              <w:marTop w:val="0"/>
              <w:marBottom w:val="0"/>
              <w:divBdr>
                <w:top w:val="none" w:sz="0" w:space="0" w:color="auto"/>
                <w:left w:val="none" w:sz="0" w:space="0" w:color="auto"/>
                <w:bottom w:val="none" w:sz="0" w:space="0" w:color="auto"/>
                <w:right w:val="none" w:sz="0" w:space="0" w:color="auto"/>
              </w:divBdr>
              <w:divsChild>
                <w:div w:id="113699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Feuille_de_calcul_Microsoft_Excel.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Feuille_de_calcul_Microsoft_Excel1.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Feuille_de_calcul_Microsoft_Excel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9.95801049693847E-2"/>
          <c:y val="0.16183620433287599"/>
          <c:w val="0.72000181916614203"/>
          <c:h val="0.64077541645309599"/>
        </c:manualLayout>
      </c:layout>
      <c:barChart>
        <c:barDir val="col"/>
        <c:grouping val="clustered"/>
        <c:varyColors val="0"/>
        <c:ser>
          <c:idx val="0"/>
          <c:order val="0"/>
          <c:tx>
            <c:strRef>
              <c:f>Feuil1!$B$1</c:f>
              <c:strCache>
                <c:ptCount val="1"/>
                <c:pt idx="0">
                  <c:v>Differences</c:v>
                </c:pt>
              </c:strCache>
            </c:strRef>
          </c:tx>
          <c:spPr>
            <a:solidFill>
              <a:schemeClr val="accent1">
                <a:lumMod val="20000"/>
                <a:lumOff val="80000"/>
              </a:schemeClr>
            </a:solidFill>
            <a:ln>
              <a:solidFill>
                <a:schemeClr val="tx2"/>
              </a:solidFill>
            </a:ln>
          </c:spPr>
          <c:invertIfNegative val="0"/>
          <c:errBars>
            <c:errBarType val="plus"/>
            <c:errValType val="cust"/>
            <c:noEndCap val="0"/>
            <c:plus>
              <c:numRef>
                <c:f>Feuil1!$F$2:$F$5</c:f>
                <c:numCache>
                  <c:formatCode>General</c:formatCode>
                  <c:ptCount val="4"/>
                  <c:pt idx="0">
                    <c:v>1.23</c:v>
                  </c:pt>
                  <c:pt idx="1">
                    <c:v>0.99</c:v>
                  </c:pt>
                  <c:pt idx="2">
                    <c:v>1.51</c:v>
                  </c:pt>
                  <c:pt idx="3">
                    <c:v>1.26</c:v>
                  </c:pt>
                </c:numCache>
              </c:numRef>
            </c:plus>
            <c:minus>
              <c:numLit>
                <c:formatCode>General</c:formatCode>
                <c:ptCount val="1"/>
                <c:pt idx="0">
                  <c:v>1</c:v>
                </c:pt>
              </c:numLit>
            </c:minus>
            <c:spPr>
              <a:ln>
                <a:solidFill>
                  <a:schemeClr val="tx1">
                    <a:alpha val="75000"/>
                  </a:schemeClr>
                </a:solidFill>
              </a:ln>
            </c:spPr>
          </c:errBars>
          <c:cat>
            <c:strRef>
              <c:f>Feuil1!$A$2:$A$5</c:f>
              <c:strCache>
                <c:ptCount val="4"/>
                <c:pt idx="0">
                  <c:v>Catholic</c:v>
                </c:pt>
                <c:pt idx="1">
                  <c:v>Atheist</c:v>
                </c:pt>
                <c:pt idx="2">
                  <c:v>Catholic</c:v>
                </c:pt>
                <c:pt idx="3">
                  <c:v>Atheist</c:v>
                </c:pt>
              </c:strCache>
            </c:strRef>
          </c:cat>
          <c:val>
            <c:numRef>
              <c:f>Feuil1!$B$2:$B$5</c:f>
              <c:numCache>
                <c:formatCode>General</c:formatCode>
                <c:ptCount val="4"/>
                <c:pt idx="0">
                  <c:v>4.55</c:v>
                </c:pt>
                <c:pt idx="1">
                  <c:v>5.47</c:v>
                </c:pt>
                <c:pt idx="2" formatCode="0.00">
                  <c:v>4.1100000000000003</c:v>
                </c:pt>
                <c:pt idx="3">
                  <c:v>3.2</c:v>
                </c:pt>
              </c:numCache>
            </c:numRef>
          </c:val>
          <c:extLst>
            <c:ext xmlns:c16="http://schemas.microsoft.com/office/drawing/2014/chart" uri="{C3380CC4-5D6E-409C-BE32-E72D297353CC}">
              <c16:uniqueId val="{00000000-65F0-1848-8501-88D044C32BA1}"/>
            </c:ext>
          </c:extLst>
        </c:ser>
        <c:ser>
          <c:idx val="1"/>
          <c:order val="1"/>
          <c:tx>
            <c:strRef>
              <c:f>Feuil1!$C$1</c:f>
              <c:strCache>
                <c:ptCount val="1"/>
                <c:pt idx="0">
                  <c:v>Similarities</c:v>
                </c:pt>
              </c:strCache>
            </c:strRef>
          </c:tx>
          <c:spPr>
            <a:solidFill>
              <a:schemeClr val="tx2"/>
            </a:solidFill>
          </c:spPr>
          <c:invertIfNegative val="0"/>
          <c:errBars>
            <c:errBarType val="plus"/>
            <c:errValType val="cust"/>
            <c:noEndCap val="0"/>
            <c:plus>
              <c:numRef>
                <c:f>Feuil1!$G$2:$G$5</c:f>
                <c:numCache>
                  <c:formatCode>General</c:formatCode>
                  <c:ptCount val="4"/>
                  <c:pt idx="0">
                    <c:v>0.93</c:v>
                  </c:pt>
                  <c:pt idx="1">
                    <c:v>1.21</c:v>
                  </c:pt>
                  <c:pt idx="2">
                    <c:v>1.44</c:v>
                  </c:pt>
                  <c:pt idx="3">
                    <c:v>1.67</c:v>
                  </c:pt>
                </c:numCache>
              </c:numRef>
            </c:plus>
            <c:minus>
              <c:numLit>
                <c:formatCode>General</c:formatCode>
                <c:ptCount val="1"/>
                <c:pt idx="0">
                  <c:v>1</c:v>
                </c:pt>
              </c:numLit>
            </c:minus>
            <c:spPr>
              <a:ln>
                <a:solidFill>
                  <a:schemeClr val="tx1">
                    <a:alpha val="75000"/>
                  </a:schemeClr>
                </a:solidFill>
              </a:ln>
            </c:spPr>
          </c:errBars>
          <c:cat>
            <c:strRef>
              <c:f>Feuil1!$A$2:$A$5</c:f>
              <c:strCache>
                <c:ptCount val="4"/>
                <c:pt idx="0">
                  <c:v>Catholic</c:v>
                </c:pt>
                <c:pt idx="1">
                  <c:v>Atheist</c:v>
                </c:pt>
                <c:pt idx="2">
                  <c:v>Catholic</c:v>
                </c:pt>
                <c:pt idx="3">
                  <c:v>Atheist</c:v>
                </c:pt>
              </c:strCache>
            </c:strRef>
          </c:cat>
          <c:val>
            <c:numRef>
              <c:f>Feuil1!$C$2:$C$5</c:f>
              <c:numCache>
                <c:formatCode>General</c:formatCode>
                <c:ptCount val="4"/>
                <c:pt idx="0">
                  <c:v>4.8099999999999996</c:v>
                </c:pt>
                <c:pt idx="1">
                  <c:v>4.97</c:v>
                </c:pt>
                <c:pt idx="2">
                  <c:v>3.5</c:v>
                </c:pt>
                <c:pt idx="3">
                  <c:v>3.99</c:v>
                </c:pt>
              </c:numCache>
            </c:numRef>
          </c:val>
          <c:extLst>
            <c:ext xmlns:c16="http://schemas.microsoft.com/office/drawing/2014/chart" uri="{C3380CC4-5D6E-409C-BE32-E72D297353CC}">
              <c16:uniqueId val="{00000001-65F0-1848-8501-88D044C32BA1}"/>
            </c:ext>
          </c:extLst>
        </c:ser>
        <c:dLbls>
          <c:showLegendKey val="0"/>
          <c:showVal val="0"/>
          <c:showCatName val="0"/>
          <c:showSerName val="0"/>
          <c:showPercent val="0"/>
          <c:showBubbleSize val="0"/>
        </c:dLbls>
        <c:gapWidth val="150"/>
        <c:axId val="2090616808"/>
        <c:axId val="2054890328"/>
      </c:barChart>
      <c:catAx>
        <c:axId val="2090616808"/>
        <c:scaling>
          <c:orientation val="minMax"/>
        </c:scaling>
        <c:delete val="0"/>
        <c:axPos val="b"/>
        <c:title>
          <c:tx>
            <c:rich>
              <a:bodyPr/>
              <a:lstStyle/>
              <a:p>
                <a:pPr>
                  <a:defRPr sz="1200" b="1">
                    <a:latin typeface="Times New Roman"/>
                    <a:cs typeface="Times New Roman"/>
                  </a:defRPr>
                </a:pPr>
                <a:r>
                  <a:rPr lang="fr-FR" sz="1200" b="1">
                    <a:latin typeface="Times New Roman"/>
                    <a:cs typeface="Times New Roman"/>
                  </a:rPr>
                  <a:t>Religiosity</a:t>
                </a:r>
              </a:p>
            </c:rich>
          </c:tx>
          <c:layout>
            <c:manualLayout>
              <c:xMode val="edge"/>
              <c:yMode val="edge"/>
              <c:x val="0.39132834986762943"/>
              <c:y val="0.90182840354293348"/>
            </c:manualLayout>
          </c:layout>
          <c:overlay val="0"/>
        </c:title>
        <c:numFmt formatCode="General"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fr-FR"/>
          </a:p>
        </c:txPr>
        <c:crossAx val="2054890328"/>
        <c:crosses val="autoZero"/>
        <c:auto val="1"/>
        <c:lblAlgn val="ctr"/>
        <c:lblOffset val="100"/>
        <c:noMultiLvlLbl val="0"/>
      </c:catAx>
      <c:valAx>
        <c:axId val="2054890328"/>
        <c:scaling>
          <c:orientation val="minMax"/>
          <c:max val="7"/>
          <c:min val="1"/>
        </c:scaling>
        <c:delete val="0"/>
        <c:axPos val="l"/>
        <c:majorGridlines>
          <c:spPr>
            <a:ln>
              <a:solidFill>
                <a:schemeClr val="bg1">
                  <a:lumMod val="50000"/>
                  <a:alpha val="25000"/>
                </a:schemeClr>
              </a:solidFill>
            </a:ln>
          </c:spPr>
        </c:majorGridlines>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fr-FR"/>
          </a:p>
        </c:txPr>
        <c:crossAx val="2090616808"/>
        <c:crosses val="autoZero"/>
        <c:crossBetween val="between"/>
      </c:valAx>
    </c:plotArea>
    <c:legend>
      <c:legendPos val="r"/>
      <c:layout>
        <c:manualLayout>
          <c:xMode val="edge"/>
          <c:yMode val="edge"/>
          <c:x val="0.83269968628130075"/>
          <c:y val="0.204475142827682"/>
          <c:w val="0.16594171146800588"/>
          <c:h val="0.140096237970254"/>
        </c:manualLayout>
      </c:layout>
      <c:overlay val="0"/>
      <c:txPr>
        <a:bodyPr/>
        <a:lstStyle/>
        <a:p>
          <a:pPr>
            <a:defRPr sz="1200">
              <a:latin typeface="Times New Roman" panose="02020603050405020304" pitchFamily="18" charset="0"/>
              <a:cs typeface="Times New Roman" panose="02020603050405020304" pitchFamily="18" charset="0"/>
            </a:defRPr>
          </a:pPr>
          <a:endParaRPr lang="fr-FR"/>
        </a:p>
      </c:txPr>
    </c:legend>
    <c:plotVisOnly val="1"/>
    <c:dispBlanksAs val="gap"/>
    <c:showDLblsOverMax val="0"/>
  </c:chart>
  <c:spPr>
    <a:ln>
      <a:noFill/>
    </a:ln>
  </c:spPr>
  <c:txPr>
    <a:bodyPr/>
    <a:lstStyle/>
    <a:p>
      <a:pPr>
        <a:defRPr b="0"/>
      </a:pPr>
      <a:endParaRPr lang="fr-F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200" b="1"/>
            </a:pPr>
            <a:r>
              <a:rPr lang="fr-FR" sz="1200" b="1"/>
              <a:t>     TBG&amp;GI                               PIGD</a:t>
            </a:r>
            <a:r>
              <a:rPr lang="fr-FR" sz="1200" b="1" baseline="0"/>
              <a:t>                                PIPS</a:t>
            </a:r>
            <a:endParaRPr lang="fr-FR" sz="1200" b="1"/>
          </a:p>
        </c:rich>
      </c:tx>
      <c:layout>
        <c:manualLayout>
          <c:xMode val="edge"/>
          <c:yMode val="edge"/>
          <c:x val="3.6340675813934908E-2"/>
          <c:y val="3.4706454865832535E-2"/>
        </c:manualLayout>
      </c:layout>
      <c:overlay val="1"/>
    </c:title>
    <c:autoTitleDeleted val="0"/>
    <c:plotArea>
      <c:layout>
        <c:manualLayout>
          <c:layoutTarget val="inner"/>
          <c:xMode val="edge"/>
          <c:yMode val="edge"/>
          <c:x val="3.4797380542107029E-2"/>
          <c:y val="0.123975699638914"/>
          <c:w val="0.76801095954002208"/>
          <c:h val="0.67863571573260695"/>
        </c:manualLayout>
      </c:layout>
      <c:lineChart>
        <c:grouping val="standard"/>
        <c:varyColors val="0"/>
        <c:ser>
          <c:idx val="0"/>
          <c:order val="0"/>
          <c:tx>
            <c:strRef>
              <c:f>Feuil1!$B$1</c:f>
              <c:strCache>
                <c:ptCount val="1"/>
                <c:pt idx="0">
                  <c:v>Differences</c:v>
                </c:pt>
              </c:strCache>
            </c:strRef>
          </c:tx>
          <c:spPr>
            <a:ln w="31750">
              <a:solidFill>
                <a:schemeClr val="tx1"/>
              </a:solidFill>
            </a:ln>
          </c:spPr>
          <c:marker>
            <c:symbol val="none"/>
          </c:marker>
          <c:cat>
            <c:strRef>
              <c:f>Feuil1!$A$2:$A$9</c:f>
              <c:strCache>
                <c:ptCount val="8"/>
                <c:pt idx="0">
                  <c:v>Low</c:v>
                </c:pt>
                <c:pt idx="1">
                  <c:v>High</c:v>
                </c:pt>
                <c:pt idx="3">
                  <c:v>Low</c:v>
                </c:pt>
                <c:pt idx="4">
                  <c:v>High</c:v>
                </c:pt>
                <c:pt idx="6">
                  <c:v>Low</c:v>
                </c:pt>
                <c:pt idx="7">
                  <c:v>High</c:v>
                </c:pt>
              </c:strCache>
            </c:strRef>
          </c:cat>
          <c:val>
            <c:numRef>
              <c:f>Feuil1!$B$2:$B$9</c:f>
              <c:numCache>
                <c:formatCode>General</c:formatCode>
                <c:ptCount val="8"/>
                <c:pt idx="0">
                  <c:v>3.1</c:v>
                </c:pt>
                <c:pt idx="1">
                  <c:v>4.13</c:v>
                </c:pt>
                <c:pt idx="3">
                  <c:v>3.69</c:v>
                </c:pt>
                <c:pt idx="4">
                  <c:v>4.4800000000000004</c:v>
                </c:pt>
                <c:pt idx="6">
                  <c:v>4.34</c:v>
                </c:pt>
                <c:pt idx="7">
                  <c:v>2.87</c:v>
                </c:pt>
              </c:numCache>
            </c:numRef>
          </c:val>
          <c:smooth val="0"/>
          <c:extLst>
            <c:ext xmlns:c16="http://schemas.microsoft.com/office/drawing/2014/chart" uri="{C3380CC4-5D6E-409C-BE32-E72D297353CC}">
              <c16:uniqueId val="{00000000-6F8D-474B-97CC-29EDECC57486}"/>
            </c:ext>
          </c:extLst>
        </c:ser>
        <c:ser>
          <c:idx val="1"/>
          <c:order val="1"/>
          <c:tx>
            <c:strRef>
              <c:f>Feuil1!$C$1</c:f>
              <c:strCache>
                <c:ptCount val="1"/>
                <c:pt idx="0">
                  <c:v>Similarities</c:v>
                </c:pt>
              </c:strCache>
            </c:strRef>
          </c:tx>
          <c:spPr>
            <a:ln w="31750">
              <a:solidFill>
                <a:schemeClr val="tx1"/>
              </a:solidFill>
              <a:prstDash val="sysDash"/>
            </a:ln>
          </c:spPr>
          <c:marker>
            <c:symbol val="none"/>
          </c:marker>
          <c:cat>
            <c:strRef>
              <c:f>Feuil1!$A$2:$A$9</c:f>
              <c:strCache>
                <c:ptCount val="8"/>
                <c:pt idx="0">
                  <c:v>Low</c:v>
                </c:pt>
                <c:pt idx="1">
                  <c:v>High</c:v>
                </c:pt>
                <c:pt idx="3">
                  <c:v>Low</c:v>
                </c:pt>
                <c:pt idx="4">
                  <c:v>High</c:v>
                </c:pt>
                <c:pt idx="6">
                  <c:v>Low</c:v>
                </c:pt>
                <c:pt idx="7">
                  <c:v>High</c:v>
                </c:pt>
              </c:strCache>
            </c:strRef>
          </c:cat>
          <c:val>
            <c:numRef>
              <c:f>Feuil1!$C$2:$C$9</c:f>
              <c:numCache>
                <c:formatCode>General</c:formatCode>
                <c:ptCount val="8"/>
                <c:pt idx="0">
                  <c:v>3.54</c:v>
                </c:pt>
                <c:pt idx="1">
                  <c:v>3.46</c:v>
                </c:pt>
                <c:pt idx="3">
                  <c:v>4.25</c:v>
                </c:pt>
                <c:pt idx="4">
                  <c:v>3.48</c:v>
                </c:pt>
                <c:pt idx="6">
                  <c:v>4.08</c:v>
                </c:pt>
                <c:pt idx="7">
                  <c:v>4.47</c:v>
                </c:pt>
              </c:numCache>
            </c:numRef>
          </c:val>
          <c:smooth val="0"/>
          <c:extLst>
            <c:ext xmlns:c16="http://schemas.microsoft.com/office/drawing/2014/chart" uri="{C3380CC4-5D6E-409C-BE32-E72D297353CC}">
              <c16:uniqueId val="{00000001-6F8D-474B-97CC-29EDECC57486}"/>
            </c:ext>
          </c:extLst>
        </c:ser>
        <c:dLbls>
          <c:showLegendKey val="0"/>
          <c:showVal val="0"/>
          <c:showCatName val="0"/>
          <c:showSerName val="0"/>
          <c:showPercent val="0"/>
          <c:showBubbleSize val="0"/>
        </c:dLbls>
        <c:smooth val="0"/>
        <c:axId val="143416704"/>
        <c:axId val="145447168"/>
      </c:lineChart>
      <c:catAx>
        <c:axId val="143416704"/>
        <c:scaling>
          <c:orientation val="minMax"/>
        </c:scaling>
        <c:delete val="0"/>
        <c:axPos val="b"/>
        <c:title>
          <c:tx>
            <c:rich>
              <a:bodyPr/>
              <a:lstStyle/>
              <a:p>
                <a:pPr>
                  <a:defRPr/>
                </a:pPr>
                <a:r>
                  <a:rPr lang="fr-FR"/>
                  <a:t>Religiosity</a:t>
                </a:r>
              </a:p>
            </c:rich>
          </c:tx>
          <c:layout>
            <c:manualLayout>
              <c:xMode val="edge"/>
              <c:yMode val="edge"/>
              <c:x val="0.35097109386806458"/>
              <c:y val="0.92650742954319465"/>
            </c:manualLayout>
          </c:layout>
          <c:overlay val="0"/>
        </c:title>
        <c:numFmt formatCode="General" sourceLinked="0"/>
        <c:majorTickMark val="out"/>
        <c:minorTickMark val="none"/>
        <c:tickLblPos val="nextTo"/>
        <c:txPr>
          <a:bodyPr/>
          <a:lstStyle/>
          <a:p>
            <a:pPr>
              <a:defRPr sz="1000"/>
            </a:pPr>
            <a:endParaRPr lang="fr-FR"/>
          </a:p>
        </c:txPr>
        <c:crossAx val="145447168"/>
        <c:crosses val="autoZero"/>
        <c:auto val="1"/>
        <c:lblAlgn val="ctr"/>
        <c:lblOffset val="100"/>
        <c:noMultiLvlLbl val="0"/>
      </c:catAx>
      <c:valAx>
        <c:axId val="145447168"/>
        <c:scaling>
          <c:orientation val="minMax"/>
          <c:max val="7"/>
          <c:min val="1"/>
        </c:scaling>
        <c:delete val="0"/>
        <c:axPos val="l"/>
        <c:majorGridlines>
          <c:spPr>
            <a:ln>
              <a:solidFill>
                <a:schemeClr val="bg1">
                  <a:lumMod val="50000"/>
                  <a:alpha val="25000"/>
                </a:schemeClr>
              </a:solidFill>
            </a:ln>
          </c:spPr>
        </c:majorGridlines>
        <c:numFmt formatCode="General" sourceLinked="1"/>
        <c:majorTickMark val="out"/>
        <c:minorTickMark val="none"/>
        <c:tickLblPos val="nextTo"/>
        <c:txPr>
          <a:bodyPr/>
          <a:lstStyle/>
          <a:p>
            <a:pPr>
              <a:defRPr sz="800"/>
            </a:pPr>
            <a:endParaRPr lang="fr-FR"/>
          </a:p>
        </c:txPr>
        <c:crossAx val="143416704"/>
        <c:crosses val="autoZero"/>
        <c:crossBetween val="between"/>
      </c:valAx>
    </c:plotArea>
    <c:legend>
      <c:legendPos val="r"/>
      <c:layout>
        <c:manualLayout>
          <c:xMode val="edge"/>
          <c:yMode val="edge"/>
          <c:x val="0.8026892585238764"/>
          <c:y val="0.13729262455284472"/>
          <c:w val="0.19731074147612357"/>
          <c:h val="0.15685570087925657"/>
        </c:manualLayout>
      </c:layout>
      <c:overlay val="0"/>
      <c:txPr>
        <a:bodyPr/>
        <a:lstStyle/>
        <a:p>
          <a:pPr>
            <a:defRPr sz="1000"/>
          </a:pPr>
          <a:endParaRPr lang="fr-FR"/>
        </a:p>
      </c:txPr>
    </c:legend>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fr-FR"/>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200"/>
            </a:pPr>
            <a:r>
              <a:rPr lang="fr-FR" sz="1200"/>
              <a:t>Women                                                   Men</a:t>
            </a:r>
          </a:p>
        </c:rich>
      </c:tx>
      <c:layout>
        <c:manualLayout>
          <c:xMode val="edge"/>
          <c:yMode val="edge"/>
          <c:x val="0.17765673395279291"/>
          <c:y val="5.6167638798876644E-2"/>
        </c:manualLayout>
      </c:layout>
      <c:overlay val="1"/>
    </c:title>
    <c:autoTitleDeleted val="0"/>
    <c:plotArea>
      <c:layout>
        <c:manualLayout>
          <c:layoutTarget val="inner"/>
          <c:xMode val="edge"/>
          <c:yMode val="edge"/>
          <c:x val="9.4607334724467404E-2"/>
          <c:y val="0.123975699638914"/>
          <c:w val="0.66120758011189995"/>
          <c:h val="0.67863571573260695"/>
        </c:manualLayout>
      </c:layout>
      <c:lineChart>
        <c:grouping val="standard"/>
        <c:varyColors val="0"/>
        <c:ser>
          <c:idx val="0"/>
          <c:order val="0"/>
          <c:tx>
            <c:strRef>
              <c:f>Feuil1!$B$1</c:f>
              <c:strCache>
                <c:ptCount val="1"/>
                <c:pt idx="0">
                  <c:v>Differences</c:v>
                </c:pt>
              </c:strCache>
            </c:strRef>
          </c:tx>
          <c:spPr>
            <a:ln w="31750">
              <a:solidFill>
                <a:schemeClr val="tx1"/>
              </a:solidFill>
            </a:ln>
          </c:spPr>
          <c:marker>
            <c:symbol val="none"/>
          </c:marker>
          <c:cat>
            <c:strRef>
              <c:f>Feuil1!$A$2:$A$6</c:f>
              <c:strCache>
                <c:ptCount val="5"/>
                <c:pt idx="0">
                  <c:v>Low</c:v>
                </c:pt>
                <c:pt idx="1">
                  <c:v>High</c:v>
                </c:pt>
                <c:pt idx="3">
                  <c:v>Low</c:v>
                </c:pt>
                <c:pt idx="4">
                  <c:v>High</c:v>
                </c:pt>
              </c:strCache>
            </c:strRef>
          </c:cat>
          <c:val>
            <c:numRef>
              <c:f>Feuil1!$B$2:$B$6</c:f>
              <c:numCache>
                <c:formatCode>General</c:formatCode>
                <c:ptCount val="5"/>
                <c:pt idx="0">
                  <c:v>-0.34</c:v>
                </c:pt>
                <c:pt idx="1">
                  <c:v>-0.48</c:v>
                </c:pt>
                <c:pt idx="3">
                  <c:v>-1.43</c:v>
                </c:pt>
                <c:pt idx="4">
                  <c:v>1.03</c:v>
                </c:pt>
              </c:numCache>
            </c:numRef>
          </c:val>
          <c:smooth val="0"/>
          <c:extLst>
            <c:ext xmlns:c16="http://schemas.microsoft.com/office/drawing/2014/chart" uri="{C3380CC4-5D6E-409C-BE32-E72D297353CC}">
              <c16:uniqueId val="{00000000-9A7D-004D-9E28-570F4D24BEB2}"/>
            </c:ext>
          </c:extLst>
        </c:ser>
        <c:ser>
          <c:idx val="1"/>
          <c:order val="1"/>
          <c:tx>
            <c:strRef>
              <c:f>Feuil1!$C$1</c:f>
              <c:strCache>
                <c:ptCount val="1"/>
                <c:pt idx="0">
                  <c:v>Similarities</c:v>
                </c:pt>
              </c:strCache>
            </c:strRef>
          </c:tx>
          <c:spPr>
            <a:ln w="31750">
              <a:solidFill>
                <a:schemeClr val="tx1"/>
              </a:solidFill>
              <a:prstDash val="dash"/>
            </a:ln>
          </c:spPr>
          <c:marker>
            <c:symbol val="none"/>
          </c:marker>
          <c:cat>
            <c:strRef>
              <c:f>Feuil1!$A$2:$A$6</c:f>
              <c:strCache>
                <c:ptCount val="5"/>
                <c:pt idx="0">
                  <c:v>Low</c:v>
                </c:pt>
                <c:pt idx="1">
                  <c:v>High</c:v>
                </c:pt>
                <c:pt idx="3">
                  <c:v>Low</c:v>
                </c:pt>
                <c:pt idx="4">
                  <c:v>High</c:v>
                </c:pt>
              </c:strCache>
            </c:strRef>
          </c:cat>
          <c:val>
            <c:numRef>
              <c:f>Feuil1!$C$2:$C$6</c:f>
              <c:numCache>
                <c:formatCode>General</c:formatCode>
                <c:ptCount val="5"/>
                <c:pt idx="0">
                  <c:v>-1.1599999999999999</c:v>
                </c:pt>
                <c:pt idx="1">
                  <c:v>-0.69</c:v>
                </c:pt>
                <c:pt idx="3">
                  <c:v>-0.34</c:v>
                </c:pt>
                <c:pt idx="4">
                  <c:v>-0.21</c:v>
                </c:pt>
              </c:numCache>
            </c:numRef>
          </c:val>
          <c:smooth val="0"/>
          <c:extLst>
            <c:ext xmlns:c16="http://schemas.microsoft.com/office/drawing/2014/chart" uri="{C3380CC4-5D6E-409C-BE32-E72D297353CC}">
              <c16:uniqueId val="{00000001-9A7D-004D-9E28-570F4D24BEB2}"/>
            </c:ext>
          </c:extLst>
        </c:ser>
        <c:ser>
          <c:idx val="2"/>
          <c:order val="2"/>
          <c:tx>
            <c:strRef>
              <c:f>Feuil1!$D$1</c:f>
              <c:strCache>
                <c:ptCount val="1"/>
                <c:pt idx="0">
                  <c:v>Control</c:v>
                </c:pt>
              </c:strCache>
            </c:strRef>
          </c:tx>
          <c:spPr>
            <a:ln>
              <a:solidFill>
                <a:schemeClr val="tx1"/>
              </a:solidFill>
              <a:prstDash val="sysDot"/>
            </a:ln>
          </c:spPr>
          <c:marker>
            <c:symbol val="none"/>
          </c:marker>
          <c:cat>
            <c:strRef>
              <c:f>Feuil1!$A$2:$A$6</c:f>
              <c:strCache>
                <c:ptCount val="5"/>
                <c:pt idx="0">
                  <c:v>Low</c:v>
                </c:pt>
                <c:pt idx="1">
                  <c:v>High</c:v>
                </c:pt>
                <c:pt idx="3">
                  <c:v>Low</c:v>
                </c:pt>
                <c:pt idx="4">
                  <c:v>High</c:v>
                </c:pt>
              </c:strCache>
            </c:strRef>
          </c:cat>
          <c:val>
            <c:numRef>
              <c:f>Feuil1!$D$2:$D$6</c:f>
              <c:numCache>
                <c:formatCode>General</c:formatCode>
                <c:ptCount val="5"/>
                <c:pt idx="0">
                  <c:v>-0.56000000000000005</c:v>
                </c:pt>
                <c:pt idx="1">
                  <c:v>-1.27</c:v>
                </c:pt>
                <c:pt idx="3">
                  <c:v>0.89</c:v>
                </c:pt>
                <c:pt idx="4">
                  <c:v>-0.66</c:v>
                </c:pt>
              </c:numCache>
            </c:numRef>
          </c:val>
          <c:smooth val="0"/>
          <c:extLst>
            <c:ext xmlns:c16="http://schemas.microsoft.com/office/drawing/2014/chart" uri="{C3380CC4-5D6E-409C-BE32-E72D297353CC}">
              <c16:uniqueId val="{00000002-9A7D-004D-9E28-570F4D24BEB2}"/>
            </c:ext>
          </c:extLst>
        </c:ser>
        <c:dLbls>
          <c:showLegendKey val="0"/>
          <c:showVal val="0"/>
          <c:showCatName val="0"/>
          <c:showSerName val="0"/>
          <c:showPercent val="0"/>
          <c:showBubbleSize val="0"/>
        </c:dLbls>
        <c:smooth val="0"/>
        <c:axId val="171199872"/>
        <c:axId val="171403904"/>
      </c:lineChart>
      <c:catAx>
        <c:axId val="171199872"/>
        <c:scaling>
          <c:orientation val="minMax"/>
        </c:scaling>
        <c:delete val="0"/>
        <c:axPos val="b"/>
        <c:title>
          <c:tx>
            <c:rich>
              <a:bodyPr/>
              <a:lstStyle/>
              <a:p>
                <a:pPr>
                  <a:defRPr/>
                </a:pPr>
                <a:r>
                  <a:rPr lang="fr-FR"/>
                  <a:t>Religious beliefs</a:t>
                </a:r>
              </a:p>
            </c:rich>
          </c:tx>
          <c:layout>
            <c:manualLayout>
              <c:xMode val="edge"/>
              <c:yMode val="edge"/>
              <c:x val="0.33262304884109922"/>
              <c:y val="0.9265074853329659"/>
            </c:manualLayout>
          </c:layout>
          <c:overlay val="0"/>
        </c:title>
        <c:numFmt formatCode="General" sourceLinked="0"/>
        <c:majorTickMark val="out"/>
        <c:minorTickMark val="none"/>
        <c:tickLblPos val="nextTo"/>
        <c:crossAx val="171403904"/>
        <c:crossesAt val="-3"/>
        <c:auto val="1"/>
        <c:lblAlgn val="ctr"/>
        <c:lblOffset val="100"/>
        <c:noMultiLvlLbl val="0"/>
      </c:catAx>
      <c:valAx>
        <c:axId val="171403904"/>
        <c:scaling>
          <c:orientation val="minMax"/>
          <c:max val="3"/>
          <c:min val="-3"/>
        </c:scaling>
        <c:delete val="0"/>
        <c:axPos val="l"/>
        <c:majorGridlines>
          <c:spPr>
            <a:ln>
              <a:solidFill>
                <a:schemeClr val="bg1">
                  <a:lumMod val="50000"/>
                  <a:alpha val="25000"/>
                </a:schemeClr>
              </a:solidFill>
            </a:ln>
          </c:spPr>
        </c:majorGridlines>
        <c:title>
          <c:tx>
            <c:rich>
              <a:bodyPr/>
              <a:lstStyle/>
              <a:p>
                <a:pPr>
                  <a:defRPr sz="1050" b="0"/>
                </a:pPr>
                <a:r>
                  <a:rPr lang="fr-FR" sz="1050" b="0"/>
                  <a:t>Relative dehumanization of gay people</a:t>
                </a:r>
              </a:p>
            </c:rich>
          </c:tx>
          <c:layout>
            <c:manualLayout>
              <c:xMode val="edge"/>
              <c:yMode val="edge"/>
              <c:x val="5.4745559880952088E-3"/>
              <c:y val="8.6544520566580879E-2"/>
            </c:manualLayout>
          </c:layout>
          <c:overlay val="0"/>
        </c:title>
        <c:numFmt formatCode="General" sourceLinked="1"/>
        <c:majorTickMark val="out"/>
        <c:minorTickMark val="none"/>
        <c:tickLblPos val="nextTo"/>
        <c:txPr>
          <a:bodyPr/>
          <a:lstStyle/>
          <a:p>
            <a:pPr>
              <a:defRPr sz="800"/>
            </a:pPr>
            <a:endParaRPr lang="fr-FR"/>
          </a:p>
        </c:txPr>
        <c:crossAx val="171199872"/>
        <c:crosses val="autoZero"/>
        <c:crossBetween val="between"/>
      </c:valAx>
    </c:plotArea>
    <c:legend>
      <c:legendPos val="r"/>
      <c:layout>
        <c:manualLayout>
          <c:xMode val="edge"/>
          <c:yMode val="edge"/>
          <c:x val="0.75996790852921658"/>
          <c:y val="0.14161321215275829"/>
          <c:w val="0.19962694506185766"/>
          <c:h val="0.17485962342847131"/>
        </c:manualLayout>
      </c:layout>
      <c:overlay val="0"/>
    </c:legend>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fr-FR"/>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0.82013</cdr:x>
      <cdr:y>0.07155</cdr:y>
    </cdr:from>
    <cdr:to>
      <cdr:x>0.9868</cdr:x>
      <cdr:y>0.21441</cdr:y>
    </cdr:to>
    <cdr:sp macro="" textlink="">
      <cdr:nvSpPr>
        <cdr:cNvPr id="2" name="Zone de texte 1"/>
        <cdr:cNvSpPr txBox="1"/>
      </cdr:nvSpPr>
      <cdr:spPr>
        <a:xfrm xmlns:a="http://schemas.openxmlformats.org/drawingml/2006/main">
          <a:off x="4688628" y="239395"/>
          <a:ext cx="952837" cy="4779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fr-FR" sz="1200" b="1">
              <a:latin typeface="Times New Roman"/>
              <a:cs typeface="Times New Roman"/>
            </a:rPr>
            <a:t>Biological</a:t>
          </a:r>
          <a:r>
            <a:rPr lang="fr-FR" sz="1200" b="1" baseline="0">
              <a:latin typeface="Times New Roman"/>
              <a:cs typeface="Times New Roman"/>
            </a:rPr>
            <a:t> theory</a:t>
          </a:r>
          <a:endParaRPr lang="fr-FR" sz="1200" b="1">
            <a:latin typeface="Times New Roman"/>
            <a:cs typeface="Times New Roman"/>
          </a:endParaRPr>
        </a:p>
      </cdr:txBody>
    </cdr:sp>
  </cdr:relSizeAnchor>
  <cdr:relSizeAnchor xmlns:cdr="http://schemas.openxmlformats.org/drawingml/2006/chartDrawing">
    <cdr:from>
      <cdr:x>0.3203</cdr:x>
      <cdr:y>0</cdr:y>
    </cdr:from>
    <cdr:to>
      <cdr:x>0.48697</cdr:x>
      <cdr:y>0.14286</cdr:y>
    </cdr:to>
    <cdr:sp macro="" textlink="">
      <cdr:nvSpPr>
        <cdr:cNvPr id="3" name="Zone de texte 1"/>
        <cdr:cNvSpPr txBox="1"/>
      </cdr:nvSpPr>
      <cdr:spPr>
        <a:xfrm xmlns:a="http://schemas.openxmlformats.org/drawingml/2006/main">
          <a:off x="1831128" y="-3649133"/>
          <a:ext cx="952817" cy="457200"/>
        </a:xfrm>
        <a:prstGeom xmlns:a="http://schemas.openxmlformats.org/drawingml/2006/main" prst="rect">
          <a:avLst/>
        </a:prstGeom>
      </cdr:spPr>
    </cdr:sp>
  </cdr:relSizeAnchor>
  <cdr:relSizeAnchor xmlns:cdr="http://schemas.openxmlformats.org/drawingml/2006/chartDrawing">
    <cdr:from>
      <cdr:x>0.02431</cdr:x>
      <cdr:y>0.07183</cdr:y>
    </cdr:from>
    <cdr:to>
      <cdr:x>0.81893</cdr:x>
      <cdr:y>0.17202</cdr:y>
    </cdr:to>
    <cdr:sp macro="" textlink="">
      <cdr:nvSpPr>
        <cdr:cNvPr id="4" name="Zone de texte 3"/>
        <cdr:cNvSpPr txBox="1"/>
      </cdr:nvSpPr>
      <cdr:spPr>
        <a:xfrm xmlns:a="http://schemas.openxmlformats.org/drawingml/2006/main">
          <a:off x="138990" y="240342"/>
          <a:ext cx="4542738" cy="3352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fr-FR" sz="1100" b="1">
              <a:latin typeface="Times New Roman"/>
              <a:cs typeface="Times New Roman"/>
            </a:rPr>
            <a:t>  Positive </a:t>
          </a:r>
          <a:r>
            <a:rPr lang="fr-FR" sz="1200" b="1">
              <a:latin typeface="Times New Roman"/>
              <a:cs typeface="Times New Roman"/>
            </a:rPr>
            <a:t>attitude</a:t>
          </a:r>
          <a:r>
            <a:rPr lang="fr-FR" sz="1100" b="1">
              <a:latin typeface="Times New Roman"/>
              <a:cs typeface="Times New Roman"/>
            </a:rPr>
            <a:t> towards homosexuality       Perceived entitativity</a:t>
          </a:r>
        </a:p>
      </cdr:txBody>
    </cdr:sp>
  </cdr:relSizeAnchor>
</c:userShapes>
</file>

<file path=word/drawings/drawing2.xml><?xml version="1.0" encoding="utf-8"?>
<c:userShapes xmlns:c="http://schemas.openxmlformats.org/drawingml/2006/chart">
  <cdr:relSizeAnchor xmlns:cdr="http://schemas.openxmlformats.org/drawingml/2006/chartDrawing">
    <cdr:from>
      <cdr:x>0.3203</cdr:x>
      <cdr:y>0</cdr:y>
    </cdr:from>
    <cdr:to>
      <cdr:x>0.48697</cdr:x>
      <cdr:y>0.14286</cdr:y>
    </cdr:to>
    <cdr:sp macro="" textlink="">
      <cdr:nvSpPr>
        <cdr:cNvPr id="3" name="Zone de texte 1"/>
        <cdr:cNvSpPr txBox="1"/>
      </cdr:nvSpPr>
      <cdr:spPr>
        <a:xfrm xmlns:a="http://schemas.openxmlformats.org/drawingml/2006/main">
          <a:off x="1831128" y="-3649133"/>
          <a:ext cx="952817" cy="457200"/>
        </a:xfrm>
        <a:prstGeom xmlns:a="http://schemas.openxmlformats.org/drawingml/2006/main" prst="rect">
          <a:avLst/>
        </a:prstGeom>
      </cdr:spPr>
    </cdr:sp>
  </cdr:relSizeAnchor>
  <cdr:relSizeAnchor xmlns:cdr="http://schemas.openxmlformats.org/drawingml/2006/chartDrawing">
    <cdr:from>
      <cdr:x>0.77662</cdr:x>
      <cdr:y>3.51362E-7</cdr:y>
    </cdr:from>
    <cdr:to>
      <cdr:x>0.99259</cdr:x>
      <cdr:y>0.1595</cdr:y>
    </cdr:to>
    <cdr:sp macro="" textlink="">
      <cdr:nvSpPr>
        <cdr:cNvPr id="4" name="Zone de texte 3"/>
        <cdr:cNvSpPr txBox="1"/>
      </cdr:nvSpPr>
      <cdr:spPr>
        <a:xfrm xmlns:a="http://schemas.openxmlformats.org/drawingml/2006/main">
          <a:off x="4470931" y="1"/>
          <a:ext cx="1243320" cy="4539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fr-FR" sz="1200" b="1">
              <a:latin typeface="Times New Roman"/>
              <a:cs typeface="Times New Roman"/>
            </a:rPr>
            <a:t>Biological theory</a:t>
          </a:r>
        </a:p>
      </cdr:txBody>
    </cdr:sp>
  </cdr:relSizeAnchor>
</c:userShapes>
</file>

<file path=word/drawings/drawing3.xml><?xml version="1.0" encoding="utf-8"?>
<c:userShapes xmlns:c="http://schemas.openxmlformats.org/drawingml/2006/chart">
  <cdr:relSizeAnchor xmlns:cdr="http://schemas.openxmlformats.org/drawingml/2006/chartDrawing">
    <cdr:from>
      <cdr:x>0.3203</cdr:x>
      <cdr:y>0</cdr:y>
    </cdr:from>
    <cdr:to>
      <cdr:x>0.48697</cdr:x>
      <cdr:y>0.14286</cdr:y>
    </cdr:to>
    <cdr:sp macro="" textlink="">
      <cdr:nvSpPr>
        <cdr:cNvPr id="3" name="Zone de texte 1"/>
        <cdr:cNvSpPr txBox="1"/>
      </cdr:nvSpPr>
      <cdr:spPr>
        <a:xfrm xmlns:a="http://schemas.openxmlformats.org/drawingml/2006/main">
          <a:off x="1831128" y="-3649133"/>
          <a:ext cx="952817" cy="457200"/>
        </a:xfrm>
        <a:prstGeom xmlns:a="http://schemas.openxmlformats.org/drawingml/2006/main" prst="rect">
          <a:avLst/>
        </a:prstGeom>
      </cdr:spPr>
    </cdr:sp>
  </cdr:relSizeAnchor>
  <cdr:relSizeAnchor xmlns:cdr="http://schemas.openxmlformats.org/drawingml/2006/chartDrawing">
    <cdr:from>
      <cdr:x>0.74976</cdr:x>
      <cdr:y>0.03705</cdr:y>
    </cdr:from>
    <cdr:to>
      <cdr:x>0.97148</cdr:x>
      <cdr:y>0.13999</cdr:y>
    </cdr:to>
    <cdr:sp macro="" textlink="">
      <cdr:nvSpPr>
        <cdr:cNvPr id="4" name="Zone de texte 3"/>
        <cdr:cNvSpPr txBox="1"/>
      </cdr:nvSpPr>
      <cdr:spPr>
        <a:xfrm xmlns:a="http://schemas.openxmlformats.org/drawingml/2006/main">
          <a:off x="4457700" y="108905"/>
          <a:ext cx="1318260" cy="3025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fr-FR" sz="1200" b="1">
              <a:latin typeface="Times New Roman"/>
              <a:cs typeface="Times New Roman"/>
            </a:rPr>
            <a:t>Biological theory</a:t>
          </a: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19</Pages>
  <Words>4984</Words>
  <Characters>27415</Characters>
  <Application>Microsoft Office Word</Application>
  <DocSecurity>0</DocSecurity>
  <Lines>228</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Manuel Falomir Pichastor</dc:creator>
  <cp:keywords/>
  <dc:description/>
  <cp:lastModifiedBy>Juan Manuel Falomir Pichastor</cp:lastModifiedBy>
  <cp:revision>21</cp:revision>
  <dcterms:created xsi:type="dcterms:W3CDTF">2024-10-02T16:47:00Z</dcterms:created>
  <dcterms:modified xsi:type="dcterms:W3CDTF">2024-12-06T11:16:00Z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id="6SPFD7Z4"/&gt;&lt;style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 name="delayCitationUpdates" value="true"/&gt;&lt;pref name="dontAskDelayCitationUpdates" value="true"/&gt;&lt;/prefs&gt;&lt;/data&gt;</vt:lpwstr>
  </property>
</Properties>
</file>