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410FC" w14:textId="77777777" w:rsidR="00D44460" w:rsidRDefault="00FD2426" w:rsidP="00401100">
      <w:pPr>
        <w:pStyle w:val="Caption"/>
        <w:ind w:firstLine="0"/>
      </w:pPr>
      <w:bookmarkStart w:id="0" w:name="_Toc190377799"/>
      <w:r w:rsidRPr="007A0F4B">
        <w:t>Supplementary Material Table 1</w:t>
      </w:r>
    </w:p>
    <w:p w14:paraId="1965416E" w14:textId="77777777" w:rsidR="000A1D54" w:rsidRPr="004E4E5A" w:rsidRDefault="000A1D54" w:rsidP="000A1D54">
      <w:pPr>
        <w:pStyle w:val="Caption"/>
        <w:ind w:firstLine="0"/>
        <w:rPr>
          <w:b w:val="0"/>
          <w:bCs w:val="0"/>
          <w:i/>
          <w:iCs/>
        </w:rPr>
      </w:pPr>
      <w:r w:rsidRPr="004E4E5A">
        <w:rPr>
          <w:b w:val="0"/>
          <w:bCs w:val="0"/>
          <w:i/>
          <w:iCs/>
        </w:rPr>
        <w:t>Final Search Terms and Associated Syntax</w:t>
      </w:r>
    </w:p>
    <w:tbl>
      <w:tblPr>
        <w:tblStyle w:val="TableGrid"/>
        <w:tblW w:w="92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31"/>
      </w:tblGrid>
      <w:tr w:rsidR="000A1D54" w:rsidRPr="00BF6894" w14:paraId="201E64DD" w14:textId="77777777" w:rsidTr="00B537E0">
        <w:tc>
          <w:tcPr>
            <w:tcW w:w="2221" w:type="dxa"/>
            <w:tcBorders>
              <w:top w:val="single" w:sz="4" w:space="0" w:color="auto"/>
              <w:bottom w:val="single" w:sz="4" w:space="0" w:color="auto"/>
            </w:tcBorders>
          </w:tcPr>
          <w:p w14:paraId="5C8BD341" w14:textId="77777777" w:rsidR="000A1D54" w:rsidRPr="00BF6894" w:rsidRDefault="000A1D54" w:rsidP="00B537E0">
            <w:pPr>
              <w:spacing w:line="276" w:lineRule="auto"/>
              <w:ind w:firstLine="0"/>
            </w:pPr>
            <w:r w:rsidRPr="00BF6894">
              <w:t>Concept</w:t>
            </w:r>
          </w:p>
        </w:tc>
        <w:tc>
          <w:tcPr>
            <w:tcW w:w="7031" w:type="dxa"/>
            <w:tcBorders>
              <w:top w:val="single" w:sz="4" w:space="0" w:color="auto"/>
              <w:bottom w:val="single" w:sz="4" w:space="0" w:color="auto"/>
            </w:tcBorders>
          </w:tcPr>
          <w:p w14:paraId="7B344A96" w14:textId="77777777" w:rsidR="000A1D54" w:rsidRPr="00BF6894" w:rsidRDefault="000A1D54" w:rsidP="00B537E0">
            <w:pPr>
              <w:spacing w:line="276" w:lineRule="auto"/>
              <w:ind w:firstLine="0"/>
            </w:pPr>
            <w:r w:rsidRPr="00BF6894">
              <w:t>Syntax</w:t>
            </w:r>
          </w:p>
        </w:tc>
      </w:tr>
      <w:tr w:rsidR="000A1D54" w:rsidRPr="00BF6894" w14:paraId="5564412D" w14:textId="77777777" w:rsidTr="00B537E0">
        <w:tc>
          <w:tcPr>
            <w:tcW w:w="2221" w:type="dxa"/>
            <w:tcBorders>
              <w:top w:val="single" w:sz="4" w:space="0" w:color="auto"/>
              <w:bottom w:val="nil"/>
            </w:tcBorders>
          </w:tcPr>
          <w:p w14:paraId="49103C3D" w14:textId="77777777" w:rsidR="000A1D54" w:rsidRPr="00BF6894" w:rsidRDefault="000A1D54" w:rsidP="00B537E0">
            <w:pPr>
              <w:spacing w:line="276" w:lineRule="auto"/>
              <w:ind w:firstLine="0"/>
            </w:pPr>
            <w:r w:rsidRPr="00BF6894">
              <w:t xml:space="preserve">Sexual offending </w:t>
            </w:r>
          </w:p>
        </w:tc>
        <w:tc>
          <w:tcPr>
            <w:tcW w:w="7031" w:type="dxa"/>
            <w:tcBorders>
              <w:top w:val="single" w:sz="4" w:space="0" w:color="auto"/>
              <w:bottom w:val="nil"/>
            </w:tcBorders>
          </w:tcPr>
          <w:p w14:paraId="0EE3D4B8" w14:textId="77777777" w:rsidR="000A1D54" w:rsidRPr="00BF6894" w:rsidRDefault="000A1D54" w:rsidP="00B537E0">
            <w:pPr>
              <w:spacing w:line="276" w:lineRule="auto"/>
              <w:ind w:firstLine="0"/>
            </w:pPr>
            <w:r w:rsidRPr="00BF6894">
              <w:t xml:space="preserve">DE "Sex Offenses" OR DE "Sexual Abuse" OR DE "Incest" OR DE "Rape" OR DE "Pedophilia" OR "sex* </w:t>
            </w:r>
            <w:proofErr w:type="spellStart"/>
            <w:r w:rsidRPr="00BF6894">
              <w:t>abus</w:t>
            </w:r>
            <w:proofErr w:type="spellEnd"/>
            <w:r w:rsidRPr="00BF6894">
              <w:t xml:space="preserve">*" OR "sex* </w:t>
            </w:r>
            <w:proofErr w:type="spellStart"/>
            <w:r w:rsidRPr="00BF6894">
              <w:t>violen</w:t>
            </w:r>
            <w:proofErr w:type="spellEnd"/>
            <w:r w:rsidRPr="00BF6894">
              <w:t xml:space="preserve">*" OR "sex </w:t>
            </w:r>
            <w:proofErr w:type="spellStart"/>
            <w:r w:rsidRPr="00BF6894">
              <w:t>crim</w:t>
            </w:r>
            <w:proofErr w:type="spellEnd"/>
            <w:r w:rsidRPr="00BF6894">
              <w:t xml:space="preserve">*" OR "sex* </w:t>
            </w:r>
            <w:proofErr w:type="spellStart"/>
            <w:r w:rsidRPr="00BF6894">
              <w:t>offen</w:t>
            </w:r>
            <w:proofErr w:type="spellEnd"/>
            <w:r w:rsidRPr="00BF6894">
              <w:t xml:space="preserve">*" OR rape OR incest* OR </w:t>
            </w:r>
            <w:proofErr w:type="spellStart"/>
            <w:r w:rsidRPr="00BF6894">
              <w:t>pedophil</w:t>
            </w:r>
            <w:proofErr w:type="spellEnd"/>
            <w:r w:rsidRPr="00BF6894">
              <w:t xml:space="preserve">* OR </w:t>
            </w:r>
            <w:proofErr w:type="spellStart"/>
            <w:r w:rsidRPr="00BF6894">
              <w:t>paedophil</w:t>
            </w:r>
            <w:proofErr w:type="spellEnd"/>
            <w:r w:rsidRPr="00BF6894">
              <w:t>*</w:t>
            </w:r>
          </w:p>
        </w:tc>
      </w:tr>
      <w:tr w:rsidR="000A1D54" w:rsidRPr="00BF6894" w14:paraId="626A8677" w14:textId="77777777" w:rsidTr="00B537E0">
        <w:tc>
          <w:tcPr>
            <w:tcW w:w="2221" w:type="dxa"/>
            <w:tcBorders>
              <w:top w:val="nil"/>
              <w:bottom w:val="nil"/>
            </w:tcBorders>
          </w:tcPr>
          <w:p w14:paraId="02254D3E" w14:textId="77777777" w:rsidR="000A1D54" w:rsidRPr="00BF6894" w:rsidRDefault="000A1D54" w:rsidP="00B537E0">
            <w:pPr>
              <w:spacing w:line="276" w:lineRule="auto"/>
              <w:ind w:firstLine="0"/>
            </w:pPr>
            <w:r w:rsidRPr="00BF6894">
              <w:t xml:space="preserve">Recidivism </w:t>
            </w:r>
          </w:p>
        </w:tc>
        <w:tc>
          <w:tcPr>
            <w:tcW w:w="7031" w:type="dxa"/>
            <w:tcBorders>
              <w:top w:val="nil"/>
              <w:bottom w:val="nil"/>
            </w:tcBorders>
          </w:tcPr>
          <w:p w14:paraId="6C10FA98" w14:textId="77777777" w:rsidR="000A1D54" w:rsidRPr="00BF6894" w:rsidRDefault="000A1D54" w:rsidP="00B537E0">
            <w:pPr>
              <w:spacing w:line="276" w:lineRule="auto"/>
              <w:ind w:firstLine="0"/>
            </w:pPr>
            <w:r w:rsidRPr="00BF6894">
              <w:t>(DE "Recidivism") OR (</w:t>
            </w:r>
            <w:proofErr w:type="spellStart"/>
            <w:r w:rsidRPr="00BF6894">
              <w:t>reoffen</w:t>
            </w:r>
            <w:proofErr w:type="spellEnd"/>
            <w:r w:rsidRPr="00BF6894">
              <w:t xml:space="preserve">*OR </w:t>
            </w:r>
            <w:proofErr w:type="spellStart"/>
            <w:r w:rsidRPr="00BF6894">
              <w:t>recidivis</w:t>
            </w:r>
            <w:proofErr w:type="spellEnd"/>
            <w:r w:rsidRPr="00BF6894">
              <w:t xml:space="preserve">*) </w:t>
            </w:r>
          </w:p>
        </w:tc>
      </w:tr>
      <w:tr w:rsidR="000A1D54" w:rsidRPr="00BF6894" w14:paraId="786EBDBB" w14:textId="77777777" w:rsidTr="00B537E0">
        <w:tc>
          <w:tcPr>
            <w:tcW w:w="2221" w:type="dxa"/>
            <w:tcBorders>
              <w:top w:val="nil"/>
              <w:bottom w:val="nil"/>
            </w:tcBorders>
          </w:tcPr>
          <w:p w14:paraId="2BB56DB5" w14:textId="77777777" w:rsidR="000A1D54" w:rsidRPr="00BF6894" w:rsidRDefault="000A1D54" w:rsidP="00B537E0">
            <w:pPr>
              <w:spacing w:line="276" w:lineRule="auto"/>
              <w:ind w:firstLine="0"/>
            </w:pPr>
            <w:r w:rsidRPr="00BF6894">
              <w:t xml:space="preserve">Desistance </w:t>
            </w:r>
          </w:p>
        </w:tc>
        <w:tc>
          <w:tcPr>
            <w:tcW w:w="7031" w:type="dxa"/>
            <w:tcBorders>
              <w:top w:val="nil"/>
              <w:bottom w:val="nil"/>
            </w:tcBorders>
          </w:tcPr>
          <w:p w14:paraId="6A3E7080" w14:textId="77777777" w:rsidR="000A1D54" w:rsidRPr="00BF6894" w:rsidRDefault="000A1D54" w:rsidP="00B537E0">
            <w:pPr>
              <w:spacing w:line="276" w:lineRule="auto"/>
              <w:ind w:firstLine="0"/>
            </w:pPr>
            <w:r w:rsidRPr="00BF6894">
              <w:t>“Desist*”</w:t>
            </w:r>
          </w:p>
        </w:tc>
      </w:tr>
      <w:tr w:rsidR="000A1D54" w:rsidRPr="00BF6894" w14:paraId="218C1BA4" w14:textId="77777777" w:rsidTr="00B537E0">
        <w:trPr>
          <w:trHeight w:val="70"/>
        </w:trPr>
        <w:tc>
          <w:tcPr>
            <w:tcW w:w="2221" w:type="dxa"/>
            <w:tcBorders>
              <w:top w:val="nil"/>
              <w:bottom w:val="nil"/>
            </w:tcBorders>
          </w:tcPr>
          <w:p w14:paraId="4B71A9F7" w14:textId="77777777" w:rsidR="000A1D54" w:rsidRPr="00BF6894" w:rsidRDefault="000A1D54" w:rsidP="00B537E0">
            <w:pPr>
              <w:spacing w:line="276" w:lineRule="auto"/>
              <w:ind w:firstLine="0"/>
            </w:pPr>
            <w:r w:rsidRPr="00BF6894">
              <w:t xml:space="preserve">Protective factors </w:t>
            </w:r>
          </w:p>
        </w:tc>
        <w:tc>
          <w:tcPr>
            <w:tcW w:w="7031" w:type="dxa"/>
            <w:tcBorders>
              <w:top w:val="nil"/>
              <w:bottom w:val="nil"/>
            </w:tcBorders>
          </w:tcPr>
          <w:p w14:paraId="62924C75" w14:textId="77777777" w:rsidR="000A1D54" w:rsidRPr="00BF6894" w:rsidRDefault="000A1D54" w:rsidP="00B537E0">
            <w:pPr>
              <w:spacing w:line="276" w:lineRule="auto"/>
              <w:ind w:firstLine="0"/>
            </w:pPr>
            <w:r w:rsidRPr="00BF6894">
              <w:t>“Protec* factor*”</w:t>
            </w:r>
          </w:p>
        </w:tc>
      </w:tr>
      <w:tr w:rsidR="000A1D54" w:rsidRPr="00BF6894" w14:paraId="28B4729A" w14:textId="77777777" w:rsidTr="00B537E0">
        <w:tc>
          <w:tcPr>
            <w:tcW w:w="2221" w:type="dxa"/>
            <w:tcBorders>
              <w:top w:val="nil"/>
              <w:bottom w:val="single" w:sz="4" w:space="0" w:color="auto"/>
            </w:tcBorders>
          </w:tcPr>
          <w:p w14:paraId="170D3514" w14:textId="77777777" w:rsidR="000A1D54" w:rsidRPr="00BF6894" w:rsidRDefault="000A1D54" w:rsidP="00B537E0">
            <w:pPr>
              <w:spacing w:line="276" w:lineRule="auto"/>
              <w:ind w:firstLine="0"/>
            </w:pPr>
            <w:r w:rsidRPr="00BF6894">
              <w:t xml:space="preserve">Population </w:t>
            </w:r>
          </w:p>
        </w:tc>
        <w:tc>
          <w:tcPr>
            <w:tcW w:w="7031" w:type="dxa"/>
            <w:tcBorders>
              <w:top w:val="nil"/>
              <w:bottom w:val="single" w:sz="4" w:space="0" w:color="auto"/>
            </w:tcBorders>
          </w:tcPr>
          <w:p w14:paraId="70B9F337" w14:textId="77777777" w:rsidR="000A1D54" w:rsidRPr="00BF6894" w:rsidRDefault="000A1D54" w:rsidP="00B537E0">
            <w:pPr>
              <w:spacing w:line="276" w:lineRule="auto"/>
              <w:ind w:firstLine="0"/>
              <w:rPr>
                <w:i/>
                <w:iCs/>
              </w:rPr>
            </w:pPr>
            <w:r w:rsidRPr="00BF6894">
              <w:t xml:space="preserve">male or men or </w:t>
            </w:r>
            <w:proofErr w:type="gramStart"/>
            <w:r w:rsidRPr="00BF6894">
              <w:t>man</w:t>
            </w:r>
            <w:proofErr w:type="gramEnd"/>
            <w:r w:rsidRPr="00BF6894">
              <w:t xml:space="preserve"> or males </w:t>
            </w:r>
          </w:p>
        </w:tc>
      </w:tr>
    </w:tbl>
    <w:p w14:paraId="19E8D79A" w14:textId="77777777" w:rsidR="000A1D54" w:rsidRDefault="000A1D54" w:rsidP="000A1D54">
      <w:pPr>
        <w:ind w:firstLine="0"/>
      </w:pPr>
    </w:p>
    <w:p w14:paraId="2B799D4D" w14:textId="77777777" w:rsidR="00DB0DEB" w:rsidRDefault="00DB0DEB">
      <w:pPr>
        <w:widowControl/>
        <w:rPr>
          <w:b/>
          <w:bCs/>
        </w:rPr>
      </w:pPr>
      <w:r>
        <w:br w:type="page"/>
      </w:r>
    </w:p>
    <w:p w14:paraId="119FE135" w14:textId="6B0B3B44" w:rsidR="000A1D54" w:rsidRPr="007A068D" w:rsidRDefault="006A548A" w:rsidP="000A1D54">
      <w:pPr>
        <w:ind w:firstLine="0"/>
        <w:rPr>
          <w:b/>
          <w:bCs/>
        </w:rPr>
      </w:pPr>
      <w:r w:rsidRPr="006A548A">
        <w:rPr>
          <w:b/>
          <w:bCs/>
        </w:rPr>
        <w:lastRenderedPageBreak/>
        <w:t>Supplementary Material</w:t>
      </w:r>
      <w:r w:rsidRPr="007A0F4B">
        <w:t xml:space="preserve"> </w:t>
      </w:r>
      <w:r w:rsidR="007A068D" w:rsidRPr="007A068D">
        <w:rPr>
          <w:b/>
          <w:bCs/>
        </w:rPr>
        <w:t xml:space="preserve">Table </w:t>
      </w:r>
      <w:r w:rsidR="00BF0BB2">
        <w:rPr>
          <w:b/>
          <w:bCs/>
        </w:rPr>
        <w:t>2</w:t>
      </w:r>
      <w:r w:rsidR="007A068D" w:rsidRPr="007A068D">
        <w:rPr>
          <w:b/>
          <w:bCs/>
        </w:rPr>
        <w:t xml:space="preserve"> </w:t>
      </w:r>
    </w:p>
    <w:p w14:paraId="76865B87" w14:textId="77777777" w:rsidR="00D44460" w:rsidRPr="007A0F4B" w:rsidRDefault="00D44460" w:rsidP="00D44460">
      <w:pPr>
        <w:ind w:firstLine="0"/>
        <w:rPr>
          <w:i/>
          <w:iCs/>
        </w:rPr>
      </w:pPr>
      <w:r w:rsidRPr="007A0F4B">
        <w:rPr>
          <w:i/>
          <w:iCs/>
        </w:rPr>
        <w:t>Broad Level and Informing Codes</w:t>
      </w:r>
    </w:p>
    <w:tbl>
      <w:tblPr>
        <w:tblW w:w="5000" w:type="pct"/>
        <w:tblBorders>
          <w:top w:val="single" w:sz="4" w:space="0" w:color="auto"/>
          <w:bottom w:val="single" w:sz="4" w:space="0" w:color="auto"/>
        </w:tblBorders>
        <w:tblLook w:val="04A0" w:firstRow="1" w:lastRow="0" w:firstColumn="1" w:lastColumn="0" w:noHBand="0" w:noVBand="1"/>
      </w:tblPr>
      <w:tblGrid>
        <w:gridCol w:w="3612"/>
        <w:gridCol w:w="5176"/>
        <w:gridCol w:w="5170"/>
      </w:tblGrid>
      <w:tr w:rsidR="00D44460" w:rsidRPr="007A0F4B" w14:paraId="1475603F" w14:textId="77777777" w:rsidTr="00546D10">
        <w:trPr>
          <w:tblHeader/>
        </w:trPr>
        <w:tc>
          <w:tcPr>
            <w:tcW w:w="1294" w:type="pct"/>
            <w:tcBorders>
              <w:top w:val="single" w:sz="4" w:space="0" w:color="auto"/>
              <w:bottom w:val="single" w:sz="4" w:space="0" w:color="auto"/>
            </w:tcBorders>
          </w:tcPr>
          <w:p w14:paraId="1B724527" w14:textId="77777777" w:rsidR="00D44460" w:rsidRPr="007A0F4B" w:rsidRDefault="00D44460" w:rsidP="00292616">
            <w:pPr>
              <w:spacing w:line="240" w:lineRule="auto"/>
              <w:ind w:firstLine="0"/>
            </w:pPr>
            <w:r w:rsidRPr="007A0F4B">
              <w:t>Broad Level Codes</w:t>
            </w:r>
          </w:p>
          <w:p w14:paraId="09D3AD6E" w14:textId="77777777" w:rsidR="00D44460" w:rsidRPr="007A0F4B" w:rsidRDefault="00D44460" w:rsidP="00292616">
            <w:pPr>
              <w:spacing w:line="240" w:lineRule="auto"/>
              <w:ind w:firstLine="0"/>
            </w:pPr>
            <w:r w:rsidRPr="007A0F4B">
              <w:t>(Analytical themes)</w:t>
            </w:r>
          </w:p>
        </w:tc>
        <w:tc>
          <w:tcPr>
            <w:tcW w:w="3706" w:type="pct"/>
            <w:gridSpan w:val="2"/>
            <w:tcBorders>
              <w:top w:val="single" w:sz="4" w:space="0" w:color="auto"/>
              <w:bottom w:val="single" w:sz="4" w:space="0" w:color="auto"/>
            </w:tcBorders>
          </w:tcPr>
          <w:p w14:paraId="18B11AA6" w14:textId="77777777" w:rsidR="00D44460" w:rsidRPr="007A0F4B" w:rsidRDefault="00D44460" w:rsidP="00292616">
            <w:pPr>
              <w:spacing w:line="240" w:lineRule="auto"/>
              <w:ind w:firstLine="0"/>
            </w:pPr>
            <w:r w:rsidRPr="007A0F4B">
              <w:t>Informing Codes</w:t>
            </w:r>
          </w:p>
          <w:p w14:paraId="5D5802EF" w14:textId="77777777" w:rsidR="00D44460" w:rsidRPr="007A0F4B" w:rsidRDefault="00D44460" w:rsidP="00292616">
            <w:pPr>
              <w:spacing w:line="240" w:lineRule="auto"/>
              <w:ind w:firstLine="0"/>
            </w:pPr>
            <w:r w:rsidRPr="007A0F4B">
              <w:t>(Descriptive themes)</w:t>
            </w:r>
          </w:p>
        </w:tc>
      </w:tr>
      <w:tr w:rsidR="00D44460" w:rsidRPr="007A0F4B" w14:paraId="467E66B0" w14:textId="77777777" w:rsidTr="00546D10">
        <w:trPr>
          <w:trHeight w:val="464"/>
        </w:trPr>
        <w:tc>
          <w:tcPr>
            <w:tcW w:w="1294" w:type="pct"/>
            <w:tcBorders>
              <w:top w:val="single" w:sz="4" w:space="0" w:color="auto"/>
              <w:bottom w:val="nil"/>
            </w:tcBorders>
          </w:tcPr>
          <w:p w14:paraId="75FA070F" w14:textId="77777777" w:rsidR="00D44460" w:rsidRPr="007A0F4B" w:rsidRDefault="00D44460" w:rsidP="00292616">
            <w:pPr>
              <w:spacing w:line="240" w:lineRule="auto"/>
              <w:ind w:firstLine="0"/>
            </w:pPr>
            <w:r w:rsidRPr="007A0F4B">
              <w:t xml:space="preserve">Prosocial response to formal social control </w:t>
            </w:r>
          </w:p>
        </w:tc>
        <w:tc>
          <w:tcPr>
            <w:tcW w:w="1854" w:type="pct"/>
            <w:tcBorders>
              <w:top w:val="single" w:sz="4" w:space="0" w:color="auto"/>
              <w:bottom w:val="nil"/>
            </w:tcBorders>
          </w:tcPr>
          <w:p w14:paraId="20A4871C" w14:textId="7FB5F7BB" w:rsidR="00D44460" w:rsidRPr="007A0F4B" w:rsidRDefault="003A6FF2" w:rsidP="000D28A6">
            <w:pPr>
              <w:spacing w:line="240" w:lineRule="auto"/>
              <w:ind w:firstLine="0"/>
            </w:pPr>
            <w:r>
              <w:t>Exposure to formal social controls</w:t>
            </w:r>
          </w:p>
        </w:tc>
        <w:tc>
          <w:tcPr>
            <w:tcW w:w="1852" w:type="pct"/>
            <w:tcBorders>
              <w:top w:val="single" w:sz="4" w:space="0" w:color="auto"/>
              <w:bottom w:val="nil"/>
            </w:tcBorders>
          </w:tcPr>
          <w:p w14:paraId="62E00075" w14:textId="0BCAAF59" w:rsidR="00591981" w:rsidRPr="007A0F4B" w:rsidRDefault="005F4EAD" w:rsidP="005F4EAD">
            <w:pPr>
              <w:spacing w:line="240" w:lineRule="auto"/>
              <w:ind w:firstLine="0"/>
            </w:pPr>
            <w:r>
              <w:t>Experience</w:t>
            </w:r>
            <w:r w:rsidR="00ED26F4">
              <w:t xml:space="preserve"> of any formal social control (police, criminal justice system, prison, </w:t>
            </w:r>
            <w:r>
              <w:t>probation, sexual offence specific legislation)</w:t>
            </w:r>
          </w:p>
        </w:tc>
      </w:tr>
      <w:tr w:rsidR="000D28A6" w:rsidRPr="007A0F4B" w14:paraId="2CA6EFC3" w14:textId="77777777" w:rsidTr="00546D10">
        <w:trPr>
          <w:trHeight w:val="464"/>
        </w:trPr>
        <w:tc>
          <w:tcPr>
            <w:tcW w:w="1294" w:type="pct"/>
            <w:tcBorders>
              <w:top w:val="nil"/>
            </w:tcBorders>
          </w:tcPr>
          <w:p w14:paraId="4757C952" w14:textId="77777777" w:rsidR="000D28A6" w:rsidRPr="007A0F4B" w:rsidRDefault="000D28A6" w:rsidP="00292616">
            <w:pPr>
              <w:spacing w:line="240" w:lineRule="auto"/>
              <w:ind w:firstLine="0"/>
            </w:pPr>
          </w:p>
        </w:tc>
        <w:tc>
          <w:tcPr>
            <w:tcW w:w="1854" w:type="pct"/>
            <w:tcBorders>
              <w:top w:val="nil"/>
            </w:tcBorders>
          </w:tcPr>
          <w:p w14:paraId="217C7B7B" w14:textId="72957E44" w:rsidR="00ED26F4" w:rsidRDefault="00ED26F4" w:rsidP="00ED26F4">
            <w:pPr>
              <w:spacing w:line="240" w:lineRule="auto"/>
              <w:ind w:firstLine="0"/>
            </w:pPr>
            <w:r>
              <w:t xml:space="preserve">Prosocial response </w:t>
            </w:r>
          </w:p>
          <w:p w14:paraId="0DD3172C" w14:textId="66B0A37A" w:rsidR="000D28A6" w:rsidRPr="007A0F4B" w:rsidRDefault="000D28A6" w:rsidP="00292616">
            <w:pPr>
              <w:spacing w:line="240" w:lineRule="auto"/>
              <w:ind w:firstLine="0"/>
            </w:pPr>
          </w:p>
        </w:tc>
        <w:tc>
          <w:tcPr>
            <w:tcW w:w="1852" w:type="pct"/>
            <w:tcBorders>
              <w:top w:val="nil"/>
            </w:tcBorders>
          </w:tcPr>
          <w:p w14:paraId="783861A4" w14:textId="432CDC77" w:rsidR="00CA76C5" w:rsidRDefault="006B17FB" w:rsidP="00591981">
            <w:pPr>
              <w:spacing w:line="240" w:lineRule="auto"/>
              <w:ind w:firstLine="0"/>
            </w:pPr>
            <w:r>
              <w:t xml:space="preserve">Formal social control as </w:t>
            </w:r>
            <w:r w:rsidR="00E210C5">
              <w:t xml:space="preserve">the </w:t>
            </w:r>
            <w:r>
              <w:t>starting point for motivation to desist</w:t>
            </w:r>
          </w:p>
          <w:p w14:paraId="38C64F30" w14:textId="77777777" w:rsidR="00220472" w:rsidRDefault="00220472" w:rsidP="00591981">
            <w:pPr>
              <w:spacing w:line="240" w:lineRule="auto"/>
              <w:ind w:firstLine="0"/>
            </w:pPr>
            <w:r>
              <w:t>Making the most of opportunities that arose</w:t>
            </w:r>
          </w:p>
          <w:p w14:paraId="762CB84A" w14:textId="644A00F3" w:rsidR="00ED26F4" w:rsidRPr="007A0F4B" w:rsidRDefault="005F4EAD" w:rsidP="00591981">
            <w:pPr>
              <w:spacing w:line="240" w:lineRule="auto"/>
              <w:ind w:firstLine="0"/>
            </w:pPr>
            <w:r>
              <w:t>Engagement</w:t>
            </w:r>
            <w:r w:rsidR="00ED26F4">
              <w:t xml:space="preserve"> through challenge</w:t>
            </w:r>
          </w:p>
        </w:tc>
      </w:tr>
      <w:tr w:rsidR="00546D10" w:rsidRPr="007A0F4B" w14:paraId="75D732EF" w14:textId="77777777" w:rsidTr="00546D10">
        <w:trPr>
          <w:trHeight w:val="459"/>
        </w:trPr>
        <w:tc>
          <w:tcPr>
            <w:tcW w:w="1294" w:type="pct"/>
          </w:tcPr>
          <w:p w14:paraId="7A365423" w14:textId="77777777" w:rsidR="00546D10" w:rsidRPr="007A0F4B" w:rsidRDefault="00546D10" w:rsidP="00292616">
            <w:pPr>
              <w:spacing w:line="240" w:lineRule="auto"/>
              <w:ind w:firstLine="0"/>
            </w:pPr>
            <w:r w:rsidRPr="007A0F4B">
              <w:t>Positive treatment experiences</w:t>
            </w:r>
          </w:p>
        </w:tc>
        <w:tc>
          <w:tcPr>
            <w:tcW w:w="1854" w:type="pct"/>
          </w:tcPr>
          <w:p w14:paraId="1146B9A1" w14:textId="22DCCCDE" w:rsidR="00546D10" w:rsidRPr="007A0F4B" w:rsidRDefault="00546D10" w:rsidP="00292616">
            <w:pPr>
              <w:spacing w:line="240" w:lineRule="auto"/>
              <w:ind w:firstLine="0"/>
            </w:pPr>
            <w:r>
              <w:t>T</w:t>
            </w:r>
            <w:r w:rsidRPr="007A0F4B">
              <w:t>urning point for change </w:t>
            </w:r>
          </w:p>
        </w:tc>
        <w:tc>
          <w:tcPr>
            <w:tcW w:w="1852" w:type="pct"/>
          </w:tcPr>
          <w:p w14:paraId="6807CDB2" w14:textId="77777777" w:rsidR="00546D10" w:rsidRDefault="00546D10" w:rsidP="00651B2C">
            <w:pPr>
              <w:spacing w:line="240" w:lineRule="auto"/>
              <w:ind w:firstLine="0"/>
            </w:pPr>
            <w:r w:rsidRPr="007A0F4B">
              <w:t>Accepting and taking responsibility </w:t>
            </w:r>
          </w:p>
          <w:p w14:paraId="0ABF60BB" w14:textId="02A9D139" w:rsidR="00AF3043" w:rsidRDefault="00AF3043" w:rsidP="00651B2C">
            <w:pPr>
              <w:spacing w:line="240" w:lineRule="auto"/>
              <w:ind w:firstLine="0"/>
            </w:pPr>
            <w:r>
              <w:t xml:space="preserve">Shifting cognitions </w:t>
            </w:r>
          </w:p>
          <w:p w14:paraId="6198D102" w14:textId="3E97155D" w:rsidR="00FD162E" w:rsidRDefault="00FD162E" w:rsidP="00651B2C">
            <w:pPr>
              <w:spacing w:line="240" w:lineRule="auto"/>
              <w:ind w:firstLine="0"/>
            </w:pPr>
            <w:r w:rsidRPr="007A0F4B">
              <w:t>Positive group dynamics and committed group members </w:t>
            </w:r>
          </w:p>
          <w:p w14:paraId="03C05D06" w14:textId="77777777" w:rsidR="00FD162E" w:rsidRDefault="00FD162E" w:rsidP="00FD162E">
            <w:pPr>
              <w:spacing w:line="240" w:lineRule="auto"/>
              <w:ind w:firstLine="0"/>
            </w:pPr>
            <w:r w:rsidRPr="007A0F4B">
              <w:t>Skilled, warm, and respectful professionals</w:t>
            </w:r>
          </w:p>
          <w:p w14:paraId="0E6B0460" w14:textId="77777777" w:rsidR="00546D10" w:rsidRPr="007A0F4B" w:rsidRDefault="00546D10" w:rsidP="00651B2C">
            <w:pPr>
              <w:spacing w:line="240" w:lineRule="auto"/>
              <w:ind w:firstLine="0"/>
            </w:pPr>
            <w:r w:rsidRPr="007A0F4B">
              <w:t>Approach goals</w:t>
            </w:r>
          </w:p>
          <w:p w14:paraId="3E87ABD0" w14:textId="3A93A121" w:rsidR="00546D10" w:rsidRPr="007A0F4B" w:rsidRDefault="00546D10" w:rsidP="00292616">
            <w:pPr>
              <w:spacing w:line="240" w:lineRule="auto"/>
              <w:ind w:firstLine="0"/>
            </w:pPr>
            <w:r w:rsidRPr="007A0F4B">
              <w:t>GLM aligned</w:t>
            </w:r>
          </w:p>
        </w:tc>
      </w:tr>
      <w:tr w:rsidR="00546D10" w:rsidRPr="007A0F4B" w14:paraId="52E1AD86" w14:textId="77777777" w:rsidTr="00546D10">
        <w:trPr>
          <w:trHeight w:val="459"/>
        </w:trPr>
        <w:tc>
          <w:tcPr>
            <w:tcW w:w="1294" w:type="pct"/>
          </w:tcPr>
          <w:p w14:paraId="5BC9FC00" w14:textId="77777777" w:rsidR="00546D10" w:rsidRPr="007A0F4B" w:rsidRDefault="00546D10" w:rsidP="00651B2C">
            <w:pPr>
              <w:spacing w:line="240" w:lineRule="auto"/>
              <w:ind w:firstLine="0"/>
            </w:pPr>
          </w:p>
        </w:tc>
        <w:tc>
          <w:tcPr>
            <w:tcW w:w="1854" w:type="pct"/>
          </w:tcPr>
          <w:p w14:paraId="6ED56B88" w14:textId="4018056D" w:rsidR="00546D10" w:rsidRPr="007A0F4B" w:rsidRDefault="00546D10" w:rsidP="00B17632">
            <w:pPr>
              <w:spacing w:line="240" w:lineRule="auto"/>
              <w:ind w:firstLine="0"/>
            </w:pPr>
            <w:r w:rsidRPr="007A0F4B">
              <w:t>Peer support and mutual challenge</w:t>
            </w:r>
          </w:p>
        </w:tc>
        <w:tc>
          <w:tcPr>
            <w:tcW w:w="1852" w:type="pct"/>
          </w:tcPr>
          <w:p w14:paraId="49E50BDB" w14:textId="77777777" w:rsidR="00A530DE" w:rsidRDefault="00A530DE" w:rsidP="00A530DE">
            <w:pPr>
              <w:spacing w:line="240" w:lineRule="auto"/>
              <w:ind w:firstLine="0"/>
            </w:pPr>
            <w:r w:rsidRPr="007A0F4B">
              <w:t>Active involvement in groups </w:t>
            </w:r>
          </w:p>
          <w:p w14:paraId="4D11DC4C" w14:textId="77777777" w:rsidR="00546D10" w:rsidRDefault="00546D10" w:rsidP="00FD162E">
            <w:pPr>
              <w:spacing w:line="240" w:lineRule="auto"/>
              <w:ind w:firstLine="0"/>
            </w:pPr>
            <w:r w:rsidRPr="007A0F4B">
              <w:t xml:space="preserve">Learning from </w:t>
            </w:r>
            <w:proofErr w:type="gramStart"/>
            <w:r w:rsidRPr="007A0F4B">
              <w:t>others which</w:t>
            </w:r>
            <w:proofErr w:type="gramEnd"/>
            <w:r w:rsidRPr="007A0F4B">
              <w:t xml:space="preserve"> encourages own thinking </w:t>
            </w:r>
          </w:p>
          <w:p w14:paraId="0C8B30F4" w14:textId="1D75A60F" w:rsidR="004247E2" w:rsidRPr="007A0F4B" w:rsidRDefault="004247E2" w:rsidP="00FD162E">
            <w:pPr>
              <w:spacing w:line="240" w:lineRule="auto"/>
              <w:ind w:firstLine="0"/>
            </w:pPr>
            <w:r>
              <w:t xml:space="preserve">Sense of community </w:t>
            </w:r>
          </w:p>
        </w:tc>
      </w:tr>
      <w:tr w:rsidR="00546D10" w:rsidRPr="007A0F4B" w14:paraId="358664B8" w14:textId="77777777" w:rsidTr="00546D10">
        <w:trPr>
          <w:trHeight w:val="459"/>
        </w:trPr>
        <w:tc>
          <w:tcPr>
            <w:tcW w:w="1294" w:type="pct"/>
          </w:tcPr>
          <w:p w14:paraId="36CABFF4" w14:textId="77777777" w:rsidR="00546D10" w:rsidRPr="007A0F4B" w:rsidRDefault="00546D10" w:rsidP="00651B2C">
            <w:pPr>
              <w:spacing w:line="240" w:lineRule="auto"/>
              <w:ind w:firstLine="0"/>
            </w:pPr>
          </w:p>
        </w:tc>
        <w:tc>
          <w:tcPr>
            <w:tcW w:w="1854" w:type="pct"/>
          </w:tcPr>
          <w:p w14:paraId="1B32B80D" w14:textId="6959A569" w:rsidR="00546D10" w:rsidRPr="007A0F4B" w:rsidRDefault="00546D10" w:rsidP="00651B2C">
            <w:pPr>
              <w:spacing w:line="240" w:lineRule="auto"/>
              <w:ind w:firstLine="0"/>
            </w:pPr>
            <w:r>
              <w:t>Understanding my sexual offense process</w:t>
            </w:r>
          </w:p>
        </w:tc>
        <w:tc>
          <w:tcPr>
            <w:tcW w:w="1852" w:type="pct"/>
          </w:tcPr>
          <w:p w14:paraId="33DCA416" w14:textId="77777777" w:rsidR="00546D10" w:rsidRDefault="00AB230F" w:rsidP="00651B2C">
            <w:pPr>
              <w:spacing w:line="240" w:lineRule="auto"/>
              <w:ind w:firstLine="0"/>
            </w:pPr>
            <w:r>
              <w:t xml:space="preserve">Being vigilant about problem </w:t>
            </w:r>
            <w:r w:rsidR="00792A95">
              <w:t>behaviors</w:t>
            </w:r>
          </w:p>
          <w:p w14:paraId="6B82C088" w14:textId="6FE4DC81" w:rsidR="00C82259" w:rsidRDefault="00910AC4" w:rsidP="00651B2C">
            <w:pPr>
              <w:spacing w:line="240" w:lineRule="auto"/>
              <w:ind w:firstLine="0"/>
            </w:pPr>
            <w:r>
              <w:t>Personal story of change – idiosyncratic</w:t>
            </w:r>
          </w:p>
          <w:p w14:paraId="509466CB" w14:textId="77777777" w:rsidR="00910AC4" w:rsidRDefault="00910AC4" w:rsidP="00651B2C">
            <w:pPr>
              <w:spacing w:line="240" w:lineRule="auto"/>
              <w:ind w:firstLine="0"/>
            </w:pPr>
            <w:r>
              <w:t>Understanding how and why</w:t>
            </w:r>
          </w:p>
          <w:p w14:paraId="03CB9E59" w14:textId="6C92AB18" w:rsidR="00910AC4" w:rsidRPr="007A0F4B" w:rsidRDefault="00910AC4" w:rsidP="00651B2C">
            <w:pPr>
              <w:spacing w:line="240" w:lineRule="auto"/>
              <w:ind w:firstLine="0"/>
            </w:pPr>
            <w:r>
              <w:t>Knowing what needs to change</w:t>
            </w:r>
          </w:p>
        </w:tc>
      </w:tr>
      <w:tr w:rsidR="00546D10" w:rsidRPr="007A0F4B" w14:paraId="5E783CF4" w14:textId="77777777" w:rsidTr="00546D10">
        <w:trPr>
          <w:trHeight w:val="459"/>
        </w:trPr>
        <w:tc>
          <w:tcPr>
            <w:tcW w:w="1294" w:type="pct"/>
          </w:tcPr>
          <w:p w14:paraId="7FD2BD02" w14:textId="77777777" w:rsidR="00546D10" w:rsidRPr="007A0F4B" w:rsidRDefault="00546D10" w:rsidP="00292616">
            <w:pPr>
              <w:spacing w:line="240" w:lineRule="auto"/>
              <w:ind w:firstLine="0"/>
            </w:pPr>
          </w:p>
        </w:tc>
        <w:tc>
          <w:tcPr>
            <w:tcW w:w="1854" w:type="pct"/>
          </w:tcPr>
          <w:p w14:paraId="52A9F195" w14:textId="77E4299D" w:rsidR="00546D10" w:rsidRPr="007A0F4B" w:rsidRDefault="00546D10" w:rsidP="00292616">
            <w:pPr>
              <w:spacing w:line="240" w:lineRule="auto"/>
              <w:ind w:firstLine="0"/>
            </w:pPr>
            <w:r w:rsidRPr="007A0F4B">
              <w:t xml:space="preserve">Awareness of harm caused to others </w:t>
            </w:r>
          </w:p>
        </w:tc>
        <w:tc>
          <w:tcPr>
            <w:tcW w:w="1852" w:type="pct"/>
          </w:tcPr>
          <w:p w14:paraId="071D70D0" w14:textId="77777777" w:rsidR="00546D10" w:rsidRPr="007A0F4B" w:rsidRDefault="00546D10" w:rsidP="00490F53">
            <w:pPr>
              <w:spacing w:line="240" w:lineRule="auto"/>
              <w:ind w:firstLine="0"/>
            </w:pPr>
            <w:r w:rsidRPr="007A0F4B">
              <w:t>General empathy development</w:t>
            </w:r>
          </w:p>
          <w:p w14:paraId="5CA5C4B5" w14:textId="0F7D89F2" w:rsidR="00546D10" w:rsidRPr="007A0F4B" w:rsidRDefault="00546D10" w:rsidP="00292616">
            <w:pPr>
              <w:spacing w:line="240" w:lineRule="auto"/>
              <w:ind w:firstLine="0"/>
            </w:pPr>
            <w:r w:rsidRPr="007A0F4B">
              <w:t>Victim empathy development</w:t>
            </w:r>
          </w:p>
        </w:tc>
      </w:tr>
      <w:tr w:rsidR="00546D10" w:rsidRPr="007A0F4B" w14:paraId="4D938C71" w14:textId="77777777" w:rsidTr="00546D10">
        <w:trPr>
          <w:trHeight w:val="459"/>
        </w:trPr>
        <w:tc>
          <w:tcPr>
            <w:tcW w:w="1294" w:type="pct"/>
          </w:tcPr>
          <w:p w14:paraId="6A30DBC0" w14:textId="0A30DEFA" w:rsidR="00546D10" w:rsidRPr="007A0F4B" w:rsidRDefault="00090CD1" w:rsidP="00292616">
            <w:pPr>
              <w:spacing w:line="240" w:lineRule="auto"/>
              <w:ind w:firstLine="0"/>
            </w:pPr>
            <w:r w:rsidRPr="007A0F4B">
              <w:t>Development of insight and application of understanding</w:t>
            </w:r>
          </w:p>
        </w:tc>
        <w:tc>
          <w:tcPr>
            <w:tcW w:w="1854" w:type="pct"/>
          </w:tcPr>
          <w:p w14:paraId="6F6B4C1C" w14:textId="38598902" w:rsidR="00546D10" w:rsidRPr="007A0F4B" w:rsidRDefault="00546D10" w:rsidP="00292616">
            <w:pPr>
              <w:spacing w:line="240" w:lineRule="auto"/>
              <w:ind w:firstLine="0"/>
            </w:pPr>
            <w:r w:rsidRPr="007A0F4B">
              <w:t xml:space="preserve">Self-regulation </w:t>
            </w:r>
          </w:p>
        </w:tc>
        <w:tc>
          <w:tcPr>
            <w:tcW w:w="1852" w:type="pct"/>
          </w:tcPr>
          <w:p w14:paraId="5DE9E6C5" w14:textId="77777777" w:rsidR="00546D10" w:rsidRPr="007A0F4B" w:rsidRDefault="00546D10" w:rsidP="00292616">
            <w:pPr>
              <w:spacing w:line="240" w:lineRule="auto"/>
              <w:ind w:firstLine="0"/>
            </w:pPr>
            <w:r w:rsidRPr="007A0F4B">
              <w:t>Emotional regulation</w:t>
            </w:r>
          </w:p>
          <w:p w14:paraId="7146F39F" w14:textId="77777777" w:rsidR="00546D10" w:rsidRPr="007A0F4B" w:rsidRDefault="00546D10" w:rsidP="00292616">
            <w:pPr>
              <w:spacing w:line="240" w:lineRule="auto"/>
              <w:ind w:firstLine="0"/>
            </w:pPr>
            <w:r w:rsidRPr="007A0F4B">
              <w:t>Problem-solving</w:t>
            </w:r>
          </w:p>
          <w:p w14:paraId="49FD15B8" w14:textId="77777777" w:rsidR="00546D10" w:rsidRPr="007A0F4B" w:rsidRDefault="00546D10" w:rsidP="00292616">
            <w:pPr>
              <w:spacing w:line="240" w:lineRule="auto"/>
              <w:ind w:firstLine="0"/>
            </w:pPr>
            <w:r w:rsidRPr="007A0F4B">
              <w:lastRenderedPageBreak/>
              <w:t>Adaptive coping</w:t>
            </w:r>
          </w:p>
          <w:p w14:paraId="6069955A" w14:textId="0D371089" w:rsidR="00546D10" w:rsidRPr="007A0F4B" w:rsidRDefault="00546D10" w:rsidP="00292616">
            <w:pPr>
              <w:spacing w:line="240" w:lineRule="auto"/>
              <w:ind w:firstLine="0"/>
            </w:pPr>
            <w:r w:rsidRPr="007A0F4B">
              <w:t>Self-reflection</w:t>
            </w:r>
          </w:p>
        </w:tc>
      </w:tr>
      <w:tr w:rsidR="00546D10" w:rsidRPr="007A0F4B" w14:paraId="5664279B" w14:textId="77777777" w:rsidTr="00546D10">
        <w:trPr>
          <w:trHeight w:val="618"/>
        </w:trPr>
        <w:tc>
          <w:tcPr>
            <w:tcW w:w="1294" w:type="pct"/>
            <w:vMerge w:val="restart"/>
          </w:tcPr>
          <w:p w14:paraId="307FA75D" w14:textId="41F25EEF" w:rsidR="00546D10" w:rsidRPr="007A0F4B" w:rsidRDefault="00546D10" w:rsidP="00292616">
            <w:pPr>
              <w:spacing w:line="240" w:lineRule="auto"/>
              <w:ind w:firstLine="0"/>
            </w:pPr>
          </w:p>
        </w:tc>
        <w:tc>
          <w:tcPr>
            <w:tcW w:w="1854" w:type="pct"/>
          </w:tcPr>
          <w:p w14:paraId="2C446C3C" w14:textId="5A2D361F" w:rsidR="00546D10" w:rsidRPr="007A0F4B" w:rsidRDefault="00546D10" w:rsidP="00292616">
            <w:pPr>
              <w:spacing w:line="240" w:lineRule="auto"/>
              <w:ind w:firstLine="0"/>
            </w:pPr>
            <w:r w:rsidRPr="007A0F4B">
              <w:t>Relationships</w:t>
            </w:r>
          </w:p>
        </w:tc>
        <w:tc>
          <w:tcPr>
            <w:tcW w:w="1852" w:type="pct"/>
          </w:tcPr>
          <w:p w14:paraId="0207DB98" w14:textId="77777777" w:rsidR="00546D10" w:rsidRPr="007A0F4B" w:rsidRDefault="00546D10" w:rsidP="00292616">
            <w:pPr>
              <w:spacing w:line="240" w:lineRule="auto"/>
              <w:ind w:firstLine="0"/>
            </w:pPr>
            <w:r w:rsidRPr="007A0F4B">
              <w:t xml:space="preserve">Perspective-taking </w:t>
            </w:r>
          </w:p>
          <w:p w14:paraId="02801277" w14:textId="77777777" w:rsidR="00546D10" w:rsidRPr="007A0F4B" w:rsidRDefault="00546D10" w:rsidP="00292616">
            <w:pPr>
              <w:spacing w:line="240" w:lineRule="auto"/>
              <w:ind w:firstLine="0"/>
            </w:pPr>
            <w:r w:rsidRPr="007A0F4B">
              <w:t xml:space="preserve">Communication </w:t>
            </w:r>
          </w:p>
          <w:p w14:paraId="06511436" w14:textId="77777777" w:rsidR="00546D10" w:rsidRPr="007A0F4B" w:rsidRDefault="00546D10" w:rsidP="00292616">
            <w:pPr>
              <w:spacing w:line="240" w:lineRule="auto"/>
              <w:ind w:firstLine="0"/>
            </w:pPr>
            <w:r w:rsidRPr="007A0F4B">
              <w:t>Compassion</w:t>
            </w:r>
          </w:p>
          <w:p w14:paraId="4CC5ABFF" w14:textId="6F810FD6" w:rsidR="00546D10" w:rsidRPr="007A0F4B" w:rsidRDefault="00546D10" w:rsidP="00292616">
            <w:pPr>
              <w:spacing w:line="240" w:lineRule="auto"/>
              <w:ind w:firstLine="0"/>
            </w:pPr>
            <w:r w:rsidRPr="007A0F4B">
              <w:t>Empathy</w:t>
            </w:r>
          </w:p>
        </w:tc>
      </w:tr>
      <w:tr w:rsidR="00546D10" w:rsidRPr="007A0F4B" w14:paraId="5860CB7D" w14:textId="77777777" w:rsidTr="00546D10">
        <w:trPr>
          <w:trHeight w:val="618"/>
        </w:trPr>
        <w:tc>
          <w:tcPr>
            <w:tcW w:w="1294" w:type="pct"/>
            <w:vMerge/>
          </w:tcPr>
          <w:p w14:paraId="5B505A92" w14:textId="77777777" w:rsidR="00546D10" w:rsidRPr="007A0F4B" w:rsidRDefault="00546D10" w:rsidP="00292616">
            <w:pPr>
              <w:spacing w:line="240" w:lineRule="auto"/>
              <w:ind w:firstLine="0"/>
            </w:pPr>
          </w:p>
        </w:tc>
        <w:tc>
          <w:tcPr>
            <w:tcW w:w="1854" w:type="pct"/>
          </w:tcPr>
          <w:p w14:paraId="34AF7725" w14:textId="2D11DB0D" w:rsidR="00546D10" w:rsidRPr="007A0F4B" w:rsidRDefault="00546D10" w:rsidP="00292616">
            <w:pPr>
              <w:spacing w:line="240" w:lineRule="auto"/>
              <w:ind w:firstLine="0"/>
            </w:pPr>
            <w:r w:rsidRPr="007A0F4B">
              <w:t>Safety</w:t>
            </w:r>
          </w:p>
        </w:tc>
        <w:tc>
          <w:tcPr>
            <w:tcW w:w="1852" w:type="pct"/>
          </w:tcPr>
          <w:p w14:paraId="14AA4116" w14:textId="77777777" w:rsidR="00546D10" w:rsidRPr="007A0F4B" w:rsidRDefault="00546D10" w:rsidP="00292616">
            <w:pPr>
              <w:spacing w:line="240" w:lineRule="auto"/>
              <w:ind w:firstLine="0"/>
            </w:pPr>
            <w:r w:rsidRPr="007A0F4B">
              <w:t>Manage unhealthy sexual thoughts, urges, and behaviors</w:t>
            </w:r>
          </w:p>
          <w:p w14:paraId="628FB438" w14:textId="77777777" w:rsidR="00546D10" w:rsidRPr="007A0F4B" w:rsidRDefault="00546D10" w:rsidP="00292616">
            <w:pPr>
              <w:spacing w:line="240" w:lineRule="auto"/>
              <w:ind w:firstLine="0"/>
            </w:pPr>
            <w:r w:rsidRPr="007A0F4B">
              <w:t>Discuss safety with support</w:t>
            </w:r>
            <w:r>
              <w:t xml:space="preserve"> people</w:t>
            </w:r>
          </w:p>
          <w:p w14:paraId="690DFAF0" w14:textId="3E01B045" w:rsidR="00546D10" w:rsidRPr="007A0F4B" w:rsidRDefault="00546D10" w:rsidP="00292616">
            <w:pPr>
              <w:spacing w:line="240" w:lineRule="auto"/>
              <w:ind w:firstLine="0"/>
            </w:pPr>
            <w:r w:rsidRPr="007A0F4B">
              <w:t>Apply safety plans</w:t>
            </w:r>
          </w:p>
        </w:tc>
      </w:tr>
      <w:tr w:rsidR="000A1552" w:rsidRPr="007A0F4B" w14:paraId="3820F756" w14:textId="77777777" w:rsidTr="000A1552">
        <w:trPr>
          <w:trHeight w:val="1066"/>
        </w:trPr>
        <w:tc>
          <w:tcPr>
            <w:tcW w:w="1294" w:type="pct"/>
            <w:vMerge/>
          </w:tcPr>
          <w:p w14:paraId="146B4F62" w14:textId="77777777" w:rsidR="000A1552" w:rsidRPr="007A0F4B" w:rsidRDefault="000A1552" w:rsidP="00292616">
            <w:pPr>
              <w:spacing w:line="240" w:lineRule="auto"/>
              <w:ind w:firstLine="0"/>
            </w:pPr>
          </w:p>
        </w:tc>
        <w:tc>
          <w:tcPr>
            <w:tcW w:w="1854" w:type="pct"/>
          </w:tcPr>
          <w:p w14:paraId="73D11553" w14:textId="21A05A39" w:rsidR="000A1552" w:rsidRPr="007A0F4B" w:rsidRDefault="000A1552" w:rsidP="00292616">
            <w:pPr>
              <w:spacing w:line="240" w:lineRule="auto"/>
              <w:ind w:firstLine="0"/>
            </w:pPr>
            <w:r w:rsidRPr="007A0F4B">
              <w:t>Shame management</w:t>
            </w:r>
          </w:p>
        </w:tc>
        <w:tc>
          <w:tcPr>
            <w:tcW w:w="1852" w:type="pct"/>
          </w:tcPr>
          <w:p w14:paraId="3BA8ADFA" w14:textId="21C18CBD" w:rsidR="000A1552" w:rsidRDefault="000A1552" w:rsidP="00292616">
            <w:pPr>
              <w:spacing w:line="240" w:lineRule="auto"/>
              <w:ind w:firstLine="0"/>
            </w:pPr>
            <w:r>
              <w:t>Shame as motivating and protective</w:t>
            </w:r>
          </w:p>
          <w:p w14:paraId="0B68C972" w14:textId="277B2E37" w:rsidR="000A1552" w:rsidRPr="007A0F4B" w:rsidRDefault="000A1552" w:rsidP="00292616">
            <w:pPr>
              <w:spacing w:line="240" w:lineRule="auto"/>
              <w:ind w:firstLine="0"/>
            </w:pPr>
            <w:r w:rsidRPr="007A0F4B">
              <w:t xml:space="preserve">Post hoc neutralizations </w:t>
            </w:r>
          </w:p>
          <w:p w14:paraId="740327F6" w14:textId="4E04C0ED" w:rsidR="000A1552" w:rsidRPr="007A0F4B" w:rsidRDefault="000A1552" w:rsidP="00292616">
            <w:pPr>
              <w:spacing w:line="240" w:lineRule="auto"/>
              <w:ind w:firstLine="0"/>
            </w:pPr>
            <w:r w:rsidRPr="007A0F4B">
              <w:t>Situational or contextual explanations for sexual offending</w:t>
            </w:r>
          </w:p>
        </w:tc>
      </w:tr>
      <w:tr w:rsidR="004F4FD7" w:rsidRPr="007A0F4B" w14:paraId="18AEF117" w14:textId="77777777" w:rsidTr="00546D10">
        <w:trPr>
          <w:trHeight w:val="618"/>
        </w:trPr>
        <w:tc>
          <w:tcPr>
            <w:tcW w:w="1294" w:type="pct"/>
          </w:tcPr>
          <w:p w14:paraId="6BE587C6" w14:textId="77777777" w:rsidR="004F4FD7" w:rsidRPr="007A0F4B" w:rsidRDefault="004F4FD7" w:rsidP="004F4FD7">
            <w:pPr>
              <w:spacing w:line="240" w:lineRule="auto"/>
              <w:ind w:firstLine="0"/>
            </w:pPr>
            <w:r w:rsidRPr="007A0F4B">
              <w:t xml:space="preserve">Strengthened personal agency </w:t>
            </w:r>
          </w:p>
        </w:tc>
        <w:tc>
          <w:tcPr>
            <w:tcW w:w="1854" w:type="pct"/>
          </w:tcPr>
          <w:p w14:paraId="5F96A380" w14:textId="63093545" w:rsidR="004F4FD7" w:rsidRPr="007A0F4B" w:rsidRDefault="004F4FD7" w:rsidP="004F4FD7">
            <w:pPr>
              <w:spacing w:line="240" w:lineRule="auto"/>
              <w:ind w:firstLine="0"/>
            </w:pPr>
            <w:r w:rsidRPr="007A0F4B">
              <w:t xml:space="preserve">Internal locus of control </w:t>
            </w:r>
          </w:p>
        </w:tc>
        <w:tc>
          <w:tcPr>
            <w:tcW w:w="1852" w:type="pct"/>
          </w:tcPr>
          <w:p w14:paraId="2FDEEAA1" w14:textId="77777777" w:rsidR="004F4FD7" w:rsidRDefault="00466A9D" w:rsidP="004F4FD7">
            <w:pPr>
              <w:spacing w:line="240" w:lineRule="auto"/>
              <w:ind w:firstLine="0"/>
            </w:pPr>
            <w:r>
              <w:t>Feeling in control of their future, actions</w:t>
            </w:r>
            <w:r w:rsidR="00753EA5">
              <w:t>, cognitions</w:t>
            </w:r>
          </w:p>
          <w:p w14:paraId="310B46FC" w14:textId="27100168" w:rsidR="00753EA5" w:rsidRPr="007A0F4B" w:rsidRDefault="00753EA5" w:rsidP="004F4FD7">
            <w:pPr>
              <w:spacing w:line="240" w:lineRule="auto"/>
              <w:ind w:firstLine="0"/>
            </w:pPr>
            <w:r>
              <w:t>Desistance as a personal choice</w:t>
            </w:r>
          </w:p>
        </w:tc>
      </w:tr>
      <w:tr w:rsidR="004F4FD7" w:rsidRPr="007A0F4B" w14:paraId="042A2502" w14:textId="77777777" w:rsidTr="00546D10">
        <w:trPr>
          <w:trHeight w:val="618"/>
        </w:trPr>
        <w:tc>
          <w:tcPr>
            <w:tcW w:w="1294" w:type="pct"/>
          </w:tcPr>
          <w:p w14:paraId="0A63B409" w14:textId="77777777" w:rsidR="004F4FD7" w:rsidRPr="007A0F4B" w:rsidRDefault="004F4FD7" w:rsidP="004F4FD7">
            <w:pPr>
              <w:spacing w:line="240" w:lineRule="auto"/>
              <w:ind w:firstLine="0"/>
            </w:pPr>
          </w:p>
        </w:tc>
        <w:tc>
          <w:tcPr>
            <w:tcW w:w="1854" w:type="pct"/>
          </w:tcPr>
          <w:p w14:paraId="2DFE64FC" w14:textId="734D7F2A" w:rsidR="004F4FD7" w:rsidRPr="007A0F4B" w:rsidRDefault="004F4FD7" w:rsidP="004F4FD7">
            <w:pPr>
              <w:spacing w:line="240" w:lineRule="auto"/>
              <w:ind w:firstLine="0"/>
            </w:pPr>
            <w:r w:rsidRPr="007A0F4B">
              <w:t xml:space="preserve">Self-efficacy </w:t>
            </w:r>
          </w:p>
        </w:tc>
        <w:tc>
          <w:tcPr>
            <w:tcW w:w="1852" w:type="pct"/>
          </w:tcPr>
          <w:p w14:paraId="78048637" w14:textId="00F2AA69" w:rsidR="004F4FD7" w:rsidRDefault="00753EA5" w:rsidP="004F4FD7">
            <w:pPr>
              <w:spacing w:line="240" w:lineRule="auto"/>
              <w:ind w:firstLine="0"/>
            </w:pPr>
            <w:r>
              <w:t>Positive cognitions</w:t>
            </w:r>
            <w:r w:rsidR="005634FB">
              <w:t xml:space="preserve"> and self-talk</w:t>
            </w:r>
          </w:p>
          <w:p w14:paraId="7C826951" w14:textId="77777777" w:rsidR="005634FB" w:rsidRDefault="005634FB" w:rsidP="004F4FD7">
            <w:pPr>
              <w:spacing w:line="240" w:lineRule="auto"/>
              <w:ind w:firstLine="0"/>
            </w:pPr>
            <w:r>
              <w:t>Self-belief</w:t>
            </w:r>
          </w:p>
          <w:p w14:paraId="5DDDBB07" w14:textId="77777777" w:rsidR="005634FB" w:rsidRDefault="005634FB" w:rsidP="004F4FD7">
            <w:pPr>
              <w:spacing w:line="240" w:lineRule="auto"/>
              <w:ind w:firstLine="0"/>
            </w:pPr>
            <w:r>
              <w:t>Recognizing own strength</w:t>
            </w:r>
            <w:r w:rsidR="00511934">
              <w:t xml:space="preserve"> and ability </w:t>
            </w:r>
          </w:p>
          <w:p w14:paraId="1374D55E" w14:textId="273E95E0" w:rsidR="00511934" w:rsidRPr="007A0F4B" w:rsidRDefault="00511934" w:rsidP="004F4FD7">
            <w:pPr>
              <w:spacing w:line="240" w:lineRule="auto"/>
              <w:ind w:firstLine="0"/>
            </w:pPr>
            <w:r>
              <w:t>Working towards goals</w:t>
            </w:r>
          </w:p>
        </w:tc>
      </w:tr>
      <w:tr w:rsidR="004F4FD7" w:rsidRPr="007A0F4B" w14:paraId="30C862A6" w14:textId="77777777" w:rsidTr="00546D10">
        <w:trPr>
          <w:trHeight w:val="618"/>
        </w:trPr>
        <w:tc>
          <w:tcPr>
            <w:tcW w:w="1294" w:type="pct"/>
          </w:tcPr>
          <w:p w14:paraId="5FDA777F" w14:textId="77777777" w:rsidR="004F4FD7" w:rsidRPr="007A0F4B" w:rsidRDefault="004F4FD7" w:rsidP="004F4FD7">
            <w:pPr>
              <w:spacing w:line="240" w:lineRule="auto"/>
              <w:ind w:firstLine="0"/>
            </w:pPr>
          </w:p>
        </w:tc>
        <w:tc>
          <w:tcPr>
            <w:tcW w:w="1854" w:type="pct"/>
          </w:tcPr>
          <w:p w14:paraId="5B271EB3" w14:textId="7F146C0F" w:rsidR="004F4FD7" w:rsidRPr="007A0F4B" w:rsidRDefault="004F4FD7" w:rsidP="004F4FD7">
            <w:pPr>
              <w:spacing w:line="240" w:lineRule="auto"/>
              <w:ind w:firstLine="0"/>
            </w:pPr>
            <w:r w:rsidRPr="007A0F4B">
              <w:t>Self-esteem and confidence</w:t>
            </w:r>
          </w:p>
        </w:tc>
        <w:tc>
          <w:tcPr>
            <w:tcW w:w="1852" w:type="pct"/>
          </w:tcPr>
          <w:p w14:paraId="29813C27" w14:textId="77777777" w:rsidR="004F4FD7" w:rsidRDefault="00A952F5" w:rsidP="004F4FD7">
            <w:pPr>
              <w:spacing w:line="240" w:lineRule="auto"/>
              <w:ind w:firstLine="0"/>
            </w:pPr>
            <w:r>
              <w:t>Trying new things, experiencing success</w:t>
            </w:r>
          </w:p>
          <w:p w14:paraId="31C7633F" w14:textId="029FB96E" w:rsidR="00A952F5" w:rsidRDefault="00A952F5" w:rsidP="004F4FD7">
            <w:pPr>
              <w:spacing w:line="240" w:lineRule="auto"/>
              <w:ind w:firstLine="0"/>
            </w:pPr>
            <w:r>
              <w:t xml:space="preserve">Positive mindset </w:t>
            </w:r>
          </w:p>
          <w:p w14:paraId="0841418D" w14:textId="77777777" w:rsidR="00A952F5" w:rsidRDefault="00A952F5" w:rsidP="004F4FD7">
            <w:pPr>
              <w:spacing w:line="240" w:lineRule="auto"/>
              <w:ind w:firstLine="0"/>
            </w:pPr>
            <w:r>
              <w:t xml:space="preserve">Seeing a positive future </w:t>
            </w:r>
          </w:p>
          <w:p w14:paraId="06D19185" w14:textId="25242E85" w:rsidR="00A952F5" w:rsidRPr="007A0F4B" w:rsidRDefault="00A952F5" w:rsidP="004F4FD7">
            <w:pPr>
              <w:spacing w:line="240" w:lineRule="auto"/>
              <w:ind w:firstLine="0"/>
            </w:pPr>
            <w:r>
              <w:t>Positive feedback from others</w:t>
            </w:r>
          </w:p>
        </w:tc>
      </w:tr>
      <w:tr w:rsidR="004F4FD7" w:rsidRPr="007A0F4B" w14:paraId="56DD51E3" w14:textId="77777777" w:rsidTr="00546D10">
        <w:trPr>
          <w:trHeight w:val="618"/>
        </w:trPr>
        <w:tc>
          <w:tcPr>
            <w:tcW w:w="1294" w:type="pct"/>
          </w:tcPr>
          <w:p w14:paraId="2B821D04" w14:textId="77777777" w:rsidR="004F4FD7" w:rsidRPr="007A0F4B" w:rsidRDefault="004F4FD7" w:rsidP="004F4FD7">
            <w:pPr>
              <w:spacing w:line="240" w:lineRule="auto"/>
              <w:ind w:firstLine="0"/>
            </w:pPr>
          </w:p>
        </w:tc>
        <w:tc>
          <w:tcPr>
            <w:tcW w:w="1854" w:type="pct"/>
          </w:tcPr>
          <w:p w14:paraId="399FFCE4" w14:textId="21AC08F8" w:rsidR="004F4FD7" w:rsidRPr="007A0F4B" w:rsidRDefault="004F4FD7" w:rsidP="004F4FD7">
            <w:pPr>
              <w:spacing w:line="240" w:lineRule="auto"/>
              <w:ind w:firstLine="0"/>
            </w:pPr>
            <w:r w:rsidRPr="007A0F4B">
              <w:t xml:space="preserve">Perseverance and resilience </w:t>
            </w:r>
          </w:p>
        </w:tc>
        <w:tc>
          <w:tcPr>
            <w:tcW w:w="1852" w:type="pct"/>
          </w:tcPr>
          <w:p w14:paraId="135D3DCE" w14:textId="538A3763" w:rsidR="004F4FD7" w:rsidRDefault="0043684A" w:rsidP="004F4FD7">
            <w:pPr>
              <w:spacing w:line="240" w:lineRule="auto"/>
              <w:ind w:firstLine="0"/>
            </w:pPr>
            <w:r>
              <w:t>Persistence through setbacks and challenges</w:t>
            </w:r>
          </w:p>
          <w:p w14:paraId="7DC7B8F0" w14:textId="77777777" w:rsidR="0043684A" w:rsidRDefault="0043684A" w:rsidP="004F4FD7">
            <w:pPr>
              <w:spacing w:line="240" w:lineRule="auto"/>
              <w:ind w:firstLine="0"/>
            </w:pPr>
            <w:r>
              <w:t>Committed to long term change</w:t>
            </w:r>
          </w:p>
          <w:p w14:paraId="49B599E2" w14:textId="35950A40" w:rsidR="0043684A" w:rsidRPr="007A0F4B" w:rsidRDefault="0043684A" w:rsidP="004F4FD7">
            <w:pPr>
              <w:spacing w:line="240" w:lineRule="auto"/>
              <w:ind w:firstLine="0"/>
            </w:pPr>
            <w:r>
              <w:t>Keeping at it</w:t>
            </w:r>
          </w:p>
        </w:tc>
      </w:tr>
      <w:tr w:rsidR="004F4FD7" w:rsidRPr="007A0F4B" w14:paraId="5F258069" w14:textId="77777777" w:rsidTr="00546D10">
        <w:trPr>
          <w:trHeight w:val="618"/>
        </w:trPr>
        <w:tc>
          <w:tcPr>
            <w:tcW w:w="1294" w:type="pct"/>
          </w:tcPr>
          <w:p w14:paraId="7007DEA8" w14:textId="77777777" w:rsidR="004F4FD7" w:rsidRPr="007A0F4B" w:rsidRDefault="004F4FD7" w:rsidP="004F4FD7">
            <w:pPr>
              <w:spacing w:line="240" w:lineRule="auto"/>
              <w:ind w:firstLine="0"/>
            </w:pPr>
          </w:p>
        </w:tc>
        <w:tc>
          <w:tcPr>
            <w:tcW w:w="1854" w:type="pct"/>
          </w:tcPr>
          <w:p w14:paraId="78F5B40F" w14:textId="5FE0D72D" w:rsidR="004F4FD7" w:rsidRPr="007A0F4B" w:rsidRDefault="004F4FD7" w:rsidP="004F4FD7">
            <w:pPr>
              <w:spacing w:line="240" w:lineRule="auto"/>
              <w:ind w:firstLine="0"/>
            </w:pPr>
            <w:r w:rsidRPr="007A0F4B">
              <w:t xml:space="preserve">Hope and optimism </w:t>
            </w:r>
          </w:p>
        </w:tc>
        <w:tc>
          <w:tcPr>
            <w:tcW w:w="1852" w:type="pct"/>
          </w:tcPr>
          <w:p w14:paraId="1FE7ECC5" w14:textId="77777777" w:rsidR="004F4FD7" w:rsidRDefault="00C82259" w:rsidP="004F4FD7">
            <w:pPr>
              <w:spacing w:line="240" w:lineRule="auto"/>
              <w:ind w:firstLine="0"/>
            </w:pPr>
            <w:r>
              <w:t>Holding on to hope</w:t>
            </w:r>
          </w:p>
          <w:p w14:paraId="0509AC59" w14:textId="3B8A85A1" w:rsidR="00C82259" w:rsidRPr="007A0F4B" w:rsidRDefault="00C82259" w:rsidP="004F4FD7">
            <w:pPr>
              <w:spacing w:line="240" w:lineRule="auto"/>
              <w:ind w:firstLine="0"/>
            </w:pPr>
            <w:r>
              <w:t xml:space="preserve">Seeing a positive future </w:t>
            </w:r>
          </w:p>
        </w:tc>
      </w:tr>
      <w:tr w:rsidR="004F4FD7" w:rsidRPr="007A0F4B" w14:paraId="790C9CF4" w14:textId="77777777" w:rsidTr="00546D10">
        <w:trPr>
          <w:trHeight w:val="618"/>
        </w:trPr>
        <w:tc>
          <w:tcPr>
            <w:tcW w:w="1294" w:type="pct"/>
          </w:tcPr>
          <w:p w14:paraId="039B42B1" w14:textId="699E44ED" w:rsidR="004F4FD7" w:rsidRPr="007A0F4B" w:rsidRDefault="004F4FD7" w:rsidP="004F4FD7">
            <w:pPr>
              <w:spacing w:line="240" w:lineRule="auto"/>
              <w:ind w:firstLine="0"/>
            </w:pPr>
            <w:r w:rsidRPr="007A0F4B">
              <w:lastRenderedPageBreak/>
              <w:t>Social support and accountability to social networks</w:t>
            </w:r>
          </w:p>
        </w:tc>
        <w:tc>
          <w:tcPr>
            <w:tcW w:w="1854" w:type="pct"/>
          </w:tcPr>
          <w:p w14:paraId="765A2FE1" w14:textId="4FA0FE9B" w:rsidR="004F4FD7" w:rsidRPr="007A0F4B" w:rsidRDefault="004F4FD7" w:rsidP="004F4FD7">
            <w:pPr>
              <w:spacing w:line="240" w:lineRule="auto"/>
              <w:ind w:firstLine="0"/>
            </w:pPr>
            <w:r w:rsidRPr="007A0F4B">
              <w:t xml:space="preserve">Acquired social support </w:t>
            </w:r>
          </w:p>
        </w:tc>
        <w:tc>
          <w:tcPr>
            <w:tcW w:w="1852" w:type="pct"/>
          </w:tcPr>
          <w:p w14:paraId="7A68FA44" w14:textId="77777777" w:rsidR="004F4FD7" w:rsidRDefault="00184AD9" w:rsidP="004F4FD7">
            <w:pPr>
              <w:spacing w:line="240" w:lineRule="auto"/>
              <w:ind w:firstLine="0"/>
            </w:pPr>
            <w:r>
              <w:t>Family</w:t>
            </w:r>
          </w:p>
          <w:p w14:paraId="3334F5C6" w14:textId="77777777" w:rsidR="00184AD9" w:rsidRDefault="00184AD9" w:rsidP="004F4FD7">
            <w:pPr>
              <w:spacing w:line="240" w:lineRule="auto"/>
              <w:ind w:firstLine="0"/>
            </w:pPr>
            <w:r>
              <w:t>Friendships</w:t>
            </w:r>
          </w:p>
          <w:p w14:paraId="3ECE4C1B" w14:textId="77777777" w:rsidR="00184AD9" w:rsidRDefault="00184AD9" w:rsidP="004F4FD7">
            <w:pPr>
              <w:spacing w:line="240" w:lineRule="auto"/>
              <w:ind w:firstLine="0"/>
            </w:pPr>
            <w:r>
              <w:t>Intimate relationships</w:t>
            </w:r>
          </w:p>
          <w:p w14:paraId="2B14F34E" w14:textId="77777777" w:rsidR="00184AD9" w:rsidRDefault="00184AD9" w:rsidP="004F4FD7">
            <w:pPr>
              <w:spacing w:line="240" w:lineRule="auto"/>
              <w:ind w:firstLine="0"/>
            </w:pPr>
            <w:r>
              <w:t>Pastoral support</w:t>
            </w:r>
          </w:p>
          <w:p w14:paraId="7CEBB1B0" w14:textId="027AE390" w:rsidR="00DC3689" w:rsidRPr="007A0F4B" w:rsidRDefault="00DC3689" w:rsidP="004F4FD7">
            <w:pPr>
              <w:spacing w:line="240" w:lineRule="auto"/>
              <w:ind w:firstLine="0"/>
            </w:pPr>
            <w:r>
              <w:t xml:space="preserve">Access to </w:t>
            </w:r>
            <w:r w:rsidR="000A1552">
              <w:t xml:space="preserve">practical </w:t>
            </w:r>
            <w:r>
              <w:t>resources</w:t>
            </w:r>
          </w:p>
        </w:tc>
      </w:tr>
      <w:tr w:rsidR="004F4FD7" w:rsidRPr="007A0F4B" w14:paraId="7DB70759" w14:textId="77777777" w:rsidTr="00546D10">
        <w:trPr>
          <w:trHeight w:val="618"/>
        </w:trPr>
        <w:tc>
          <w:tcPr>
            <w:tcW w:w="1294" w:type="pct"/>
          </w:tcPr>
          <w:p w14:paraId="73EE2BC2" w14:textId="7703D8BA" w:rsidR="004F4FD7" w:rsidRPr="007A0F4B" w:rsidRDefault="004F4FD7" w:rsidP="004F4FD7">
            <w:pPr>
              <w:spacing w:line="240" w:lineRule="auto"/>
              <w:ind w:firstLine="0"/>
            </w:pPr>
          </w:p>
        </w:tc>
        <w:tc>
          <w:tcPr>
            <w:tcW w:w="1854" w:type="pct"/>
          </w:tcPr>
          <w:p w14:paraId="131199B4" w14:textId="34301FB2" w:rsidR="004F4FD7" w:rsidRPr="007A0F4B" w:rsidRDefault="004F4FD7" w:rsidP="004F4FD7">
            <w:pPr>
              <w:spacing w:line="240" w:lineRule="auto"/>
              <w:ind w:firstLine="0"/>
            </w:pPr>
            <w:r w:rsidRPr="007A0F4B">
              <w:t xml:space="preserve">Resultant processes </w:t>
            </w:r>
          </w:p>
        </w:tc>
        <w:tc>
          <w:tcPr>
            <w:tcW w:w="1852" w:type="pct"/>
          </w:tcPr>
          <w:p w14:paraId="7BCD8468" w14:textId="77777777" w:rsidR="004F4FD7" w:rsidRDefault="004F4FD7" w:rsidP="004F4FD7">
            <w:pPr>
              <w:spacing w:line="240" w:lineRule="auto"/>
              <w:ind w:firstLine="0"/>
            </w:pPr>
            <w:r w:rsidRPr="007A0F4B">
              <w:t xml:space="preserve">Support and accountability </w:t>
            </w:r>
          </w:p>
          <w:p w14:paraId="165D84E4" w14:textId="77777777" w:rsidR="000A1552" w:rsidRPr="007A0F4B" w:rsidRDefault="000A1552" w:rsidP="000A1552">
            <w:pPr>
              <w:spacing w:line="240" w:lineRule="auto"/>
              <w:ind w:firstLine="0"/>
            </w:pPr>
            <w:r w:rsidRPr="007A0F4B">
              <w:t>Prosocial connection</w:t>
            </w:r>
          </w:p>
          <w:p w14:paraId="25425B58" w14:textId="5A562EF2" w:rsidR="000A1552" w:rsidRPr="007A0F4B" w:rsidRDefault="000A1552" w:rsidP="004F4FD7">
            <w:pPr>
              <w:spacing w:line="240" w:lineRule="auto"/>
              <w:ind w:firstLine="0"/>
            </w:pPr>
            <w:r w:rsidRPr="007A0F4B">
              <w:t>Prosocial roles</w:t>
            </w:r>
          </w:p>
        </w:tc>
      </w:tr>
      <w:tr w:rsidR="004F4FD7" w:rsidRPr="007A0F4B" w14:paraId="1271E80C" w14:textId="77777777" w:rsidTr="00546D10">
        <w:trPr>
          <w:trHeight w:val="618"/>
        </w:trPr>
        <w:tc>
          <w:tcPr>
            <w:tcW w:w="1294" w:type="pct"/>
          </w:tcPr>
          <w:p w14:paraId="71A1CD00" w14:textId="7BF0836F" w:rsidR="004F4FD7" w:rsidRPr="007A0F4B" w:rsidRDefault="00842C33" w:rsidP="004F4FD7">
            <w:pPr>
              <w:spacing w:line="240" w:lineRule="auto"/>
              <w:ind w:firstLine="0"/>
            </w:pPr>
            <w:r w:rsidRPr="007A0F4B">
              <w:t>Living in congruence with values</w:t>
            </w:r>
          </w:p>
        </w:tc>
        <w:tc>
          <w:tcPr>
            <w:tcW w:w="1854" w:type="pct"/>
          </w:tcPr>
          <w:p w14:paraId="674279F3" w14:textId="37D4109E" w:rsidR="004F4FD7" w:rsidRPr="007A0F4B" w:rsidRDefault="007F55C8" w:rsidP="004F4FD7">
            <w:pPr>
              <w:spacing w:line="240" w:lineRule="auto"/>
              <w:ind w:firstLine="0"/>
            </w:pPr>
            <w:r>
              <w:t>Living a meaningful life</w:t>
            </w:r>
          </w:p>
        </w:tc>
        <w:tc>
          <w:tcPr>
            <w:tcW w:w="1852" w:type="pct"/>
          </w:tcPr>
          <w:p w14:paraId="5CA4E36A" w14:textId="77777777" w:rsidR="004F4FD7" w:rsidRDefault="00D74D55" w:rsidP="004F4FD7">
            <w:pPr>
              <w:spacing w:line="240" w:lineRule="auto"/>
              <w:ind w:firstLine="0"/>
            </w:pPr>
            <w:r>
              <w:t>Values aligned behavior</w:t>
            </w:r>
          </w:p>
          <w:p w14:paraId="2E47C589" w14:textId="2D2E64FE" w:rsidR="006A0EA2" w:rsidRPr="007A0F4B" w:rsidRDefault="00D74D55" w:rsidP="004F4FD7">
            <w:pPr>
              <w:spacing w:line="240" w:lineRule="auto"/>
              <w:ind w:firstLine="0"/>
            </w:pPr>
            <w:r>
              <w:t>Making and sustaining change</w:t>
            </w:r>
          </w:p>
        </w:tc>
      </w:tr>
      <w:tr w:rsidR="000C3308" w:rsidRPr="007A0F4B" w14:paraId="1D19EEF8" w14:textId="77777777" w:rsidTr="00546D10">
        <w:trPr>
          <w:trHeight w:val="618"/>
        </w:trPr>
        <w:tc>
          <w:tcPr>
            <w:tcW w:w="1294" w:type="pct"/>
          </w:tcPr>
          <w:p w14:paraId="0FA02266" w14:textId="77777777" w:rsidR="000C3308" w:rsidRPr="007A0F4B" w:rsidRDefault="000C3308" w:rsidP="004F4FD7">
            <w:pPr>
              <w:spacing w:line="240" w:lineRule="auto"/>
              <w:ind w:firstLine="0"/>
            </w:pPr>
          </w:p>
        </w:tc>
        <w:tc>
          <w:tcPr>
            <w:tcW w:w="1854" w:type="pct"/>
          </w:tcPr>
          <w:p w14:paraId="0D5455A2" w14:textId="125949F4" w:rsidR="000C3308" w:rsidRDefault="000C3308" w:rsidP="004F4FD7">
            <w:pPr>
              <w:spacing w:line="240" w:lineRule="auto"/>
              <w:ind w:firstLine="0"/>
            </w:pPr>
            <w:r w:rsidRPr="007A0F4B">
              <w:t>Sense of purpose</w:t>
            </w:r>
          </w:p>
        </w:tc>
        <w:tc>
          <w:tcPr>
            <w:tcW w:w="1852" w:type="pct"/>
          </w:tcPr>
          <w:p w14:paraId="29451E61" w14:textId="77777777" w:rsidR="000C3308" w:rsidRDefault="00DE61E1" w:rsidP="004F4FD7">
            <w:pPr>
              <w:spacing w:line="240" w:lineRule="auto"/>
              <w:ind w:firstLine="0"/>
            </w:pPr>
            <w:r w:rsidRPr="007A0F4B">
              <w:t>Generativity and giving back</w:t>
            </w:r>
          </w:p>
          <w:p w14:paraId="7765F2A0" w14:textId="5F75081F" w:rsidR="000A1552" w:rsidRPr="007A0F4B" w:rsidRDefault="000A1552" w:rsidP="004F4FD7">
            <w:pPr>
              <w:spacing w:line="240" w:lineRule="auto"/>
              <w:ind w:firstLine="0"/>
            </w:pPr>
            <w:r>
              <w:t xml:space="preserve">Involvement in values driven </w:t>
            </w:r>
            <w:r w:rsidR="00CC302E">
              <w:t xml:space="preserve">social </w:t>
            </w:r>
            <w:r>
              <w:t xml:space="preserve">activity </w:t>
            </w:r>
          </w:p>
        </w:tc>
      </w:tr>
      <w:tr w:rsidR="00BE4711" w:rsidRPr="007A0F4B" w14:paraId="3EB5400E" w14:textId="77777777" w:rsidTr="00546D10">
        <w:trPr>
          <w:trHeight w:val="618"/>
        </w:trPr>
        <w:tc>
          <w:tcPr>
            <w:tcW w:w="1294" w:type="pct"/>
          </w:tcPr>
          <w:p w14:paraId="5F705F91" w14:textId="77777777" w:rsidR="00BE4711" w:rsidRPr="007A0F4B" w:rsidRDefault="00BE4711" w:rsidP="004F4FD7">
            <w:pPr>
              <w:spacing w:line="240" w:lineRule="auto"/>
              <w:ind w:firstLine="0"/>
            </w:pPr>
          </w:p>
        </w:tc>
        <w:tc>
          <w:tcPr>
            <w:tcW w:w="1854" w:type="pct"/>
          </w:tcPr>
          <w:p w14:paraId="750F266D" w14:textId="2ACDE258" w:rsidR="00BE4711" w:rsidRPr="007A0F4B" w:rsidRDefault="00BE4711" w:rsidP="004F4FD7">
            <w:pPr>
              <w:spacing w:line="240" w:lineRule="auto"/>
              <w:ind w:firstLine="0"/>
            </w:pPr>
            <w:r>
              <w:t>Stability</w:t>
            </w:r>
          </w:p>
        </w:tc>
        <w:tc>
          <w:tcPr>
            <w:tcW w:w="1852" w:type="pct"/>
          </w:tcPr>
          <w:p w14:paraId="5D5D4818" w14:textId="77777777" w:rsidR="00BE4711" w:rsidRDefault="00BE4711" w:rsidP="004F4FD7">
            <w:pPr>
              <w:spacing w:line="240" w:lineRule="auto"/>
              <w:ind w:firstLine="0"/>
            </w:pPr>
            <w:r w:rsidRPr="007A0F4B">
              <w:t>Stability</w:t>
            </w:r>
            <w:r>
              <w:t>, k</w:t>
            </w:r>
            <w:r w:rsidRPr="007A0F4B">
              <w:t>eeping busy, structure and routine</w:t>
            </w:r>
          </w:p>
          <w:p w14:paraId="11E721E8" w14:textId="77777777" w:rsidR="0005301F" w:rsidRDefault="0005301F" w:rsidP="004F4FD7">
            <w:pPr>
              <w:spacing w:line="240" w:lineRule="auto"/>
              <w:ind w:firstLine="0"/>
            </w:pPr>
            <w:r>
              <w:t>Goal setting, purposeful activ</w:t>
            </w:r>
            <w:r w:rsidR="0010613A">
              <w:t>ities, engagement with prosocial others</w:t>
            </w:r>
          </w:p>
          <w:p w14:paraId="614211E4" w14:textId="74D0316E" w:rsidR="0010613A" w:rsidRPr="007A0F4B" w:rsidRDefault="0010613A" w:rsidP="004F4FD7">
            <w:pPr>
              <w:spacing w:line="240" w:lineRule="auto"/>
              <w:ind w:firstLine="0"/>
            </w:pPr>
            <w:r>
              <w:t>Prosocial activities</w:t>
            </w:r>
          </w:p>
        </w:tc>
      </w:tr>
      <w:tr w:rsidR="004F4FD7" w:rsidRPr="007A0F4B" w14:paraId="22E18508" w14:textId="77777777" w:rsidTr="00546D10">
        <w:trPr>
          <w:trHeight w:val="618"/>
        </w:trPr>
        <w:tc>
          <w:tcPr>
            <w:tcW w:w="1294" w:type="pct"/>
          </w:tcPr>
          <w:p w14:paraId="36DFCE94" w14:textId="52D2CC32" w:rsidR="004F4FD7" w:rsidRPr="007A0F4B" w:rsidRDefault="004F4FD7" w:rsidP="004F4FD7">
            <w:pPr>
              <w:spacing w:line="240" w:lineRule="auto"/>
              <w:ind w:firstLine="0"/>
            </w:pPr>
          </w:p>
        </w:tc>
        <w:tc>
          <w:tcPr>
            <w:tcW w:w="1854" w:type="pct"/>
          </w:tcPr>
          <w:p w14:paraId="4304E2C6" w14:textId="0D5FA32F" w:rsidR="004F4FD7" w:rsidRPr="007A0F4B" w:rsidRDefault="002C4236" w:rsidP="004F4FD7">
            <w:pPr>
              <w:spacing w:line="240" w:lineRule="auto"/>
              <w:ind w:firstLine="0"/>
            </w:pPr>
            <w:r>
              <w:t xml:space="preserve">Spirituality and faith </w:t>
            </w:r>
          </w:p>
        </w:tc>
        <w:tc>
          <w:tcPr>
            <w:tcW w:w="1852" w:type="pct"/>
          </w:tcPr>
          <w:p w14:paraId="3962FB7E" w14:textId="22835CC6" w:rsidR="00302B16" w:rsidRDefault="00302B16" w:rsidP="004F4FD7">
            <w:pPr>
              <w:spacing w:line="240" w:lineRule="auto"/>
              <w:ind w:firstLine="0"/>
            </w:pPr>
            <w:r>
              <w:t>F</w:t>
            </w:r>
            <w:r w:rsidRPr="00302B16">
              <w:t xml:space="preserve">aith-based practices </w:t>
            </w:r>
          </w:p>
          <w:p w14:paraId="6CC3014A" w14:textId="7C98BBB7" w:rsidR="00302B16" w:rsidRDefault="00302B16" w:rsidP="004F4FD7">
            <w:pPr>
              <w:spacing w:line="240" w:lineRule="auto"/>
              <w:ind w:firstLine="0"/>
            </w:pPr>
            <w:r>
              <w:t>F</w:t>
            </w:r>
            <w:r w:rsidRPr="00302B16">
              <w:t>orgiveness</w:t>
            </w:r>
          </w:p>
          <w:p w14:paraId="7767B238" w14:textId="77777777" w:rsidR="00302B16" w:rsidRDefault="00302B16" w:rsidP="004F4FD7">
            <w:pPr>
              <w:spacing w:line="240" w:lineRule="auto"/>
              <w:ind w:firstLine="0"/>
            </w:pPr>
            <w:r>
              <w:t>A</w:t>
            </w:r>
            <w:r w:rsidRPr="00302B16">
              <w:t>lignment with personal values</w:t>
            </w:r>
          </w:p>
          <w:p w14:paraId="2D7CAC0F" w14:textId="3A3AF220" w:rsidR="004F4FD7" w:rsidRPr="007A0F4B" w:rsidRDefault="00302B16" w:rsidP="004F4FD7">
            <w:pPr>
              <w:spacing w:line="240" w:lineRule="auto"/>
              <w:ind w:firstLine="0"/>
            </w:pPr>
            <w:r>
              <w:t>D</w:t>
            </w:r>
            <w:r w:rsidRPr="00302B16">
              <w:t>evelopment of self-worth and hope</w:t>
            </w:r>
          </w:p>
        </w:tc>
      </w:tr>
      <w:tr w:rsidR="004F4FD7" w:rsidRPr="007A0F4B" w14:paraId="2DD3D596" w14:textId="77777777" w:rsidTr="00546D10">
        <w:trPr>
          <w:trHeight w:val="618"/>
        </w:trPr>
        <w:tc>
          <w:tcPr>
            <w:tcW w:w="1294" w:type="pct"/>
          </w:tcPr>
          <w:p w14:paraId="3572CBF7" w14:textId="77777777" w:rsidR="004F4FD7" w:rsidRPr="007A0F4B" w:rsidRDefault="004F4FD7" w:rsidP="004F4FD7">
            <w:pPr>
              <w:spacing w:line="240" w:lineRule="auto"/>
              <w:ind w:firstLine="0"/>
            </w:pPr>
          </w:p>
        </w:tc>
        <w:tc>
          <w:tcPr>
            <w:tcW w:w="1854" w:type="pct"/>
          </w:tcPr>
          <w:p w14:paraId="10079AC6" w14:textId="21F3057B" w:rsidR="004F4FD7" w:rsidRPr="007A0F4B" w:rsidRDefault="004F4FD7" w:rsidP="004F4FD7">
            <w:pPr>
              <w:spacing w:line="240" w:lineRule="auto"/>
              <w:ind w:firstLine="0"/>
            </w:pPr>
            <w:r w:rsidRPr="007A0F4B">
              <w:t>Prosocial identity</w:t>
            </w:r>
          </w:p>
        </w:tc>
        <w:tc>
          <w:tcPr>
            <w:tcW w:w="1852" w:type="pct"/>
          </w:tcPr>
          <w:p w14:paraId="641BE47A" w14:textId="77777777" w:rsidR="004F4FD7" w:rsidRPr="007A0F4B" w:rsidRDefault="004F4FD7" w:rsidP="004F4FD7">
            <w:pPr>
              <w:spacing w:line="240" w:lineRule="auto"/>
              <w:ind w:firstLine="0"/>
            </w:pPr>
            <w:r w:rsidRPr="007A0F4B">
              <w:t>Creation of a new identity</w:t>
            </w:r>
          </w:p>
          <w:p w14:paraId="5EBA5821" w14:textId="1D18FBDC" w:rsidR="004F4FD7" w:rsidRPr="007A0F4B" w:rsidRDefault="004F4FD7" w:rsidP="004F4FD7">
            <w:pPr>
              <w:spacing w:line="240" w:lineRule="auto"/>
              <w:ind w:firstLine="0"/>
            </w:pPr>
            <w:r w:rsidRPr="007A0F4B">
              <w:t xml:space="preserve">Separation from “sex offender” label </w:t>
            </w:r>
          </w:p>
        </w:tc>
      </w:tr>
      <w:tr w:rsidR="004F4FD7" w:rsidRPr="007A0F4B" w14:paraId="42C962C5" w14:textId="77777777" w:rsidTr="00546D10">
        <w:trPr>
          <w:trHeight w:val="618"/>
        </w:trPr>
        <w:tc>
          <w:tcPr>
            <w:tcW w:w="1294" w:type="pct"/>
          </w:tcPr>
          <w:p w14:paraId="423DB672" w14:textId="6B578BD9" w:rsidR="004F4FD7" w:rsidRPr="007A0F4B" w:rsidRDefault="00842C33" w:rsidP="004F4FD7">
            <w:pPr>
              <w:spacing w:line="240" w:lineRule="auto"/>
              <w:ind w:firstLine="0"/>
            </w:pPr>
            <w:r w:rsidRPr="007A0F4B">
              <w:t>Desistance by deterrence</w:t>
            </w:r>
          </w:p>
        </w:tc>
        <w:tc>
          <w:tcPr>
            <w:tcW w:w="1854" w:type="pct"/>
          </w:tcPr>
          <w:p w14:paraId="17A46EE0" w14:textId="77777777" w:rsidR="004F4FD7" w:rsidRDefault="004F4FD7" w:rsidP="004F4FD7">
            <w:pPr>
              <w:spacing w:line="240" w:lineRule="auto"/>
              <w:ind w:firstLine="0"/>
            </w:pPr>
            <w:r w:rsidRPr="007A0F4B">
              <w:t xml:space="preserve">Avoidance to cope with </w:t>
            </w:r>
            <w:r w:rsidR="005A04BC">
              <w:t>reintegration</w:t>
            </w:r>
            <w:r w:rsidRPr="007A0F4B">
              <w:t xml:space="preserve"> </w:t>
            </w:r>
          </w:p>
          <w:p w14:paraId="5AAB0B93" w14:textId="7C6DC511" w:rsidR="00780BBB" w:rsidRDefault="00780BBB" w:rsidP="004F4FD7">
            <w:pPr>
              <w:spacing w:line="240" w:lineRule="auto"/>
              <w:ind w:firstLine="0"/>
            </w:pPr>
            <w:r>
              <w:t>A</w:t>
            </w:r>
            <w:r w:rsidRPr="00676094">
              <w:t xml:space="preserve">versive psychological states </w:t>
            </w:r>
          </w:p>
          <w:p w14:paraId="548D10C6" w14:textId="5494AE06" w:rsidR="00780BBB" w:rsidRPr="007A0F4B" w:rsidRDefault="00780BBB" w:rsidP="004F4FD7">
            <w:pPr>
              <w:spacing w:line="240" w:lineRule="auto"/>
              <w:ind w:firstLine="0"/>
            </w:pPr>
            <w:r>
              <w:t>A</w:t>
            </w:r>
            <w:r w:rsidRPr="00676094">
              <w:t>voidant coping</w:t>
            </w:r>
          </w:p>
        </w:tc>
        <w:tc>
          <w:tcPr>
            <w:tcW w:w="1852" w:type="pct"/>
          </w:tcPr>
          <w:p w14:paraId="1BAA64A5" w14:textId="77777777" w:rsidR="004F4FD7" w:rsidRPr="007A0F4B" w:rsidRDefault="004F4FD7" w:rsidP="004F4FD7">
            <w:pPr>
              <w:spacing w:line="240" w:lineRule="auto"/>
              <w:ind w:firstLine="0"/>
            </w:pPr>
            <w:r w:rsidRPr="007A0F4B">
              <w:t>Avoid allegation of future sexual offences</w:t>
            </w:r>
          </w:p>
          <w:p w14:paraId="72E3D57F" w14:textId="0807F800" w:rsidR="004F4FD7" w:rsidRPr="007A0F4B" w:rsidRDefault="004F4FD7" w:rsidP="004F4FD7">
            <w:pPr>
              <w:spacing w:line="240" w:lineRule="auto"/>
              <w:ind w:firstLine="0"/>
            </w:pPr>
            <w:r w:rsidRPr="007A0F4B">
              <w:t xml:space="preserve">Avoid negative impacts on their </w:t>
            </w:r>
            <w:r w:rsidR="00D75AC0" w:rsidRPr="007A0F4B">
              <w:t>support</w:t>
            </w:r>
            <w:r w:rsidRPr="007A0F4B">
              <w:t xml:space="preserve"> </w:t>
            </w:r>
          </w:p>
          <w:p w14:paraId="298254E3" w14:textId="77777777" w:rsidR="004F4FD7" w:rsidRPr="007A0F4B" w:rsidRDefault="004F4FD7" w:rsidP="004F4FD7">
            <w:pPr>
              <w:spacing w:line="240" w:lineRule="auto"/>
              <w:ind w:firstLine="0"/>
            </w:pPr>
            <w:r w:rsidRPr="007A0F4B">
              <w:t xml:space="preserve">Dealing with stigma </w:t>
            </w:r>
          </w:p>
          <w:p w14:paraId="42C96235" w14:textId="03F858AF" w:rsidR="004F4FD7" w:rsidRPr="007A0F4B" w:rsidRDefault="004F4FD7" w:rsidP="004863B8">
            <w:pPr>
              <w:spacing w:line="240" w:lineRule="auto"/>
              <w:ind w:firstLine="0"/>
            </w:pPr>
            <w:r w:rsidRPr="007A0F4B">
              <w:t>Fear of returning to prison</w:t>
            </w:r>
          </w:p>
        </w:tc>
      </w:tr>
      <w:tr w:rsidR="004F4FD7" w:rsidRPr="007A0F4B" w14:paraId="7CB89C4D" w14:textId="77777777" w:rsidTr="00546D10">
        <w:trPr>
          <w:trHeight w:val="618"/>
        </w:trPr>
        <w:tc>
          <w:tcPr>
            <w:tcW w:w="1294" w:type="pct"/>
          </w:tcPr>
          <w:p w14:paraId="42DEFF66" w14:textId="5D2EE6C2" w:rsidR="004F4FD7" w:rsidRPr="007A0F4B" w:rsidRDefault="004F4FD7" w:rsidP="004F4FD7">
            <w:pPr>
              <w:spacing w:line="240" w:lineRule="auto"/>
              <w:ind w:firstLine="0"/>
            </w:pPr>
          </w:p>
        </w:tc>
        <w:tc>
          <w:tcPr>
            <w:tcW w:w="1854" w:type="pct"/>
          </w:tcPr>
          <w:p w14:paraId="7FF8D21A" w14:textId="46E58EBA" w:rsidR="004F4FD7" w:rsidRPr="007A0F4B" w:rsidRDefault="004F4FD7" w:rsidP="004F4FD7">
            <w:pPr>
              <w:spacing w:line="240" w:lineRule="auto"/>
              <w:ind w:firstLine="0"/>
            </w:pPr>
            <w:r w:rsidRPr="007A0F4B">
              <w:t xml:space="preserve">Unable to separate self from “sex offender” label </w:t>
            </w:r>
          </w:p>
        </w:tc>
        <w:tc>
          <w:tcPr>
            <w:tcW w:w="1852" w:type="pct"/>
          </w:tcPr>
          <w:p w14:paraId="4BA7763A" w14:textId="7D06A9B7" w:rsidR="004F4FD7" w:rsidRDefault="00C52E0C" w:rsidP="004F4FD7">
            <w:pPr>
              <w:spacing w:line="240" w:lineRule="auto"/>
              <w:ind w:firstLine="0"/>
            </w:pPr>
            <w:r>
              <w:t>Continuous</w:t>
            </w:r>
            <w:r w:rsidR="00127D03">
              <w:t xml:space="preserve"> </w:t>
            </w:r>
            <w:r>
              <w:t>identification</w:t>
            </w:r>
            <w:r w:rsidR="00127D03">
              <w:t xml:space="preserve"> with labels </w:t>
            </w:r>
          </w:p>
          <w:p w14:paraId="19E7B587" w14:textId="4DB11F33" w:rsidR="00127D03" w:rsidRDefault="00C52E0C" w:rsidP="004F4FD7">
            <w:pPr>
              <w:spacing w:line="240" w:lineRule="auto"/>
              <w:ind w:firstLine="0"/>
            </w:pPr>
            <w:r>
              <w:t>Hopelessness</w:t>
            </w:r>
          </w:p>
          <w:p w14:paraId="4B0E3FF6" w14:textId="4A80B8DA" w:rsidR="00C52E0C" w:rsidRPr="007A0F4B" w:rsidRDefault="00C52E0C" w:rsidP="004F4FD7">
            <w:pPr>
              <w:spacing w:line="240" w:lineRule="auto"/>
              <w:ind w:firstLine="0"/>
            </w:pPr>
            <w:r>
              <w:t xml:space="preserve">Limited </w:t>
            </w:r>
            <w:proofErr w:type="gramStart"/>
            <w:r>
              <w:t>supports</w:t>
            </w:r>
            <w:proofErr w:type="gramEnd"/>
            <w:r>
              <w:t xml:space="preserve"> and prosocial feedback</w:t>
            </w:r>
          </w:p>
        </w:tc>
      </w:tr>
      <w:tr w:rsidR="004F4FD7" w:rsidRPr="007A0F4B" w14:paraId="2859E915" w14:textId="77777777" w:rsidTr="00546D10">
        <w:trPr>
          <w:trHeight w:val="618"/>
        </w:trPr>
        <w:tc>
          <w:tcPr>
            <w:tcW w:w="1294" w:type="pct"/>
          </w:tcPr>
          <w:p w14:paraId="5151314E" w14:textId="1B4D757C" w:rsidR="004F4FD7" w:rsidRPr="007A0F4B" w:rsidRDefault="00842C33" w:rsidP="004F4FD7">
            <w:pPr>
              <w:spacing w:line="240" w:lineRule="auto"/>
              <w:ind w:firstLine="0"/>
            </w:pPr>
            <w:r w:rsidRPr="007A0F4B">
              <w:lastRenderedPageBreak/>
              <w:t>Natural desistance</w:t>
            </w:r>
          </w:p>
        </w:tc>
        <w:tc>
          <w:tcPr>
            <w:tcW w:w="1854" w:type="pct"/>
          </w:tcPr>
          <w:p w14:paraId="32DD5694" w14:textId="4A38267D" w:rsidR="004F4FD7" w:rsidRPr="007A0F4B" w:rsidRDefault="004F4FD7" w:rsidP="004F4FD7">
            <w:pPr>
              <w:spacing w:line="240" w:lineRule="auto"/>
              <w:ind w:firstLine="0"/>
            </w:pPr>
            <w:r w:rsidRPr="007A0F4B">
              <w:t>Age</w:t>
            </w:r>
            <w:r w:rsidR="002B57EA">
              <w:t xml:space="preserve"> as a natural desistance mechanism</w:t>
            </w:r>
          </w:p>
        </w:tc>
        <w:tc>
          <w:tcPr>
            <w:tcW w:w="1852" w:type="pct"/>
          </w:tcPr>
          <w:p w14:paraId="704F2C0D" w14:textId="652A8294" w:rsidR="004F4FD7" w:rsidRPr="007A0F4B" w:rsidRDefault="004863B8" w:rsidP="004F4FD7">
            <w:pPr>
              <w:spacing w:line="240" w:lineRule="auto"/>
              <w:ind w:firstLine="0"/>
            </w:pPr>
            <w:r>
              <w:t>Offending stopping due to growing older or lifestyle changing</w:t>
            </w:r>
          </w:p>
        </w:tc>
      </w:tr>
      <w:tr w:rsidR="004F4FD7" w:rsidRPr="007A0F4B" w14:paraId="4B4C6A9B" w14:textId="77777777" w:rsidTr="00546D10">
        <w:trPr>
          <w:trHeight w:val="618"/>
        </w:trPr>
        <w:tc>
          <w:tcPr>
            <w:tcW w:w="1294" w:type="pct"/>
          </w:tcPr>
          <w:p w14:paraId="1C4F95EF" w14:textId="3E67484D" w:rsidR="004F4FD7" w:rsidRPr="007A0F4B" w:rsidRDefault="004F4FD7" w:rsidP="004F4FD7">
            <w:pPr>
              <w:spacing w:line="240" w:lineRule="auto"/>
              <w:ind w:firstLine="0"/>
            </w:pPr>
          </w:p>
        </w:tc>
        <w:tc>
          <w:tcPr>
            <w:tcW w:w="1854" w:type="pct"/>
          </w:tcPr>
          <w:p w14:paraId="3437BA5B" w14:textId="0519A2B8" w:rsidR="004F4FD7" w:rsidRPr="007A0F4B" w:rsidRDefault="004F4FD7" w:rsidP="004F4FD7">
            <w:pPr>
              <w:spacing w:line="240" w:lineRule="auto"/>
              <w:ind w:firstLine="0"/>
            </w:pPr>
            <w:r w:rsidRPr="007A0F4B">
              <w:t>Desistance without input</w:t>
            </w:r>
          </w:p>
        </w:tc>
        <w:tc>
          <w:tcPr>
            <w:tcW w:w="1852" w:type="pct"/>
          </w:tcPr>
          <w:p w14:paraId="5D8E173E" w14:textId="77777777" w:rsidR="004F4FD7" w:rsidRDefault="004863B8" w:rsidP="004F4FD7">
            <w:pPr>
              <w:spacing w:line="240" w:lineRule="auto"/>
              <w:ind w:firstLine="0"/>
            </w:pPr>
            <w:r>
              <w:t>Stopped offending on my own</w:t>
            </w:r>
          </w:p>
          <w:p w14:paraId="58F5084D" w14:textId="259BD209" w:rsidR="004863B8" w:rsidRPr="007A0F4B" w:rsidRDefault="004863B8" w:rsidP="004F4FD7">
            <w:pPr>
              <w:spacing w:line="240" w:lineRule="auto"/>
              <w:ind w:firstLine="0"/>
            </w:pPr>
            <w:r>
              <w:t xml:space="preserve">Treatment didn’t help me </w:t>
            </w:r>
          </w:p>
        </w:tc>
      </w:tr>
    </w:tbl>
    <w:p w14:paraId="75A6548B" w14:textId="77777777" w:rsidR="00DB0DEB" w:rsidRDefault="00401100" w:rsidP="006A548A">
      <w:pPr>
        <w:pStyle w:val="Caption"/>
        <w:ind w:firstLine="0"/>
      </w:pPr>
      <w:r w:rsidRPr="007A0F4B">
        <w:br/>
      </w:r>
    </w:p>
    <w:p w14:paraId="52FBA2FB" w14:textId="77777777" w:rsidR="00DB0DEB" w:rsidRDefault="00DB0DEB">
      <w:pPr>
        <w:widowControl/>
        <w:rPr>
          <w:b/>
          <w:bCs/>
        </w:rPr>
      </w:pPr>
      <w:r>
        <w:br w:type="page"/>
      </w:r>
    </w:p>
    <w:p w14:paraId="6DB53263" w14:textId="4B3CAA5D" w:rsidR="004311FE" w:rsidRPr="007A0F4B" w:rsidRDefault="006A548A" w:rsidP="006A548A">
      <w:pPr>
        <w:pStyle w:val="Caption"/>
        <w:ind w:firstLine="0"/>
        <w:rPr>
          <w:b w:val="0"/>
          <w:bCs w:val="0"/>
        </w:rPr>
      </w:pPr>
      <w:r>
        <w:lastRenderedPageBreak/>
        <w:t>S</w:t>
      </w:r>
      <w:r w:rsidR="004311FE" w:rsidRPr="007A0F4B">
        <w:t xml:space="preserve">upplementary Material Table </w:t>
      </w:r>
      <w:r w:rsidR="00557BCA">
        <w:t>3</w:t>
      </w:r>
      <w:r w:rsidR="004311FE" w:rsidRPr="007A0F4B">
        <w:br/>
      </w:r>
      <w:r w:rsidR="004311FE" w:rsidRPr="007A0F4B">
        <w:rPr>
          <w:i/>
          <w:iCs/>
        </w:rPr>
        <w:t>Primary Aims and Key Conclusions of Included Reports</w:t>
      </w:r>
    </w:p>
    <w:tbl>
      <w:tblPr>
        <w:tblStyle w:val="TableGrid"/>
        <w:tblW w:w="134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5"/>
        <w:gridCol w:w="1134"/>
        <w:gridCol w:w="5103"/>
        <w:gridCol w:w="5798"/>
      </w:tblGrid>
      <w:tr w:rsidR="004311FE" w:rsidRPr="007A0F4B" w14:paraId="3EBE9F48" w14:textId="77777777" w:rsidTr="00292616">
        <w:trPr>
          <w:cantSplit/>
          <w:trHeight w:val="723"/>
          <w:tblHeader/>
        </w:trPr>
        <w:tc>
          <w:tcPr>
            <w:tcW w:w="1375" w:type="dxa"/>
            <w:tcBorders>
              <w:bottom w:val="single" w:sz="4" w:space="0" w:color="auto"/>
            </w:tcBorders>
            <w:noWrap/>
            <w:hideMark/>
          </w:tcPr>
          <w:p w14:paraId="5B5AEE1C" w14:textId="77777777" w:rsidR="004311FE" w:rsidRPr="007A0F4B" w:rsidRDefault="004311FE" w:rsidP="00292616">
            <w:pPr>
              <w:ind w:firstLine="0"/>
            </w:pPr>
            <w:r w:rsidRPr="007A0F4B">
              <w:t>Report</w:t>
            </w:r>
          </w:p>
        </w:tc>
        <w:tc>
          <w:tcPr>
            <w:tcW w:w="1134" w:type="dxa"/>
            <w:tcBorders>
              <w:top w:val="single" w:sz="4" w:space="0" w:color="auto"/>
              <w:bottom w:val="single" w:sz="4" w:space="0" w:color="auto"/>
            </w:tcBorders>
            <w:noWrap/>
          </w:tcPr>
          <w:p w14:paraId="4A6D829C" w14:textId="77777777" w:rsidR="004311FE" w:rsidRPr="007A0F4B" w:rsidRDefault="004311FE" w:rsidP="00292616">
            <w:pPr>
              <w:ind w:firstLine="0"/>
            </w:pPr>
            <w:r w:rsidRPr="007A0F4B">
              <w:t>Report Type</w:t>
            </w:r>
          </w:p>
        </w:tc>
        <w:tc>
          <w:tcPr>
            <w:tcW w:w="5103" w:type="dxa"/>
            <w:tcBorders>
              <w:top w:val="single" w:sz="4" w:space="0" w:color="auto"/>
              <w:bottom w:val="single" w:sz="4" w:space="0" w:color="auto"/>
            </w:tcBorders>
            <w:noWrap/>
          </w:tcPr>
          <w:p w14:paraId="66387DBA" w14:textId="77777777" w:rsidR="004311FE" w:rsidRPr="007A0F4B" w:rsidRDefault="004311FE" w:rsidP="00292616">
            <w:pPr>
              <w:ind w:firstLine="0"/>
            </w:pPr>
            <w:r w:rsidRPr="007A0F4B">
              <w:t>Primary Aims</w:t>
            </w:r>
          </w:p>
        </w:tc>
        <w:tc>
          <w:tcPr>
            <w:tcW w:w="5798" w:type="dxa"/>
            <w:tcBorders>
              <w:top w:val="single" w:sz="4" w:space="0" w:color="auto"/>
              <w:bottom w:val="single" w:sz="4" w:space="0" w:color="auto"/>
            </w:tcBorders>
            <w:noWrap/>
          </w:tcPr>
          <w:p w14:paraId="203C275B" w14:textId="77777777" w:rsidR="004311FE" w:rsidRPr="007A0F4B" w:rsidRDefault="004311FE" w:rsidP="00292616">
            <w:pPr>
              <w:ind w:firstLine="0"/>
            </w:pPr>
            <w:r w:rsidRPr="007A0F4B">
              <w:t>Key Conclusions</w:t>
            </w:r>
          </w:p>
        </w:tc>
      </w:tr>
      <w:tr w:rsidR="004311FE" w:rsidRPr="007A0F4B" w14:paraId="758E3EB1" w14:textId="77777777" w:rsidTr="00292616">
        <w:trPr>
          <w:trHeight w:val="288"/>
        </w:trPr>
        <w:tc>
          <w:tcPr>
            <w:tcW w:w="1375" w:type="dxa"/>
            <w:tcBorders>
              <w:top w:val="single" w:sz="4" w:space="0" w:color="auto"/>
            </w:tcBorders>
            <w:noWrap/>
            <w:hideMark/>
          </w:tcPr>
          <w:p w14:paraId="31F1631A" w14:textId="4DDB5739" w:rsidR="004311FE" w:rsidRPr="007A0F4B" w:rsidRDefault="004311FE" w:rsidP="00292616">
            <w:pPr>
              <w:ind w:firstLine="0"/>
            </w:pPr>
            <w:r w:rsidRPr="007A0F4B">
              <w:t>Bartle (2012)</w:t>
            </w:r>
            <w:r w:rsidR="002729DF">
              <w:t xml:space="preserve"> </w:t>
            </w:r>
          </w:p>
        </w:tc>
        <w:tc>
          <w:tcPr>
            <w:tcW w:w="1134" w:type="dxa"/>
            <w:tcBorders>
              <w:top w:val="single" w:sz="4" w:space="0" w:color="auto"/>
            </w:tcBorders>
            <w:noWrap/>
          </w:tcPr>
          <w:p w14:paraId="14739D09" w14:textId="77777777" w:rsidR="004311FE" w:rsidRPr="007A0F4B" w:rsidRDefault="004311FE" w:rsidP="00292616">
            <w:pPr>
              <w:ind w:firstLine="0"/>
            </w:pPr>
            <w:r w:rsidRPr="007A0F4B">
              <w:t xml:space="preserve">Thesis </w:t>
            </w:r>
          </w:p>
        </w:tc>
        <w:tc>
          <w:tcPr>
            <w:tcW w:w="5103" w:type="dxa"/>
            <w:tcBorders>
              <w:top w:val="single" w:sz="4" w:space="0" w:color="auto"/>
            </w:tcBorders>
            <w:noWrap/>
          </w:tcPr>
          <w:p w14:paraId="325C2BC6" w14:textId="77777777" w:rsidR="004311FE" w:rsidRPr="007A0F4B" w:rsidRDefault="004311FE" w:rsidP="00292616">
            <w:pPr>
              <w:ind w:firstLine="0"/>
            </w:pPr>
            <w:r w:rsidRPr="007A0F4B">
              <w:t xml:space="preserve">To investigate the role of treatment in understanding what motivated and supported desistance. </w:t>
            </w:r>
          </w:p>
        </w:tc>
        <w:tc>
          <w:tcPr>
            <w:tcW w:w="5798" w:type="dxa"/>
            <w:tcBorders>
              <w:top w:val="single" w:sz="4" w:space="0" w:color="auto"/>
            </w:tcBorders>
            <w:noWrap/>
          </w:tcPr>
          <w:p w14:paraId="15082C0A" w14:textId="77777777" w:rsidR="004311FE" w:rsidRPr="007A0F4B" w:rsidRDefault="004311FE" w:rsidP="00292616">
            <w:pPr>
              <w:ind w:firstLine="0"/>
            </w:pPr>
            <w:r w:rsidRPr="007A0F4B">
              <w:t xml:space="preserve">Formal and informal social controls were mutually motivating and undermining desistance processes, impacting the narratives participants created around their offending and their desistance. </w:t>
            </w:r>
          </w:p>
        </w:tc>
      </w:tr>
      <w:tr w:rsidR="004311FE" w:rsidRPr="007A0F4B" w14:paraId="07F2810D" w14:textId="77777777" w:rsidTr="00292616">
        <w:trPr>
          <w:trHeight w:val="288"/>
        </w:trPr>
        <w:tc>
          <w:tcPr>
            <w:tcW w:w="1375" w:type="dxa"/>
            <w:noWrap/>
            <w:hideMark/>
          </w:tcPr>
          <w:p w14:paraId="6D07FBF1" w14:textId="77777777" w:rsidR="004311FE" w:rsidRPr="007A0F4B" w:rsidRDefault="004311FE" w:rsidP="00292616">
            <w:pPr>
              <w:ind w:firstLine="0"/>
            </w:pPr>
            <w:r w:rsidRPr="007A0F4B">
              <w:t>Bates et al. (2012)</w:t>
            </w:r>
          </w:p>
        </w:tc>
        <w:tc>
          <w:tcPr>
            <w:tcW w:w="1134" w:type="dxa"/>
            <w:noWrap/>
          </w:tcPr>
          <w:p w14:paraId="66593F44" w14:textId="77777777" w:rsidR="004311FE" w:rsidRPr="007A0F4B" w:rsidRDefault="004311FE" w:rsidP="00292616">
            <w:pPr>
              <w:ind w:firstLine="0"/>
            </w:pPr>
            <w:r w:rsidRPr="007A0F4B">
              <w:t>Journal Article</w:t>
            </w:r>
          </w:p>
        </w:tc>
        <w:tc>
          <w:tcPr>
            <w:tcW w:w="5103" w:type="dxa"/>
            <w:noWrap/>
          </w:tcPr>
          <w:p w14:paraId="08DCF124" w14:textId="77777777" w:rsidR="004311FE" w:rsidRPr="007A0F4B" w:rsidRDefault="004311FE" w:rsidP="00292616">
            <w:pPr>
              <w:ind w:firstLine="0"/>
            </w:pPr>
            <w:r w:rsidRPr="007A0F4B">
              <w:t>To examine how the needs of sixty core members were met and how Circles help to support their desistance.</w:t>
            </w:r>
          </w:p>
        </w:tc>
        <w:tc>
          <w:tcPr>
            <w:tcW w:w="5798" w:type="dxa"/>
            <w:noWrap/>
          </w:tcPr>
          <w:p w14:paraId="1F1BB8F6" w14:textId="77777777" w:rsidR="004311FE" w:rsidRPr="007A0F4B" w:rsidRDefault="004311FE" w:rsidP="00292616">
            <w:pPr>
              <w:ind w:firstLine="0"/>
            </w:pPr>
            <w:r w:rsidRPr="007A0F4B">
              <w:t xml:space="preserve">Circles supported the core members' reintegration whilst upholding community safety. </w:t>
            </w:r>
          </w:p>
          <w:p w14:paraId="059388C4" w14:textId="77777777" w:rsidR="004311FE" w:rsidRPr="007A0F4B" w:rsidRDefault="004311FE" w:rsidP="00292616">
            <w:pPr>
              <w:ind w:firstLine="0"/>
            </w:pPr>
          </w:p>
        </w:tc>
      </w:tr>
      <w:tr w:rsidR="004311FE" w:rsidRPr="007A0F4B" w14:paraId="032608E3" w14:textId="77777777" w:rsidTr="00292616">
        <w:trPr>
          <w:trHeight w:val="288"/>
        </w:trPr>
        <w:tc>
          <w:tcPr>
            <w:tcW w:w="1375" w:type="dxa"/>
            <w:noWrap/>
            <w:hideMark/>
          </w:tcPr>
          <w:p w14:paraId="7D4D8BE3" w14:textId="77777777" w:rsidR="004311FE" w:rsidRPr="007A0F4B" w:rsidRDefault="004311FE" w:rsidP="00292616">
            <w:pPr>
              <w:ind w:firstLine="0"/>
            </w:pPr>
            <w:r w:rsidRPr="007A0F4B">
              <w:t>Bates et al. (2014)</w:t>
            </w:r>
          </w:p>
          <w:p w14:paraId="22FC7E33" w14:textId="77777777" w:rsidR="004311FE" w:rsidRPr="007A0F4B" w:rsidRDefault="004311FE" w:rsidP="00292616">
            <w:pPr>
              <w:ind w:firstLine="0"/>
            </w:pPr>
          </w:p>
        </w:tc>
        <w:tc>
          <w:tcPr>
            <w:tcW w:w="1134" w:type="dxa"/>
            <w:noWrap/>
          </w:tcPr>
          <w:p w14:paraId="4B823262" w14:textId="77777777" w:rsidR="004311FE" w:rsidRPr="007A0F4B" w:rsidRDefault="004311FE" w:rsidP="00292616">
            <w:pPr>
              <w:ind w:firstLine="0"/>
            </w:pPr>
            <w:r w:rsidRPr="007A0F4B">
              <w:t xml:space="preserve">Journal Article </w:t>
            </w:r>
          </w:p>
        </w:tc>
        <w:tc>
          <w:tcPr>
            <w:tcW w:w="5103" w:type="dxa"/>
            <w:noWrap/>
          </w:tcPr>
          <w:p w14:paraId="5CD3BADB" w14:textId="77777777" w:rsidR="004311FE" w:rsidRPr="007A0F4B" w:rsidRDefault="004311FE" w:rsidP="00292616">
            <w:pPr>
              <w:ind w:firstLine="0"/>
            </w:pPr>
            <w:r w:rsidRPr="007A0F4B">
              <w:t xml:space="preserve">To describe the first 10 years of the implementation of Circles in South-East England. </w:t>
            </w:r>
          </w:p>
        </w:tc>
        <w:tc>
          <w:tcPr>
            <w:tcW w:w="5798" w:type="dxa"/>
            <w:noWrap/>
          </w:tcPr>
          <w:p w14:paraId="41B45AEB" w14:textId="77777777" w:rsidR="004311FE" w:rsidRPr="007A0F4B" w:rsidRDefault="004311FE" w:rsidP="00292616">
            <w:pPr>
              <w:ind w:firstLine="0"/>
            </w:pPr>
            <w:r w:rsidRPr="007A0F4B">
              <w:t xml:space="preserve">Circles supported individuals assessed as having a high risk of recidivism to safely reintegrate into the community after imprisonment for </w:t>
            </w:r>
            <w:proofErr w:type="gramStart"/>
            <w:r w:rsidRPr="007A0F4B">
              <w:t>a sexual</w:t>
            </w:r>
            <w:proofErr w:type="gramEnd"/>
            <w:r w:rsidRPr="007A0F4B">
              <w:t xml:space="preserve"> offence. </w:t>
            </w:r>
          </w:p>
          <w:p w14:paraId="3F10D0C6" w14:textId="77777777" w:rsidR="004311FE" w:rsidRPr="007A0F4B" w:rsidRDefault="004311FE" w:rsidP="00292616">
            <w:pPr>
              <w:ind w:firstLine="0"/>
            </w:pPr>
          </w:p>
        </w:tc>
      </w:tr>
      <w:tr w:rsidR="004311FE" w:rsidRPr="007A0F4B" w14:paraId="2A3FB0C8" w14:textId="77777777" w:rsidTr="00292616">
        <w:trPr>
          <w:trHeight w:val="288"/>
        </w:trPr>
        <w:tc>
          <w:tcPr>
            <w:tcW w:w="1375" w:type="dxa"/>
            <w:noWrap/>
          </w:tcPr>
          <w:p w14:paraId="652F8E7B" w14:textId="77777777" w:rsidR="004311FE" w:rsidRPr="007A0F4B" w:rsidRDefault="004311FE" w:rsidP="00292616">
            <w:pPr>
              <w:ind w:firstLine="0"/>
            </w:pPr>
            <w:r w:rsidRPr="007A0F4B">
              <w:t xml:space="preserve">Bohmert et al. (2018) </w:t>
            </w:r>
          </w:p>
        </w:tc>
        <w:tc>
          <w:tcPr>
            <w:tcW w:w="1134" w:type="dxa"/>
            <w:noWrap/>
          </w:tcPr>
          <w:p w14:paraId="6C79F05B" w14:textId="77777777" w:rsidR="004311FE" w:rsidRPr="007A0F4B" w:rsidRDefault="004311FE" w:rsidP="00292616">
            <w:pPr>
              <w:ind w:firstLine="0"/>
            </w:pPr>
            <w:r w:rsidRPr="007A0F4B">
              <w:t xml:space="preserve">Journal Article </w:t>
            </w:r>
          </w:p>
        </w:tc>
        <w:tc>
          <w:tcPr>
            <w:tcW w:w="5103" w:type="dxa"/>
            <w:noWrap/>
          </w:tcPr>
          <w:p w14:paraId="1D06C494" w14:textId="77777777" w:rsidR="004311FE" w:rsidRPr="007A0F4B" w:rsidRDefault="004311FE" w:rsidP="00292616">
            <w:pPr>
              <w:ind w:firstLine="0"/>
            </w:pPr>
            <w:r w:rsidRPr="007A0F4B">
              <w:t>To describe the needs of core members and the types of support provided to them.</w:t>
            </w:r>
          </w:p>
        </w:tc>
        <w:tc>
          <w:tcPr>
            <w:tcW w:w="5798" w:type="dxa"/>
            <w:noWrap/>
          </w:tcPr>
          <w:p w14:paraId="27B01C70" w14:textId="77777777" w:rsidR="004311FE" w:rsidRPr="007A0F4B" w:rsidRDefault="004311FE" w:rsidP="00292616">
            <w:pPr>
              <w:ind w:firstLine="0"/>
            </w:pPr>
            <w:r w:rsidRPr="007A0F4B">
              <w:t xml:space="preserve">Core members </w:t>
            </w:r>
            <w:proofErr w:type="gramStart"/>
            <w:r w:rsidRPr="007A0F4B">
              <w:t>required</w:t>
            </w:r>
            <w:proofErr w:type="gramEnd"/>
            <w:r w:rsidRPr="007A0F4B">
              <w:t xml:space="preserve"> various social support depending on their individual needs. Overall, core members were satisfied with the support they received, and some notable benefits were practical assistance, emotional support, and friendship. </w:t>
            </w:r>
          </w:p>
        </w:tc>
      </w:tr>
      <w:tr w:rsidR="004311FE" w:rsidRPr="007A0F4B" w14:paraId="36458A47" w14:textId="77777777" w:rsidTr="00292616">
        <w:trPr>
          <w:trHeight w:val="288"/>
        </w:trPr>
        <w:tc>
          <w:tcPr>
            <w:tcW w:w="1375" w:type="dxa"/>
            <w:noWrap/>
            <w:hideMark/>
          </w:tcPr>
          <w:p w14:paraId="686DB60E" w14:textId="77777777" w:rsidR="004311FE" w:rsidRPr="007A0F4B" w:rsidRDefault="004311FE" w:rsidP="00292616">
            <w:pPr>
              <w:ind w:firstLine="0"/>
            </w:pPr>
            <w:proofErr w:type="spellStart"/>
            <w:r w:rsidRPr="007A0F4B">
              <w:t>Cesaroni</w:t>
            </w:r>
            <w:proofErr w:type="spellEnd"/>
            <w:r w:rsidRPr="007A0F4B">
              <w:t xml:space="preserve"> (2001) </w:t>
            </w:r>
          </w:p>
        </w:tc>
        <w:tc>
          <w:tcPr>
            <w:tcW w:w="1134" w:type="dxa"/>
            <w:noWrap/>
          </w:tcPr>
          <w:p w14:paraId="53EE2947" w14:textId="77777777" w:rsidR="004311FE" w:rsidRPr="007A0F4B" w:rsidRDefault="004311FE" w:rsidP="00292616">
            <w:pPr>
              <w:ind w:firstLine="0"/>
            </w:pPr>
            <w:r w:rsidRPr="007A0F4B">
              <w:t xml:space="preserve">Journal Article </w:t>
            </w:r>
          </w:p>
        </w:tc>
        <w:tc>
          <w:tcPr>
            <w:tcW w:w="5103" w:type="dxa"/>
            <w:noWrap/>
          </w:tcPr>
          <w:p w14:paraId="72B25BBC" w14:textId="77777777" w:rsidR="004311FE" w:rsidRPr="007A0F4B" w:rsidRDefault="004311FE" w:rsidP="00292616">
            <w:pPr>
              <w:ind w:firstLine="0"/>
            </w:pPr>
            <w:r w:rsidRPr="007A0F4B">
              <w:t xml:space="preserve">To explore whether Circle's goals of supportive reintegration and community accountability are contradictory and how core members and volunteers work together. </w:t>
            </w:r>
          </w:p>
        </w:tc>
        <w:tc>
          <w:tcPr>
            <w:tcW w:w="5798" w:type="dxa"/>
            <w:noWrap/>
          </w:tcPr>
          <w:p w14:paraId="3F763E6C" w14:textId="77777777" w:rsidR="004311FE" w:rsidRPr="007A0F4B" w:rsidRDefault="004311FE" w:rsidP="00292616">
            <w:pPr>
              <w:ind w:firstLine="0"/>
            </w:pPr>
            <w:r w:rsidRPr="007A0F4B">
              <w:t xml:space="preserve">Support and accountability goals were able to operate concurrently, and core members reported that Circles supported their safe reintegration into the community. Volunteers were motivated to work with Circles to improve community safety. </w:t>
            </w:r>
          </w:p>
        </w:tc>
      </w:tr>
      <w:tr w:rsidR="004311FE" w:rsidRPr="007A0F4B" w14:paraId="292CA396" w14:textId="77777777" w:rsidTr="00292616">
        <w:trPr>
          <w:trHeight w:val="283"/>
        </w:trPr>
        <w:tc>
          <w:tcPr>
            <w:tcW w:w="1375" w:type="dxa"/>
            <w:noWrap/>
            <w:hideMark/>
          </w:tcPr>
          <w:p w14:paraId="24D6A5DA" w14:textId="2604DC84" w:rsidR="004311FE" w:rsidRPr="007A0F4B" w:rsidRDefault="004311FE" w:rsidP="00292616">
            <w:pPr>
              <w:ind w:firstLine="0"/>
            </w:pPr>
            <w:r w:rsidRPr="007A0F4B">
              <w:t>Cooley (202</w:t>
            </w:r>
            <w:r w:rsidR="00940368">
              <w:t>0</w:t>
            </w:r>
            <w:r w:rsidRPr="007A0F4B">
              <w:t xml:space="preserve">) </w:t>
            </w:r>
          </w:p>
        </w:tc>
        <w:tc>
          <w:tcPr>
            <w:tcW w:w="1134" w:type="dxa"/>
            <w:noWrap/>
          </w:tcPr>
          <w:p w14:paraId="59A570CA" w14:textId="77777777" w:rsidR="004311FE" w:rsidRPr="007A0F4B" w:rsidRDefault="004311FE" w:rsidP="00292616">
            <w:pPr>
              <w:ind w:firstLine="0"/>
            </w:pPr>
            <w:r w:rsidRPr="007A0F4B">
              <w:t>Thesis</w:t>
            </w:r>
          </w:p>
        </w:tc>
        <w:tc>
          <w:tcPr>
            <w:tcW w:w="5103" w:type="dxa"/>
            <w:noWrap/>
          </w:tcPr>
          <w:p w14:paraId="3AE4D1FF" w14:textId="77777777" w:rsidR="004311FE" w:rsidRPr="007A0F4B" w:rsidRDefault="004311FE" w:rsidP="00292616">
            <w:pPr>
              <w:ind w:firstLine="0"/>
            </w:pPr>
            <w:r w:rsidRPr="007A0F4B">
              <w:t>To examine using qualitative analysis how the institutions of marriage, parenthood, and employment facilitated sexual offending or supported desistance.</w:t>
            </w:r>
          </w:p>
        </w:tc>
        <w:tc>
          <w:tcPr>
            <w:tcW w:w="5798" w:type="dxa"/>
            <w:noWrap/>
          </w:tcPr>
          <w:p w14:paraId="7758EA97" w14:textId="77777777" w:rsidR="004311FE" w:rsidRPr="007A0F4B" w:rsidRDefault="004311FE" w:rsidP="00292616">
            <w:pPr>
              <w:ind w:firstLine="0"/>
            </w:pPr>
            <w:r w:rsidRPr="007A0F4B">
              <w:t xml:space="preserve">Institutions (informal social controls) were observed to facilitate and inhibit sexual offending. Findings show that it is imperative to accurately capture how institutions change over time as their influence on </w:t>
            </w:r>
            <w:proofErr w:type="gramStart"/>
            <w:r w:rsidRPr="007A0F4B">
              <w:t>desistance</w:t>
            </w:r>
            <w:proofErr w:type="gramEnd"/>
            <w:r w:rsidRPr="007A0F4B">
              <w:t xml:space="preserve"> is </w:t>
            </w:r>
            <w:r w:rsidRPr="007A0F4B">
              <w:lastRenderedPageBreak/>
              <w:t xml:space="preserve">dynamic. </w:t>
            </w:r>
          </w:p>
        </w:tc>
      </w:tr>
      <w:tr w:rsidR="004311FE" w:rsidRPr="007A0F4B" w14:paraId="6EAD70F9" w14:textId="77777777" w:rsidTr="00292616">
        <w:trPr>
          <w:trHeight w:val="288"/>
        </w:trPr>
        <w:tc>
          <w:tcPr>
            <w:tcW w:w="1375" w:type="dxa"/>
            <w:noWrap/>
            <w:hideMark/>
          </w:tcPr>
          <w:p w14:paraId="308C675E" w14:textId="77777777" w:rsidR="004311FE" w:rsidRPr="007A0F4B" w:rsidRDefault="004311FE" w:rsidP="00292616">
            <w:pPr>
              <w:ind w:firstLine="0"/>
            </w:pPr>
            <w:r w:rsidRPr="007A0F4B">
              <w:lastRenderedPageBreak/>
              <w:t>Cooley et al., (2017)</w:t>
            </w:r>
          </w:p>
        </w:tc>
        <w:tc>
          <w:tcPr>
            <w:tcW w:w="1134" w:type="dxa"/>
            <w:noWrap/>
          </w:tcPr>
          <w:p w14:paraId="15664BA1" w14:textId="77777777" w:rsidR="004311FE" w:rsidRPr="007A0F4B" w:rsidRDefault="004311FE" w:rsidP="00292616">
            <w:pPr>
              <w:ind w:firstLine="0"/>
            </w:pPr>
            <w:r w:rsidRPr="007A0F4B">
              <w:t>Journal Article</w:t>
            </w:r>
          </w:p>
        </w:tc>
        <w:tc>
          <w:tcPr>
            <w:tcW w:w="5103" w:type="dxa"/>
            <w:noWrap/>
          </w:tcPr>
          <w:p w14:paraId="10702819" w14:textId="77777777" w:rsidR="004311FE" w:rsidRPr="007A0F4B" w:rsidRDefault="004311FE" w:rsidP="00292616">
            <w:pPr>
              <w:ind w:firstLine="0"/>
            </w:pPr>
            <w:r w:rsidRPr="007A0F4B">
              <w:t xml:space="preserve">To explore how formal social controls act as deterrents for individuals convicted of sexual offences. </w:t>
            </w:r>
          </w:p>
        </w:tc>
        <w:tc>
          <w:tcPr>
            <w:tcW w:w="5798" w:type="dxa"/>
            <w:noWrap/>
          </w:tcPr>
          <w:p w14:paraId="39BEFAEF" w14:textId="77777777" w:rsidR="004311FE" w:rsidRPr="007A0F4B" w:rsidRDefault="004311FE" w:rsidP="00292616">
            <w:pPr>
              <w:ind w:firstLine="0"/>
            </w:pPr>
            <w:r w:rsidRPr="007A0F4B">
              <w:t>Deterrence effects, such as the threat of legal sanctions for rule violations, were shown to work to support desistance in this sample.</w:t>
            </w:r>
          </w:p>
        </w:tc>
      </w:tr>
      <w:tr w:rsidR="004311FE" w:rsidRPr="007A0F4B" w14:paraId="095ED122" w14:textId="77777777" w:rsidTr="00292616">
        <w:trPr>
          <w:trHeight w:val="288"/>
        </w:trPr>
        <w:tc>
          <w:tcPr>
            <w:tcW w:w="1375" w:type="dxa"/>
            <w:noWrap/>
            <w:hideMark/>
          </w:tcPr>
          <w:p w14:paraId="0ED3EB9C" w14:textId="77777777" w:rsidR="004311FE" w:rsidRPr="007A0F4B" w:rsidRDefault="004311FE" w:rsidP="00292616">
            <w:pPr>
              <w:ind w:firstLine="0"/>
            </w:pPr>
            <w:r w:rsidRPr="007A0F4B">
              <w:t>Cooley &amp; Sample (2018)</w:t>
            </w:r>
          </w:p>
        </w:tc>
        <w:tc>
          <w:tcPr>
            <w:tcW w:w="1134" w:type="dxa"/>
            <w:noWrap/>
          </w:tcPr>
          <w:p w14:paraId="7302698E" w14:textId="77777777" w:rsidR="004311FE" w:rsidRPr="007A0F4B" w:rsidRDefault="004311FE" w:rsidP="00292616">
            <w:pPr>
              <w:ind w:firstLine="0"/>
            </w:pPr>
            <w:r w:rsidRPr="007A0F4B">
              <w:t xml:space="preserve">Journal Article </w:t>
            </w:r>
          </w:p>
        </w:tc>
        <w:tc>
          <w:tcPr>
            <w:tcW w:w="5103" w:type="dxa"/>
            <w:noWrap/>
          </w:tcPr>
          <w:p w14:paraId="3E985B08" w14:textId="77777777" w:rsidR="004311FE" w:rsidRPr="007A0F4B" w:rsidRDefault="004311FE" w:rsidP="00292616">
            <w:pPr>
              <w:ind w:firstLine="0"/>
            </w:pPr>
            <w:r w:rsidRPr="007A0F4B">
              <w:t>To demonstrate using a comparative case study, that desistance is more than a statistical lack of reoffending.</w:t>
            </w:r>
          </w:p>
        </w:tc>
        <w:tc>
          <w:tcPr>
            <w:tcW w:w="5798" w:type="dxa"/>
            <w:noWrap/>
          </w:tcPr>
          <w:p w14:paraId="75E911DA" w14:textId="4DBD554A" w:rsidR="004311FE" w:rsidRPr="007A0F4B" w:rsidRDefault="004311FE" w:rsidP="00292616">
            <w:pPr>
              <w:ind w:firstLine="0"/>
            </w:pPr>
            <w:r w:rsidRPr="007A0F4B">
              <w:t xml:space="preserve">Desistance involved </w:t>
            </w:r>
            <w:r w:rsidR="007A0F4B" w:rsidRPr="007A0F4B">
              <w:t>behavioral</w:t>
            </w:r>
            <w:r w:rsidRPr="007A0F4B">
              <w:t xml:space="preserve">, emotional, and identity changes not necessarily required for an empirical reduction in recidivism. </w:t>
            </w:r>
          </w:p>
        </w:tc>
      </w:tr>
      <w:tr w:rsidR="004311FE" w:rsidRPr="007A0F4B" w14:paraId="4AEB883F" w14:textId="77777777" w:rsidTr="00292616">
        <w:trPr>
          <w:trHeight w:val="288"/>
        </w:trPr>
        <w:tc>
          <w:tcPr>
            <w:tcW w:w="1375" w:type="dxa"/>
            <w:noWrap/>
            <w:hideMark/>
          </w:tcPr>
          <w:p w14:paraId="1589BF6D" w14:textId="77777777" w:rsidR="004311FE" w:rsidRPr="007A0F4B" w:rsidRDefault="004311FE" w:rsidP="00292616">
            <w:pPr>
              <w:ind w:firstLine="0"/>
            </w:pPr>
            <w:r w:rsidRPr="007A0F4B">
              <w:t xml:space="preserve">Duwe &amp; Donnay (2008) </w:t>
            </w:r>
          </w:p>
        </w:tc>
        <w:tc>
          <w:tcPr>
            <w:tcW w:w="1134" w:type="dxa"/>
            <w:noWrap/>
          </w:tcPr>
          <w:p w14:paraId="6081634E" w14:textId="77777777" w:rsidR="004311FE" w:rsidRPr="007A0F4B" w:rsidRDefault="004311FE" w:rsidP="00292616">
            <w:pPr>
              <w:ind w:firstLine="0"/>
            </w:pPr>
            <w:r w:rsidRPr="007A0F4B">
              <w:t xml:space="preserve">Journal Article </w:t>
            </w:r>
          </w:p>
        </w:tc>
        <w:tc>
          <w:tcPr>
            <w:tcW w:w="5103" w:type="dxa"/>
            <w:noWrap/>
          </w:tcPr>
          <w:p w14:paraId="5ECB95B4" w14:textId="77777777" w:rsidR="004311FE" w:rsidRPr="007A0F4B" w:rsidRDefault="004311FE" w:rsidP="00292616">
            <w:pPr>
              <w:ind w:firstLine="0"/>
            </w:pPr>
            <w:r w:rsidRPr="007A0F4B">
              <w:t xml:space="preserve">To examine if community notification reduces sexual reoffending. </w:t>
            </w:r>
          </w:p>
        </w:tc>
        <w:tc>
          <w:tcPr>
            <w:tcW w:w="5798" w:type="dxa"/>
            <w:noWrap/>
          </w:tcPr>
          <w:p w14:paraId="433B0996" w14:textId="3BA1865D" w:rsidR="004311FE" w:rsidRPr="007A0F4B" w:rsidRDefault="004311FE" w:rsidP="00292616">
            <w:pPr>
              <w:ind w:firstLine="0"/>
            </w:pPr>
            <w:r w:rsidRPr="007A0F4B">
              <w:t xml:space="preserve">Evidence suggested that community notification had a deterrent effect on sexual recidivism for the </w:t>
            </w:r>
            <w:r w:rsidR="007A0F4B" w:rsidRPr="007A0F4B">
              <w:t>utilized</w:t>
            </w:r>
            <w:r w:rsidRPr="007A0F4B">
              <w:t xml:space="preserve"> sample.</w:t>
            </w:r>
          </w:p>
        </w:tc>
      </w:tr>
      <w:tr w:rsidR="004311FE" w:rsidRPr="007A0F4B" w14:paraId="3017EE7B" w14:textId="77777777" w:rsidTr="00292616">
        <w:trPr>
          <w:trHeight w:val="288"/>
        </w:trPr>
        <w:tc>
          <w:tcPr>
            <w:tcW w:w="1375" w:type="dxa"/>
            <w:noWrap/>
            <w:hideMark/>
          </w:tcPr>
          <w:p w14:paraId="48D6C109" w14:textId="77777777" w:rsidR="004311FE" w:rsidRPr="007A0F4B" w:rsidRDefault="004311FE" w:rsidP="00292616">
            <w:pPr>
              <w:ind w:firstLine="0"/>
            </w:pPr>
            <w:r w:rsidRPr="007A0F4B">
              <w:t xml:space="preserve">Farmer et al. (2012) </w:t>
            </w:r>
          </w:p>
        </w:tc>
        <w:tc>
          <w:tcPr>
            <w:tcW w:w="1134" w:type="dxa"/>
            <w:noWrap/>
          </w:tcPr>
          <w:p w14:paraId="71B8628A" w14:textId="77777777" w:rsidR="004311FE" w:rsidRPr="007A0F4B" w:rsidRDefault="004311FE" w:rsidP="00292616">
            <w:pPr>
              <w:ind w:firstLine="0"/>
            </w:pPr>
            <w:r w:rsidRPr="007A0F4B">
              <w:t xml:space="preserve">Journal Article </w:t>
            </w:r>
          </w:p>
        </w:tc>
        <w:tc>
          <w:tcPr>
            <w:tcW w:w="5103" w:type="dxa"/>
            <w:noWrap/>
          </w:tcPr>
          <w:p w14:paraId="49A93407" w14:textId="77777777" w:rsidR="004311FE" w:rsidRPr="007A0F4B" w:rsidRDefault="004311FE" w:rsidP="00292616">
            <w:pPr>
              <w:ind w:firstLine="0"/>
            </w:pPr>
            <w:r w:rsidRPr="007A0F4B">
              <w:t xml:space="preserve">To investigate the processes by which desistance from sexual offending occurs, compared between desisting and </w:t>
            </w:r>
            <w:proofErr w:type="spellStart"/>
            <w:r w:rsidRPr="007A0F4B">
              <w:t>nondesisting</w:t>
            </w:r>
            <w:proofErr w:type="spellEnd"/>
            <w:r w:rsidRPr="007A0F4B">
              <w:t xml:space="preserve"> participants. </w:t>
            </w:r>
          </w:p>
          <w:p w14:paraId="7B3DDFF5" w14:textId="77777777" w:rsidR="004311FE" w:rsidRPr="007A0F4B" w:rsidRDefault="004311FE" w:rsidP="00292616">
            <w:pPr>
              <w:ind w:firstLine="0"/>
            </w:pPr>
          </w:p>
        </w:tc>
        <w:tc>
          <w:tcPr>
            <w:tcW w:w="5798" w:type="dxa"/>
            <w:noWrap/>
          </w:tcPr>
          <w:p w14:paraId="0FC5BE08" w14:textId="7998853E" w:rsidR="004311FE" w:rsidRPr="007A0F4B" w:rsidRDefault="004311FE" w:rsidP="00292616">
            <w:pPr>
              <w:ind w:firstLine="0"/>
            </w:pPr>
            <w:r w:rsidRPr="007A0F4B">
              <w:t xml:space="preserve">Different processes were observed between desisting and </w:t>
            </w:r>
            <w:proofErr w:type="spellStart"/>
            <w:r w:rsidRPr="007A0F4B">
              <w:t>nondesisting</w:t>
            </w:r>
            <w:proofErr w:type="spellEnd"/>
            <w:r w:rsidRPr="007A0F4B">
              <w:t xml:space="preserve"> participants, </w:t>
            </w:r>
            <w:r w:rsidR="007A0F4B" w:rsidRPr="007A0F4B">
              <w:t>conceptualized</w:t>
            </w:r>
            <w:r w:rsidRPr="007A0F4B">
              <w:t xml:space="preserve"> through the primary human goods. Desistance was associated with communion and agency. Further, the desisters accepted responsibility for their offending and were optimistic. Treatment was identified as a key turning point for </w:t>
            </w:r>
            <w:proofErr w:type="gramStart"/>
            <w:r w:rsidRPr="007A0F4B">
              <w:t>desistance</w:t>
            </w:r>
            <w:proofErr w:type="gramEnd"/>
            <w:r w:rsidRPr="007A0F4B">
              <w:t xml:space="preserve">. </w:t>
            </w:r>
          </w:p>
        </w:tc>
      </w:tr>
      <w:tr w:rsidR="004311FE" w:rsidRPr="007A0F4B" w14:paraId="6CE5151C" w14:textId="77777777" w:rsidTr="00292616">
        <w:trPr>
          <w:trHeight w:val="288"/>
        </w:trPr>
        <w:tc>
          <w:tcPr>
            <w:tcW w:w="1375" w:type="dxa"/>
            <w:noWrap/>
          </w:tcPr>
          <w:p w14:paraId="2124B9A8" w14:textId="77777777" w:rsidR="004311FE" w:rsidRPr="007A0F4B" w:rsidRDefault="004311FE" w:rsidP="00292616">
            <w:pPr>
              <w:ind w:firstLine="0"/>
            </w:pPr>
            <w:r w:rsidRPr="007A0F4B">
              <w:t xml:space="preserve">Farmer et al. (2015) </w:t>
            </w:r>
          </w:p>
        </w:tc>
        <w:tc>
          <w:tcPr>
            <w:tcW w:w="1134" w:type="dxa"/>
            <w:noWrap/>
          </w:tcPr>
          <w:p w14:paraId="18F314C3" w14:textId="77777777" w:rsidR="004311FE" w:rsidRPr="007A0F4B" w:rsidRDefault="004311FE" w:rsidP="00292616">
            <w:pPr>
              <w:ind w:firstLine="0"/>
            </w:pPr>
            <w:r w:rsidRPr="007A0F4B">
              <w:t xml:space="preserve">Journal Article </w:t>
            </w:r>
          </w:p>
        </w:tc>
        <w:tc>
          <w:tcPr>
            <w:tcW w:w="5103" w:type="dxa"/>
            <w:noWrap/>
          </w:tcPr>
          <w:p w14:paraId="40702F31" w14:textId="77777777" w:rsidR="004311FE" w:rsidRPr="007A0F4B" w:rsidRDefault="004311FE" w:rsidP="00292616">
            <w:pPr>
              <w:ind w:firstLine="0"/>
            </w:pPr>
            <w:r w:rsidRPr="007A0F4B">
              <w:t>To develop a theoretical and empirical understanding of desistance from sexual offending.</w:t>
            </w:r>
          </w:p>
        </w:tc>
        <w:tc>
          <w:tcPr>
            <w:tcW w:w="5798" w:type="dxa"/>
            <w:noWrap/>
          </w:tcPr>
          <w:p w14:paraId="2ACF470A" w14:textId="0D74543D" w:rsidR="004311FE" w:rsidRPr="007A0F4B" w:rsidRDefault="004311FE" w:rsidP="00292616">
            <w:pPr>
              <w:ind w:firstLine="0"/>
            </w:pPr>
            <w:r w:rsidRPr="007A0F4B">
              <w:t xml:space="preserve">Desisters used post hoc </w:t>
            </w:r>
            <w:r w:rsidR="007A0F4B" w:rsidRPr="007A0F4B">
              <w:t>neutralizations</w:t>
            </w:r>
            <w:r w:rsidRPr="007A0F4B">
              <w:t xml:space="preserve"> attributing their offending to situations or contexts since resolved. They framed their desistance as in their control and were optimistic about their future. Arrest and treatment were identified as turning points for change. </w:t>
            </w:r>
          </w:p>
        </w:tc>
      </w:tr>
      <w:tr w:rsidR="004311FE" w:rsidRPr="007A0F4B" w14:paraId="00EE5169" w14:textId="77777777" w:rsidTr="00292616">
        <w:trPr>
          <w:trHeight w:val="288"/>
        </w:trPr>
        <w:tc>
          <w:tcPr>
            <w:tcW w:w="1375" w:type="dxa"/>
            <w:noWrap/>
          </w:tcPr>
          <w:p w14:paraId="2B67C224" w14:textId="77777777" w:rsidR="004311FE" w:rsidRPr="007A0F4B" w:rsidRDefault="004311FE" w:rsidP="00292616">
            <w:pPr>
              <w:ind w:firstLine="0"/>
            </w:pPr>
            <w:r w:rsidRPr="007A0F4B">
              <w:t xml:space="preserve">Farmer et al. (2016) </w:t>
            </w:r>
          </w:p>
        </w:tc>
        <w:tc>
          <w:tcPr>
            <w:tcW w:w="1134" w:type="dxa"/>
            <w:noWrap/>
          </w:tcPr>
          <w:p w14:paraId="468FB95E" w14:textId="77777777" w:rsidR="004311FE" w:rsidRPr="007A0F4B" w:rsidRDefault="004311FE" w:rsidP="00292616">
            <w:pPr>
              <w:ind w:firstLine="0"/>
            </w:pPr>
            <w:r w:rsidRPr="007A0F4B">
              <w:t xml:space="preserve">Journal Article </w:t>
            </w:r>
          </w:p>
        </w:tc>
        <w:tc>
          <w:tcPr>
            <w:tcW w:w="5103" w:type="dxa"/>
            <w:noWrap/>
          </w:tcPr>
          <w:p w14:paraId="12C72045" w14:textId="77777777" w:rsidR="004311FE" w:rsidRPr="007A0F4B" w:rsidRDefault="004311FE" w:rsidP="00292616">
            <w:pPr>
              <w:ind w:firstLine="0"/>
            </w:pPr>
            <w:r w:rsidRPr="007A0F4B">
              <w:t xml:space="preserve">To explore the role of situational themes in the narratives of individuals who desist from sexual offending against children. </w:t>
            </w:r>
          </w:p>
        </w:tc>
        <w:tc>
          <w:tcPr>
            <w:tcW w:w="5798" w:type="dxa"/>
            <w:noWrap/>
          </w:tcPr>
          <w:p w14:paraId="7C2DB7BA" w14:textId="77777777" w:rsidR="004311FE" w:rsidRPr="007A0F4B" w:rsidRDefault="004311FE" w:rsidP="00292616">
            <w:pPr>
              <w:ind w:firstLine="0"/>
            </w:pPr>
            <w:r w:rsidRPr="007A0F4B">
              <w:t xml:space="preserve">Framing sexual offending as something that occurred due to situations or contexts that were no longer relevant or resolved was considered a form of shame management that supported changes to a prosocial identity, thus supporting desistance. </w:t>
            </w:r>
          </w:p>
        </w:tc>
      </w:tr>
      <w:tr w:rsidR="004311FE" w:rsidRPr="007A0F4B" w14:paraId="58ABB316" w14:textId="77777777" w:rsidTr="00292616">
        <w:trPr>
          <w:trHeight w:val="288"/>
        </w:trPr>
        <w:tc>
          <w:tcPr>
            <w:tcW w:w="1375" w:type="dxa"/>
            <w:noWrap/>
            <w:hideMark/>
          </w:tcPr>
          <w:p w14:paraId="51B5DFEB" w14:textId="77777777" w:rsidR="004311FE" w:rsidRPr="007A0F4B" w:rsidRDefault="004311FE" w:rsidP="00292616">
            <w:pPr>
              <w:ind w:firstLine="0"/>
            </w:pPr>
            <w:r w:rsidRPr="007A0F4B">
              <w:t xml:space="preserve">Harris (2014) </w:t>
            </w:r>
          </w:p>
        </w:tc>
        <w:tc>
          <w:tcPr>
            <w:tcW w:w="1134" w:type="dxa"/>
            <w:noWrap/>
          </w:tcPr>
          <w:p w14:paraId="495C0BBF" w14:textId="77777777" w:rsidR="004311FE" w:rsidRPr="007A0F4B" w:rsidRDefault="004311FE" w:rsidP="00292616">
            <w:pPr>
              <w:ind w:firstLine="0"/>
            </w:pPr>
            <w:r w:rsidRPr="007A0F4B">
              <w:t xml:space="preserve">Journal Article </w:t>
            </w:r>
          </w:p>
        </w:tc>
        <w:tc>
          <w:tcPr>
            <w:tcW w:w="5103" w:type="dxa"/>
            <w:noWrap/>
          </w:tcPr>
          <w:p w14:paraId="6B3B675D" w14:textId="77777777" w:rsidR="004311FE" w:rsidRPr="007A0F4B" w:rsidRDefault="004311FE" w:rsidP="00292616">
            <w:pPr>
              <w:ind w:firstLine="0"/>
            </w:pPr>
            <w:r w:rsidRPr="007A0F4B">
              <w:t xml:space="preserve">To explore the extent to which theories of desistance from nonsexual offending explain </w:t>
            </w:r>
            <w:r w:rsidRPr="007A0F4B">
              <w:lastRenderedPageBreak/>
              <w:t>desistance from sexual offending.</w:t>
            </w:r>
          </w:p>
        </w:tc>
        <w:tc>
          <w:tcPr>
            <w:tcW w:w="5798" w:type="dxa"/>
            <w:noWrap/>
          </w:tcPr>
          <w:p w14:paraId="60F957D7" w14:textId="77777777" w:rsidR="004311FE" w:rsidRPr="007A0F4B" w:rsidRDefault="004311FE" w:rsidP="00292616">
            <w:pPr>
              <w:ind w:firstLine="0"/>
            </w:pPr>
            <w:r w:rsidRPr="007A0F4B">
              <w:lastRenderedPageBreak/>
              <w:t xml:space="preserve">Findings found mixed support for established theories of desistance. Themes consistent with cognitive </w:t>
            </w:r>
            <w:r w:rsidRPr="007A0F4B">
              <w:lastRenderedPageBreak/>
              <w:t>transformation and natural desistance were observed, and more positive themes were associated with cognitive transformation.</w:t>
            </w:r>
          </w:p>
        </w:tc>
      </w:tr>
      <w:tr w:rsidR="004311FE" w:rsidRPr="007A0F4B" w14:paraId="368A375F" w14:textId="77777777" w:rsidTr="00292616">
        <w:trPr>
          <w:trHeight w:val="288"/>
        </w:trPr>
        <w:tc>
          <w:tcPr>
            <w:tcW w:w="1375" w:type="dxa"/>
            <w:noWrap/>
            <w:hideMark/>
          </w:tcPr>
          <w:p w14:paraId="4E0246FB" w14:textId="77777777" w:rsidR="004311FE" w:rsidRPr="007A0F4B" w:rsidRDefault="004311FE" w:rsidP="00292616">
            <w:pPr>
              <w:ind w:firstLine="0"/>
            </w:pPr>
            <w:r w:rsidRPr="007A0F4B">
              <w:lastRenderedPageBreak/>
              <w:t xml:space="preserve">Harris (2016) </w:t>
            </w:r>
          </w:p>
        </w:tc>
        <w:tc>
          <w:tcPr>
            <w:tcW w:w="1134" w:type="dxa"/>
            <w:noWrap/>
          </w:tcPr>
          <w:p w14:paraId="4869EBEA" w14:textId="77777777" w:rsidR="004311FE" w:rsidRPr="007A0F4B" w:rsidRDefault="004311FE" w:rsidP="00292616">
            <w:pPr>
              <w:ind w:firstLine="0"/>
            </w:pPr>
            <w:r w:rsidRPr="007A0F4B">
              <w:t xml:space="preserve">Journal Article </w:t>
            </w:r>
          </w:p>
        </w:tc>
        <w:tc>
          <w:tcPr>
            <w:tcW w:w="5103" w:type="dxa"/>
            <w:noWrap/>
          </w:tcPr>
          <w:p w14:paraId="228C5CF5" w14:textId="77777777" w:rsidR="004311FE" w:rsidRPr="007A0F4B" w:rsidRDefault="004311FE" w:rsidP="00292616">
            <w:pPr>
              <w:ind w:firstLine="0"/>
            </w:pPr>
            <w:r w:rsidRPr="007A0F4B">
              <w:t xml:space="preserve">To explore desistance from sexual offending by attending to the way the men themselves described their understanding and experience of their desistance. </w:t>
            </w:r>
          </w:p>
        </w:tc>
        <w:tc>
          <w:tcPr>
            <w:tcW w:w="5798" w:type="dxa"/>
            <w:noWrap/>
          </w:tcPr>
          <w:p w14:paraId="7DD6DA86" w14:textId="4CB4A0C5" w:rsidR="004311FE" w:rsidRPr="007A0F4B" w:rsidRDefault="004311FE" w:rsidP="00292616">
            <w:pPr>
              <w:ind w:firstLine="0"/>
            </w:pPr>
            <w:r w:rsidRPr="007A0F4B">
              <w:t xml:space="preserve">Four styles of desistance were identified. Support was found for theories citing natural desistance and aging out (retirement). The remaining three styles (resignation, rote, and resilience) shared little </w:t>
            </w:r>
            <w:proofErr w:type="gramStart"/>
            <w:r w:rsidRPr="007A0F4B">
              <w:t>similarities</w:t>
            </w:r>
            <w:proofErr w:type="gramEnd"/>
            <w:r w:rsidRPr="007A0F4B">
              <w:t xml:space="preserve"> to established general desistance theories that </w:t>
            </w:r>
            <w:r w:rsidR="007A0F4B" w:rsidRPr="007A0F4B">
              <w:t>emphasize</w:t>
            </w:r>
            <w:r w:rsidRPr="007A0F4B">
              <w:t xml:space="preserve"> the role of informal social controls and cognitive transformations. </w:t>
            </w:r>
          </w:p>
        </w:tc>
      </w:tr>
      <w:tr w:rsidR="004311FE" w:rsidRPr="007A0F4B" w14:paraId="48E64661" w14:textId="77777777" w:rsidTr="00292616">
        <w:trPr>
          <w:trHeight w:val="288"/>
        </w:trPr>
        <w:tc>
          <w:tcPr>
            <w:tcW w:w="1375" w:type="dxa"/>
            <w:noWrap/>
            <w:hideMark/>
          </w:tcPr>
          <w:p w14:paraId="6F7B188B" w14:textId="77777777" w:rsidR="004311FE" w:rsidRPr="007A0F4B" w:rsidRDefault="004311FE" w:rsidP="00292616">
            <w:pPr>
              <w:ind w:firstLine="0"/>
            </w:pPr>
            <w:r w:rsidRPr="007A0F4B">
              <w:t xml:space="preserve">Harris (2017a) </w:t>
            </w:r>
          </w:p>
        </w:tc>
        <w:tc>
          <w:tcPr>
            <w:tcW w:w="1134" w:type="dxa"/>
            <w:noWrap/>
          </w:tcPr>
          <w:p w14:paraId="60696EF3" w14:textId="77777777" w:rsidR="004311FE" w:rsidRPr="007A0F4B" w:rsidRDefault="004311FE" w:rsidP="00292616">
            <w:pPr>
              <w:ind w:firstLine="0"/>
            </w:pPr>
            <w:r w:rsidRPr="007A0F4B">
              <w:t xml:space="preserve">Journal Article </w:t>
            </w:r>
          </w:p>
        </w:tc>
        <w:tc>
          <w:tcPr>
            <w:tcW w:w="5103" w:type="dxa"/>
            <w:noWrap/>
          </w:tcPr>
          <w:p w14:paraId="47D25431" w14:textId="77777777" w:rsidR="004311FE" w:rsidRPr="007A0F4B" w:rsidRDefault="004311FE" w:rsidP="00292616">
            <w:pPr>
              <w:ind w:firstLine="0"/>
            </w:pPr>
            <w:r w:rsidRPr="007A0F4B">
              <w:t>To describe and explain desistance from sexual offending.</w:t>
            </w:r>
          </w:p>
        </w:tc>
        <w:tc>
          <w:tcPr>
            <w:tcW w:w="5798" w:type="dxa"/>
            <w:noWrap/>
          </w:tcPr>
          <w:p w14:paraId="6AF4B590" w14:textId="77777777" w:rsidR="004311FE" w:rsidRPr="007A0F4B" w:rsidRDefault="004311FE" w:rsidP="00292616">
            <w:pPr>
              <w:ind w:firstLine="0"/>
            </w:pPr>
            <w:r w:rsidRPr="007A0F4B">
              <w:t>Desistance from sexual offending appears to occur without the achievement of primary human goods, in the absence of informal social controls, and/or other processes described in extant desistance literature. The findings underscored that desistance from sexual offending requires its own literature.</w:t>
            </w:r>
          </w:p>
        </w:tc>
      </w:tr>
      <w:tr w:rsidR="004311FE" w:rsidRPr="007A0F4B" w14:paraId="0B10FC5A" w14:textId="77777777" w:rsidTr="00292616">
        <w:trPr>
          <w:trHeight w:val="288"/>
        </w:trPr>
        <w:tc>
          <w:tcPr>
            <w:tcW w:w="1375" w:type="dxa"/>
            <w:noWrap/>
          </w:tcPr>
          <w:p w14:paraId="4526D4D3" w14:textId="77777777" w:rsidR="004311FE" w:rsidRPr="007A0F4B" w:rsidRDefault="004311FE" w:rsidP="00292616">
            <w:pPr>
              <w:ind w:firstLine="0"/>
            </w:pPr>
            <w:r w:rsidRPr="007A0F4B">
              <w:t xml:space="preserve">Harris et al. (2017) </w:t>
            </w:r>
          </w:p>
        </w:tc>
        <w:tc>
          <w:tcPr>
            <w:tcW w:w="1134" w:type="dxa"/>
            <w:noWrap/>
          </w:tcPr>
          <w:p w14:paraId="7DBF7778" w14:textId="77777777" w:rsidR="004311FE" w:rsidRPr="007A0F4B" w:rsidRDefault="004311FE" w:rsidP="00292616">
            <w:pPr>
              <w:ind w:firstLine="0"/>
            </w:pPr>
            <w:r w:rsidRPr="007A0F4B">
              <w:t xml:space="preserve">Journal Article </w:t>
            </w:r>
          </w:p>
        </w:tc>
        <w:tc>
          <w:tcPr>
            <w:tcW w:w="5103" w:type="dxa"/>
            <w:noWrap/>
          </w:tcPr>
          <w:p w14:paraId="3557281C" w14:textId="77777777" w:rsidR="004311FE" w:rsidRPr="007A0F4B" w:rsidRDefault="004311FE" w:rsidP="00292616">
            <w:pPr>
              <w:ind w:firstLine="0"/>
            </w:pPr>
            <w:r w:rsidRPr="007A0F4B">
              <w:t>To examine the role of religion and spirituality in desistance from sexual offending.</w:t>
            </w:r>
          </w:p>
        </w:tc>
        <w:tc>
          <w:tcPr>
            <w:tcW w:w="5798" w:type="dxa"/>
            <w:noWrap/>
          </w:tcPr>
          <w:p w14:paraId="6BAA9B34" w14:textId="77777777" w:rsidR="004311FE" w:rsidRPr="007A0F4B" w:rsidRDefault="004311FE" w:rsidP="00292616">
            <w:pPr>
              <w:ind w:firstLine="0"/>
            </w:pPr>
            <w:r w:rsidRPr="007A0F4B">
              <w:t xml:space="preserve">Religion and spiritualism offered faith, positivity, emotional regulation/religious coping, forgiveness/ redemption, social bonds/connectedness, and routine/ritual. These processes facilitated the development of self-control and social capital. </w:t>
            </w:r>
          </w:p>
        </w:tc>
      </w:tr>
      <w:tr w:rsidR="004311FE" w:rsidRPr="007A0F4B" w14:paraId="4656AA1B" w14:textId="77777777" w:rsidTr="00292616">
        <w:trPr>
          <w:trHeight w:val="288"/>
        </w:trPr>
        <w:tc>
          <w:tcPr>
            <w:tcW w:w="1375" w:type="dxa"/>
            <w:noWrap/>
            <w:hideMark/>
          </w:tcPr>
          <w:p w14:paraId="25ADAFE2" w14:textId="77777777" w:rsidR="004311FE" w:rsidRPr="007A0F4B" w:rsidRDefault="004311FE" w:rsidP="00292616">
            <w:pPr>
              <w:ind w:firstLine="0"/>
            </w:pPr>
            <w:r w:rsidRPr="007A0F4B">
              <w:t xml:space="preserve">Harris et al. (2019) </w:t>
            </w:r>
          </w:p>
        </w:tc>
        <w:tc>
          <w:tcPr>
            <w:tcW w:w="1134" w:type="dxa"/>
            <w:noWrap/>
          </w:tcPr>
          <w:p w14:paraId="13414ADE" w14:textId="77777777" w:rsidR="004311FE" w:rsidRPr="007A0F4B" w:rsidRDefault="004311FE" w:rsidP="00292616">
            <w:pPr>
              <w:ind w:firstLine="0"/>
            </w:pPr>
            <w:r w:rsidRPr="007A0F4B">
              <w:t xml:space="preserve">Journal Article </w:t>
            </w:r>
          </w:p>
        </w:tc>
        <w:tc>
          <w:tcPr>
            <w:tcW w:w="5103" w:type="dxa"/>
            <w:noWrap/>
          </w:tcPr>
          <w:p w14:paraId="4AE1F15A" w14:textId="77777777" w:rsidR="004311FE" w:rsidRPr="007A0F4B" w:rsidRDefault="004311FE" w:rsidP="00292616">
            <w:pPr>
              <w:ind w:firstLine="0"/>
            </w:pPr>
            <w:r w:rsidRPr="007A0F4B">
              <w:t>To examine the extent to which each man discussed desiring, pursuing, and attaining the specific primary human goods outlined in the GLM.</w:t>
            </w:r>
          </w:p>
        </w:tc>
        <w:tc>
          <w:tcPr>
            <w:tcW w:w="5798" w:type="dxa"/>
            <w:noWrap/>
          </w:tcPr>
          <w:p w14:paraId="58F4E734" w14:textId="77777777" w:rsidR="004311FE" w:rsidRPr="007A0F4B" w:rsidRDefault="004311FE" w:rsidP="00292616">
            <w:pPr>
              <w:ind w:firstLine="0"/>
            </w:pPr>
            <w:r w:rsidRPr="007A0F4B">
              <w:t xml:space="preserve">The primary human goods of life and survival, relationships and friendships, and knowledge were observed within participants' narratives; however, only knowledge was achieved by many participants. Many barriers were observed in pursuing primary human goods, and treatment was reported to be instrumental in gaining primary and secondary human goods. </w:t>
            </w:r>
          </w:p>
        </w:tc>
      </w:tr>
      <w:tr w:rsidR="004311FE" w:rsidRPr="007A0F4B" w14:paraId="45C25831" w14:textId="77777777" w:rsidTr="00292616">
        <w:trPr>
          <w:trHeight w:val="288"/>
        </w:trPr>
        <w:tc>
          <w:tcPr>
            <w:tcW w:w="1375" w:type="dxa"/>
            <w:noWrap/>
            <w:hideMark/>
          </w:tcPr>
          <w:p w14:paraId="05C89D16" w14:textId="77777777" w:rsidR="004311FE" w:rsidRPr="007A0F4B" w:rsidRDefault="004311FE" w:rsidP="00292616">
            <w:pPr>
              <w:ind w:firstLine="0"/>
            </w:pPr>
            <w:r w:rsidRPr="007A0F4B">
              <w:t xml:space="preserve">Harris &amp; Levenson </w:t>
            </w:r>
            <w:r w:rsidRPr="007A0F4B">
              <w:lastRenderedPageBreak/>
              <w:t xml:space="preserve">(2021) </w:t>
            </w:r>
          </w:p>
        </w:tc>
        <w:tc>
          <w:tcPr>
            <w:tcW w:w="1134" w:type="dxa"/>
            <w:noWrap/>
          </w:tcPr>
          <w:p w14:paraId="7C3F0F35" w14:textId="77777777" w:rsidR="004311FE" w:rsidRPr="007A0F4B" w:rsidRDefault="004311FE" w:rsidP="00292616">
            <w:pPr>
              <w:ind w:firstLine="0"/>
            </w:pPr>
            <w:r w:rsidRPr="007A0F4B">
              <w:lastRenderedPageBreak/>
              <w:t xml:space="preserve">Journal Article </w:t>
            </w:r>
          </w:p>
        </w:tc>
        <w:tc>
          <w:tcPr>
            <w:tcW w:w="5103" w:type="dxa"/>
            <w:noWrap/>
          </w:tcPr>
          <w:p w14:paraId="1A3769A1" w14:textId="77777777" w:rsidR="004311FE" w:rsidRPr="007A0F4B" w:rsidRDefault="004311FE" w:rsidP="00292616">
            <w:pPr>
              <w:ind w:firstLine="0"/>
            </w:pPr>
            <w:r w:rsidRPr="007A0F4B">
              <w:t xml:space="preserve">To examine through a </w:t>
            </w:r>
            <w:proofErr w:type="gramStart"/>
            <w:r w:rsidRPr="007A0F4B">
              <w:t>trauma</w:t>
            </w:r>
            <w:proofErr w:type="gramEnd"/>
            <w:r w:rsidRPr="007A0F4B">
              <w:t xml:space="preserve"> lens the impact that formal social controls and stigma have on </w:t>
            </w:r>
            <w:r w:rsidRPr="007A0F4B">
              <w:lastRenderedPageBreak/>
              <w:t>individuals attempting to reintegrate following a sexual offence conviction.</w:t>
            </w:r>
          </w:p>
        </w:tc>
        <w:tc>
          <w:tcPr>
            <w:tcW w:w="5798" w:type="dxa"/>
            <w:noWrap/>
          </w:tcPr>
          <w:p w14:paraId="5ADC0540" w14:textId="77777777" w:rsidR="004311FE" w:rsidRPr="007A0F4B" w:rsidRDefault="004311FE" w:rsidP="00292616">
            <w:pPr>
              <w:ind w:firstLine="0"/>
            </w:pPr>
            <w:r w:rsidRPr="007A0F4B">
              <w:lastRenderedPageBreak/>
              <w:t xml:space="preserve">Participants primarily coped by hypervigilance, reliance on the insurance of surveillance, and fear and avoidance </w:t>
            </w:r>
            <w:r w:rsidRPr="007A0F4B">
              <w:lastRenderedPageBreak/>
              <w:t>goals.</w:t>
            </w:r>
          </w:p>
        </w:tc>
      </w:tr>
      <w:tr w:rsidR="004311FE" w:rsidRPr="007A0F4B" w14:paraId="4B3521B2" w14:textId="77777777" w:rsidTr="00292616">
        <w:trPr>
          <w:trHeight w:val="288"/>
        </w:trPr>
        <w:tc>
          <w:tcPr>
            <w:tcW w:w="1375" w:type="dxa"/>
            <w:noWrap/>
            <w:hideMark/>
          </w:tcPr>
          <w:p w14:paraId="4BBE37E0" w14:textId="77777777" w:rsidR="004311FE" w:rsidRPr="007A0F4B" w:rsidRDefault="004311FE" w:rsidP="00292616">
            <w:pPr>
              <w:ind w:firstLine="0"/>
            </w:pPr>
            <w:proofErr w:type="spellStart"/>
            <w:r w:rsidRPr="007A0F4B">
              <w:lastRenderedPageBreak/>
              <w:t>Höing</w:t>
            </w:r>
            <w:proofErr w:type="spellEnd"/>
            <w:r w:rsidRPr="007A0F4B">
              <w:t xml:space="preserve"> et al. (2013) </w:t>
            </w:r>
          </w:p>
        </w:tc>
        <w:tc>
          <w:tcPr>
            <w:tcW w:w="1134" w:type="dxa"/>
            <w:noWrap/>
          </w:tcPr>
          <w:p w14:paraId="5B7271AD" w14:textId="77777777" w:rsidR="004311FE" w:rsidRPr="007A0F4B" w:rsidRDefault="004311FE" w:rsidP="00292616">
            <w:pPr>
              <w:ind w:firstLine="0"/>
            </w:pPr>
            <w:r w:rsidRPr="007A0F4B">
              <w:t xml:space="preserve">Journal Article </w:t>
            </w:r>
          </w:p>
        </w:tc>
        <w:tc>
          <w:tcPr>
            <w:tcW w:w="5103" w:type="dxa"/>
            <w:noWrap/>
          </w:tcPr>
          <w:p w14:paraId="507FE9DD" w14:textId="77777777" w:rsidR="004311FE" w:rsidRPr="007A0F4B" w:rsidRDefault="004311FE" w:rsidP="00292616">
            <w:pPr>
              <w:ind w:firstLine="0"/>
            </w:pPr>
            <w:r w:rsidRPr="007A0F4B">
              <w:t>To examine how and why Circles can be effective in the prevention of sexual recidivism for individuals assessed as medium and high risk.</w:t>
            </w:r>
          </w:p>
        </w:tc>
        <w:tc>
          <w:tcPr>
            <w:tcW w:w="5798" w:type="dxa"/>
            <w:noWrap/>
          </w:tcPr>
          <w:p w14:paraId="563BB254" w14:textId="35A9A02E" w:rsidR="004311FE" w:rsidRPr="007A0F4B" w:rsidRDefault="004311FE" w:rsidP="00292616">
            <w:pPr>
              <w:ind w:firstLine="0"/>
            </w:pPr>
            <w:r w:rsidRPr="007A0F4B">
              <w:t xml:space="preserve">Circles supported the development of a positive narrative self and the improvement of social and human capital. Circles facilitated hope, self-esteem, and sustained motivation to change. Further, Circles addressed risk-related attitudes and </w:t>
            </w:r>
            <w:r w:rsidR="007A0F4B" w:rsidRPr="007A0F4B">
              <w:t>behavior</w:t>
            </w:r>
            <w:r w:rsidRPr="007A0F4B">
              <w:t xml:space="preserve">, thereby supporting re-entry and desistance. </w:t>
            </w:r>
          </w:p>
        </w:tc>
      </w:tr>
      <w:tr w:rsidR="004311FE" w:rsidRPr="007A0F4B" w14:paraId="38DFCC15" w14:textId="77777777" w:rsidTr="00292616">
        <w:trPr>
          <w:trHeight w:val="288"/>
        </w:trPr>
        <w:tc>
          <w:tcPr>
            <w:tcW w:w="1375" w:type="dxa"/>
            <w:noWrap/>
            <w:hideMark/>
          </w:tcPr>
          <w:p w14:paraId="505A9A0E" w14:textId="77777777" w:rsidR="004311FE" w:rsidRPr="007A0F4B" w:rsidRDefault="004311FE" w:rsidP="00292616">
            <w:pPr>
              <w:ind w:firstLine="0"/>
            </w:pPr>
            <w:proofErr w:type="spellStart"/>
            <w:r w:rsidRPr="007A0F4B">
              <w:t>Höing</w:t>
            </w:r>
            <w:proofErr w:type="spellEnd"/>
            <w:r w:rsidRPr="007A0F4B">
              <w:t xml:space="preserve"> et al. (2017) </w:t>
            </w:r>
          </w:p>
        </w:tc>
        <w:tc>
          <w:tcPr>
            <w:tcW w:w="1134" w:type="dxa"/>
            <w:noWrap/>
          </w:tcPr>
          <w:p w14:paraId="3ED4F69C" w14:textId="77777777" w:rsidR="004311FE" w:rsidRPr="007A0F4B" w:rsidRDefault="004311FE" w:rsidP="00292616">
            <w:pPr>
              <w:ind w:firstLine="0"/>
            </w:pPr>
            <w:r w:rsidRPr="007A0F4B">
              <w:t xml:space="preserve">Journal Article </w:t>
            </w:r>
          </w:p>
        </w:tc>
        <w:tc>
          <w:tcPr>
            <w:tcW w:w="5103" w:type="dxa"/>
            <w:noWrap/>
          </w:tcPr>
          <w:p w14:paraId="0B058B41" w14:textId="77777777" w:rsidR="004311FE" w:rsidRPr="007A0F4B" w:rsidRDefault="004311FE" w:rsidP="00292616">
            <w:pPr>
              <w:ind w:firstLine="0"/>
            </w:pPr>
            <w:r w:rsidRPr="007A0F4B">
              <w:t xml:space="preserve">To further understand desistance processes in core members and to explore the contribution of Circles by using a prospective design. </w:t>
            </w:r>
          </w:p>
        </w:tc>
        <w:tc>
          <w:tcPr>
            <w:tcW w:w="5798" w:type="dxa"/>
            <w:noWrap/>
          </w:tcPr>
          <w:p w14:paraId="6EBBE226" w14:textId="77777777" w:rsidR="004311FE" w:rsidRPr="007A0F4B" w:rsidRDefault="004311FE" w:rsidP="00292616">
            <w:pPr>
              <w:ind w:firstLine="0"/>
            </w:pPr>
            <w:r w:rsidRPr="007A0F4B">
              <w:t xml:space="preserve">Circles supported core members to improve their agency, self-regulation, and self-reflection skills. Circle discussions facilitated these processes but only when embedded in a context of trusting and reciprocal Circle relationships. </w:t>
            </w:r>
          </w:p>
        </w:tc>
      </w:tr>
      <w:tr w:rsidR="004311FE" w:rsidRPr="007A0F4B" w14:paraId="2EAC618C" w14:textId="77777777" w:rsidTr="00292616">
        <w:trPr>
          <w:trHeight w:val="288"/>
        </w:trPr>
        <w:tc>
          <w:tcPr>
            <w:tcW w:w="1375" w:type="dxa"/>
            <w:noWrap/>
            <w:hideMark/>
          </w:tcPr>
          <w:p w14:paraId="7CA51A44" w14:textId="77777777" w:rsidR="004311FE" w:rsidRPr="007A0F4B" w:rsidRDefault="004311FE" w:rsidP="00292616">
            <w:pPr>
              <w:ind w:firstLine="0"/>
            </w:pPr>
            <w:r w:rsidRPr="007A0F4B">
              <w:t>Hulley (2016)</w:t>
            </w:r>
          </w:p>
        </w:tc>
        <w:tc>
          <w:tcPr>
            <w:tcW w:w="1134" w:type="dxa"/>
            <w:noWrap/>
          </w:tcPr>
          <w:p w14:paraId="64ED9E55" w14:textId="77777777" w:rsidR="004311FE" w:rsidRPr="007A0F4B" w:rsidRDefault="004311FE" w:rsidP="00292616">
            <w:pPr>
              <w:ind w:firstLine="0"/>
            </w:pPr>
            <w:r w:rsidRPr="007A0F4B">
              <w:t xml:space="preserve">Journal Article </w:t>
            </w:r>
          </w:p>
        </w:tc>
        <w:tc>
          <w:tcPr>
            <w:tcW w:w="5103" w:type="dxa"/>
            <w:noWrap/>
          </w:tcPr>
          <w:p w14:paraId="0AE017FF" w14:textId="3EDE6001" w:rsidR="004311FE" w:rsidRPr="007A0F4B" w:rsidRDefault="004311FE" w:rsidP="00292616">
            <w:pPr>
              <w:ind w:firstLine="0"/>
            </w:pPr>
            <w:r w:rsidRPr="007A0F4B">
              <w:t xml:space="preserve">To explore the presence and role of </w:t>
            </w:r>
            <w:r w:rsidR="007A0F4B" w:rsidRPr="007A0F4B">
              <w:t>neutralization</w:t>
            </w:r>
            <w:r w:rsidRPr="007A0F4B">
              <w:t xml:space="preserve"> for fifteen men self-reporting desistance from further sexual offending.</w:t>
            </w:r>
          </w:p>
        </w:tc>
        <w:tc>
          <w:tcPr>
            <w:tcW w:w="5798" w:type="dxa"/>
            <w:noWrap/>
          </w:tcPr>
          <w:p w14:paraId="52054171" w14:textId="062A3DDC" w:rsidR="004311FE" w:rsidRPr="007A0F4B" w:rsidRDefault="004311FE" w:rsidP="00292616">
            <w:pPr>
              <w:ind w:firstLine="0"/>
            </w:pPr>
            <w:r w:rsidRPr="007A0F4B">
              <w:t xml:space="preserve">Findings showed that </w:t>
            </w:r>
            <w:r w:rsidR="007A0F4B" w:rsidRPr="007A0F4B">
              <w:t>neutralization</w:t>
            </w:r>
            <w:r w:rsidRPr="007A0F4B">
              <w:t xml:space="preserve"> </w:t>
            </w:r>
            <w:proofErr w:type="gramStart"/>
            <w:r w:rsidRPr="007A0F4B">
              <w:t>were</w:t>
            </w:r>
            <w:proofErr w:type="gramEnd"/>
            <w:r w:rsidRPr="007A0F4B">
              <w:t xml:space="preserve"> necessary early in desistance and that treatment was a turning point for adaptive changes. However, </w:t>
            </w:r>
            <w:r w:rsidR="007A0F4B" w:rsidRPr="007A0F4B">
              <w:t>neutralization</w:t>
            </w:r>
            <w:r w:rsidRPr="007A0F4B">
              <w:t xml:space="preserve"> ceased with the passage of time and the change to a prosocial identity. These processes were dependent upon access to social and structural support. </w:t>
            </w:r>
          </w:p>
        </w:tc>
      </w:tr>
      <w:tr w:rsidR="004311FE" w:rsidRPr="007A0F4B" w14:paraId="6B969082" w14:textId="77777777" w:rsidTr="00292616">
        <w:trPr>
          <w:trHeight w:val="288"/>
        </w:trPr>
        <w:tc>
          <w:tcPr>
            <w:tcW w:w="1375" w:type="dxa"/>
            <w:noWrap/>
            <w:hideMark/>
          </w:tcPr>
          <w:p w14:paraId="2626F501" w14:textId="77777777" w:rsidR="004311FE" w:rsidRPr="007A0F4B" w:rsidRDefault="004311FE" w:rsidP="00292616">
            <w:pPr>
              <w:ind w:firstLine="0"/>
            </w:pPr>
            <w:r w:rsidRPr="007A0F4B">
              <w:t xml:space="preserve">Kewley et al. (2017) </w:t>
            </w:r>
          </w:p>
        </w:tc>
        <w:tc>
          <w:tcPr>
            <w:tcW w:w="1134" w:type="dxa"/>
            <w:noWrap/>
          </w:tcPr>
          <w:p w14:paraId="3F91E33B" w14:textId="77777777" w:rsidR="004311FE" w:rsidRPr="007A0F4B" w:rsidRDefault="004311FE" w:rsidP="00292616">
            <w:pPr>
              <w:ind w:firstLine="0"/>
            </w:pPr>
            <w:r w:rsidRPr="007A0F4B">
              <w:t xml:space="preserve">Journal Article </w:t>
            </w:r>
          </w:p>
        </w:tc>
        <w:tc>
          <w:tcPr>
            <w:tcW w:w="5103" w:type="dxa"/>
            <w:noWrap/>
          </w:tcPr>
          <w:p w14:paraId="5AC72D4B" w14:textId="77777777" w:rsidR="004311FE" w:rsidRPr="007A0F4B" w:rsidRDefault="004311FE" w:rsidP="00292616">
            <w:pPr>
              <w:ind w:firstLine="0"/>
            </w:pPr>
            <w:r w:rsidRPr="007A0F4B">
              <w:t>To examine the role of affiliation to a religious community in supporting reintegration back into the community following a conviction for sexual offending.</w:t>
            </w:r>
          </w:p>
        </w:tc>
        <w:tc>
          <w:tcPr>
            <w:tcW w:w="5798" w:type="dxa"/>
            <w:noWrap/>
          </w:tcPr>
          <w:p w14:paraId="26216E70" w14:textId="77777777" w:rsidR="004311FE" w:rsidRPr="007A0F4B" w:rsidRDefault="004311FE" w:rsidP="00292616">
            <w:pPr>
              <w:ind w:firstLine="0"/>
            </w:pPr>
            <w:r w:rsidRPr="007A0F4B">
              <w:t xml:space="preserve">Engagement with a religious or spiritual community enhanced reintegration for those religiously inclined. However, the psychological transition from “offender” to “non-offender” was complex, even with support from a religious community. </w:t>
            </w:r>
          </w:p>
        </w:tc>
      </w:tr>
      <w:tr w:rsidR="004311FE" w:rsidRPr="007A0F4B" w14:paraId="431AA733" w14:textId="77777777" w:rsidTr="00292616">
        <w:trPr>
          <w:trHeight w:val="288"/>
        </w:trPr>
        <w:tc>
          <w:tcPr>
            <w:tcW w:w="1375" w:type="dxa"/>
            <w:noWrap/>
            <w:hideMark/>
          </w:tcPr>
          <w:p w14:paraId="0A32B28E" w14:textId="77777777" w:rsidR="004311FE" w:rsidRPr="007A0F4B" w:rsidRDefault="004311FE" w:rsidP="00292616">
            <w:pPr>
              <w:ind w:firstLine="0"/>
            </w:pPr>
            <w:r w:rsidRPr="007A0F4B">
              <w:t xml:space="preserve">Kitson-Boyce et al. (2019) </w:t>
            </w:r>
          </w:p>
        </w:tc>
        <w:tc>
          <w:tcPr>
            <w:tcW w:w="1134" w:type="dxa"/>
            <w:noWrap/>
          </w:tcPr>
          <w:p w14:paraId="55F8B7A5" w14:textId="77777777" w:rsidR="004311FE" w:rsidRPr="007A0F4B" w:rsidRDefault="004311FE" w:rsidP="00292616">
            <w:pPr>
              <w:ind w:firstLine="0"/>
            </w:pPr>
            <w:r w:rsidRPr="007A0F4B">
              <w:t xml:space="preserve">Journal Article </w:t>
            </w:r>
          </w:p>
        </w:tc>
        <w:tc>
          <w:tcPr>
            <w:tcW w:w="5103" w:type="dxa"/>
            <w:noWrap/>
          </w:tcPr>
          <w:p w14:paraId="41AA0869" w14:textId="77777777" w:rsidR="004311FE" w:rsidRPr="007A0F4B" w:rsidRDefault="004311FE" w:rsidP="00292616">
            <w:pPr>
              <w:ind w:firstLine="0"/>
            </w:pPr>
            <w:r w:rsidRPr="007A0F4B">
              <w:t xml:space="preserve">To learn from core member and volunteer experiences from being involved in a Circle that transitions from prison to community. </w:t>
            </w:r>
          </w:p>
        </w:tc>
        <w:tc>
          <w:tcPr>
            <w:tcW w:w="5798" w:type="dxa"/>
            <w:noWrap/>
          </w:tcPr>
          <w:p w14:paraId="33118B52" w14:textId="77777777" w:rsidR="004311FE" w:rsidRPr="007A0F4B" w:rsidRDefault="004311FE" w:rsidP="00292616">
            <w:pPr>
              <w:ind w:firstLine="0"/>
            </w:pPr>
            <w:r w:rsidRPr="007A0F4B">
              <w:t xml:space="preserve">Volunteers provided core members support and accountability. Further, they encouraged the development of support networks outside of the Circle to support their transition should the Circle close. </w:t>
            </w:r>
          </w:p>
        </w:tc>
      </w:tr>
      <w:tr w:rsidR="004311FE" w:rsidRPr="007A0F4B" w14:paraId="13CE6501" w14:textId="77777777" w:rsidTr="00292616">
        <w:trPr>
          <w:trHeight w:val="288"/>
        </w:trPr>
        <w:tc>
          <w:tcPr>
            <w:tcW w:w="1375" w:type="dxa"/>
            <w:noWrap/>
            <w:hideMark/>
          </w:tcPr>
          <w:p w14:paraId="708D2445" w14:textId="77777777" w:rsidR="004311FE" w:rsidRPr="007A0F4B" w:rsidRDefault="004311FE" w:rsidP="00292616">
            <w:pPr>
              <w:ind w:firstLine="0"/>
            </w:pPr>
            <w:r w:rsidRPr="007A0F4B">
              <w:t xml:space="preserve">Kras (2021) </w:t>
            </w:r>
          </w:p>
        </w:tc>
        <w:tc>
          <w:tcPr>
            <w:tcW w:w="1134" w:type="dxa"/>
            <w:noWrap/>
          </w:tcPr>
          <w:p w14:paraId="71B5559D" w14:textId="77777777" w:rsidR="004311FE" w:rsidRPr="007A0F4B" w:rsidRDefault="004311FE" w:rsidP="00292616">
            <w:pPr>
              <w:ind w:firstLine="0"/>
            </w:pPr>
            <w:r w:rsidRPr="007A0F4B">
              <w:t xml:space="preserve">Journal </w:t>
            </w:r>
            <w:r w:rsidRPr="007A0F4B">
              <w:lastRenderedPageBreak/>
              <w:t xml:space="preserve">Article </w:t>
            </w:r>
          </w:p>
        </w:tc>
        <w:tc>
          <w:tcPr>
            <w:tcW w:w="5103" w:type="dxa"/>
            <w:noWrap/>
          </w:tcPr>
          <w:p w14:paraId="54A24D43" w14:textId="77777777" w:rsidR="004311FE" w:rsidRPr="007A0F4B" w:rsidRDefault="004311FE" w:rsidP="00292616">
            <w:pPr>
              <w:ind w:firstLine="0"/>
            </w:pPr>
            <w:r w:rsidRPr="007A0F4B">
              <w:lastRenderedPageBreak/>
              <w:t xml:space="preserve">To explore the patterns of desistance among men </w:t>
            </w:r>
            <w:r w:rsidRPr="007A0F4B">
              <w:lastRenderedPageBreak/>
              <w:t xml:space="preserve">convicted of sexual offences and how the men express cognitive scripts, considering the influence of treatment and social stigma. </w:t>
            </w:r>
          </w:p>
        </w:tc>
        <w:tc>
          <w:tcPr>
            <w:tcW w:w="5798" w:type="dxa"/>
            <w:noWrap/>
          </w:tcPr>
          <w:p w14:paraId="717AEC76" w14:textId="4BA41A96" w:rsidR="004311FE" w:rsidRPr="007A0F4B" w:rsidRDefault="004311FE" w:rsidP="00292616">
            <w:pPr>
              <w:ind w:firstLine="0"/>
            </w:pPr>
            <w:r w:rsidRPr="007A0F4B">
              <w:lastRenderedPageBreak/>
              <w:t xml:space="preserve">Evidence was found for Maruna’s (2001) redemption and </w:t>
            </w:r>
            <w:r w:rsidRPr="007A0F4B">
              <w:lastRenderedPageBreak/>
              <w:t xml:space="preserve">condemnation scripts. However, these findings were </w:t>
            </w:r>
            <w:r w:rsidR="007A0F4B" w:rsidRPr="007A0F4B">
              <w:t>contextualized</w:t>
            </w:r>
            <w:r w:rsidRPr="007A0F4B">
              <w:t xml:space="preserve"> by labelling and treatment effects. Redemption scripts reflected desistance and a primary mechanism for rejecting the sex offender label. Condemnation scripts reflected the universal experiences of stigma. </w:t>
            </w:r>
          </w:p>
        </w:tc>
      </w:tr>
      <w:tr w:rsidR="004311FE" w:rsidRPr="007A0F4B" w14:paraId="23C5A3C5" w14:textId="77777777" w:rsidTr="00292616">
        <w:trPr>
          <w:trHeight w:val="288"/>
        </w:trPr>
        <w:tc>
          <w:tcPr>
            <w:tcW w:w="1375" w:type="dxa"/>
            <w:noWrap/>
            <w:hideMark/>
          </w:tcPr>
          <w:p w14:paraId="70058DD5" w14:textId="77777777" w:rsidR="004311FE" w:rsidRPr="007A0F4B" w:rsidRDefault="004311FE" w:rsidP="00292616">
            <w:pPr>
              <w:ind w:firstLine="0"/>
            </w:pPr>
            <w:r w:rsidRPr="007A0F4B">
              <w:lastRenderedPageBreak/>
              <w:t xml:space="preserve">Kras &amp; Blasko (2016) </w:t>
            </w:r>
          </w:p>
        </w:tc>
        <w:tc>
          <w:tcPr>
            <w:tcW w:w="1134" w:type="dxa"/>
            <w:noWrap/>
          </w:tcPr>
          <w:p w14:paraId="201F269B" w14:textId="77777777" w:rsidR="004311FE" w:rsidRPr="007A0F4B" w:rsidRDefault="004311FE" w:rsidP="00292616">
            <w:pPr>
              <w:ind w:firstLine="0"/>
            </w:pPr>
            <w:r w:rsidRPr="007A0F4B">
              <w:t xml:space="preserve">Journal Article </w:t>
            </w:r>
          </w:p>
        </w:tc>
        <w:tc>
          <w:tcPr>
            <w:tcW w:w="5103" w:type="dxa"/>
            <w:noWrap/>
          </w:tcPr>
          <w:p w14:paraId="6618D675" w14:textId="1F4EDC71" w:rsidR="004311FE" w:rsidRPr="007A0F4B" w:rsidRDefault="004311FE" w:rsidP="00292616">
            <w:pPr>
              <w:ind w:firstLine="0"/>
            </w:pPr>
            <w:r w:rsidRPr="007A0F4B">
              <w:t xml:space="preserve">To consider how post hoc accounts of offending </w:t>
            </w:r>
            <w:r w:rsidR="007A0F4B" w:rsidRPr="007A0F4B">
              <w:t>behavior</w:t>
            </w:r>
            <w:r w:rsidRPr="007A0F4B">
              <w:t xml:space="preserve"> provided by men convicted of sexual offences related to their desistance processes. </w:t>
            </w:r>
          </w:p>
        </w:tc>
        <w:tc>
          <w:tcPr>
            <w:tcW w:w="5798" w:type="dxa"/>
            <w:noWrap/>
          </w:tcPr>
          <w:p w14:paraId="61E831A6" w14:textId="299C1815" w:rsidR="004311FE" w:rsidRPr="007A0F4B" w:rsidRDefault="004311FE" w:rsidP="00292616">
            <w:pPr>
              <w:ind w:firstLine="0"/>
            </w:pPr>
            <w:r w:rsidRPr="007A0F4B">
              <w:t xml:space="preserve">Desisters expressed post hoc explanations for their sexual offending that reflected a combination of responsibility-taking and </w:t>
            </w:r>
            <w:r w:rsidR="007A0F4B" w:rsidRPr="007A0F4B">
              <w:t>externalization</w:t>
            </w:r>
            <w:r w:rsidRPr="007A0F4B">
              <w:t xml:space="preserve"> of responsibility to a situation now resolved. Authors considered that perhaps situation post hoc explanations support a transition to a </w:t>
            </w:r>
            <w:proofErr w:type="gramStart"/>
            <w:r w:rsidRPr="007A0F4B">
              <w:t>noncriminal</w:t>
            </w:r>
            <w:proofErr w:type="gramEnd"/>
            <w:r w:rsidRPr="007A0F4B">
              <w:t xml:space="preserve"> identity. </w:t>
            </w:r>
          </w:p>
        </w:tc>
      </w:tr>
      <w:tr w:rsidR="004311FE" w:rsidRPr="007A0F4B" w14:paraId="06675611" w14:textId="77777777" w:rsidTr="00292616">
        <w:trPr>
          <w:trHeight w:val="288"/>
        </w:trPr>
        <w:tc>
          <w:tcPr>
            <w:tcW w:w="1375" w:type="dxa"/>
            <w:noWrap/>
            <w:hideMark/>
          </w:tcPr>
          <w:p w14:paraId="702876B5" w14:textId="77777777" w:rsidR="004311FE" w:rsidRPr="007A0F4B" w:rsidRDefault="004311FE" w:rsidP="00292616">
            <w:pPr>
              <w:ind w:firstLine="0"/>
            </w:pPr>
            <w:r w:rsidRPr="007A0F4B">
              <w:t>Kruttschnitt, et al. (2000)</w:t>
            </w:r>
          </w:p>
        </w:tc>
        <w:tc>
          <w:tcPr>
            <w:tcW w:w="1134" w:type="dxa"/>
            <w:noWrap/>
          </w:tcPr>
          <w:p w14:paraId="5B5EFC28" w14:textId="77777777" w:rsidR="004311FE" w:rsidRPr="007A0F4B" w:rsidRDefault="004311FE" w:rsidP="00292616">
            <w:pPr>
              <w:ind w:firstLine="0"/>
            </w:pPr>
            <w:r w:rsidRPr="007A0F4B">
              <w:t xml:space="preserve">Journal Article </w:t>
            </w:r>
          </w:p>
        </w:tc>
        <w:tc>
          <w:tcPr>
            <w:tcW w:w="5103" w:type="dxa"/>
            <w:noWrap/>
          </w:tcPr>
          <w:p w14:paraId="65FC74DA" w14:textId="77777777" w:rsidR="004311FE" w:rsidRPr="007A0F4B" w:rsidRDefault="004311FE" w:rsidP="00292616">
            <w:pPr>
              <w:ind w:firstLine="0"/>
            </w:pPr>
            <w:r w:rsidRPr="007A0F4B">
              <w:t xml:space="preserve">To explore what role formal and informal controls have in </w:t>
            </w:r>
            <w:proofErr w:type="gramStart"/>
            <w:r w:rsidRPr="007A0F4B">
              <w:t>desistance</w:t>
            </w:r>
            <w:proofErr w:type="gramEnd"/>
            <w:r w:rsidRPr="007A0F4B">
              <w:t xml:space="preserve"> from sexual crime.</w:t>
            </w:r>
          </w:p>
          <w:p w14:paraId="211BC5BC" w14:textId="77777777" w:rsidR="004311FE" w:rsidRPr="007A0F4B" w:rsidRDefault="004311FE" w:rsidP="00292616">
            <w:pPr>
              <w:ind w:firstLine="0"/>
            </w:pPr>
          </w:p>
        </w:tc>
        <w:tc>
          <w:tcPr>
            <w:tcW w:w="5798" w:type="dxa"/>
            <w:noWrap/>
          </w:tcPr>
          <w:p w14:paraId="417D7E69" w14:textId="77777777" w:rsidR="004311FE" w:rsidRPr="007A0F4B" w:rsidRDefault="004311FE" w:rsidP="00292616">
            <w:pPr>
              <w:ind w:firstLine="0"/>
            </w:pPr>
            <w:r w:rsidRPr="007A0F4B">
              <w:t xml:space="preserve">Desistance was measured as the absence of official reoffence, and most participants who experienced the combined effects of formal and informal social controls were particularly likely to desist. </w:t>
            </w:r>
          </w:p>
        </w:tc>
      </w:tr>
      <w:tr w:rsidR="004311FE" w:rsidRPr="007A0F4B" w14:paraId="652C77A7" w14:textId="77777777" w:rsidTr="00292616">
        <w:trPr>
          <w:trHeight w:val="288"/>
        </w:trPr>
        <w:tc>
          <w:tcPr>
            <w:tcW w:w="1375" w:type="dxa"/>
            <w:noWrap/>
            <w:hideMark/>
          </w:tcPr>
          <w:p w14:paraId="455D8E6F" w14:textId="77777777" w:rsidR="004311FE" w:rsidRPr="007A0F4B" w:rsidRDefault="004311FE" w:rsidP="00292616">
            <w:pPr>
              <w:ind w:firstLine="0"/>
            </w:pPr>
            <w:r w:rsidRPr="007A0F4B">
              <w:t xml:space="preserve">Lytle et al. (2017) </w:t>
            </w:r>
          </w:p>
        </w:tc>
        <w:tc>
          <w:tcPr>
            <w:tcW w:w="1134" w:type="dxa"/>
            <w:noWrap/>
          </w:tcPr>
          <w:p w14:paraId="312E245F" w14:textId="77777777" w:rsidR="004311FE" w:rsidRPr="007A0F4B" w:rsidRDefault="004311FE" w:rsidP="00292616">
            <w:pPr>
              <w:ind w:firstLine="0"/>
            </w:pPr>
            <w:r w:rsidRPr="007A0F4B">
              <w:t xml:space="preserve">Journal Article </w:t>
            </w:r>
          </w:p>
        </w:tc>
        <w:tc>
          <w:tcPr>
            <w:tcW w:w="5103" w:type="dxa"/>
            <w:noWrap/>
          </w:tcPr>
          <w:p w14:paraId="52362781" w14:textId="77777777" w:rsidR="004311FE" w:rsidRPr="007A0F4B" w:rsidRDefault="004311FE" w:rsidP="00292616">
            <w:pPr>
              <w:ind w:firstLine="0"/>
            </w:pPr>
            <w:r w:rsidRPr="007A0F4B">
              <w:t xml:space="preserve">To explore how the quality of romantic relationships supports desistance from sexual offending. </w:t>
            </w:r>
          </w:p>
          <w:p w14:paraId="02965549" w14:textId="77777777" w:rsidR="004311FE" w:rsidRPr="007A0F4B" w:rsidRDefault="004311FE" w:rsidP="00292616">
            <w:pPr>
              <w:ind w:firstLine="0"/>
            </w:pPr>
          </w:p>
        </w:tc>
        <w:tc>
          <w:tcPr>
            <w:tcW w:w="5798" w:type="dxa"/>
            <w:noWrap/>
          </w:tcPr>
          <w:p w14:paraId="5C5287B1" w14:textId="77777777" w:rsidR="004311FE" w:rsidRPr="007A0F4B" w:rsidRDefault="004311FE" w:rsidP="00292616">
            <w:pPr>
              <w:ind w:firstLine="0"/>
            </w:pPr>
            <w:r w:rsidRPr="007A0F4B">
              <w:t xml:space="preserve">The nature of the support from romantic relationships depended upon the relationship's timing. Relationships that continued from </w:t>
            </w:r>
            <w:proofErr w:type="spellStart"/>
            <w:r w:rsidRPr="007A0F4B">
              <w:t>preconviction</w:t>
            </w:r>
            <w:proofErr w:type="spellEnd"/>
            <w:r w:rsidRPr="007A0F4B">
              <w:t xml:space="preserve"> led to a sense of redemption that individuals could navigate to a new prosocial identity. Relationships that commenced postconviction provided support to manage stigma, the criminal justice system, support to maintain a positive self-image and a chance to experience better relationships. All relationships offered uniformity and acceptance. </w:t>
            </w:r>
          </w:p>
        </w:tc>
      </w:tr>
      <w:tr w:rsidR="004311FE" w:rsidRPr="007A0F4B" w14:paraId="1E62A50A" w14:textId="77777777" w:rsidTr="00292616">
        <w:trPr>
          <w:trHeight w:val="288"/>
        </w:trPr>
        <w:tc>
          <w:tcPr>
            <w:tcW w:w="1375" w:type="dxa"/>
            <w:noWrap/>
            <w:hideMark/>
          </w:tcPr>
          <w:p w14:paraId="75F73727" w14:textId="2A6E3157" w:rsidR="004311FE" w:rsidRPr="007A0F4B" w:rsidRDefault="006E74F3" w:rsidP="00292616">
            <w:pPr>
              <w:ind w:firstLine="0"/>
            </w:pPr>
            <w:r>
              <w:t xml:space="preserve">N. </w:t>
            </w:r>
            <w:r w:rsidR="004311FE" w:rsidRPr="007A0F4B">
              <w:t xml:space="preserve">Mann et al. (2019) </w:t>
            </w:r>
          </w:p>
        </w:tc>
        <w:tc>
          <w:tcPr>
            <w:tcW w:w="1134" w:type="dxa"/>
            <w:noWrap/>
          </w:tcPr>
          <w:p w14:paraId="280BCC2E" w14:textId="77777777" w:rsidR="004311FE" w:rsidRPr="007A0F4B" w:rsidRDefault="004311FE" w:rsidP="00292616">
            <w:pPr>
              <w:ind w:firstLine="0"/>
            </w:pPr>
            <w:r w:rsidRPr="007A0F4B">
              <w:t xml:space="preserve">Journal Article </w:t>
            </w:r>
          </w:p>
        </w:tc>
        <w:tc>
          <w:tcPr>
            <w:tcW w:w="5103" w:type="dxa"/>
            <w:noWrap/>
          </w:tcPr>
          <w:p w14:paraId="67A4C1AC" w14:textId="77777777" w:rsidR="004311FE" w:rsidRPr="007A0F4B" w:rsidRDefault="004311FE" w:rsidP="00292616">
            <w:pPr>
              <w:ind w:firstLine="0"/>
            </w:pPr>
            <w:r w:rsidRPr="007A0F4B">
              <w:t xml:space="preserve">To understand how individuals convicted of sexual offences navigate the barriers brought about by formal and informal control mechanisms </w:t>
            </w:r>
            <w:r w:rsidRPr="007A0F4B">
              <w:lastRenderedPageBreak/>
              <w:t xml:space="preserve">from sexual offence-specific legislation and the impact of these on desistance processes. </w:t>
            </w:r>
          </w:p>
          <w:p w14:paraId="36A6CFD5" w14:textId="77777777" w:rsidR="004311FE" w:rsidRPr="007A0F4B" w:rsidRDefault="004311FE" w:rsidP="00292616">
            <w:pPr>
              <w:ind w:firstLine="0"/>
            </w:pPr>
          </w:p>
        </w:tc>
        <w:tc>
          <w:tcPr>
            <w:tcW w:w="5798" w:type="dxa"/>
            <w:noWrap/>
          </w:tcPr>
          <w:p w14:paraId="387FEAE2" w14:textId="77777777" w:rsidR="004311FE" w:rsidRPr="007A0F4B" w:rsidRDefault="004311FE" w:rsidP="00292616">
            <w:pPr>
              <w:ind w:firstLine="0"/>
            </w:pPr>
            <w:r w:rsidRPr="007A0F4B">
              <w:lastRenderedPageBreak/>
              <w:t xml:space="preserve">When a " welfare " and personal approach was adopted, participants felt able to access support and </w:t>
            </w:r>
            <w:proofErr w:type="gramStart"/>
            <w:r w:rsidRPr="007A0F4B">
              <w:t>make desistance-oriented</w:t>
            </w:r>
            <w:proofErr w:type="gramEnd"/>
            <w:r w:rsidRPr="007A0F4B">
              <w:t xml:space="preserve"> interpersonal changes. Participants </w:t>
            </w:r>
            <w:r w:rsidRPr="007A0F4B">
              <w:lastRenderedPageBreak/>
              <w:t xml:space="preserve">who received a “surveillance” approach found this to undermine their opportunities for support, such as access to family, which would have otherwise supported their desistance. </w:t>
            </w:r>
          </w:p>
        </w:tc>
      </w:tr>
      <w:tr w:rsidR="004311FE" w:rsidRPr="007A0F4B" w14:paraId="2AAA2A39" w14:textId="77777777" w:rsidTr="00292616">
        <w:trPr>
          <w:trHeight w:val="288"/>
        </w:trPr>
        <w:tc>
          <w:tcPr>
            <w:tcW w:w="1375" w:type="dxa"/>
            <w:noWrap/>
            <w:hideMark/>
          </w:tcPr>
          <w:p w14:paraId="4962284E" w14:textId="77777777" w:rsidR="004311FE" w:rsidRPr="007A0F4B" w:rsidRDefault="004311FE" w:rsidP="00292616">
            <w:pPr>
              <w:ind w:firstLine="0"/>
            </w:pPr>
            <w:r w:rsidRPr="007A0F4B">
              <w:lastRenderedPageBreak/>
              <w:t>McAlinden et al. (2017)</w:t>
            </w:r>
          </w:p>
        </w:tc>
        <w:tc>
          <w:tcPr>
            <w:tcW w:w="1134" w:type="dxa"/>
            <w:noWrap/>
          </w:tcPr>
          <w:p w14:paraId="55B1109A" w14:textId="77777777" w:rsidR="004311FE" w:rsidRPr="007A0F4B" w:rsidRDefault="004311FE" w:rsidP="00292616">
            <w:pPr>
              <w:ind w:firstLine="0"/>
            </w:pPr>
            <w:r w:rsidRPr="007A0F4B">
              <w:t xml:space="preserve">Journal Article </w:t>
            </w:r>
          </w:p>
        </w:tc>
        <w:tc>
          <w:tcPr>
            <w:tcW w:w="5103" w:type="dxa"/>
            <w:noWrap/>
          </w:tcPr>
          <w:p w14:paraId="04D6BCBD" w14:textId="77777777" w:rsidR="004311FE" w:rsidRPr="007A0F4B" w:rsidRDefault="004311FE" w:rsidP="00292616">
            <w:pPr>
              <w:ind w:firstLine="0"/>
            </w:pPr>
            <w:r w:rsidRPr="007A0F4B">
              <w:t xml:space="preserve">To understand the role that informal social controls (employment and relationships) and cognitive changes (seeing future selves) have in supporting desistance from sexual offending. </w:t>
            </w:r>
          </w:p>
        </w:tc>
        <w:tc>
          <w:tcPr>
            <w:tcW w:w="5798" w:type="dxa"/>
            <w:noWrap/>
          </w:tcPr>
          <w:p w14:paraId="3D135B81" w14:textId="77777777" w:rsidR="004311FE" w:rsidRPr="007A0F4B" w:rsidRDefault="004311FE" w:rsidP="00292616">
            <w:pPr>
              <w:ind w:firstLine="0"/>
            </w:pPr>
            <w:r w:rsidRPr="007A0F4B">
              <w:t xml:space="preserve">Identity changes were evident in participants who were desisting. Relationships and work were perceived as key to the development of a new future self. </w:t>
            </w:r>
          </w:p>
        </w:tc>
      </w:tr>
      <w:tr w:rsidR="004311FE" w:rsidRPr="007A0F4B" w14:paraId="260626AB" w14:textId="77777777" w:rsidTr="00292616">
        <w:trPr>
          <w:trHeight w:val="288"/>
        </w:trPr>
        <w:tc>
          <w:tcPr>
            <w:tcW w:w="1375" w:type="dxa"/>
            <w:noWrap/>
            <w:hideMark/>
          </w:tcPr>
          <w:p w14:paraId="5D2295B0" w14:textId="77777777" w:rsidR="004311FE" w:rsidRPr="007A0F4B" w:rsidRDefault="004311FE" w:rsidP="00292616">
            <w:pPr>
              <w:ind w:firstLine="0"/>
            </w:pPr>
            <w:r w:rsidRPr="007A0F4B">
              <w:t xml:space="preserve">Milner (2017) </w:t>
            </w:r>
          </w:p>
        </w:tc>
        <w:tc>
          <w:tcPr>
            <w:tcW w:w="1134" w:type="dxa"/>
            <w:noWrap/>
          </w:tcPr>
          <w:p w14:paraId="12D557A2" w14:textId="77777777" w:rsidR="004311FE" w:rsidRPr="007A0F4B" w:rsidRDefault="004311FE" w:rsidP="00292616">
            <w:pPr>
              <w:ind w:firstLine="0"/>
            </w:pPr>
            <w:r w:rsidRPr="007A0F4B">
              <w:t>Thesis</w:t>
            </w:r>
          </w:p>
        </w:tc>
        <w:tc>
          <w:tcPr>
            <w:tcW w:w="5103" w:type="dxa"/>
            <w:noWrap/>
          </w:tcPr>
          <w:p w14:paraId="1D8F9B66" w14:textId="77777777" w:rsidR="004311FE" w:rsidRPr="007A0F4B" w:rsidRDefault="004311FE" w:rsidP="00292616">
            <w:pPr>
              <w:ind w:firstLine="0"/>
            </w:pPr>
            <w:r w:rsidRPr="007A0F4B">
              <w:t xml:space="preserve">To explore the early stages of desistance from sexual offending (within the first two years), how individuals manage their sexual interests, and consider the relevance of extant desistance theory with a particular focus on identity change. </w:t>
            </w:r>
          </w:p>
          <w:p w14:paraId="29495EB7" w14:textId="77777777" w:rsidR="004311FE" w:rsidRPr="007A0F4B" w:rsidRDefault="004311FE" w:rsidP="00292616">
            <w:pPr>
              <w:ind w:firstLine="0"/>
            </w:pPr>
          </w:p>
        </w:tc>
        <w:tc>
          <w:tcPr>
            <w:tcW w:w="5798" w:type="dxa"/>
            <w:noWrap/>
          </w:tcPr>
          <w:p w14:paraId="7EC350F8" w14:textId="77777777" w:rsidR="004311FE" w:rsidRPr="007A0F4B" w:rsidRDefault="004311FE" w:rsidP="00292616">
            <w:pPr>
              <w:ind w:firstLine="0"/>
            </w:pPr>
            <w:r w:rsidRPr="007A0F4B">
              <w:t xml:space="preserve">The early stages of desistance were broadly encapsulated into three groups that represented low, medium and high scores on measures related to hope, social connectedness, and locus of control. Processes identified as most important for desistance were high levels of hope, optimism and an internal locus of control. </w:t>
            </w:r>
          </w:p>
        </w:tc>
      </w:tr>
      <w:tr w:rsidR="004311FE" w:rsidRPr="007A0F4B" w14:paraId="1C72142F" w14:textId="77777777" w:rsidTr="00292616">
        <w:trPr>
          <w:trHeight w:val="288"/>
        </w:trPr>
        <w:tc>
          <w:tcPr>
            <w:tcW w:w="1375" w:type="dxa"/>
            <w:noWrap/>
            <w:hideMark/>
          </w:tcPr>
          <w:p w14:paraId="5506293D" w14:textId="77777777" w:rsidR="004311FE" w:rsidRPr="007A0F4B" w:rsidRDefault="004311FE" w:rsidP="00292616">
            <w:pPr>
              <w:ind w:firstLine="0"/>
            </w:pPr>
            <w:r w:rsidRPr="007A0F4B">
              <w:t xml:space="preserve">Richards (2020) </w:t>
            </w:r>
          </w:p>
        </w:tc>
        <w:tc>
          <w:tcPr>
            <w:tcW w:w="1134" w:type="dxa"/>
            <w:noWrap/>
          </w:tcPr>
          <w:p w14:paraId="6868EF0F" w14:textId="77777777" w:rsidR="004311FE" w:rsidRPr="007A0F4B" w:rsidRDefault="004311FE" w:rsidP="00292616">
            <w:pPr>
              <w:ind w:firstLine="0"/>
            </w:pPr>
            <w:r w:rsidRPr="007A0F4B">
              <w:t xml:space="preserve">Journal Article </w:t>
            </w:r>
          </w:p>
        </w:tc>
        <w:tc>
          <w:tcPr>
            <w:tcW w:w="5103" w:type="dxa"/>
            <w:noWrap/>
          </w:tcPr>
          <w:p w14:paraId="1CA813DA" w14:textId="77777777" w:rsidR="004311FE" w:rsidRPr="007A0F4B" w:rsidRDefault="004311FE" w:rsidP="00292616">
            <w:pPr>
              <w:ind w:firstLine="0"/>
            </w:pPr>
            <w:r w:rsidRPr="007A0F4B">
              <w:t>To examine participants’ understandings of their desistance from sexual offending and what role Circles had in this.</w:t>
            </w:r>
          </w:p>
          <w:p w14:paraId="770E6044" w14:textId="77777777" w:rsidR="004311FE" w:rsidRPr="007A0F4B" w:rsidRDefault="004311FE" w:rsidP="00292616">
            <w:pPr>
              <w:ind w:firstLine="0"/>
            </w:pPr>
          </w:p>
        </w:tc>
        <w:tc>
          <w:tcPr>
            <w:tcW w:w="5798" w:type="dxa"/>
            <w:noWrap/>
          </w:tcPr>
          <w:p w14:paraId="7D901B3E" w14:textId="77777777" w:rsidR="004311FE" w:rsidRPr="007A0F4B" w:rsidRDefault="004311FE" w:rsidP="00292616">
            <w:pPr>
              <w:ind w:firstLine="0"/>
            </w:pPr>
            <w:r w:rsidRPr="007A0F4B">
              <w:t xml:space="preserve">The social relations that result from Circles were essential to their operation and effectiveness. The social relations formed within circles shape action and support the production of desisting identities. </w:t>
            </w:r>
          </w:p>
        </w:tc>
      </w:tr>
      <w:tr w:rsidR="004311FE" w:rsidRPr="007A0F4B" w14:paraId="4D5FDEA4" w14:textId="77777777" w:rsidTr="00292616">
        <w:trPr>
          <w:trHeight w:val="288"/>
        </w:trPr>
        <w:tc>
          <w:tcPr>
            <w:tcW w:w="1375" w:type="dxa"/>
            <w:noWrap/>
            <w:hideMark/>
          </w:tcPr>
          <w:p w14:paraId="5F7D0FE3" w14:textId="77777777" w:rsidR="004311FE" w:rsidRPr="007A0F4B" w:rsidRDefault="004311FE" w:rsidP="00292616">
            <w:pPr>
              <w:ind w:firstLine="0"/>
            </w:pPr>
            <w:r w:rsidRPr="007A0F4B">
              <w:t>Richards et al. (2020)</w:t>
            </w:r>
          </w:p>
        </w:tc>
        <w:tc>
          <w:tcPr>
            <w:tcW w:w="1134" w:type="dxa"/>
            <w:noWrap/>
          </w:tcPr>
          <w:p w14:paraId="5BD755E0" w14:textId="77777777" w:rsidR="004311FE" w:rsidRPr="007A0F4B" w:rsidRDefault="004311FE" w:rsidP="00292616">
            <w:pPr>
              <w:ind w:firstLine="0"/>
            </w:pPr>
            <w:r w:rsidRPr="007A0F4B">
              <w:t xml:space="preserve">Journal Article </w:t>
            </w:r>
          </w:p>
        </w:tc>
        <w:tc>
          <w:tcPr>
            <w:tcW w:w="5103" w:type="dxa"/>
            <w:noWrap/>
          </w:tcPr>
          <w:p w14:paraId="6F06471E" w14:textId="5091B150" w:rsidR="004311FE" w:rsidRPr="007A0F4B" w:rsidRDefault="004311FE" w:rsidP="00292616">
            <w:pPr>
              <w:ind w:firstLine="0"/>
            </w:pPr>
            <w:r w:rsidRPr="007A0F4B">
              <w:t xml:space="preserve">To examine how the cultural mentoring </w:t>
            </w:r>
            <w:r w:rsidR="007A0F4B" w:rsidRPr="007A0F4B">
              <w:t>program</w:t>
            </w:r>
            <w:r w:rsidRPr="007A0F4B">
              <w:t xml:space="preserve"> supported self-narratives and identity shifts to a future law-abiding self. </w:t>
            </w:r>
          </w:p>
        </w:tc>
        <w:tc>
          <w:tcPr>
            <w:tcW w:w="5798" w:type="dxa"/>
            <w:noWrap/>
          </w:tcPr>
          <w:p w14:paraId="5EE33472" w14:textId="77777777" w:rsidR="004311FE" w:rsidRPr="007A0F4B" w:rsidRDefault="004311FE" w:rsidP="00292616">
            <w:pPr>
              <w:ind w:firstLine="0"/>
            </w:pPr>
            <w:r w:rsidRPr="007A0F4B">
              <w:t xml:space="preserve">Redemption scripts were evident in the men's narratives; they reflected their cultural true selves and cultural goals. Narratives ascribed external and collective forces as impacting desistance rather than presenting with an individualistic lens. </w:t>
            </w:r>
          </w:p>
        </w:tc>
      </w:tr>
      <w:tr w:rsidR="004311FE" w:rsidRPr="007A0F4B" w14:paraId="606267D9" w14:textId="77777777" w:rsidTr="00292616">
        <w:trPr>
          <w:trHeight w:val="288"/>
        </w:trPr>
        <w:tc>
          <w:tcPr>
            <w:tcW w:w="1375" w:type="dxa"/>
            <w:noWrap/>
            <w:hideMark/>
          </w:tcPr>
          <w:p w14:paraId="71ED22A0" w14:textId="77777777" w:rsidR="004311FE" w:rsidRPr="007A0F4B" w:rsidRDefault="004311FE" w:rsidP="00292616">
            <w:pPr>
              <w:ind w:firstLine="0"/>
            </w:pPr>
            <w:r w:rsidRPr="007A0F4B">
              <w:t xml:space="preserve">Sample et al. (2018) </w:t>
            </w:r>
          </w:p>
        </w:tc>
        <w:tc>
          <w:tcPr>
            <w:tcW w:w="1134" w:type="dxa"/>
            <w:noWrap/>
          </w:tcPr>
          <w:p w14:paraId="3156474A" w14:textId="77777777" w:rsidR="004311FE" w:rsidRPr="007A0F4B" w:rsidRDefault="004311FE" w:rsidP="00292616">
            <w:pPr>
              <w:ind w:firstLine="0"/>
            </w:pPr>
            <w:r w:rsidRPr="007A0F4B">
              <w:t xml:space="preserve">Journal Article </w:t>
            </w:r>
          </w:p>
        </w:tc>
        <w:tc>
          <w:tcPr>
            <w:tcW w:w="5103" w:type="dxa"/>
            <w:noWrap/>
          </w:tcPr>
          <w:p w14:paraId="55F9C2C4" w14:textId="77777777" w:rsidR="004311FE" w:rsidRPr="007A0F4B" w:rsidRDefault="004311FE" w:rsidP="00292616">
            <w:pPr>
              <w:ind w:firstLine="0"/>
            </w:pPr>
            <w:r w:rsidRPr="007A0F4B">
              <w:t xml:space="preserve">To understand how a peer-to-peer social support group operates to support registered individuals and their families, navigate stigma and labelling effects, maintain well-being and contribute to society. </w:t>
            </w:r>
          </w:p>
        </w:tc>
        <w:tc>
          <w:tcPr>
            <w:tcW w:w="5798" w:type="dxa"/>
            <w:noWrap/>
          </w:tcPr>
          <w:p w14:paraId="69B1ADB8" w14:textId="77777777" w:rsidR="004311FE" w:rsidRPr="007A0F4B" w:rsidRDefault="004311FE" w:rsidP="00292616">
            <w:pPr>
              <w:ind w:firstLine="0"/>
            </w:pPr>
            <w:r w:rsidRPr="007A0F4B">
              <w:t xml:space="preserve">Fearless provides a safe and nonjudgmental space to share, discuss difficult topics, seek support and develop friendships. Several quality-of-life indicators (friendships, employment, self-confidence) increased, and stress and isolation decreased. </w:t>
            </w:r>
          </w:p>
        </w:tc>
      </w:tr>
      <w:tr w:rsidR="004311FE" w:rsidRPr="007A0F4B" w14:paraId="059C295C" w14:textId="77777777" w:rsidTr="00292616">
        <w:trPr>
          <w:trHeight w:val="288"/>
        </w:trPr>
        <w:tc>
          <w:tcPr>
            <w:tcW w:w="1375" w:type="dxa"/>
            <w:noWrap/>
            <w:hideMark/>
          </w:tcPr>
          <w:p w14:paraId="3A36E146" w14:textId="77777777" w:rsidR="004311FE" w:rsidRPr="007A0F4B" w:rsidRDefault="004311FE" w:rsidP="00292616">
            <w:pPr>
              <w:ind w:firstLine="0"/>
            </w:pPr>
            <w:r w:rsidRPr="007A0F4B">
              <w:t xml:space="preserve">Scoones et </w:t>
            </w:r>
            <w:r w:rsidRPr="007A0F4B">
              <w:lastRenderedPageBreak/>
              <w:t>al. (2012)</w:t>
            </w:r>
          </w:p>
        </w:tc>
        <w:tc>
          <w:tcPr>
            <w:tcW w:w="1134" w:type="dxa"/>
            <w:noWrap/>
          </w:tcPr>
          <w:p w14:paraId="666D146B" w14:textId="77777777" w:rsidR="004311FE" w:rsidRPr="007A0F4B" w:rsidRDefault="004311FE" w:rsidP="00292616">
            <w:pPr>
              <w:ind w:firstLine="0"/>
            </w:pPr>
            <w:r w:rsidRPr="007A0F4B">
              <w:lastRenderedPageBreak/>
              <w:t xml:space="preserve">Journal </w:t>
            </w:r>
            <w:r w:rsidRPr="007A0F4B">
              <w:lastRenderedPageBreak/>
              <w:t xml:space="preserve">Article </w:t>
            </w:r>
          </w:p>
        </w:tc>
        <w:tc>
          <w:tcPr>
            <w:tcW w:w="5103" w:type="dxa"/>
            <w:noWrap/>
          </w:tcPr>
          <w:p w14:paraId="01B52C7C" w14:textId="77777777" w:rsidR="004311FE" w:rsidRPr="007A0F4B" w:rsidRDefault="004311FE" w:rsidP="00292616">
            <w:pPr>
              <w:ind w:firstLine="0"/>
            </w:pPr>
            <w:r w:rsidRPr="007A0F4B">
              <w:lastRenderedPageBreak/>
              <w:t xml:space="preserve">To examine the role of release planning in </w:t>
            </w:r>
            <w:r w:rsidRPr="007A0F4B">
              <w:lastRenderedPageBreak/>
              <w:t>supporting reduced recidivism (alongside the relative contributions of static and dynamic risk) for individuals convicted of sexual offences.</w:t>
            </w:r>
          </w:p>
        </w:tc>
        <w:tc>
          <w:tcPr>
            <w:tcW w:w="5798" w:type="dxa"/>
            <w:noWrap/>
          </w:tcPr>
          <w:p w14:paraId="1E783BD5" w14:textId="77777777" w:rsidR="004311FE" w:rsidRPr="007A0F4B" w:rsidRDefault="004311FE" w:rsidP="00292616">
            <w:pPr>
              <w:ind w:firstLine="0"/>
            </w:pPr>
            <w:r w:rsidRPr="007A0F4B">
              <w:lastRenderedPageBreak/>
              <w:t xml:space="preserve">Assessment of release planning increased predictive </w:t>
            </w:r>
            <w:r w:rsidRPr="007A0F4B">
              <w:lastRenderedPageBreak/>
              <w:t xml:space="preserve">accuracy for recidivism beyond static and dynamic risk measures. </w:t>
            </w:r>
          </w:p>
        </w:tc>
      </w:tr>
      <w:tr w:rsidR="004311FE" w:rsidRPr="007A0F4B" w14:paraId="6C57CDB2" w14:textId="77777777" w:rsidTr="00292616">
        <w:trPr>
          <w:trHeight w:val="288"/>
        </w:trPr>
        <w:tc>
          <w:tcPr>
            <w:tcW w:w="1375" w:type="dxa"/>
            <w:noWrap/>
            <w:hideMark/>
          </w:tcPr>
          <w:p w14:paraId="52EB63C5" w14:textId="77777777" w:rsidR="004311FE" w:rsidRPr="007A0F4B" w:rsidRDefault="004311FE" w:rsidP="00292616">
            <w:pPr>
              <w:ind w:firstLine="0"/>
            </w:pPr>
            <w:r w:rsidRPr="007A0F4B">
              <w:lastRenderedPageBreak/>
              <w:t xml:space="preserve">Sowden &amp; Olver (2017) </w:t>
            </w:r>
          </w:p>
        </w:tc>
        <w:tc>
          <w:tcPr>
            <w:tcW w:w="1134" w:type="dxa"/>
            <w:noWrap/>
          </w:tcPr>
          <w:p w14:paraId="2B5F62FF" w14:textId="77777777" w:rsidR="004311FE" w:rsidRPr="007A0F4B" w:rsidRDefault="004311FE" w:rsidP="00292616">
            <w:pPr>
              <w:ind w:firstLine="0"/>
            </w:pPr>
            <w:r w:rsidRPr="007A0F4B">
              <w:t xml:space="preserve">Journal Article </w:t>
            </w:r>
          </w:p>
        </w:tc>
        <w:tc>
          <w:tcPr>
            <w:tcW w:w="5103" w:type="dxa"/>
            <w:noWrap/>
          </w:tcPr>
          <w:p w14:paraId="05658FBB" w14:textId="77777777" w:rsidR="004311FE" w:rsidRPr="007A0F4B" w:rsidRDefault="004311FE" w:rsidP="00292616">
            <w:pPr>
              <w:ind w:firstLine="0"/>
            </w:pPr>
            <w:r w:rsidRPr="007A0F4B">
              <w:t xml:space="preserve">To examine the role of clinician-rated client treatment variables in treatment retention and recidivism for individuals seeking sexual offence-specific treatment. </w:t>
            </w:r>
          </w:p>
        </w:tc>
        <w:tc>
          <w:tcPr>
            <w:tcW w:w="5798" w:type="dxa"/>
            <w:noWrap/>
          </w:tcPr>
          <w:p w14:paraId="2447AA2A" w14:textId="03C529B3" w:rsidR="004311FE" w:rsidRPr="007A0F4B" w:rsidRDefault="004311FE" w:rsidP="00292616">
            <w:pPr>
              <w:ind w:firstLine="0"/>
            </w:pPr>
            <w:r w:rsidRPr="007A0F4B">
              <w:t xml:space="preserve">Treatment completion was associated with engagement in treatment and “constructive” treatment </w:t>
            </w:r>
            <w:r w:rsidR="007A0F4B" w:rsidRPr="007A0F4B">
              <w:t>behavior</w:t>
            </w:r>
            <w:r w:rsidRPr="007A0F4B">
              <w:t xml:space="preserve">, regardless of assessed risk or criminogenic need. </w:t>
            </w:r>
          </w:p>
        </w:tc>
      </w:tr>
      <w:tr w:rsidR="004311FE" w:rsidRPr="007A0F4B" w14:paraId="369963F6" w14:textId="77777777" w:rsidTr="00292616">
        <w:trPr>
          <w:trHeight w:val="288"/>
        </w:trPr>
        <w:tc>
          <w:tcPr>
            <w:tcW w:w="1375" w:type="dxa"/>
            <w:noWrap/>
            <w:hideMark/>
          </w:tcPr>
          <w:p w14:paraId="7F7B0798" w14:textId="77777777" w:rsidR="004311FE" w:rsidRPr="007A0F4B" w:rsidRDefault="004311FE" w:rsidP="00292616">
            <w:pPr>
              <w:ind w:firstLine="0"/>
            </w:pPr>
            <w:r w:rsidRPr="007A0F4B">
              <w:t xml:space="preserve">Stansfield et al. (2019) </w:t>
            </w:r>
          </w:p>
        </w:tc>
        <w:tc>
          <w:tcPr>
            <w:tcW w:w="1134" w:type="dxa"/>
            <w:noWrap/>
          </w:tcPr>
          <w:p w14:paraId="2DDF3BA5" w14:textId="77777777" w:rsidR="004311FE" w:rsidRPr="007A0F4B" w:rsidRDefault="004311FE" w:rsidP="00292616">
            <w:pPr>
              <w:ind w:firstLine="0"/>
            </w:pPr>
            <w:r w:rsidRPr="007A0F4B">
              <w:t xml:space="preserve">Journal Article </w:t>
            </w:r>
          </w:p>
        </w:tc>
        <w:tc>
          <w:tcPr>
            <w:tcW w:w="5103" w:type="dxa"/>
            <w:noWrap/>
          </w:tcPr>
          <w:p w14:paraId="67FFF24B" w14:textId="77777777" w:rsidR="004311FE" w:rsidRPr="007A0F4B" w:rsidRDefault="004311FE" w:rsidP="00292616">
            <w:pPr>
              <w:ind w:firstLine="0"/>
            </w:pPr>
            <w:r w:rsidRPr="007A0F4B">
              <w:t xml:space="preserve">To examine whether participation in humanist, spiritual and religious services, religious orientation, and problem-solving style is associated with reduced recidivism. </w:t>
            </w:r>
          </w:p>
        </w:tc>
        <w:tc>
          <w:tcPr>
            <w:tcW w:w="5798" w:type="dxa"/>
            <w:noWrap/>
          </w:tcPr>
          <w:p w14:paraId="60FF20C7" w14:textId="77777777" w:rsidR="004311FE" w:rsidRPr="007A0F4B" w:rsidRDefault="004311FE" w:rsidP="00292616">
            <w:pPr>
              <w:ind w:firstLine="0"/>
            </w:pPr>
            <w:r w:rsidRPr="007A0F4B">
              <w:t xml:space="preserve">Participation in religious or spiritual services may support reintegration and reduce recidivism. Engagement with humanist, spiritual, and religious services provided social support and connection with others who see their worth outside of their offence. </w:t>
            </w:r>
          </w:p>
        </w:tc>
      </w:tr>
      <w:tr w:rsidR="004311FE" w:rsidRPr="007A0F4B" w14:paraId="4D5384BB" w14:textId="77777777" w:rsidTr="00292616">
        <w:trPr>
          <w:trHeight w:val="288"/>
        </w:trPr>
        <w:tc>
          <w:tcPr>
            <w:tcW w:w="1375" w:type="dxa"/>
            <w:noWrap/>
            <w:hideMark/>
          </w:tcPr>
          <w:p w14:paraId="359C9CE6" w14:textId="77777777" w:rsidR="004311FE" w:rsidRPr="007A0F4B" w:rsidRDefault="004311FE" w:rsidP="00292616">
            <w:pPr>
              <w:ind w:firstLine="0"/>
            </w:pPr>
            <w:r w:rsidRPr="007A0F4B">
              <w:t xml:space="preserve">ten Bensel, &amp; Sample (2017) </w:t>
            </w:r>
          </w:p>
        </w:tc>
        <w:tc>
          <w:tcPr>
            <w:tcW w:w="1134" w:type="dxa"/>
            <w:noWrap/>
          </w:tcPr>
          <w:p w14:paraId="543BF6CD" w14:textId="77777777" w:rsidR="004311FE" w:rsidRPr="007A0F4B" w:rsidRDefault="004311FE" w:rsidP="00292616">
            <w:pPr>
              <w:ind w:firstLine="0"/>
            </w:pPr>
            <w:r w:rsidRPr="007A0F4B">
              <w:t xml:space="preserve">Journal Article </w:t>
            </w:r>
          </w:p>
        </w:tc>
        <w:tc>
          <w:tcPr>
            <w:tcW w:w="5103" w:type="dxa"/>
            <w:noWrap/>
          </w:tcPr>
          <w:p w14:paraId="1B77E8BF" w14:textId="77777777" w:rsidR="004311FE" w:rsidRPr="007A0F4B" w:rsidRDefault="004311FE" w:rsidP="00292616">
            <w:pPr>
              <w:ind w:firstLine="0"/>
            </w:pPr>
            <w:r w:rsidRPr="007A0F4B">
              <w:t>To understand the impact that public sex offender registries have on social connections and serve as a way for registered individuals to seek support.</w:t>
            </w:r>
          </w:p>
        </w:tc>
        <w:tc>
          <w:tcPr>
            <w:tcW w:w="5798" w:type="dxa"/>
            <w:noWrap/>
          </w:tcPr>
          <w:p w14:paraId="6228ABCB" w14:textId="77777777" w:rsidR="004311FE" w:rsidRPr="007A0F4B" w:rsidRDefault="004311FE" w:rsidP="00292616">
            <w:pPr>
              <w:ind w:firstLine="0"/>
            </w:pPr>
            <w:r w:rsidRPr="007A0F4B">
              <w:t>All 112 participants subject to public registers reported a sense of collective identity. They could share and feel a sense of community and connectedness, thus creating a sense of social belonging.</w:t>
            </w:r>
          </w:p>
        </w:tc>
      </w:tr>
      <w:tr w:rsidR="004311FE" w:rsidRPr="007A0F4B" w14:paraId="78C05ABB" w14:textId="77777777" w:rsidTr="00292616">
        <w:trPr>
          <w:trHeight w:val="288"/>
        </w:trPr>
        <w:tc>
          <w:tcPr>
            <w:tcW w:w="1375" w:type="dxa"/>
            <w:noWrap/>
            <w:hideMark/>
          </w:tcPr>
          <w:p w14:paraId="1817C8B0" w14:textId="77777777" w:rsidR="004311FE" w:rsidRPr="007A0F4B" w:rsidRDefault="004311FE" w:rsidP="00292616">
            <w:pPr>
              <w:ind w:firstLine="0"/>
            </w:pPr>
            <w:r w:rsidRPr="007A0F4B">
              <w:t xml:space="preserve">ten Bensel &amp; Sample (2019) </w:t>
            </w:r>
          </w:p>
        </w:tc>
        <w:tc>
          <w:tcPr>
            <w:tcW w:w="1134" w:type="dxa"/>
            <w:noWrap/>
          </w:tcPr>
          <w:p w14:paraId="637AB7BD" w14:textId="77777777" w:rsidR="004311FE" w:rsidRPr="007A0F4B" w:rsidRDefault="004311FE" w:rsidP="00292616">
            <w:pPr>
              <w:ind w:firstLine="0"/>
            </w:pPr>
            <w:r w:rsidRPr="007A0F4B">
              <w:t xml:space="preserve">Journal Article </w:t>
            </w:r>
          </w:p>
        </w:tc>
        <w:tc>
          <w:tcPr>
            <w:tcW w:w="5103" w:type="dxa"/>
            <w:noWrap/>
          </w:tcPr>
          <w:p w14:paraId="75E7C983" w14:textId="77777777" w:rsidR="004311FE" w:rsidRPr="007A0F4B" w:rsidRDefault="004311FE" w:rsidP="00292616">
            <w:pPr>
              <w:ind w:firstLine="0"/>
            </w:pPr>
            <w:r w:rsidRPr="007A0F4B">
              <w:t>To explore how individuals subject to the public “sex offender” register and their families cope with social isolation and how the Internet can support social connectedness</w:t>
            </w:r>
          </w:p>
        </w:tc>
        <w:tc>
          <w:tcPr>
            <w:tcW w:w="5798" w:type="dxa"/>
            <w:noWrap/>
          </w:tcPr>
          <w:p w14:paraId="582AB075" w14:textId="77777777" w:rsidR="004311FE" w:rsidRPr="007A0F4B" w:rsidRDefault="004311FE" w:rsidP="00292616">
            <w:pPr>
              <w:ind w:firstLine="0"/>
            </w:pPr>
            <w:r w:rsidRPr="007A0F4B">
              <w:t xml:space="preserve">Internet and social media use helped to reduce some participants' feelings of isolation and worthlessness. Four broad categories were determined, ranging from isolated individuals with little to no social capital or Internet use to active users of the Internet and social media for social connection and the development of social capital. </w:t>
            </w:r>
          </w:p>
        </w:tc>
      </w:tr>
      <w:tr w:rsidR="004311FE" w:rsidRPr="007A0F4B" w14:paraId="6706B666" w14:textId="77777777" w:rsidTr="00292616">
        <w:trPr>
          <w:trHeight w:val="288"/>
        </w:trPr>
        <w:tc>
          <w:tcPr>
            <w:tcW w:w="1375" w:type="dxa"/>
            <w:noWrap/>
            <w:hideMark/>
          </w:tcPr>
          <w:p w14:paraId="0665BD29" w14:textId="77777777" w:rsidR="004311FE" w:rsidRPr="007A0F4B" w:rsidRDefault="004311FE" w:rsidP="00292616">
            <w:pPr>
              <w:ind w:firstLine="0"/>
            </w:pPr>
            <w:r w:rsidRPr="007A0F4B">
              <w:t xml:space="preserve">Walker et al. (2017) </w:t>
            </w:r>
          </w:p>
        </w:tc>
        <w:tc>
          <w:tcPr>
            <w:tcW w:w="1134" w:type="dxa"/>
            <w:noWrap/>
          </w:tcPr>
          <w:p w14:paraId="08167FE0" w14:textId="77777777" w:rsidR="004311FE" w:rsidRPr="007A0F4B" w:rsidRDefault="004311FE" w:rsidP="00292616">
            <w:pPr>
              <w:ind w:firstLine="0"/>
            </w:pPr>
            <w:r w:rsidRPr="007A0F4B">
              <w:t xml:space="preserve">Journal Article </w:t>
            </w:r>
          </w:p>
        </w:tc>
        <w:tc>
          <w:tcPr>
            <w:tcW w:w="5103" w:type="dxa"/>
            <w:noWrap/>
          </w:tcPr>
          <w:p w14:paraId="62346DC5" w14:textId="6FF3F09D" w:rsidR="004311FE" w:rsidRPr="007A0F4B" w:rsidRDefault="004311FE" w:rsidP="00292616">
            <w:pPr>
              <w:ind w:firstLine="0"/>
            </w:pPr>
            <w:r w:rsidRPr="007A0F4B">
              <w:t xml:space="preserve">To explore the role of family support on offending </w:t>
            </w:r>
            <w:r w:rsidR="007A0F4B" w:rsidRPr="007A0F4B">
              <w:t>behavior</w:t>
            </w:r>
            <w:r w:rsidRPr="007A0F4B">
              <w:t xml:space="preserve"> and desistance from sexual offending. </w:t>
            </w:r>
          </w:p>
        </w:tc>
        <w:tc>
          <w:tcPr>
            <w:tcW w:w="5798" w:type="dxa"/>
            <w:noWrap/>
          </w:tcPr>
          <w:p w14:paraId="1063FDA7" w14:textId="77777777" w:rsidR="004311FE" w:rsidRPr="007A0F4B" w:rsidRDefault="004311FE" w:rsidP="00292616">
            <w:pPr>
              <w:ind w:firstLine="0"/>
            </w:pPr>
            <w:r w:rsidRPr="007A0F4B">
              <w:t xml:space="preserve">Desistance (reduced recidivism) was associated with stronger family support. </w:t>
            </w:r>
          </w:p>
        </w:tc>
      </w:tr>
      <w:tr w:rsidR="004311FE" w:rsidRPr="007A0F4B" w14:paraId="151F5537" w14:textId="77777777" w:rsidTr="00292616">
        <w:trPr>
          <w:trHeight w:val="288"/>
        </w:trPr>
        <w:tc>
          <w:tcPr>
            <w:tcW w:w="1375" w:type="dxa"/>
            <w:noWrap/>
            <w:hideMark/>
          </w:tcPr>
          <w:p w14:paraId="079052E1" w14:textId="77777777" w:rsidR="004311FE" w:rsidRPr="007A0F4B" w:rsidRDefault="004311FE" w:rsidP="00292616">
            <w:pPr>
              <w:ind w:firstLine="0"/>
            </w:pPr>
            <w:r w:rsidRPr="007A0F4B">
              <w:t xml:space="preserve">Willis &amp; Grace (2008) </w:t>
            </w:r>
          </w:p>
        </w:tc>
        <w:tc>
          <w:tcPr>
            <w:tcW w:w="1134" w:type="dxa"/>
            <w:noWrap/>
          </w:tcPr>
          <w:p w14:paraId="46C843D3" w14:textId="77777777" w:rsidR="004311FE" w:rsidRPr="007A0F4B" w:rsidRDefault="004311FE" w:rsidP="00292616">
            <w:pPr>
              <w:ind w:firstLine="0"/>
            </w:pPr>
            <w:r w:rsidRPr="007A0F4B">
              <w:t xml:space="preserve">Journal Article </w:t>
            </w:r>
          </w:p>
        </w:tc>
        <w:tc>
          <w:tcPr>
            <w:tcW w:w="5103" w:type="dxa"/>
            <w:noWrap/>
          </w:tcPr>
          <w:p w14:paraId="0BDED770" w14:textId="77777777" w:rsidR="004311FE" w:rsidRPr="007A0F4B" w:rsidRDefault="004311FE" w:rsidP="00292616">
            <w:pPr>
              <w:ind w:firstLine="0"/>
            </w:pPr>
            <w:r w:rsidRPr="007A0F4B">
              <w:t xml:space="preserve">To determine the role of community reintegration planning in supporting reductions in sexual recidivism. </w:t>
            </w:r>
          </w:p>
        </w:tc>
        <w:tc>
          <w:tcPr>
            <w:tcW w:w="5798" w:type="dxa"/>
            <w:noWrap/>
          </w:tcPr>
          <w:p w14:paraId="7EFB98BC" w14:textId="77777777" w:rsidR="004311FE" w:rsidRPr="007A0F4B" w:rsidRDefault="004311FE" w:rsidP="00292616">
            <w:pPr>
              <w:ind w:firstLine="0"/>
            </w:pPr>
            <w:r w:rsidRPr="007A0F4B">
              <w:t>Better-quality release planning was associated with reduced recidivism, especially in the areas of accommodation, employment, and GLM secondary goods.</w:t>
            </w:r>
          </w:p>
        </w:tc>
      </w:tr>
      <w:tr w:rsidR="004311FE" w:rsidRPr="007A0F4B" w14:paraId="79EA59BD" w14:textId="77777777" w:rsidTr="00292616">
        <w:trPr>
          <w:trHeight w:val="288"/>
        </w:trPr>
        <w:tc>
          <w:tcPr>
            <w:tcW w:w="1375" w:type="dxa"/>
            <w:noWrap/>
            <w:hideMark/>
          </w:tcPr>
          <w:p w14:paraId="6E14EEA0" w14:textId="77777777" w:rsidR="004311FE" w:rsidRPr="007A0F4B" w:rsidRDefault="004311FE" w:rsidP="00292616">
            <w:pPr>
              <w:ind w:firstLine="0"/>
            </w:pPr>
            <w:r w:rsidRPr="007A0F4B">
              <w:t xml:space="preserve">Willis &amp; </w:t>
            </w:r>
            <w:r w:rsidRPr="007A0F4B">
              <w:lastRenderedPageBreak/>
              <w:t xml:space="preserve">Grace (2009) </w:t>
            </w:r>
          </w:p>
        </w:tc>
        <w:tc>
          <w:tcPr>
            <w:tcW w:w="1134" w:type="dxa"/>
            <w:noWrap/>
          </w:tcPr>
          <w:p w14:paraId="3413738D" w14:textId="77777777" w:rsidR="004311FE" w:rsidRPr="007A0F4B" w:rsidRDefault="004311FE" w:rsidP="00292616">
            <w:pPr>
              <w:ind w:firstLine="0"/>
            </w:pPr>
            <w:r w:rsidRPr="007A0F4B">
              <w:lastRenderedPageBreak/>
              <w:t xml:space="preserve">Journal </w:t>
            </w:r>
            <w:r w:rsidRPr="007A0F4B">
              <w:lastRenderedPageBreak/>
              <w:t xml:space="preserve">Article </w:t>
            </w:r>
          </w:p>
        </w:tc>
        <w:tc>
          <w:tcPr>
            <w:tcW w:w="5103" w:type="dxa"/>
            <w:noWrap/>
          </w:tcPr>
          <w:p w14:paraId="6944B2C6" w14:textId="77777777" w:rsidR="004311FE" w:rsidRPr="007A0F4B" w:rsidRDefault="004311FE" w:rsidP="00292616">
            <w:pPr>
              <w:ind w:firstLine="0"/>
            </w:pPr>
            <w:r w:rsidRPr="007A0F4B">
              <w:lastRenderedPageBreak/>
              <w:t xml:space="preserve">To determine the role of community reintegration </w:t>
            </w:r>
            <w:r w:rsidRPr="007A0F4B">
              <w:lastRenderedPageBreak/>
              <w:t xml:space="preserve">planning in supporting reductions in sexual recidivism. </w:t>
            </w:r>
          </w:p>
        </w:tc>
        <w:tc>
          <w:tcPr>
            <w:tcW w:w="5798" w:type="dxa"/>
            <w:noWrap/>
          </w:tcPr>
          <w:p w14:paraId="0B8B4BDF" w14:textId="77777777" w:rsidR="004311FE" w:rsidRPr="007A0F4B" w:rsidRDefault="004311FE" w:rsidP="00292616">
            <w:pPr>
              <w:ind w:firstLine="0"/>
            </w:pPr>
            <w:r w:rsidRPr="007A0F4B">
              <w:lastRenderedPageBreak/>
              <w:t xml:space="preserve">Findings supported prior research that better quality </w:t>
            </w:r>
            <w:r w:rsidRPr="007A0F4B">
              <w:lastRenderedPageBreak/>
              <w:t xml:space="preserve">release planning was associated with reduced recidivism. Planning for accommodation, employment, and social support resulted in the best predictive model for sexual recidivism. </w:t>
            </w:r>
          </w:p>
        </w:tc>
      </w:tr>
      <w:tr w:rsidR="004311FE" w:rsidRPr="007A0F4B" w14:paraId="238F31BB" w14:textId="77777777" w:rsidTr="00292616">
        <w:trPr>
          <w:trHeight w:val="288"/>
        </w:trPr>
        <w:tc>
          <w:tcPr>
            <w:tcW w:w="1375" w:type="dxa"/>
            <w:noWrap/>
            <w:hideMark/>
          </w:tcPr>
          <w:p w14:paraId="2E819C8D" w14:textId="77777777" w:rsidR="004311FE" w:rsidRPr="007A0F4B" w:rsidRDefault="004311FE" w:rsidP="00292616">
            <w:pPr>
              <w:ind w:firstLine="0"/>
            </w:pPr>
            <w:r w:rsidRPr="007A0F4B">
              <w:lastRenderedPageBreak/>
              <w:t xml:space="preserve">Wilson et al. (2009) </w:t>
            </w:r>
          </w:p>
        </w:tc>
        <w:tc>
          <w:tcPr>
            <w:tcW w:w="1134" w:type="dxa"/>
            <w:noWrap/>
          </w:tcPr>
          <w:p w14:paraId="3D5F8E7C" w14:textId="77777777" w:rsidR="004311FE" w:rsidRPr="007A0F4B" w:rsidRDefault="004311FE" w:rsidP="00292616">
            <w:pPr>
              <w:ind w:firstLine="0"/>
            </w:pPr>
            <w:r w:rsidRPr="007A0F4B">
              <w:t xml:space="preserve">Journal Article </w:t>
            </w:r>
          </w:p>
        </w:tc>
        <w:tc>
          <w:tcPr>
            <w:tcW w:w="5103" w:type="dxa"/>
            <w:noWrap/>
          </w:tcPr>
          <w:p w14:paraId="15EA0CE8" w14:textId="77777777" w:rsidR="004311FE" w:rsidRPr="007A0F4B" w:rsidRDefault="004311FE" w:rsidP="00292616">
            <w:pPr>
              <w:ind w:firstLine="0"/>
            </w:pPr>
            <w:r w:rsidRPr="007A0F4B">
              <w:t xml:space="preserve">To evaluate whether Circles is an effective approach to support the reintegration of individuals assessed as high risk of sexual recidivism. </w:t>
            </w:r>
          </w:p>
        </w:tc>
        <w:tc>
          <w:tcPr>
            <w:tcW w:w="5798" w:type="dxa"/>
            <w:noWrap/>
          </w:tcPr>
          <w:p w14:paraId="4EFDDC4C" w14:textId="77777777" w:rsidR="004311FE" w:rsidRPr="007A0F4B" w:rsidRDefault="004311FE" w:rsidP="00292616">
            <w:pPr>
              <w:ind w:firstLine="0"/>
            </w:pPr>
            <w:r w:rsidRPr="007A0F4B">
              <w:t xml:space="preserve">Engagement with Circles was associated with reduced rates of reoffending compared with individuals matched on risk who did not engage with a Circle. </w:t>
            </w:r>
          </w:p>
          <w:p w14:paraId="7BF93C67" w14:textId="77777777" w:rsidR="004311FE" w:rsidRPr="007A0F4B" w:rsidRDefault="004311FE" w:rsidP="00292616">
            <w:pPr>
              <w:ind w:firstLine="0"/>
            </w:pPr>
          </w:p>
        </w:tc>
      </w:tr>
      <w:tr w:rsidR="004311FE" w:rsidRPr="007A0F4B" w14:paraId="0FB742ED" w14:textId="77777777" w:rsidTr="00292616">
        <w:trPr>
          <w:trHeight w:val="288"/>
        </w:trPr>
        <w:tc>
          <w:tcPr>
            <w:tcW w:w="1375" w:type="dxa"/>
            <w:noWrap/>
            <w:hideMark/>
          </w:tcPr>
          <w:p w14:paraId="4773A594" w14:textId="77777777" w:rsidR="004311FE" w:rsidRPr="007A0F4B" w:rsidRDefault="004311FE" w:rsidP="00292616">
            <w:pPr>
              <w:ind w:firstLine="0"/>
            </w:pPr>
            <w:r w:rsidRPr="007A0F4B">
              <w:t xml:space="preserve">Wilson et al. (2007) </w:t>
            </w:r>
          </w:p>
        </w:tc>
        <w:tc>
          <w:tcPr>
            <w:tcW w:w="1134" w:type="dxa"/>
            <w:noWrap/>
          </w:tcPr>
          <w:p w14:paraId="3AA40604" w14:textId="77777777" w:rsidR="004311FE" w:rsidRPr="007A0F4B" w:rsidRDefault="004311FE" w:rsidP="00292616">
            <w:pPr>
              <w:ind w:firstLine="0"/>
            </w:pPr>
            <w:r w:rsidRPr="007A0F4B">
              <w:t xml:space="preserve">Journal Article </w:t>
            </w:r>
          </w:p>
        </w:tc>
        <w:tc>
          <w:tcPr>
            <w:tcW w:w="5103" w:type="dxa"/>
            <w:noWrap/>
          </w:tcPr>
          <w:p w14:paraId="4187ACD5" w14:textId="77777777" w:rsidR="004311FE" w:rsidRPr="007A0F4B" w:rsidRDefault="004311FE" w:rsidP="00292616">
            <w:pPr>
              <w:ind w:firstLine="0"/>
            </w:pPr>
            <w:r w:rsidRPr="007A0F4B">
              <w:t xml:space="preserve">To evaluate the effects of Circle to support the reintegration of individuals convicted of a sexual offence. </w:t>
            </w:r>
          </w:p>
        </w:tc>
        <w:tc>
          <w:tcPr>
            <w:tcW w:w="5798" w:type="dxa"/>
            <w:noWrap/>
          </w:tcPr>
          <w:p w14:paraId="0CFE3801" w14:textId="77777777" w:rsidR="004311FE" w:rsidRPr="007A0F4B" w:rsidRDefault="004311FE" w:rsidP="00292616">
            <w:pPr>
              <w:ind w:firstLine="0"/>
            </w:pPr>
            <w:r w:rsidRPr="007A0F4B">
              <w:t xml:space="preserve">Circles were associated with a 70% reduction in sexual recidivism compared to that of the matched comparison sample. Observed rates were less than one-quarter of the predicted actuarial sexual recidivism rates. </w:t>
            </w:r>
          </w:p>
        </w:tc>
      </w:tr>
      <w:tr w:rsidR="004311FE" w:rsidRPr="007A0F4B" w14:paraId="6463B975" w14:textId="77777777" w:rsidTr="00292616">
        <w:trPr>
          <w:trHeight w:val="288"/>
        </w:trPr>
        <w:tc>
          <w:tcPr>
            <w:tcW w:w="1375" w:type="dxa"/>
            <w:noWrap/>
            <w:hideMark/>
          </w:tcPr>
          <w:p w14:paraId="048F394C" w14:textId="77777777" w:rsidR="004311FE" w:rsidRPr="007A0F4B" w:rsidRDefault="004311FE" w:rsidP="00292616">
            <w:pPr>
              <w:ind w:firstLine="0"/>
            </w:pPr>
            <w:r w:rsidRPr="007A0F4B">
              <w:t xml:space="preserve">Woodward (2018) </w:t>
            </w:r>
          </w:p>
        </w:tc>
        <w:tc>
          <w:tcPr>
            <w:tcW w:w="1134" w:type="dxa"/>
            <w:noWrap/>
          </w:tcPr>
          <w:p w14:paraId="0595B8C2" w14:textId="77777777" w:rsidR="004311FE" w:rsidRPr="007A0F4B" w:rsidRDefault="004311FE" w:rsidP="00292616">
            <w:pPr>
              <w:ind w:firstLine="0"/>
            </w:pPr>
            <w:r w:rsidRPr="007A0F4B">
              <w:t>Thesis</w:t>
            </w:r>
          </w:p>
        </w:tc>
        <w:tc>
          <w:tcPr>
            <w:tcW w:w="5103" w:type="dxa"/>
            <w:noWrap/>
          </w:tcPr>
          <w:p w14:paraId="5BDD9B07" w14:textId="77777777" w:rsidR="004311FE" w:rsidRPr="007A0F4B" w:rsidRDefault="004311FE" w:rsidP="00292616">
            <w:pPr>
              <w:ind w:firstLine="0"/>
            </w:pPr>
            <w:r w:rsidRPr="007A0F4B">
              <w:t xml:space="preserve">To explore the desistance processes of individuals who have committed child sexual offences, particularly related to social processes, risk management and stigma. </w:t>
            </w:r>
          </w:p>
          <w:p w14:paraId="5F91505B" w14:textId="77777777" w:rsidR="004311FE" w:rsidRPr="007A0F4B" w:rsidRDefault="004311FE" w:rsidP="00292616">
            <w:pPr>
              <w:ind w:firstLine="0"/>
            </w:pPr>
          </w:p>
        </w:tc>
        <w:tc>
          <w:tcPr>
            <w:tcW w:w="5798" w:type="dxa"/>
            <w:noWrap/>
          </w:tcPr>
          <w:p w14:paraId="64C493B7" w14:textId="77777777" w:rsidR="004311FE" w:rsidRPr="007A0F4B" w:rsidRDefault="004311FE" w:rsidP="00292616">
            <w:pPr>
              <w:ind w:firstLine="0"/>
            </w:pPr>
            <w:r w:rsidRPr="007A0F4B">
              <w:t xml:space="preserve">A range of social processes was observed regarding how connected participants were with others, how they navigated sexual offence-specific conditions, and their willingness to risk their privacy and confidentiality when disclosing to others to negotiate stigma. Agency supported reintegration. </w:t>
            </w:r>
          </w:p>
        </w:tc>
      </w:tr>
    </w:tbl>
    <w:p w14:paraId="58DB3CB8" w14:textId="77777777" w:rsidR="004311FE" w:rsidRPr="007A0F4B" w:rsidRDefault="004311FE" w:rsidP="00401100">
      <w:pPr>
        <w:pStyle w:val="Caption"/>
        <w:ind w:firstLine="0"/>
      </w:pPr>
    </w:p>
    <w:p w14:paraId="409E0E86" w14:textId="77777777" w:rsidR="00DE5F49" w:rsidRPr="007A0F4B" w:rsidRDefault="00DE5F49" w:rsidP="00401100">
      <w:pPr>
        <w:pStyle w:val="Caption"/>
        <w:ind w:firstLine="0"/>
      </w:pPr>
    </w:p>
    <w:p w14:paraId="360B68D0" w14:textId="77777777" w:rsidR="00DE5F49" w:rsidRPr="007A0F4B" w:rsidRDefault="00DE5F49">
      <w:pPr>
        <w:widowControl/>
        <w:rPr>
          <w:b/>
          <w:bCs/>
        </w:rPr>
      </w:pPr>
      <w:r w:rsidRPr="007A0F4B">
        <w:br w:type="page"/>
      </w:r>
    </w:p>
    <w:p w14:paraId="76EB2239" w14:textId="77777777" w:rsidR="004034C0" w:rsidRDefault="004034C0" w:rsidP="00401100">
      <w:pPr>
        <w:pStyle w:val="Caption"/>
        <w:ind w:firstLine="0"/>
        <w:sectPr w:rsidR="004034C0" w:rsidSect="006A548A">
          <w:pgSz w:w="16838" w:h="11906" w:orient="landscape"/>
          <w:pgMar w:top="1440" w:right="1440" w:bottom="1440" w:left="1440" w:header="708" w:footer="708" w:gutter="0"/>
          <w:cols w:space="708"/>
          <w:docGrid w:linePitch="360"/>
        </w:sectPr>
      </w:pPr>
    </w:p>
    <w:p w14:paraId="076CFD91" w14:textId="0C28DB5B" w:rsidR="004034C0" w:rsidRDefault="00D44460" w:rsidP="00401100">
      <w:pPr>
        <w:pStyle w:val="Caption"/>
        <w:ind w:firstLine="0"/>
      </w:pPr>
      <w:r w:rsidRPr="007A0F4B">
        <w:lastRenderedPageBreak/>
        <w:t xml:space="preserve">Supplementary Material </w:t>
      </w:r>
      <w:r w:rsidR="004034C0">
        <w:t>– Quality Assessment of Included Reports</w:t>
      </w:r>
    </w:p>
    <w:p w14:paraId="3BDF0CA6" w14:textId="26A44AD3" w:rsidR="004034C0" w:rsidRPr="008D5EB7" w:rsidRDefault="004034C0" w:rsidP="004034C0">
      <w:r w:rsidRPr="00656FA0">
        <w:t>An assessment was completed of the quality of each report (</w:t>
      </w:r>
      <w:r w:rsidRPr="00656FA0">
        <w:rPr>
          <w:i/>
          <w:iCs/>
        </w:rPr>
        <w:t>N</w:t>
      </w:r>
      <w:r w:rsidRPr="00656FA0">
        <w:t xml:space="preserve"> = 44) included in the review. The consistent use of the quality assessment tool across the two raters for </w:t>
      </w:r>
      <w:r w:rsidRPr="00656FA0">
        <w:rPr>
          <w:i/>
          <w:iCs/>
        </w:rPr>
        <w:t xml:space="preserve">n = </w:t>
      </w:r>
      <w:r w:rsidRPr="00656FA0">
        <w:t xml:space="preserve">10 reports was </w:t>
      </w:r>
      <w:r w:rsidRPr="008D5EB7">
        <w:t xml:space="preserve">calculated as a percentage agreement, with an average agreement of 90.0% across all questions (see Supplementary Material Table </w:t>
      </w:r>
      <w:r w:rsidR="007B18CD" w:rsidRPr="008D5EB7">
        <w:t>4</w:t>
      </w:r>
      <w:r w:rsidRPr="008D5EB7">
        <w:t xml:space="preserve">). The lowest agreement was 60.0% for question eight. Upon closer inspection, disagreements were observed for </w:t>
      </w:r>
      <w:r w:rsidRPr="008D5EB7">
        <w:rPr>
          <w:i/>
          <w:iCs/>
        </w:rPr>
        <w:t>n</w:t>
      </w:r>
      <w:r w:rsidRPr="008D5EB7">
        <w:t xml:space="preserve"> = 5 reports between the middle anchor ‘cannot tell’ and either ‘</w:t>
      </w:r>
      <w:proofErr w:type="spellStart"/>
      <w:r w:rsidRPr="008D5EB7">
        <w:t>yes’</w:t>
      </w:r>
      <w:proofErr w:type="spellEnd"/>
      <w:r w:rsidRPr="008D5EB7">
        <w:t xml:space="preserve"> or ‘no’ (i.e., there were no instances where one rater gave a ‘</w:t>
      </w:r>
      <w:proofErr w:type="spellStart"/>
      <w:r w:rsidRPr="008D5EB7">
        <w:t>yes’</w:t>
      </w:r>
      <w:proofErr w:type="spellEnd"/>
      <w:r w:rsidRPr="008D5EB7">
        <w:t xml:space="preserve"> and the other ‘no’). As such, the lower agreement for this item was not considered problematic, and a consensus was reached through discussion. </w:t>
      </w:r>
    </w:p>
    <w:p w14:paraId="76F51B16" w14:textId="4CCE52CA" w:rsidR="004034C0" w:rsidRPr="00656FA0" w:rsidRDefault="004034C0" w:rsidP="004034C0">
      <w:r w:rsidRPr="008D5EB7">
        <w:t>Overall, the design, methods, and results for all included reports were clear and appropriate</w:t>
      </w:r>
      <w:r w:rsidR="00B97EAE" w:rsidRPr="008D5EB7">
        <w:t xml:space="preserve">, as reported in Supplementary Material, Table </w:t>
      </w:r>
      <w:r w:rsidR="007B18CD" w:rsidRPr="008D5EB7">
        <w:t>5</w:t>
      </w:r>
      <w:r w:rsidRPr="008D5EB7">
        <w:t>. As all reports were given a ‘</w:t>
      </w:r>
      <w:proofErr w:type="spellStart"/>
      <w:r w:rsidRPr="008D5EB7">
        <w:t>yes’</w:t>
      </w:r>
      <w:proofErr w:type="spellEnd"/>
      <w:r w:rsidRPr="008D5EB7">
        <w:t xml:space="preserve"> for the design and method questions, other than </w:t>
      </w:r>
      <w:r w:rsidRPr="008D5EB7">
        <w:rPr>
          <w:i/>
          <w:iCs/>
        </w:rPr>
        <w:t>n</w:t>
      </w:r>
      <w:r w:rsidRPr="008D5EB7">
        <w:t xml:space="preserve"> = 9 that were given a</w:t>
      </w:r>
      <w:r w:rsidRPr="00656FA0">
        <w:t xml:space="preserve"> ‘cannot tell’ for question four, none were excluded. For these </w:t>
      </w:r>
      <w:r w:rsidRPr="00656FA0">
        <w:rPr>
          <w:i/>
          <w:iCs/>
        </w:rPr>
        <w:t>n</w:t>
      </w:r>
      <w:r w:rsidRPr="00656FA0">
        <w:t xml:space="preserve"> = 9 reports, it was unclear whether the authors had considered and accounted for bias within their respective study designs. The primary concern highlighted from the assessment was whether the results were considered generalizable. For question eight, </w:t>
      </w:r>
      <w:r w:rsidRPr="00656FA0">
        <w:rPr>
          <w:i/>
          <w:iCs/>
        </w:rPr>
        <w:t>n</w:t>
      </w:r>
      <w:r w:rsidRPr="00656FA0">
        <w:t xml:space="preserve"> = 12, twelve reports were rated as ‘cannot tell’, and </w:t>
      </w:r>
      <w:r w:rsidRPr="00656FA0">
        <w:rPr>
          <w:i/>
          <w:iCs/>
        </w:rPr>
        <w:t>n</w:t>
      </w:r>
      <w:r w:rsidRPr="00656FA0">
        <w:t xml:space="preserve"> = 18 were rated as a ‘no’. Primarily, these ratings were given due to small sample sizes or study design (i.e. qualitative or retrospective without a control group), consistent with known methodological limitations in sexual reoffending research (e.g., </w:t>
      </w:r>
      <w:proofErr w:type="spellStart"/>
      <w:r w:rsidRPr="00656FA0">
        <w:t>Långström</w:t>
      </w:r>
      <w:proofErr w:type="spellEnd"/>
      <w:r w:rsidRPr="00656FA0">
        <w:t xml:space="preserve"> et al., 2013; Levenson &amp; Prescott, 2014; </w:t>
      </w:r>
      <w:proofErr w:type="spellStart"/>
      <w:r w:rsidRPr="00656FA0">
        <w:t>Lösel</w:t>
      </w:r>
      <w:proofErr w:type="spellEnd"/>
      <w:r w:rsidRPr="00656FA0">
        <w:t xml:space="preserve"> et al., 2020; Marshall &amp; Marshall, 2007). These findings reflected the nonlinear and complex process of desistance and challenges to desistance research; all studies were considered to contribute to the field despite their limitations. Further, the underrepresentation of longitudinal study designs was unsurprising given that research on desistance from sexual offending has only gained significant attention in the past decade. </w:t>
      </w:r>
    </w:p>
    <w:p w14:paraId="5B6008B7" w14:textId="7ED63F96" w:rsidR="00D44460" w:rsidRPr="007A0F4B" w:rsidRDefault="00D44460" w:rsidP="00401100">
      <w:pPr>
        <w:pStyle w:val="Caption"/>
        <w:ind w:firstLine="0"/>
      </w:pPr>
      <w:r w:rsidRPr="007A0F4B">
        <w:lastRenderedPageBreak/>
        <w:t xml:space="preserve">Table </w:t>
      </w:r>
      <w:r w:rsidR="002F703A">
        <w:t>4</w:t>
      </w:r>
    </w:p>
    <w:p w14:paraId="329DC9E7" w14:textId="77777777" w:rsidR="008E3859" w:rsidRPr="007A0F4B" w:rsidRDefault="008E3859" w:rsidP="008E3859">
      <w:pPr>
        <w:spacing w:line="240" w:lineRule="auto"/>
        <w:ind w:firstLine="0"/>
        <w:rPr>
          <w:i/>
          <w:iCs/>
        </w:rPr>
      </w:pPr>
      <w:r w:rsidRPr="007A0F4B">
        <w:rPr>
          <w:i/>
          <w:iCs/>
        </w:rPr>
        <w:t>Quality Assessment Tool Percentage Agreement Across Raters for All Items</w:t>
      </w:r>
    </w:p>
    <w:p w14:paraId="6A577A35" w14:textId="77777777" w:rsidR="008E3859" w:rsidRPr="007A0F4B" w:rsidRDefault="008E3859" w:rsidP="008E3859">
      <w:pPr>
        <w:spacing w:line="240" w:lineRule="auto"/>
        <w:ind w:firstLine="0"/>
        <w:rPr>
          <w:i/>
          <w:iC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6070"/>
        <w:gridCol w:w="1513"/>
      </w:tblGrid>
      <w:tr w:rsidR="008E3859" w:rsidRPr="007A0F4B" w14:paraId="6CD69C88" w14:textId="77777777" w:rsidTr="00C2401D">
        <w:tc>
          <w:tcPr>
            <w:tcW w:w="799" w:type="pct"/>
            <w:tcBorders>
              <w:top w:val="single" w:sz="4" w:space="0" w:color="auto"/>
              <w:bottom w:val="single" w:sz="4" w:space="0" w:color="auto"/>
            </w:tcBorders>
          </w:tcPr>
          <w:p w14:paraId="38F8348C" w14:textId="77777777" w:rsidR="008E3859" w:rsidRPr="007A0F4B" w:rsidRDefault="008E3859" w:rsidP="00C2401D">
            <w:pPr>
              <w:spacing w:line="276" w:lineRule="auto"/>
              <w:ind w:firstLine="0"/>
              <w:rPr>
                <w:b/>
                <w:bCs/>
              </w:rPr>
            </w:pPr>
            <w:r w:rsidRPr="007A0F4B">
              <w:rPr>
                <w:b/>
                <w:bCs/>
              </w:rPr>
              <w:t xml:space="preserve">Category </w:t>
            </w:r>
          </w:p>
        </w:tc>
        <w:tc>
          <w:tcPr>
            <w:tcW w:w="3363" w:type="pct"/>
            <w:tcBorders>
              <w:top w:val="single" w:sz="4" w:space="0" w:color="auto"/>
              <w:bottom w:val="single" w:sz="4" w:space="0" w:color="auto"/>
            </w:tcBorders>
          </w:tcPr>
          <w:p w14:paraId="2504AAEA" w14:textId="77777777" w:rsidR="008E3859" w:rsidRPr="007A0F4B" w:rsidRDefault="008E3859" w:rsidP="00C2401D">
            <w:pPr>
              <w:spacing w:line="276" w:lineRule="auto"/>
              <w:ind w:firstLine="0"/>
              <w:rPr>
                <w:b/>
                <w:bCs/>
              </w:rPr>
            </w:pPr>
            <w:r w:rsidRPr="007A0F4B">
              <w:rPr>
                <w:b/>
                <w:bCs/>
              </w:rPr>
              <w:t xml:space="preserve">Questions </w:t>
            </w:r>
          </w:p>
        </w:tc>
        <w:tc>
          <w:tcPr>
            <w:tcW w:w="838" w:type="pct"/>
            <w:tcBorders>
              <w:top w:val="single" w:sz="4" w:space="0" w:color="auto"/>
              <w:bottom w:val="single" w:sz="4" w:space="0" w:color="auto"/>
            </w:tcBorders>
          </w:tcPr>
          <w:p w14:paraId="3F1D947F" w14:textId="77777777" w:rsidR="008E3859" w:rsidRPr="007A0F4B" w:rsidRDefault="008E3859" w:rsidP="00C2401D">
            <w:pPr>
              <w:spacing w:line="276" w:lineRule="auto"/>
              <w:ind w:firstLine="0"/>
              <w:rPr>
                <w:b/>
                <w:bCs/>
              </w:rPr>
            </w:pPr>
            <w:r w:rsidRPr="007A0F4B">
              <w:rPr>
                <w:b/>
                <w:bCs/>
              </w:rPr>
              <w:t>Percentage Agreement*</w:t>
            </w:r>
          </w:p>
        </w:tc>
      </w:tr>
      <w:tr w:rsidR="008E3859" w:rsidRPr="007A0F4B" w14:paraId="416F73B1" w14:textId="77777777" w:rsidTr="00C2401D">
        <w:trPr>
          <w:trHeight w:val="464"/>
        </w:trPr>
        <w:tc>
          <w:tcPr>
            <w:tcW w:w="799" w:type="pct"/>
            <w:vMerge w:val="restart"/>
            <w:tcBorders>
              <w:top w:val="single" w:sz="4" w:space="0" w:color="auto"/>
            </w:tcBorders>
          </w:tcPr>
          <w:p w14:paraId="004009CB" w14:textId="77777777" w:rsidR="008E3859" w:rsidRPr="007A0F4B" w:rsidRDefault="008E3859" w:rsidP="00C2401D">
            <w:pPr>
              <w:spacing w:line="276" w:lineRule="auto"/>
              <w:ind w:firstLine="0"/>
            </w:pPr>
            <w:r w:rsidRPr="007A0F4B">
              <w:t xml:space="preserve">Design </w:t>
            </w:r>
          </w:p>
        </w:tc>
        <w:tc>
          <w:tcPr>
            <w:tcW w:w="3363" w:type="pct"/>
            <w:tcBorders>
              <w:top w:val="single" w:sz="4" w:space="0" w:color="auto"/>
            </w:tcBorders>
          </w:tcPr>
          <w:p w14:paraId="33C451F1" w14:textId="77777777" w:rsidR="008E3859" w:rsidRPr="007A0F4B" w:rsidRDefault="008E3859" w:rsidP="00C2401D">
            <w:pPr>
              <w:spacing w:line="276" w:lineRule="auto"/>
              <w:ind w:firstLine="0"/>
            </w:pPr>
            <w:r w:rsidRPr="007A0F4B">
              <w:t>Are the aims or research questions clearly defined?</w:t>
            </w:r>
          </w:p>
        </w:tc>
        <w:tc>
          <w:tcPr>
            <w:tcW w:w="838" w:type="pct"/>
            <w:tcBorders>
              <w:top w:val="single" w:sz="4" w:space="0" w:color="auto"/>
              <w:bottom w:val="nil"/>
            </w:tcBorders>
          </w:tcPr>
          <w:p w14:paraId="0D884FF0" w14:textId="77777777" w:rsidR="008E3859" w:rsidRPr="007A0F4B" w:rsidRDefault="008E3859" w:rsidP="00C2401D">
            <w:pPr>
              <w:spacing w:line="276" w:lineRule="auto"/>
              <w:ind w:firstLine="0"/>
            </w:pPr>
            <w:r w:rsidRPr="007A0F4B">
              <w:t>100%</w:t>
            </w:r>
          </w:p>
        </w:tc>
      </w:tr>
      <w:tr w:rsidR="008E3859" w:rsidRPr="007A0F4B" w14:paraId="71E962D7" w14:textId="77777777" w:rsidTr="00C2401D">
        <w:trPr>
          <w:trHeight w:val="463"/>
        </w:trPr>
        <w:tc>
          <w:tcPr>
            <w:tcW w:w="799" w:type="pct"/>
            <w:vMerge/>
          </w:tcPr>
          <w:p w14:paraId="6BB62E68" w14:textId="77777777" w:rsidR="008E3859" w:rsidRPr="007A0F4B" w:rsidRDefault="008E3859" w:rsidP="00C2401D">
            <w:pPr>
              <w:spacing w:line="276" w:lineRule="auto"/>
              <w:ind w:firstLine="0"/>
            </w:pPr>
          </w:p>
        </w:tc>
        <w:tc>
          <w:tcPr>
            <w:tcW w:w="3363" w:type="pct"/>
          </w:tcPr>
          <w:p w14:paraId="471F3535" w14:textId="77777777" w:rsidR="008E3859" w:rsidRPr="007A0F4B" w:rsidRDefault="008E3859" w:rsidP="00C2401D">
            <w:pPr>
              <w:spacing w:line="276" w:lineRule="auto"/>
              <w:ind w:firstLine="0"/>
            </w:pPr>
            <w:r w:rsidRPr="007A0F4B">
              <w:t>Is the chosen design appropriate?</w:t>
            </w:r>
          </w:p>
        </w:tc>
        <w:tc>
          <w:tcPr>
            <w:tcW w:w="838" w:type="pct"/>
            <w:tcBorders>
              <w:top w:val="nil"/>
            </w:tcBorders>
          </w:tcPr>
          <w:p w14:paraId="1348FB9D" w14:textId="77777777" w:rsidR="008E3859" w:rsidRPr="007A0F4B" w:rsidRDefault="008E3859" w:rsidP="00C2401D">
            <w:pPr>
              <w:spacing w:line="276" w:lineRule="auto"/>
              <w:ind w:firstLine="0"/>
            </w:pPr>
            <w:r w:rsidRPr="007A0F4B">
              <w:t>100%</w:t>
            </w:r>
          </w:p>
        </w:tc>
      </w:tr>
      <w:tr w:rsidR="008E3859" w:rsidRPr="007A0F4B" w14:paraId="6392B1B2" w14:textId="77777777" w:rsidTr="00C2401D">
        <w:trPr>
          <w:trHeight w:val="459"/>
        </w:trPr>
        <w:tc>
          <w:tcPr>
            <w:tcW w:w="799" w:type="pct"/>
            <w:vMerge w:val="restart"/>
          </w:tcPr>
          <w:p w14:paraId="2181C3C6" w14:textId="77777777" w:rsidR="008E3859" w:rsidRPr="007A0F4B" w:rsidRDefault="008E3859" w:rsidP="00C2401D">
            <w:pPr>
              <w:spacing w:line="276" w:lineRule="auto"/>
              <w:ind w:firstLine="0"/>
            </w:pPr>
            <w:r w:rsidRPr="007A0F4B">
              <w:t xml:space="preserve">Methods </w:t>
            </w:r>
          </w:p>
        </w:tc>
        <w:tc>
          <w:tcPr>
            <w:tcW w:w="3363" w:type="pct"/>
          </w:tcPr>
          <w:p w14:paraId="0A404B8A" w14:textId="77777777" w:rsidR="008E3859" w:rsidRPr="007A0F4B" w:rsidRDefault="008E3859" w:rsidP="00C2401D">
            <w:pPr>
              <w:spacing w:line="276" w:lineRule="auto"/>
              <w:ind w:firstLine="0"/>
            </w:pPr>
            <w:r w:rsidRPr="007A0F4B">
              <w:t xml:space="preserve">Has bias been considered and accounted for? </w:t>
            </w:r>
          </w:p>
        </w:tc>
        <w:tc>
          <w:tcPr>
            <w:tcW w:w="838" w:type="pct"/>
          </w:tcPr>
          <w:p w14:paraId="5F9EA0FB" w14:textId="77777777" w:rsidR="008E3859" w:rsidRPr="007A0F4B" w:rsidRDefault="008E3859" w:rsidP="00C2401D">
            <w:pPr>
              <w:spacing w:line="276" w:lineRule="auto"/>
              <w:ind w:firstLine="0"/>
            </w:pPr>
            <w:r w:rsidRPr="007A0F4B">
              <w:t>90%</w:t>
            </w:r>
          </w:p>
        </w:tc>
      </w:tr>
      <w:tr w:rsidR="008E3859" w:rsidRPr="007A0F4B" w14:paraId="113083F6" w14:textId="77777777" w:rsidTr="00C2401D">
        <w:trPr>
          <w:trHeight w:val="459"/>
        </w:trPr>
        <w:tc>
          <w:tcPr>
            <w:tcW w:w="799" w:type="pct"/>
            <w:vMerge/>
          </w:tcPr>
          <w:p w14:paraId="0DB7E4D1" w14:textId="77777777" w:rsidR="008E3859" w:rsidRPr="007A0F4B" w:rsidRDefault="008E3859" w:rsidP="00C2401D">
            <w:pPr>
              <w:spacing w:line="276" w:lineRule="auto"/>
              <w:ind w:firstLine="0"/>
            </w:pPr>
          </w:p>
        </w:tc>
        <w:tc>
          <w:tcPr>
            <w:tcW w:w="3363" w:type="pct"/>
          </w:tcPr>
          <w:p w14:paraId="62D1CFA9" w14:textId="77777777" w:rsidR="008E3859" w:rsidRPr="007A0F4B" w:rsidRDefault="008E3859" w:rsidP="00C2401D">
            <w:pPr>
              <w:spacing w:line="276" w:lineRule="auto"/>
              <w:ind w:firstLine="0"/>
            </w:pPr>
            <w:r w:rsidRPr="007A0F4B">
              <w:t>Is the recruitment strategy appropriate?</w:t>
            </w:r>
          </w:p>
        </w:tc>
        <w:tc>
          <w:tcPr>
            <w:tcW w:w="838" w:type="pct"/>
          </w:tcPr>
          <w:p w14:paraId="261866E7" w14:textId="77777777" w:rsidR="008E3859" w:rsidRPr="007A0F4B" w:rsidRDefault="008E3859" w:rsidP="00C2401D">
            <w:pPr>
              <w:spacing w:line="276" w:lineRule="auto"/>
              <w:ind w:firstLine="0"/>
            </w:pPr>
            <w:r w:rsidRPr="007A0F4B">
              <w:t>90%</w:t>
            </w:r>
          </w:p>
        </w:tc>
      </w:tr>
      <w:tr w:rsidR="008E3859" w:rsidRPr="007A0F4B" w14:paraId="58EE5F39" w14:textId="77777777" w:rsidTr="00C2401D">
        <w:trPr>
          <w:trHeight w:val="459"/>
        </w:trPr>
        <w:tc>
          <w:tcPr>
            <w:tcW w:w="799" w:type="pct"/>
            <w:vMerge/>
          </w:tcPr>
          <w:p w14:paraId="0D433841" w14:textId="77777777" w:rsidR="008E3859" w:rsidRPr="007A0F4B" w:rsidRDefault="008E3859" w:rsidP="00C2401D">
            <w:pPr>
              <w:spacing w:line="276" w:lineRule="auto"/>
              <w:ind w:firstLine="0"/>
            </w:pPr>
          </w:p>
        </w:tc>
        <w:tc>
          <w:tcPr>
            <w:tcW w:w="3363" w:type="pct"/>
          </w:tcPr>
          <w:p w14:paraId="66D1DED1" w14:textId="77777777" w:rsidR="008E3859" w:rsidRPr="007A0F4B" w:rsidRDefault="008E3859" w:rsidP="00C2401D">
            <w:pPr>
              <w:spacing w:line="276" w:lineRule="auto"/>
              <w:ind w:firstLine="0"/>
            </w:pPr>
            <w:r w:rsidRPr="007A0F4B">
              <w:t xml:space="preserve">Are the chosen methods appropriate? </w:t>
            </w:r>
          </w:p>
        </w:tc>
        <w:tc>
          <w:tcPr>
            <w:tcW w:w="838" w:type="pct"/>
          </w:tcPr>
          <w:p w14:paraId="1C5DE386" w14:textId="77777777" w:rsidR="008E3859" w:rsidRPr="007A0F4B" w:rsidRDefault="008E3859" w:rsidP="00C2401D">
            <w:pPr>
              <w:spacing w:line="276" w:lineRule="auto"/>
              <w:ind w:firstLine="0"/>
            </w:pPr>
            <w:r w:rsidRPr="007A0F4B">
              <w:t>100%</w:t>
            </w:r>
          </w:p>
        </w:tc>
      </w:tr>
      <w:tr w:rsidR="008E3859" w:rsidRPr="007A0F4B" w14:paraId="64270848" w14:textId="77777777" w:rsidTr="00C2401D">
        <w:tc>
          <w:tcPr>
            <w:tcW w:w="799" w:type="pct"/>
          </w:tcPr>
          <w:p w14:paraId="4BC7FBDA" w14:textId="77777777" w:rsidR="008E3859" w:rsidRPr="007A0F4B" w:rsidRDefault="008E3859" w:rsidP="00C2401D">
            <w:pPr>
              <w:spacing w:before="100" w:beforeAutospacing="1" w:after="100" w:afterAutospacing="1" w:line="276" w:lineRule="auto"/>
              <w:ind w:firstLine="0"/>
            </w:pPr>
            <w:r w:rsidRPr="007A0F4B">
              <w:t xml:space="preserve">Results </w:t>
            </w:r>
          </w:p>
        </w:tc>
        <w:tc>
          <w:tcPr>
            <w:tcW w:w="3363" w:type="pct"/>
          </w:tcPr>
          <w:p w14:paraId="5215B47C" w14:textId="77777777" w:rsidR="008E3859" w:rsidRPr="007A0F4B" w:rsidRDefault="008E3859" w:rsidP="00C2401D">
            <w:pPr>
              <w:spacing w:line="276" w:lineRule="auto"/>
              <w:ind w:firstLine="0"/>
            </w:pPr>
            <w:r w:rsidRPr="007A0F4B">
              <w:t xml:space="preserve">Are the results clearly reported? </w:t>
            </w:r>
          </w:p>
        </w:tc>
        <w:tc>
          <w:tcPr>
            <w:tcW w:w="838" w:type="pct"/>
          </w:tcPr>
          <w:p w14:paraId="25B9CE2B" w14:textId="77777777" w:rsidR="008E3859" w:rsidRPr="007A0F4B" w:rsidRDefault="008E3859" w:rsidP="00C2401D">
            <w:pPr>
              <w:spacing w:line="276" w:lineRule="auto"/>
              <w:ind w:firstLine="0"/>
            </w:pPr>
            <w:r w:rsidRPr="007A0F4B">
              <w:t>90%</w:t>
            </w:r>
          </w:p>
        </w:tc>
      </w:tr>
      <w:tr w:rsidR="008E3859" w:rsidRPr="007A0F4B" w14:paraId="69626E0D" w14:textId="77777777" w:rsidTr="00C2401D">
        <w:trPr>
          <w:trHeight w:val="459"/>
        </w:trPr>
        <w:tc>
          <w:tcPr>
            <w:tcW w:w="799" w:type="pct"/>
            <w:vMerge w:val="restart"/>
          </w:tcPr>
          <w:p w14:paraId="4875A8FE" w14:textId="77777777" w:rsidR="008E3859" w:rsidRPr="007A0F4B" w:rsidRDefault="008E3859" w:rsidP="00C2401D">
            <w:pPr>
              <w:spacing w:line="276" w:lineRule="auto"/>
              <w:ind w:firstLine="0"/>
            </w:pPr>
            <w:r w:rsidRPr="007A0F4B">
              <w:t>Contribution</w:t>
            </w:r>
          </w:p>
        </w:tc>
        <w:tc>
          <w:tcPr>
            <w:tcW w:w="3363" w:type="pct"/>
          </w:tcPr>
          <w:p w14:paraId="64E0F542" w14:textId="77777777" w:rsidR="008E3859" w:rsidRPr="007A0F4B" w:rsidRDefault="008E3859" w:rsidP="00C2401D">
            <w:pPr>
              <w:spacing w:line="276" w:lineRule="auto"/>
              <w:ind w:firstLine="0"/>
            </w:pPr>
            <w:r w:rsidRPr="007A0F4B">
              <w:t>Do the benefits of the research outweigh any costs?</w:t>
            </w:r>
          </w:p>
        </w:tc>
        <w:tc>
          <w:tcPr>
            <w:tcW w:w="838" w:type="pct"/>
          </w:tcPr>
          <w:p w14:paraId="252DCEC7" w14:textId="77777777" w:rsidR="008E3859" w:rsidRPr="007A0F4B" w:rsidRDefault="008E3859" w:rsidP="00C2401D">
            <w:pPr>
              <w:spacing w:line="276" w:lineRule="auto"/>
              <w:ind w:firstLine="0"/>
            </w:pPr>
            <w:r w:rsidRPr="007A0F4B">
              <w:t>80%</w:t>
            </w:r>
          </w:p>
        </w:tc>
      </w:tr>
      <w:tr w:rsidR="008E3859" w:rsidRPr="007A0F4B" w14:paraId="60FAD1F3" w14:textId="77777777" w:rsidTr="00C2401D">
        <w:trPr>
          <w:trHeight w:val="459"/>
        </w:trPr>
        <w:tc>
          <w:tcPr>
            <w:tcW w:w="799" w:type="pct"/>
            <w:vMerge/>
          </w:tcPr>
          <w:p w14:paraId="0024C6B0" w14:textId="77777777" w:rsidR="008E3859" w:rsidRPr="007A0F4B" w:rsidRDefault="008E3859" w:rsidP="00C2401D">
            <w:pPr>
              <w:spacing w:line="276" w:lineRule="auto"/>
              <w:ind w:firstLine="0"/>
            </w:pPr>
          </w:p>
        </w:tc>
        <w:tc>
          <w:tcPr>
            <w:tcW w:w="3363" w:type="pct"/>
          </w:tcPr>
          <w:p w14:paraId="1DE6F8E0" w14:textId="77777777" w:rsidR="008E3859" w:rsidRPr="007A0F4B" w:rsidRDefault="008E3859" w:rsidP="00C2401D">
            <w:pPr>
              <w:spacing w:line="276" w:lineRule="auto"/>
              <w:ind w:firstLine="0"/>
            </w:pPr>
            <w:r w:rsidRPr="007A0F4B">
              <w:t>Are the results generalizable?</w:t>
            </w:r>
          </w:p>
        </w:tc>
        <w:tc>
          <w:tcPr>
            <w:tcW w:w="838" w:type="pct"/>
          </w:tcPr>
          <w:p w14:paraId="40E65FED" w14:textId="77777777" w:rsidR="008E3859" w:rsidRPr="007A0F4B" w:rsidRDefault="008E3859" w:rsidP="00C2401D">
            <w:pPr>
              <w:spacing w:line="276" w:lineRule="auto"/>
              <w:ind w:firstLine="0"/>
            </w:pPr>
            <w:r w:rsidRPr="007A0F4B">
              <w:t>60%</w:t>
            </w:r>
          </w:p>
        </w:tc>
      </w:tr>
      <w:tr w:rsidR="008E3859" w:rsidRPr="007A0F4B" w14:paraId="25FE40D7" w14:textId="77777777" w:rsidTr="00C2401D">
        <w:trPr>
          <w:trHeight w:val="459"/>
        </w:trPr>
        <w:tc>
          <w:tcPr>
            <w:tcW w:w="799" w:type="pct"/>
            <w:vMerge/>
          </w:tcPr>
          <w:p w14:paraId="115542BA" w14:textId="77777777" w:rsidR="008E3859" w:rsidRPr="007A0F4B" w:rsidRDefault="008E3859" w:rsidP="00C2401D">
            <w:pPr>
              <w:spacing w:line="276" w:lineRule="auto"/>
              <w:ind w:firstLine="0"/>
            </w:pPr>
          </w:p>
        </w:tc>
        <w:tc>
          <w:tcPr>
            <w:tcW w:w="3363" w:type="pct"/>
          </w:tcPr>
          <w:p w14:paraId="0EED9F2F" w14:textId="77777777" w:rsidR="008E3859" w:rsidRPr="007A0F4B" w:rsidRDefault="008E3859" w:rsidP="00C2401D">
            <w:pPr>
              <w:spacing w:line="276" w:lineRule="auto"/>
              <w:ind w:firstLine="0"/>
            </w:pPr>
            <w:r w:rsidRPr="007A0F4B">
              <w:t>Do the results add helpful evidence to the field?</w:t>
            </w:r>
          </w:p>
        </w:tc>
        <w:tc>
          <w:tcPr>
            <w:tcW w:w="838" w:type="pct"/>
          </w:tcPr>
          <w:p w14:paraId="4D0077BC" w14:textId="77777777" w:rsidR="008E3859" w:rsidRPr="007A0F4B" w:rsidRDefault="008E3859" w:rsidP="00C2401D">
            <w:pPr>
              <w:spacing w:line="276" w:lineRule="auto"/>
              <w:ind w:firstLine="0"/>
            </w:pPr>
            <w:r w:rsidRPr="007A0F4B">
              <w:t>100%</w:t>
            </w:r>
          </w:p>
        </w:tc>
      </w:tr>
    </w:tbl>
    <w:p w14:paraId="47A08611" w14:textId="77777777" w:rsidR="008275D3" w:rsidRPr="00CA5D8A" w:rsidRDefault="008275D3" w:rsidP="008275D3">
      <w:pPr>
        <w:ind w:firstLine="0"/>
        <w:rPr>
          <w:i/>
          <w:iCs/>
          <w:sz w:val="20"/>
          <w:szCs w:val="20"/>
        </w:rPr>
      </w:pPr>
      <w:r w:rsidRPr="00CA5D8A">
        <w:rPr>
          <w:i/>
          <w:iCs/>
          <w:sz w:val="20"/>
          <w:szCs w:val="20"/>
        </w:rPr>
        <w:t xml:space="preserve">Note. </w:t>
      </w:r>
      <w:r w:rsidRPr="00CA5D8A">
        <w:rPr>
          <w:sz w:val="20"/>
          <w:szCs w:val="20"/>
        </w:rPr>
        <w:t>Adapted from</w:t>
      </w:r>
      <w:r w:rsidRPr="00CA5D8A">
        <w:rPr>
          <w:i/>
          <w:iCs/>
          <w:sz w:val="20"/>
          <w:szCs w:val="20"/>
        </w:rPr>
        <w:t xml:space="preserve"> </w:t>
      </w:r>
      <w:r w:rsidRPr="00CA5D8A">
        <w:rPr>
          <w:sz w:val="20"/>
          <w:szCs w:val="20"/>
        </w:rPr>
        <w:t>Critical Appraisal Skills Programme</w:t>
      </w:r>
      <w:r>
        <w:rPr>
          <w:sz w:val="20"/>
          <w:szCs w:val="20"/>
        </w:rPr>
        <w:t xml:space="preserve"> (</w:t>
      </w:r>
      <w:r w:rsidRPr="00CA5D8A">
        <w:rPr>
          <w:sz w:val="20"/>
          <w:szCs w:val="20"/>
        </w:rPr>
        <w:t>2019a, 2019c, 2019d, 2019e</w:t>
      </w:r>
      <w:r>
        <w:rPr>
          <w:sz w:val="20"/>
          <w:szCs w:val="20"/>
        </w:rPr>
        <w:t>)</w:t>
      </w:r>
    </w:p>
    <w:p w14:paraId="260A2DE8" w14:textId="77777777" w:rsidR="008E3859" w:rsidRDefault="008E3859" w:rsidP="008E3859">
      <w:pPr>
        <w:ind w:firstLine="0"/>
        <w:rPr>
          <w:b/>
          <w:bCs/>
        </w:rPr>
      </w:pPr>
    </w:p>
    <w:p w14:paraId="48192F41" w14:textId="77777777" w:rsidR="00DB0DEB" w:rsidRDefault="00DB0DEB">
      <w:pPr>
        <w:widowControl/>
        <w:rPr>
          <w:b/>
          <w:bCs/>
        </w:rPr>
      </w:pPr>
      <w:bookmarkStart w:id="1" w:name="_Toc190377797"/>
      <w:r>
        <w:br w:type="page"/>
      </w:r>
    </w:p>
    <w:p w14:paraId="70D52508" w14:textId="77777777" w:rsidR="004034C0" w:rsidRDefault="004034C0" w:rsidP="006A548A">
      <w:pPr>
        <w:pStyle w:val="Caption"/>
        <w:ind w:firstLine="0"/>
        <w:sectPr w:rsidR="004034C0" w:rsidSect="004034C0">
          <w:pgSz w:w="11906" w:h="16838"/>
          <w:pgMar w:top="1440" w:right="1440" w:bottom="1440" w:left="1440" w:header="708" w:footer="708" w:gutter="0"/>
          <w:cols w:space="708"/>
          <w:docGrid w:linePitch="360"/>
        </w:sectPr>
      </w:pPr>
    </w:p>
    <w:p w14:paraId="03D87A23" w14:textId="01092E96" w:rsidR="006A548A" w:rsidRDefault="00705F49" w:rsidP="006A548A">
      <w:pPr>
        <w:pStyle w:val="Caption"/>
        <w:ind w:firstLine="0"/>
      </w:pPr>
      <w:r w:rsidRPr="007A0F4B">
        <w:lastRenderedPageBreak/>
        <w:t xml:space="preserve">Supplementary Material </w:t>
      </w:r>
      <w:r w:rsidR="006A548A">
        <w:t xml:space="preserve">Table </w:t>
      </w:r>
      <w:r w:rsidR="002F703A">
        <w:t>5</w:t>
      </w:r>
      <w:r w:rsidR="006A548A">
        <w:br/>
      </w:r>
      <w:r w:rsidR="006A548A" w:rsidRPr="0061599D">
        <w:rPr>
          <w:b w:val="0"/>
          <w:bCs w:val="0"/>
          <w:i/>
          <w:iCs/>
        </w:rPr>
        <w:t>Quality Analysis of Included Reports</w:t>
      </w:r>
      <w:bookmarkEnd w:id="1"/>
      <w:r w:rsidR="006A548A">
        <w:t xml:space="preserve">  </w:t>
      </w:r>
    </w:p>
    <w:tbl>
      <w:tblPr>
        <w:tblStyle w:val="TableGrid4"/>
        <w:tblW w:w="4884"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2"/>
        <w:gridCol w:w="1421"/>
        <w:gridCol w:w="1279"/>
        <w:gridCol w:w="1560"/>
        <w:gridCol w:w="1276"/>
        <w:gridCol w:w="1279"/>
        <w:gridCol w:w="1276"/>
        <w:gridCol w:w="1279"/>
        <w:gridCol w:w="1421"/>
        <w:gridCol w:w="1331"/>
      </w:tblGrid>
      <w:tr w:rsidR="006A548A" w:rsidRPr="00BF6894" w14:paraId="3FF5C27B" w14:textId="77777777" w:rsidTr="00B537E0">
        <w:trPr>
          <w:cantSplit/>
          <w:trHeight w:val="274"/>
          <w:tblHeader/>
        </w:trPr>
        <w:tc>
          <w:tcPr>
            <w:tcW w:w="554" w:type="pct"/>
            <w:noWrap/>
          </w:tcPr>
          <w:p w14:paraId="22D238CE" w14:textId="77777777" w:rsidR="006A548A" w:rsidRPr="004A361A" w:rsidRDefault="006A548A" w:rsidP="00B537E0">
            <w:pPr>
              <w:widowControl/>
              <w:rPr>
                <w:rFonts w:ascii="Times New Roman" w:eastAsiaTheme="minorHAnsi" w:hAnsi="Times New Roman" w:cs="Times New Roman"/>
                <w:sz w:val="20"/>
                <w:szCs w:val="20"/>
              </w:rPr>
            </w:pPr>
          </w:p>
        </w:tc>
        <w:tc>
          <w:tcPr>
            <w:tcW w:w="990" w:type="pct"/>
            <w:gridSpan w:val="2"/>
            <w:tcBorders>
              <w:top w:val="single" w:sz="4" w:space="0" w:color="auto"/>
              <w:bottom w:val="single" w:sz="4" w:space="0" w:color="auto"/>
            </w:tcBorders>
            <w:noWrap/>
          </w:tcPr>
          <w:p w14:paraId="75D9F12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Design</w:t>
            </w:r>
          </w:p>
        </w:tc>
        <w:tc>
          <w:tcPr>
            <w:tcW w:w="1509" w:type="pct"/>
            <w:gridSpan w:val="3"/>
            <w:tcBorders>
              <w:top w:val="single" w:sz="4" w:space="0" w:color="auto"/>
              <w:bottom w:val="single" w:sz="4" w:space="0" w:color="auto"/>
            </w:tcBorders>
            <w:noWrap/>
          </w:tcPr>
          <w:p w14:paraId="450464F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Method</w:t>
            </w:r>
          </w:p>
        </w:tc>
        <w:tc>
          <w:tcPr>
            <w:tcW w:w="468" w:type="pct"/>
            <w:tcBorders>
              <w:top w:val="single" w:sz="4" w:space="0" w:color="auto"/>
              <w:bottom w:val="single" w:sz="4" w:space="0" w:color="auto"/>
            </w:tcBorders>
            <w:noWrap/>
          </w:tcPr>
          <w:p w14:paraId="54A239D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Results</w:t>
            </w:r>
          </w:p>
        </w:tc>
        <w:tc>
          <w:tcPr>
            <w:tcW w:w="1478" w:type="pct"/>
            <w:gridSpan w:val="3"/>
            <w:tcBorders>
              <w:top w:val="single" w:sz="4" w:space="0" w:color="auto"/>
              <w:bottom w:val="single" w:sz="4" w:space="0" w:color="auto"/>
            </w:tcBorders>
            <w:noWrap/>
          </w:tcPr>
          <w:p w14:paraId="6E90B17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Offers a contribution</w:t>
            </w:r>
          </w:p>
        </w:tc>
      </w:tr>
      <w:tr w:rsidR="006A548A" w:rsidRPr="00BF6894" w14:paraId="223B8FB7" w14:textId="77777777" w:rsidTr="00B537E0">
        <w:trPr>
          <w:cantSplit/>
          <w:trHeight w:val="1681"/>
          <w:tblHeader/>
        </w:trPr>
        <w:tc>
          <w:tcPr>
            <w:tcW w:w="554" w:type="pct"/>
            <w:tcBorders>
              <w:bottom w:val="single" w:sz="4" w:space="0" w:color="auto"/>
            </w:tcBorders>
            <w:noWrap/>
            <w:hideMark/>
          </w:tcPr>
          <w:p w14:paraId="5232B9D5" w14:textId="77777777" w:rsidR="006A548A" w:rsidRPr="004A361A" w:rsidRDefault="006A548A" w:rsidP="00B537E0">
            <w:pPr>
              <w:widowControl/>
              <w:rPr>
                <w:rFonts w:ascii="Times New Roman" w:eastAsiaTheme="minorHAnsi" w:hAnsi="Times New Roman" w:cs="Times New Roman"/>
                <w:sz w:val="20"/>
                <w:szCs w:val="20"/>
              </w:rPr>
            </w:pPr>
            <w:r>
              <w:rPr>
                <w:rFonts w:ascii="Times New Roman" w:eastAsiaTheme="minorHAnsi" w:hAnsi="Times New Roman" w:cs="Times New Roman"/>
                <w:sz w:val="20"/>
                <w:szCs w:val="20"/>
              </w:rPr>
              <w:t>Report</w:t>
            </w:r>
          </w:p>
          <w:p w14:paraId="7F0FEF5A" w14:textId="77777777" w:rsidR="006A548A" w:rsidRPr="004A361A" w:rsidRDefault="006A548A" w:rsidP="00B537E0">
            <w:pPr>
              <w:widowControl/>
              <w:rPr>
                <w:rFonts w:ascii="Times New Roman" w:eastAsiaTheme="minorHAnsi" w:hAnsi="Times New Roman" w:cs="Times New Roman"/>
                <w:sz w:val="20"/>
                <w:szCs w:val="20"/>
              </w:rPr>
            </w:pPr>
          </w:p>
        </w:tc>
        <w:tc>
          <w:tcPr>
            <w:tcW w:w="521" w:type="pct"/>
            <w:tcBorders>
              <w:top w:val="single" w:sz="4" w:space="0" w:color="auto"/>
              <w:bottom w:val="single" w:sz="4" w:space="0" w:color="auto"/>
            </w:tcBorders>
            <w:noWrap/>
            <w:hideMark/>
          </w:tcPr>
          <w:p w14:paraId="215E3AC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Are the aims or research questions clearly defined</w:t>
            </w:r>
          </w:p>
        </w:tc>
        <w:tc>
          <w:tcPr>
            <w:tcW w:w="469" w:type="pct"/>
            <w:tcBorders>
              <w:top w:val="single" w:sz="4" w:space="0" w:color="auto"/>
              <w:bottom w:val="single" w:sz="4" w:space="0" w:color="auto"/>
            </w:tcBorders>
            <w:noWrap/>
            <w:hideMark/>
          </w:tcPr>
          <w:p w14:paraId="370160C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Is the chosen design appropriate</w:t>
            </w:r>
          </w:p>
        </w:tc>
        <w:tc>
          <w:tcPr>
            <w:tcW w:w="572" w:type="pct"/>
            <w:tcBorders>
              <w:top w:val="single" w:sz="4" w:space="0" w:color="auto"/>
              <w:bottom w:val="single" w:sz="4" w:space="0" w:color="auto"/>
            </w:tcBorders>
            <w:noWrap/>
            <w:hideMark/>
          </w:tcPr>
          <w:p w14:paraId="4AEA512A" w14:textId="6D31A572"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Is the recruitment strategy appropriate</w:t>
            </w:r>
          </w:p>
        </w:tc>
        <w:tc>
          <w:tcPr>
            <w:tcW w:w="468" w:type="pct"/>
            <w:tcBorders>
              <w:top w:val="single" w:sz="4" w:space="0" w:color="auto"/>
              <w:bottom w:val="single" w:sz="4" w:space="0" w:color="auto"/>
            </w:tcBorders>
            <w:noWrap/>
            <w:hideMark/>
          </w:tcPr>
          <w:p w14:paraId="1A388BC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Has bias been considered and accounted for</w:t>
            </w:r>
          </w:p>
        </w:tc>
        <w:tc>
          <w:tcPr>
            <w:tcW w:w="469" w:type="pct"/>
            <w:tcBorders>
              <w:top w:val="single" w:sz="4" w:space="0" w:color="auto"/>
              <w:bottom w:val="single" w:sz="4" w:space="0" w:color="auto"/>
            </w:tcBorders>
            <w:noWrap/>
            <w:hideMark/>
          </w:tcPr>
          <w:p w14:paraId="0658259F" w14:textId="24A5033F"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Are chosen methods appropriate</w:t>
            </w:r>
          </w:p>
        </w:tc>
        <w:tc>
          <w:tcPr>
            <w:tcW w:w="468" w:type="pct"/>
            <w:tcBorders>
              <w:top w:val="single" w:sz="4" w:space="0" w:color="auto"/>
              <w:bottom w:val="single" w:sz="4" w:space="0" w:color="auto"/>
            </w:tcBorders>
            <w:noWrap/>
            <w:hideMark/>
          </w:tcPr>
          <w:p w14:paraId="7EA7F8A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Are the results clearly reported</w:t>
            </w:r>
          </w:p>
        </w:tc>
        <w:tc>
          <w:tcPr>
            <w:tcW w:w="469" w:type="pct"/>
            <w:tcBorders>
              <w:top w:val="single" w:sz="4" w:space="0" w:color="auto"/>
              <w:bottom w:val="single" w:sz="4" w:space="0" w:color="auto"/>
            </w:tcBorders>
            <w:noWrap/>
            <w:hideMark/>
          </w:tcPr>
          <w:p w14:paraId="0CFC4D0F" w14:textId="697A530A"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Do the benefits of the research outweigh any costs</w:t>
            </w:r>
          </w:p>
        </w:tc>
        <w:tc>
          <w:tcPr>
            <w:tcW w:w="521" w:type="pct"/>
            <w:tcBorders>
              <w:top w:val="single" w:sz="4" w:space="0" w:color="auto"/>
              <w:bottom w:val="single" w:sz="4" w:space="0" w:color="auto"/>
            </w:tcBorders>
            <w:noWrap/>
            <w:hideMark/>
          </w:tcPr>
          <w:p w14:paraId="4624F91D" w14:textId="14D08798"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Are the results generalizable</w:t>
            </w:r>
          </w:p>
        </w:tc>
        <w:tc>
          <w:tcPr>
            <w:tcW w:w="488" w:type="pct"/>
            <w:tcBorders>
              <w:top w:val="single" w:sz="4" w:space="0" w:color="auto"/>
              <w:bottom w:val="single" w:sz="4" w:space="0" w:color="auto"/>
            </w:tcBorders>
            <w:noWrap/>
            <w:hideMark/>
          </w:tcPr>
          <w:p w14:paraId="13759E03" w14:textId="1EEE8758"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Do the results add helpful evidence to the field</w:t>
            </w:r>
          </w:p>
        </w:tc>
      </w:tr>
      <w:tr w:rsidR="006A548A" w:rsidRPr="00BF6894" w14:paraId="7A07088D" w14:textId="77777777" w:rsidTr="00B537E0">
        <w:trPr>
          <w:trHeight w:val="288"/>
        </w:trPr>
        <w:tc>
          <w:tcPr>
            <w:tcW w:w="554" w:type="pct"/>
            <w:tcBorders>
              <w:top w:val="single" w:sz="4" w:space="0" w:color="auto"/>
            </w:tcBorders>
            <w:noWrap/>
            <w:hideMark/>
          </w:tcPr>
          <w:p w14:paraId="620522EA"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Bartle (2012)</w:t>
            </w:r>
          </w:p>
        </w:tc>
        <w:tc>
          <w:tcPr>
            <w:tcW w:w="521" w:type="pct"/>
            <w:tcBorders>
              <w:top w:val="single" w:sz="4" w:space="0" w:color="auto"/>
            </w:tcBorders>
            <w:noWrap/>
            <w:hideMark/>
          </w:tcPr>
          <w:p w14:paraId="7A19572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tcBorders>
              <w:top w:val="single" w:sz="4" w:space="0" w:color="auto"/>
            </w:tcBorders>
            <w:noWrap/>
            <w:hideMark/>
          </w:tcPr>
          <w:p w14:paraId="39306AF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tcBorders>
              <w:top w:val="single" w:sz="4" w:space="0" w:color="auto"/>
            </w:tcBorders>
            <w:noWrap/>
            <w:hideMark/>
          </w:tcPr>
          <w:p w14:paraId="1183BDB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tcBorders>
              <w:top w:val="single" w:sz="4" w:space="0" w:color="auto"/>
            </w:tcBorders>
            <w:noWrap/>
            <w:hideMark/>
          </w:tcPr>
          <w:p w14:paraId="06124D0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tcBorders>
              <w:top w:val="single" w:sz="4" w:space="0" w:color="auto"/>
            </w:tcBorders>
            <w:noWrap/>
            <w:hideMark/>
          </w:tcPr>
          <w:p w14:paraId="0722ECA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tcBorders>
              <w:top w:val="single" w:sz="4" w:space="0" w:color="auto"/>
            </w:tcBorders>
            <w:noWrap/>
            <w:hideMark/>
          </w:tcPr>
          <w:p w14:paraId="61DE737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tcBorders>
              <w:top w:val="single" w:sz="4" w:space="0" w:color="auto"/>
            </w:tcBorders>
            <w:noWrap/>
            <w:hideMark/>
          </w:tcPr>
          <w:p w14:paraId="2E00E5D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tcBorders>
              <w:top w:val="single" w:sz="4" w:space="0" w:color="auto"/>
            </w:tcBorders>
            <w:noWrap/>
            <w:hideMark/>
          </w:tcPr>
          <w:p w14:paraId="737F214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tcBorders>
              <w:top w:val="single" w:sz="4" w:space="0" w:color="auto"/>
            </w:tcBorders>
            <w:noWrap/>
            <w:hideMark/>
          </w:tcPr>
          <w:p w14:paraId="6F2BAFE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CB70471" w14:textId="77777777" w:rsidTr="00B537E0">
        <w:trPr>
          <w:trHeight w:val="288"/>
        </w:trPr>
        <w:tc>
          <w:tcPr>
            <w:tcW w:w="554" w:type="pct"/>
            <w:noWrap/>
            <w:hideMark/>
          </w:tcPr>
          <w:p w14:paraId="7AE003E1"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Bates et al. (2012)</w:t>
            </w:r>
          </w:p>
        </w:tc>
        <w:tc>
          <w:tcPr>
            <w:tcW w:w="521" w:type="pct"/>
            <w:noWrap/>
            <w:hideMark/>
          </w:tcPr>
          <w:p w14:paraId="7F01B5E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FACB07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1EFBAD9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83E346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456DD52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197CCD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799C4A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11AC44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3AE9218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5A8961C8" w14:textId="77777777" w:rsidTr="00E70E69">
        <w:trPr>
          <w:trHeight w:val="510"/>
        </w:trPr>
        <w:tc>
          <w:tcPr>
            <w:tcW w:w="554" w:type="pct"/>
            <w:noWrap/>
            <w:hideMark/>
          </w:tcPr>
          <w:p w14:paraId="04150280" w14:textId="0AB6EB2B" w:rsidR="006A548A" w:rsidRPr="004A361A" w:rsidRDefault="006A548A" w:rsidP="00E70E69">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Bates et al. (2014)</w:t>
            </w:r>
          </w:p>
        </w:tc>
        <w:tc>
          <w:tcPr>
            <w:tcW w:w="521" w:type="pct"/>
            <w:noWrap/>
            <w:hideMark/>
          </w:tcPr>
          <w:p w14:paraId="350D8BD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3BB934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E0EA7A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3433BE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55D5B7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98AC29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B57197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67785CB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0F8ACA8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5F843615" w14:textId="77777777" w:rsidTr="00B537E0">
        <w:trPr>
          <w:trHeight w:val="288"/>
        </w:trPr>
        <w:tc>
          <w:tcPr>
            <w:tcW w:w="554" w:type="pct"/>
            <w:noWrap/>
          </w:tcPr>
          <w:p w14:paraId="63791856"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Bohmert et al. (2018) </w:t>
            </w:r>
          </w:p>
        </w:tc>
        <w:tc>
          <w:tcPr>
            <w:tcW w:w="521" w:type="pct"/>
            <w:noWrap/>
            <w:hideMark/>
          </w:tcPr>
          <w:p w14:paraId="37A77D8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F8849B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1A7FB90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0E953E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0245688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BC84DE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E6058C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2139AE7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3CE6061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477C5816" w14:textId="77777777" w:rsidTr="00B537E0">
        <w:trPr>
          <w:trHeight w:val="288"/>
        </w:trPr>
        <w:tc>
          <w:tcPr>
            <w:tcW w:w="554" w:type="pct"/>
            <w:noWrap/>
            <w:hideMark/>
          </w:tcPr>
          <w:p w14:paraId="6E1BB764" w14:textId="77777777" w:rsidR="006A548A" w:rsidRPr="004A361A" w:rsidRDefault="006A548A" w:rsidP="00B537E0">
            <w:pPr>
              <w:widowControl/>
              <w:rPr>
                <w:rFonts w:ascii="Times New Roman" w:eastAsiaTheme="minorHAnsi" w:hAnsi="Times New Roman" w:cs="Times New Roman"/>
                <w:sz w:val="20"/>
                <w:szCs w:val="20"/>
              </w:rPr>
            </w:pPr>
            <w:proofErr w:type="spellStart"/>
            <w:r w:rsidRPr="004A361A">
              <w:rPr>
                <w:rFonts w:ascii="Times New Roman" w:eastAsiaTheme="minorHAnsi" w:hAnsi="Times New Roman" w:cs="Times New Roman"/>
                <w:sz w:val="20"/>
                <w:szCs w:val="20"/>
              </w:rPr>
              <w:t>Cesaroni</w:t>
            </w:r>
            <w:proofErr w:type="spellEnd"/>
            <w:r w:rsidRPr="004A361A">
              <w:rPr>
                <w:rFonts w:ascii="Times New Roman" w:eastAsiaTheme="minorHAnsi" w:hAnsi="Times New Roman" w:cs="Times New Roman"/>
                <w:sz w:val="20"/>
                <w:szCs w:val="20"/>
              </w:rPr>
              <w:t xml:space="preserve"> (2001) </w:t>
            </w:r>
          </w:p>
        </w:tc>
        <w:tc>
          <w:tcPr>
            <w:tcW w:w="521" w:type="pct"/>
            <w:noWrap/>
            <w:hideMark/>
          </w:tcPr>
          <w:p w14:paraId="3857698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C77E64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EC9751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419E3B5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E574AC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5DD7E4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D42418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31D8F32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6AF4AC2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35908BC3" w14:textId="77777777" w:rsidTr="00E20C54">
        <w:trPr>
          <w:trHeight w:val="191"/>
        </w:trPr>
        <w:tc>
          <w:tcPr>
            <w:tcW w:w="554" w:type="pct"/>
            <w:noWrap/>
            <w:hideMark/>
          </w:tcPr>
          <w:p w14:paraId="084C25A1"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Cooley (2021) </w:t>
            </w:r>
          </w:p>
        </w:tc>
        <w:tc>
          <w:tcPr>
            <w:tcW w:w="521" w:type="pct"/>
            <w:noWrap/>
            <w:hideMark/>
          </w:tcPr>
          <w:p w14:paraId="6C4C389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3243EB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087CDE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4F3BAD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553975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2E2625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1E2724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3745DD4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0E462F4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3FD9FE0D" w14:textId="77777777" w:rsidTr="00B537E0">
        <w:trPr>
          <w:trHeight w:val="288"/>
        </w:trPr>
        <w:tc>
          <w:tcPr>
            <w:tcW w:w="554" w:type="pct"/>
            <w:noWrap/>
            <w:hideMark/>
          </w:tcPr>
          <w:p w14:paraId="054E90EF"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Cooley et al., (2017)</w:t>
            </w:r>
          </w:p>
        </w:tc>
        <w:tc>
          <w:tcPr>
            <w:tcW w:w="521" w:type="pct"/>
            <w:noWrap/>
            <w:hideMark/>
          </w:tcPr>
          <w:p w14:paraId="321AD32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A24419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BF4E1F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C8DD61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859FE1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F76009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D007B5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5688891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4EFFA14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4F5E18FE" w14:textId="77777777" w:rsidTr="00B537E0">
        <w:trPr>
          <w:trHeight w:val="288"/>
        </w:trPr>
        <w:tc>
          <w:tcPr>
            <w:tcW w:w="554" w:type="pct"/>
            <w:noWrap/>
            <w:hideMark/>
          </w:tcPr>
          <w:p w14:paraId="28F3FE7C"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Cooley &amp; Sample (2018)</w:t>
            </w:r>
          </w:p>
        </w:tc>
        <w:tc>
          <w:tcPr>
            <w:tcW w:w="521" w:type="pct"/>
            <w:noWrap/>
            <w:hideMark/>
          </w:tcPr>
          <w:p w14:paraId="337692A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6E4953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A3E221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CADEF5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7C4D96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5D4AF1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B4CDB9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5E9032F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5CFF75F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06FB4190" w14:textId="77777777" w:rsidTr="00B537E0">
        <w:trPr>
          <w:trHeight w:val="288"/>
        </w:trPr>
        <w:tc>
          <w:tcPr>
            <w:tcW w:w="554" w:type="pct"/>
            <w:noWrap/>
            <w:hideMark/>
          </w:tcPr>
          <w:p w14:paraId="67F196F2"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Duwe &amp; Donnay (2008) </w:t>
            </w:r>
          </w:p>
        </w:tc>
        <w:tc>
          <w:tcPr>
            <w:tcW w:w="521" w:type="pct"/>
            <w:noWrap/>
            <w:hideMark/>
          </w:tcPr>
          <w:p w14:paraId="3A38B77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CE39CF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33085FF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355F96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44D64C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820961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529C73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5ECD70C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0A6CB22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EA40AEE" w14:textId="77777777" w:rsidTr="00B537E0">
        <w:trPr>
          <w:trHeight w:val="288"/>
        </w:trPr>
        <w:tc>
          <w:tcPr>
            <w:tcW w:w="554" w:type="pct"/>
            <w:noWrap/>
            <w:hideMark/>
          </w:tcPr>
          <w:p w14:paraId="700ED80C"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Farmer et al. (2012) </w:t>
            </w:r>
          </w:p>
        </w:tc>
        <w:tc>
          <w:tcPr>
            <w:tcW w:w="521" w:type="pct"/>
            <w:noWrap/>
            <w:hideMark/>
          </w:tcPr>
          <w:p w14:paraId="0483410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A63001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0306411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1FB58E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28DADE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055FCB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DCCEB5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096D7A4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47F860B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6C2C160E" w14:textId="77777777" w:rsidTr="00B537E0">
        <w:trPr>
          <w:trHeight w:val="288"/>
        </w:trPr>
        <w:tc>
          <w:tcPr>
            <w:tcW w:w="554" w:type="pct"/>
            <w:noWrap/>
          </w:tcPr>
          <w:p w14:paraId="1643FEE4"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Farmer et al. (2015) </w:t>
            </w:r>
          </w:p>
        </w:tc>
        <w:tc>
          <w:tcPr>
            <w:tcW w:w="521" w:type="pct"/>
            <w:noWrap/>
            <w:hideMark/>
          </w:tcPr>
          <w:p w14:paraId="49962DA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162E5D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A18587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43060A7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9CC7D8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4F7848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6A3C72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041CA93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5A939E4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56D5588F" w14:textId="77777777" w:rsidTr="00B537E0">
        <w:trPr>
          <w:trHeight w:val="288"/>
        </w:trPr>
        <w:tc>
          <w:tcPr>
            <w:tcW w:w="554" w:type="pct"/>
            <w:noWrap/>
          </w:tcPr>
          <w:p w14:paraId="7257187C"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Farmer et al. (2016) </w:t>
            </w:r>
          </w:p>
        </w:tc>
        <w:tc>
          <w:tcPr>
            <w:tcW w:w="521" w:type="pct"/>
            <w:noWrap/>
            <w:hideMark/>
          </w:tcPr>
          <w:p w14:paraId="1253419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F06F62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91ECD0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DAD481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5BB4329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B058B3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EBABE4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2D23A3C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4B4FFE2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59EBBE7E" w14:textId="77777777" w:rsidTr="00B537E0">
        <w:trPr>
          <w:trHeight w:val="288"/>
        </w:trPr>
        <w:tc>
          <w:tcPr>
            <w:tcW w:w="554" w:type="pct"/>
            <w:noWrap/>
            <w:hideMark/>
          </w:tcPr>
          <w:p w14:paraId="51B3499A"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Harris (2014) </w:t>
            </w:r>
          </w:p>
        </w:tc>
        <w:tc>
          <w:tcPr>
            <w:tcW w:w="521" w:type="pct"/>
            <w:noWrap/>
            <w:hideMark/>
          </w:tcPr>
          <w:p w14:paraId="661B891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967F42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340E551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4E3DDF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4C697C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1B8B73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6593BE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285BE9F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692C0C9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2B0DA82" w14:textId="77777777" w:rsidTr="00B537E0">
        <w:trPr>
          <w:trHeight w:val="288"/>
        </w:trPr>
        <w:tc>
          <w:tcPr>
            <w:tcW w:w="554" w:type="pct"/>
            <w:noWrap/>
            <w:hideMark/>
          </w:tcPr>
          <w:p w14:paraId="43F7C61C"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Harris (2016) </w:t>
            </w:r>
          </w:p>
        </w:tc>
        <w:tc>
          <w:tcPr>
            <w:tcW w:w="521" w:type="pct"/>
            <w:noWrap/>
            <w:hideMark/>
          </w:tcPr>
          <w:p w14:paraId="1377EDF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AF04B9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F9077D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452050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9972DD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7C569B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B75738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3DF2C3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63B0DA3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354794A8" w14:textId="77777777" w:rsidTr="00B537E0">
        <w:trPr>
          <w:trHeight w:val="288"/>
        </w:trPr>
        <w:tc>
          <w:tcPr>
            <w:tcW w:w="554" w:type="pct"/>
            <w:noWrap/>
            <w:hideMark/>
          </w:tcPr>
          <w:p w14:paraId="25BB753C"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lastRenderedPageBreak/>
              <w:t xml:space="preserve">Harris (2017) </w:t>
            </w:r>
          </w:p>
        </w:tc>
        <w:tc>
          <w:tcPr>
            <w:tcW w:w="521" w:type="pct"/>
            <w:noWrap/>
            <w:hideMark/>
          </w:tcPr>
          <w:p w14:paraId="238D47A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E01B43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26C96A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ADD30E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2AA07C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FF837E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0865D8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DBE18F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10D0CCA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CBBD690" w14:textId="77777777" w:rsidTr="00B537E0">
        <w:trPr>
          <w:trHeight w:val="288"/>
        </w:trPr>
        <w:tc>
          <w:tcPr>
            <w:tcW w:w="554" w:type="pct"/>
            <w:noWrap/>
          </w:tcPr>
          <w:p w14:paraId="161ECC26"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Harris et al. (2017) </w:t>
            </w:r>
          </w:p>
        </w:tc>
        <w:tc>
          <w:tcPr>
            <w:tcW w:w="521" w:type="pct"/>
            <w:noWrap/>
            <w:hideMark/>
          </w:tcPr>
          <w:p w14:paraId="368A7C7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9D6811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3523BD6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725F51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638DAB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E2C348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0E86E9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7FE79C9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736FA28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438BFA89" w14:textId="77777777" w:rsidTr="00B537E0">
        <w:trPr>
          <w:trHeight w:val="288"/>
        </w:trPr>
        <w:tc>
          <w:tcPr>
            <w:tcW w:w="554" w:type="pct"/>
            <w:noWrap/>
            <w:hideMark/>
          </w:tcPr>
          <w:p w14:paraId="6D2315F8"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Harris et al. (2019) </w:t>
            </w:r>
          </w:p>
        </w:tc>
        <w:tc>
          <w:tcPr>
            <w:tcW w:w="521" w:type="pct"/>
            <w:noWrap/>
            <w:hideMark/>
          </w:tcPr>
          <w:p w14:paraId="760ECC1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0B9930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5A49942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3C5B9F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37C271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CF4D94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840418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641F800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277EB90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4490740A" w14:textId="77777777" w:rsidTr="00B537E0">
        <w:trPr>
          <w:trHeight w:val="288"/>
        </w:trPr>
        <w:tc>
          <w:tcPr>
            <w:tcW w:w="554" w:type="pct"/>
            <w:noWrap/>
            <w:hideMark/>
          </w:tcPr>
          <w:p w14:paraId="6C1722D2"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Harris &amp; Levenson (2021) </w:t>
            </w:r>
          </w:p>
        </w:tc>
        <w:tc>
          <w:tcPr>
            <w:tcW w:w="521" w:type="pct"/>
            <w:noWrap/>
            <w:hideMark/>
          </w:tcPr>
          <w:p w14:paraId="4E9FD65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4ED96F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09C6AFF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659962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5E361C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F2B5E9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DD9C43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764A472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1A97973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6D3DB28D" w14:textId="77777777" w:rsidTr="00B537E0">
        <w:trPr>
          <w:trHeight w:val="288"/>
        </w:trPr>
        <w:tc>
          <w:tcPr>
            <w:tcW w:w="554" w:type="pct"/>
            <w:noWrap/>
            <w:hideMark/>
          </w:tcPr>
          <w:p w14:paraId="74C08EC7" w14:textId="77777777" w:rsidR="006A548A" w:rsidRPr="004A361A" w:rsidRDefault="006A548A" w:rsidP="00B537E0">
            <w:pPr>
              <w:widowControl/>
              <w:rPr>
                <w:rFonts w:ascii="Times New Roman" w:eastAsiaTheme="minorHAnsi" w:hAnsi="Times New Roman" w:cs="Times New Roman"/>
                <w:sz w:val="20"/>
                <w:szCs w:val="20"/>
              </w:rPr>
            </w:pPr>
            <w:proofErr w:type="spellStart"/>
            <w:r w:rsidRPr="004A361A">
              <w:rPr>
                <w:rFonts w:ascii="Times New Roman" w:eastAsiaTheme="minorHAnsi" w:hAnsi="Times New Roman" w:cs="Times New Roman"/>
                <w:sz w:val="20"/>
                <w:szCs w:val="20"/>
              </w:rPr>
              <w:t>Höing</w:t>
            </w:r>
            <w:proofErr w:type="spellEnd"/>
            <w:r w:rsidRPr="004A361A">
              <w:rPr>
                <w:rFonts w:ascii="Times New Roman" w:eastAsiaTheme="minorHAnsi" w:hAnsi="Times New Roman" w:cs="Times New Roman"/>
                <w:sz w:val="20"/>
                <w:szCs w:val="20"/>
              </w:rPr>
              <w:t xml:space="preserve"> et al. (2013) </w:t>
            </w:r>
          </w:p>
        </w:tc>
        <w:tc>
          <w:tcPr>
            <w:tcW w:w="521" w:type="pct"/>
            <w:noWrap/>
            <w:hideMark/>
          </w:tcPr>
          <w:p w14:paraId="1A325EC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969F2B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109075A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0FF2D9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885A99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AC8D41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57E1B7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01F0E0F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10F39F9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6129B81" w14:textId="77777777" w:rsidTr="00B537E0">
        <w:trPr>
          <w:trHeight w:val="288"/>
        </w:trPr>
        <w:tc>
          <w:tcPr>
            <w:tcW w:w="554" w:type="pct"/>
            <w:noWrap/>
            <w:hideMark/>
          </w:tcPr>
          <w:p w14:paraId="72F7CE7F" w14:textId="77777777" w:rsidR="006A548A" w:rsidRPr="004A361A" w:rsidRDefault="006A548A" w:rsidP="00B537E0">
            <w:pPr>
              <w:widowControl/>
              <w:rPr>
                <w:rFonts w:ascii="Times New Roman" w:eastAsiaTheme="minorHAnsi" w:hAnsi="Times New Roman" w:cs="Times New Roman"/>
                <w:sz w:val="20"/>
                <w:szCs w:val="20"/>
              </w:rPr>
            </w:pPr>
            <w:proofErr w:type="spellStart"/>
            <w:r w:rsidRPr="004A361A">
              <w:rPr>
                <w:rFonts w:ascii="Times New Roman" w:eastAsiaTheme="minorHAnsi" w:hAnsi="Times New Roman" w:cs="Times New Roman"/>
                <w:sz w:val="20"/>
                <w:szCs w:val="20"/>
              </w:rPr>
              <w:t>Höing</w:t>
            </w:r>
            <w:proofErr w:type="spellEnd"/>
            <w:r w:rsidRPr="004A361A">
              <w:rPr>
                <w:rFonts w:ascii="Times New Roman" w:eastAsiaTheme="minorHAnsi" w:hAnsi="Times New Roman" w:cs="Times New Roman"/>
                <w:sz w:val="20"/>
                <w:szCs w:val="20"/>
              </w:rPr>
              <w:t xml:space="preserve"> et al. (2017) </w:t>
            </w:r>
          </w:p>
        </w:tc>
        <w:tc>
          <w:tcPr>
            <w:tcW w:w="521" w:type="pct"/>
            <w:noWrap/>
            <w:hideMark/>
          </w:tcPr>
          <w:p w14:paraId="27B9C0F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C2CB40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7A0414E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9A325B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2EA5C5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3E5F37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7B9DEF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20AC8A0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1638A4A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792F8EA" w14:textId="77777777" w:rsidTr="00B537E0">
        <w:trPr>
          <w:trHeight w:val="288"/>
        </w:trPr>
        <w:tc>
          <w:tcPr>
            <w:tcW w:w="554" w:type="pct"/>
            <w:noWrap/>
            <w:hideMark/>
          </w:tcPr>
          <w:p w14:paraId="62E453BE"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Hulley (2016)</w:t>
            </w:r>
          </w:p>
        </w:tc>
        <w:tc>
          <w:tcPr>
            <w:tcW w:w="521" w:type="pct"/>
            <w:noWrap/>
            <w:hideMark/>
          </w:tcPr>
          <w:p w14:paraId="6C6D7C7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F4D806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1B44DEA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C1E1BE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6A2092E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7EB1888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BCF9B9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669146D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6E56EB6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73CE24F8" w14:textId="77777777" w:rsidTr="00B537E0">
        <w:trPr>
          <w:trHeight w:val="288"/>
        </w:trPr>
        <w:tc>
          <w:tcPr>
            <w:tcW w:w="554" w:type="pct"/>
            <w:noWrap/>
            <w:hideMark/>
          </w:tcPr>
          <w:p w14:paraId="7C63D895"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Kewley et al. (2017) </w:t>
            </w:r>
          </w:p>
        </w:tc>
        <w:tc>
          <w:tcPr>
            <w:tcW w:w="521" w:type="pct"/>
            <w:noWrap/>
            <w:hideMark/>
          </w:tcPr>
          <w:p w14:paraId="1D78D97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03AB41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71ADF3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4CF2488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5D52D1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E2EF70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AC8ED6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1947E13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75986E5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3D1F8C85" w14:textId="77777777" w:rsidTr="00B537E0">
        <w:trPr>
          <w:trHeight w:val="288"/>
        </w:trPr>
        <w:tc>
          <w:tcPr>
            <w:tcW w:w="554" w:type="pct"/>
            <w:noWrap/>
            <w:hideMark/>
          </w:tcPr>
          <w:p w14:paraId="466D39CD"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Kitson-Boyce et al. (2019) </w:t>
            </w:r>
          </w:p>
        </w:tc>
        <w:tc>
          <w:tcPr>
            <w:tcW w:w="521" w:type="pct"/>
            <w:noWrap/>
            <w:hideMark/>
          </w:tcPr>
          <w:p w14:paraId="674F431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6CEA0F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00270D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8AE94C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C8F9A5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C21174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C87F69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570AA30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4E1CACD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E402FE6" w14:textId="77777777" w:rsidTr="00B537E0">
        <w:trPr>
          <w:trHeight w:val="288"/>
        </w:trPr>
        <w:tc>
          <w:tcPr>
            <w:tcW w:w="554" w:type="pct"/>
            <w:noWrap/>
            <w:hideMark/>
          </w:tcPr>
          <w:p w14:paraId="7E5EB10A"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Kras (2021) </w:t>
            </w:r>
          </w:p>
        </w:tc>
        <w:tc>
          <w:tcPr>
            <w:tcW w:w="521" w:type="pct"/>
            <w:noWrap/>
            <w:hideMark/>
          </w:tcPr>
          <w:p w14:paraId="11BACDF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67C1DA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289530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941F29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204E25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06C597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7B0B14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008DA71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5550F7D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251DB146" w14:textId="77777777" w:rsidTr="00B537E0">
        <w:trPr>
          <w:trHeight w:val="288"/>
        </w:trPr>
        <w:tc>
          <w:tcPr>
            <w:tcW w:w="554" w:type="pct"/>
            <w:noWrap/>
            <w:hideMark/>
          </w:tcPr>
          <w:p w14:paraId="1F7A4C1F"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Kras &amp; Blasko (2016) </w:t>
            </w:r>
          </w:p>
        </w:tc>
        <w:tc>
          <w:tcPr>
            <w:tcW w:w="521" w:type="pct"/>
            <w:noWrap/>
            <w:hideMark/>
          </w:tcPr>
          <w:p w14:paraId="31C6F24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848EC9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0A997E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534549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39E64D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E8EB41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39EB99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B43497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6F6587F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08819351" w14:textId="77777777" w:rsidTr="00B537E0">
        <w:trPr>
          <w:trHeight w:val="288"/>
        </w:trPr>
        <w:tc>
          <w:tcPr>
            <w:tcW w:w="554" w:type="pct"/>
            <w:noWrap/>
            <w:hideMark/>
          </w:tcPr>
          <w:p w14:paraId="7F269A3A"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Kruttschnitt, et al. (2000)</w:t>
            </w:r>
          </w:p>
        </w:tc>
        <w:tc>
          <w:tcPr>
            <w:tcW w:w="521" w:type="pct"/>
            <w:noWrap/>
            <w:hideMark/>
          </w:tcPr>
          <w:p w14:paraId="06F78E1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2120AB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69315DC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5E7729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3B23AF6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30D8E4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A186E5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364F02E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102F7AA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72054220" w14:textId="77777777" w:rsidTr="00B537E0">
        <w:trPr>
          <w:trHeight w:val="288"/>
        </w:trPr>
        <w:tc>
          <w:tcPr>
            <w:tcW w:w="554" w:type="pct"/>
            <w:noWrap/>
            <w:hideMark/>
          </w:tcPr>
          <w:p w14:paraId="6DFD4FCF"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Lytle et al. (2017) </w:t>
            </w:r>
          </w:p>
        </w:tc>
        <w:tc>
          <w:tcPr>
            <w:tcW w:w="521" w:type="pct"/>
            <w:noWrap/>
            <w:hideMark/>
          </w:tcPr>
          <w:p w14:paraId="29EB99A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E738E3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4222A97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46CB445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F0AAEB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7DD001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4593DF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7EAAC46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783DB2E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4A8B1916" w14:textId="77777777" w:rsidTr="00B537E0">
        <w:trPr>
          <w:trHeight w:val="288"/>
        </w:trPr>
        <w:tc>
          <w:tcPr>
            <w:tcW w:w="554" w:type="pct"/>
            <w:noWrap/>
            <w:hideMark/>
          </w:tcPr>
          <w:p w14:paraId="4EC6A95B"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N. Mann et al. (2019) </w:t>
            </w:r>
          </w:p>
        </w:tc>
        <w:tc>
          <w:tcPr>
            <w:tcW w:w="521" w:type="pct"/>
            <w:noWrap/>
            <w:hideMark/>
          </w:tcPr>
          <w:p w14:paraId="365BD8E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C9D15B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3158159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B40BCD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D99311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8FC0C0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867356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A7777D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643E713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2DB18BE4" w14:textId="77777777" w:rsidTr="00B537E0">
        <w:trPr>
          <w:trHeight w:val="288"/>
        </w:trPr>
        <w:tc>
          <w:tcPr>
            <w:tcW w:w="554" w:type="pct"/>
            <w:noWrap/>
            <w:hideMark/>
          </w:tcPr>
          <w:p w14:paraId="554E385C"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McAlinden et al. (2017)</w:t>
            </w:r>
          </w:p>
        </w:tc>
        <w:tc>
          <w:tcPr>
            <w:tcW w:w="521" w:type="pct"/>
            <w:noWrap/>
            <w:hideMark/>
          </w:tcPr>
          <w:p w14:paraId="34D4F35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88758B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B63731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142466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0694384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7F4011F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7FD716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30F4DD2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3CD40AD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2CC29FB2" w14:textId="77777777" w:rsidTr="00B537E0">
        <w:trPr>
          <w:trHeight w:val="288"/>
        </w:trPr>
        <w:tc>
          <w:tcPr>
            <w:tcW w:w="554" w:type="pct"/>
            <w:noWrap/>
            <w:hideMark/>
          </w:tcPr>
          <w:p w14:paraId="0F5067DF"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Milner (2017) </w:t>
            </w:r>
          </w:p>
        </w:tc>
        <w:tc>
          <w:tcPr>
            <w:tcW w:w="521" w:type="pct"/>
            <w:noWrap/>
            <w:hideMark/>
          </w:tcPr>
          <w:p w14:paraId="1AAD98C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0CAB7B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4BF62AB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DD17C6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89E780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26F5AA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4F524F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2B97D3F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7AABD2C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26101342" w14:textId="77777777" w:rsidTr="00B537E0">
        <w:trPr>
          <w:trHeight w:val="288"/>
        </w:trPr>
        <w:tc>
          <w:tcPr>
            <w:tcW w:w="554" w:type="pct"/>
            <w:noWrap/>
            <w:hideMark/>
          </w:tcPr>
          <w:p w14:paraId="41754382"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lastRenderedPageBreak/>
              <w:t xml:space="preserve">Richards (2020) </w:t>
            </w:r>
          </w:p>
        </w:tc>
        <w:tc>
          <w:tcPr>
            <w:tcW w:w="521" w:type="pct"/>
            <w:noWrap/>
            <w:hideMark/>
          </w:tcPr>
          <w:p w14:paraId="4AABB5E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86D68E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585E62E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804EA7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FA4D4E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188F97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5ED7FA2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1EA406B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15A2EAA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613BABC" w14:textId="77777777" w:rsidTr="00B537E0">
        <w:trPr>
          <w:trHeight w:val="288"/>
        </w:trPr>
        <w:tc>
          <w:tcPr>
            <w:tcW w:w="554" w:type="pct"/>
            <w:noWrap/>
            <w:hideMark/>
          </w:tcPr>
          <w:p w14:paraId="51BF8C9D"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Richards et al. (2020)</w:t>
            </w:r>
          </w:p>
        </w:tc>
        <w:tc>
          <w:tcPr>
            <w:tcW w:w="521" w:type="pct"/>
            <w:noWrap/>
            <w:hideMark/>
          </w:tcPr>
          <w:p w14:paraId="3C82415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C12A74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2A88A3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6CA383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6DB7B9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D20E8A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28A539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6FB5AA8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275C2C1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83C8B9E" w14:textId="77777777" w:rsidTr="00B537E0">
        <w:trPr>
          <w:trHeight w:val="288"/>
        </w:trPr>
        <w:tc>
          <w:tcPr>
            <w:tcW w:w="554" w:type="pct"/>
            <w:noWrap/>
            <w:hideMark/>
          </w:tcPr>
          <w:p w14:paraId="0DEF6C02"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Sample et al. (2018) </w:t>
            </w:r>
          </w:p>
        </w:tc>
        <w:tc>
          <w:tcPr>
            <w:tcW w:w="521" w:type="pct"/>
            <w:noWrap/>
            <w:hideMark/>
          </w:tcPr>
          <w:p w14:paraId="350F349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36035C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3CFB04D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4F613F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6F67918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734638A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7F9999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6D85439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2C7ED19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0AA84987" w14:textId="77777777" w:rsidTr="00B537E0">
        <w:trPr>
          <w:trHeight w:val="288"/>
        </w:trPr>
        <w:tc>
          <w:tcPr>
            <w:tcW w:w="554" w:type="pct"/>
            <w:noWrap/>
            <w:hideMark/>
          </w:tcPr>
          <w:p w14:paraId="65C4F17B"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Scoones et al. (2012)</w:t>
            </w:r>
          </w:p>
        </w:tc>
        <w:tc>
          <w:tcPr>
            <w:tcW w:w="521" w:type="pct"/>
            <w:noWrap/>
            <w:hideMark/>
          </w:tcPr>
          <w:p w14:paraId="4F70E7A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973E80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E9A3AA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DC7E84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927226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D5F497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B93479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C2DECA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18DDA8F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6084791" w14:textId="77777777" w:rsidTr="00B537E0">
        <w:trPr>
          <w:trHeight w:val="288"/>
        </w:trPr>
        <w:tc>
          <w:tcPr>
            <w:tcW w:w="554" w:type="pct"/>
            <w:noWrap/>
            <w:hideMark/>
          </w:tcPr>
          <w:p w14:paraId="75197730"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Sowden &amp; Olver (2017) </w:t>
            </w:r>
          </w:p>
        </w:tc>
        <w:tc>
          <w:tcPr>
            <w:tcW w:w="521" w:type="pct"/>
            <w:noWrap/>
            <w:hideMark/>
          </w:tcPr>
          <w:p w14:paraId="6CFE60A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5CEB60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16299F1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5C8A43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D4FFB8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070B94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F80360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4A5799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1B3687E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124F6E69" w14:textId="77777777" w:rsidTr="00B537E0">
        <w:trPr>
          <w:trHeight w:val="288"/>
        </w:trPr>
        <w:tc>
          <w:tcPr>
            <w:tcW w:w="554" w:type="pct"/>
            <w:noWrap/>
            <w:hideMark/>
          </w:tcPr>
          <w:p w14:paraId="56AE4451"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Stansfield et al. (2019) </w:t>
            </w:r>
          </w:p>
        </w:tc>
        <w:tc>
          <w:tcPr>
            <w:tcW w:w="521" w:type="pct"/>
            <w:noWrap/>
            <w:hideMark/>
          </w:tcPr>
          <w:p w14:paraId="767FAB9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AE5D93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7ECA7FB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992C24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E33471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203B843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64C0EA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EDB840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5665969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46BB7118" w14:textId="77777777" w:rsidTr="00B537E0">
        <w:trPr>
          <w:trHeight w:val="288"/>
        </w:trPr>
        <w:tc>
          <w:tcPr>
            <w:tcW w:w="554" w:type="pct"/>
            <w:noWrap/>
            <w:hideMark/>
          </w:tcPr>
          <w:p w14:paraId="0C4B6B2B"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ten Bensel, &amp; Sample (2017) </w:t>
            </w:r>
          </w:p>
        </w:tc>
        <w:tc>
          <w:tcPr>
            <w:tcW w:w="521" w:type="pct"/>
            <w:noWrap/>
            <w:hideMark/>
          </w:tcPr>
          <w:p w14:paraId="445B0CD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409559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25269EB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5A37FF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C70E40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1E883F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01C313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7499D11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4BF6663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7E591D43" w14:textId="77777777" w:rsidTr="00B537E0">
        <w:trPr>
          <w:trHeight w:val="288"/>
        </w:trPr>
        <w:tc>
          <w:tcPr>
            <w:tcW w:w="554" w:type="pct"/>
            <w:noWrap/>
            <w:hideMark/>
          </w:tcPr>
          <w:p w14:paraId="1FEE72E6"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ten Bensel &amp; Sample (2019) </w:t>
            </w:r>
          </w:p>
        </w:tc>
        <w:tc>
          <w:tcPr>
            <w:tcW w:w="521" w:type="pct"/>
            <w:noWrap/>
            <w:hideMark/>
          </w:tcPr>
          <w:p w14:paraId="19BA987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6785FA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72F97F1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688ECE1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4984E55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A5F92D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F9170E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59A591E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3FDC37E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241FB409" w14:textId="77777777" w:rsidTr="00B537E0">
        <w:trPr>
          <w:trHeight w:val="288"/>
        </w:trPr>
        <w:tc>
          <w:tcPr>
            <w:tcW w:w="554" w:type="pct"/>
            <w:noWrap/>
            <w:hideMark/>
          </w:tcPr>
          <w:p w14:paraId="3BC481B6"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Walker et al. (2017) </w:t>
            </w:r>
          </w:p>
        </w:tc>
        <w:tc>
          <w:tcPr>
            <w:tcW w:w="521" w:type="pct"/>
            <w:noWrap/>
            <w:hideMark/>
          </w:tcPr>
          <w:p w14:paraId="7CB0EC0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A5B71E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112D8EF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BD1C69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59BB445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038FEF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59A294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262DDFE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48F2C29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498831DF" w14:textId="77777777" w:rsidTr="00B537E0">
        <w:trPr>
          <w:trHeight w:val="288"/>
        </w:trPr>
        <w:tc>
          <w:tcPr>
            <w:tcW w:w="554" w:type="pct"/>
            <w:noWrap/>
            <w:hideMark/>
          </w:tcPr>
          <w:p w14:paraId="6F4A71F1"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Willis &amp; Grace (2008) </w:t>
            </w:r>
          </w:p>
        </w:tc>
        <w:tc>
          <w:tcPr>
            <w:tcW w:w="521" w:type="pct"/>
            <w:noWrap/>
            <w:hideMark/>
          </w:tcPr>
          <w:p w14:paraId="16021EF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A6BB43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40EE6A5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5717D5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DE168B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0B7BEC1C"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C1DB2A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0A5BB1A0"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7AB9EB6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03CE629E" w14:textId="77777777" w:rsidTr="00B537E0">
        <w:trPr>
          <w:trHeight w:val="288"/>
        </w:trPr>
        <w:tc>
          <w:tcPr>
            <w:tcW w:w="554" w:type="pct"/>
            <w:noWrap/>
            <w:hideMark/>
          </w:tcPr>
          <w:p w14:paraId="08EE0A10"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Willis &amp; Grace (2009) </w:t>
            </w:r>
          </w:p>
        </w:tc>
        <w:tc>
          <w:tcPr>
            <w:tcW w:w="521" w:type="pct"/>
            <w:noWrap/>
            <w:hideMark/>
          </w:tcPr>
          <w:p w14:paraId="2F04B75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2F97E6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18734FC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1AC8194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97F658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7767D67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59BAA4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1FE0938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88" w:type="pct"/>
            <w:noWrap/>
            <w:hideMark/>
          </w:tcPr>
          <w:p w14:paraId="05896AA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24FBCC91" w14:textId="77777777" w:rsidTr="00B537E0">
        <w:trPr>
          <w:trHeight w:val="288"/>
        </w:trPr>
        <w:tc>
          <w:tcPr>
            <w:tcW w:w="554" w:type="pct"/>
            <w:noWrap/>
            <w:hideMark/>
          </w:tcPr>
          <w:p w14:paraId="1FA9ECDD"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Wilson et al. (2009) </w:t>
            </w:r>
          </w:p>
        </w:tc>
        <w:tc>
          <w:tcPr>
            <w:tcW w:w="521" w:type="pct"/>
            <w:noWrap/>
            <w:hideMark/>
          </w:tcPr>
          <w:p w14:paraId="54F0AD3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0328D3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1E5F8C0F"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528CED92"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382D6E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4D7A2B3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62D9912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4FA2AF1B"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2F247727"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2CD9240C" w14:textId="77777777" w:rsidTr="00B537E0">
        <w:trPr>
          <w:trHeight w:val="288"/>
        </w:trPr>
        <w:tc>
          <w:tcPr>
            <w:tcW w:w="554" w:type="pct"/>
            <w:noWrap/>
            <w:hideMark/>
          </w:tcPr>
          <w:p w14:paraId="6AE38F65"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Wilson et al. (2007) </w:t>
            </w:r>
          </w:p>
        </w:tc>
        <w:tc>
          <w:tcPr>
            <w:tcW w:w="521" w:type="pct"/>
            <w:noWrap/>
            <w:hideMark/>
          </w:tcPr>
          <w:p w14:paraId="370102CA"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3CD4C4D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4990548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4108AD5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04EFCA91"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7E3AC0DD"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2F05D43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0DAB64F4"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88" w:type="pct"/>
            <w:noWrap/>
            <w:hideMark/>
          </w:tcPr>
          <w:p w14:paraId="034C9ABE"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r w:rsidR="006A548A" w:rsidRPr="00BF6894" w14:paraId="59FE605B" w14:textId="77777777" w:rsidTr="00B537E0">
        <w:trPr>
          <w:trHeight w:val="288"/>
        </w:trPr>
        <w:tc>
          <w:tcPr>
            <w:tcW w:w="554" w:type="pct"/>
            <w:noWrap/>
            <w:hideMark/>
          </w:tcPr>
          <w:p w14:paraId="21489C9B" w14:textId="77777777" w:rsidR="006A548A" w:rsidRPr="004A361A" w:rsidRDefault="006A548A" w:rsidP="00B537E0">
            <w:pPr>
              <w:widowControl/>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 xml:space="preserve">Woodward (2018) </w:t>
            </w:r>
          </w:p>
        </w:tc>
        <w:tc>
          <w:tcPr>
            <w:tcW w:w="521" w:type="pct"/>
            <w:noWrap/>
            <w:hideMark/>
          </w:tcPr>
          <w:p w14:paraId="79ACB24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71407B6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72" w:type="pct"/>
            <w:noWrap/>
            <w:hideMark/>
          </w:tcPr>
          <w:p w14:paraId="51CAF303"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71D996C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Cannot tell</w:t>
            </w:r>
          </w:p>
        </w:tc>
        <w:tc>
          <w:tcPr>
            <w:tcW w:w="469" w:type="pct"/>
            <w:noWrap/>
            <w:hideMark/>
          </w:tcPr>
          <w:p w14:paraId="437A1E38"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8" w:type="pct"/>
            <w:noWrap/>
            <w:hideMark/>
          </w:tcPr>
          <w:p w14:paraId="3EE6209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469" w:type="pct"/>
            <w:noWrap/>
            <w:hideMark/>
          </w:tcPr>
          <w:p w14:paraId="1D7CF6F5"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c>
          <w:tcPr>
            <w:tcW w:w="521" w:type="pct"/>
            <w:noWrap/>
            <w:hideMark/>
          </w:tcPr>
          <w:p w14:paraId="5E1ACE06"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No</w:t>
            </w:r>
          </w:p>
        </w:tc>
        <w:tc>
          <w:tcPr>
            <w:tcW w:w="488" w:type="pct"/>
            <w:noWrap/>
            <w:hideMark/>
          </w:tcPr>
          <w:p w14:paraId="455E9EC9" w14:textId="77777777" w:rsidR="006A548A" w:rsidRPr="004A361A" w:rsidRDefault="006A548A" w:rsidP="00323394">
            <w:pPr>
              <w:widowControl/>
              <w:jc w:val="center"/>
              <w:rPr>
                <w:rFonts w:ascii="Times New Roman" w:eastAsiaTheme="minorHAnsi" w:hAnsi="Times New Roman" w:cs="Times New Roman"/>
                <w:sz w:val="20"/>
                <w:szCs w:val="20"/>
              </w:rPr>
            </w:pPr>
            <w:r w:rsidRPr="004A361A">
              <w:rPr>
                <w:rFonts w:ascii="Times New Roman" w:eastAsiaTheme="minorHAnsi" w:hAnsi="Times New Roman" w:cs="Times New Roman"/>
                <w:sz w:val="20"/>
                <w:szCs w:val="20"/>
              </w:rPr>
              <w:t>Yes</w:t>
            </w:r>
          </w:p>
        </w:tc>
      </w:tr>
    </w:tbl>
    <w:p w14:paraId="105B3885" w14:textId="77777777" w:rsidR="00E20C54" w:rsidRPr="00CA5D8A" w:rsidRDefault="00E20C54" w:rsidP="00E20C54">
      <w:pPr>
        <w:ind w:firstLine="0"/>
        <w:rPr>
          <w:i/>
          <w:iCs/>
          <w:sz w:val="20"/>
          <w:szCs w:val="20"/>
        </w:rPr>
      </w:pPr>
      <w:r w:rsidRPr="00CA5D8A">
        <w:rPr>
          <w:i/>
          <w:iCs/>
          <w:sz w:val="20"/>
          <w:szCs w:val="20"/>
        </w:rPr>
        <w:t xml:space="preserve">Note. </w:t>
      </w:r>
      <w:r w:rsidRPr="00CA5D8A">
        <w:rPr>
          <w:sz w:val="20"/>
          <w:szCs w:val="20"/>
        </w:rPr>
        <w:t>Adapted from</w:t>
      </w:r>
      <w:r w:rsidRPr="00CA5D8A">
        <w:rPr>
          <w:i/>
          <w:iCs/>
          <w:sz w:val="20"/>
          <w:szCs w:val="20"/>
        </w:rPr>
        <w:t xml:space="preserve"> </w:t>
      </w:r>
      <w:r w:rsidRPr="00CA5D8A">
        <w:rPr>
          <w:sz w:val="20"/>
          <w:szCs w:val="20"/>
        </w:rPr>
        <w:t>Critical Appraisal Skills Programme</w:t>
      </w:r>
      <w:r>
        <w:rPr>
          <w:sz w:val="20"/>
          <w:szCs w:val="20"/>
        </w:rPr>
        <w:t xml:space="preserve"> (</w:t>
      </w:r>
      <w:r w:rsidRPr="00CA5D8A">
        <w:rPr>
          <w:sz w:val="20"/>
          <w:szCs w:val="20"/>
        </w:rPr>
        <w:t>2019a, 2019c, 2019d, 2019e</w:t>
      </w:r>
      <w:r>
        <w:rPr>
          <w:sz w:val="20"/>
          <w:szCs w:val="20"/>
        </w:rPr>
        <w:t>)</w:t>
      </w:r>
    </w:p>
    <w:p w14:paraId="0EC36D03" w14:textId="77777777" w:rsidR="006A548A" w:rsidRPr="0061599D" w:rsidRDefault="006A548A" w:rsidP="006A548A">
      <w:pPr>
        <w:sectPr w:rsidR="006A548A" w:rsidRPr="0061599D" w:rsidSect="004034C0">
          <w:pgSz w:w="16838" w:h="11906" w:orient="landscape"/>
          <w:pgMar w:top="1440" w:right="1440" w:bottom="1440" w:left="1440" w:header="708" w:footer="708" w:gutter="0"/>
          <w:cols w:space="708"/>
          <w:docGrid w:linePitch="360"/>
        </w:sectPr>
      </w:pPr>
    </w:p>
    <w:p w14:paraId="7A39B96B" w14:textId="0E9D1110" w:rsidR="006A548A" w:rsidRPr="00BF6894" w:rsidRDefault="00705F49" w:rsidP="006A548A">
      <w:pPr>
        <w:pStyle w:val="Caption"/>
        <w:ind w:firstLine="0"/>
        <w:rPr>
          <w:rFonts w:eastAsia="Times New Roman"/>
          <w:i/>
          <w:iCs/>
        </w:rPr>
      </w:pPr>
      <w:bookmarkStart w:id="2" w:name="_Toc190377798"/>
      <w:r w:rsidRPr="007A0F4B">
        <w:lastRenderedPageBreak/>
        <w:t xml:space="preserve">Supplementary Material </w:t>
      </w:r>
      <w:r w:rsidR="006A548A" w:rsidRPr="00BF6894">
        <w:t xml:space="preserve">Table </w:t>
      </w:r>
      <w:r w:rsidR="00E70E69">
        <w:t>6</w:t>
      </w:r>
      <w:r w:rsidR="006A548A" w:rsidRPr="00BF6894">
        <w:br/>
      </w:r>
      <w:r w:rsidR="006A548A">
        <w:rPr>
          <w:rFonts w:eastAsia="Times New Roman"/>
          <w:b w:val="0"/>
          <w:bCs w:val="0"/>
          <w:i/>
          <w:iCs/>
        </w:rPr>
        <w:t xml:space="preserve">Identified Protective </w:t>
      </w:r>
      <w:r w:rsidR="006A548A" w:rsidRPr="00BF6894">
        <w:rPr>
          <w:rFonts w:eastAsia="Times New Roman"/>
          <w:b w:val="0"/>
          <w:bCs w:val="0"/>
          <w:i/>
          <w:iCs/>
        </w:rPr>
        <w:t xml:space="preserve">Mechanisms and Contributing </w:t>
      </w:r>
      <w:r w:rsidR="00953135">
        <w:rPr>
          <w:rFonts w:eastAsia="Times New Roman"/>
          <w:b w:val="0"/>
          <w:bCs w:val="0"/>
          <w:i/>
          <w:iCs/>
        </w:rPr>
        <w:t>Studies</w:t>
      </w:r>
      <w:r w:rsidR="006A548A" w:rsidRPr="00E22367">
        <w:rPr>
          <w:b w:val="0"/>
          <w:bCs w:val="0"/>
          <w:i/>
          <w:iCs/>
        </w:rPr>
        <w:t xml:space="preserve"> </w:t>
      </w:r>
      <w:r w:rsidR="006A548A">
        <w:rPr>
          <w:b w:val="0"/>
          <w:bCs w:val="0"/>
          <w:i/>
          <w:iCs/>
        </w:rPr>
        <w:t>(</w:t>
      </w:r>
      <w:r w:rsidR="006A548A" w:rsidRPr="00E22367">
        <w:rPr>
          <w:b w:val="0"/>
          <w:bCs w:val="0"/>
          <w:i/>
          <w:iCs/>
        </w:rPr>
        <w:t>N</w:t>
      </w:r>
      <w:r w:rsidR="006A548A" w:rsidRPr="00E22367">
        <w:rPr>
          <w:b w:val="0"/>
          <w:bCs w:val="0"/>
        </w:rPr>
        <w:t xml:space="preserve"> = </w:t>
      </w:r>
      <w:r w:rsidR="00953135">
        <w:rPr>
          <w:b w:val="0"/>
          <w:bCs w:val="0"/>
        </w:rPr>
        <w:t>29</w:t>
      </w:r>
      <w:r w:rsidR="006A548A">
        <w:rPr>
          <w:b w:val="0"/>
          <w:bCs w:val="0"/>
        </w:rPr>
        <w:t>)</w:t>
      </w:r>
      <w:bookmarkEnd w:id="2"/>
    </w:p>
    <w:tbl>
      <w:tblPr>
        <w:tblW w:w="0" w:type="auto"/>
        <w:tblBorders>
          <w:top w:val="single" w:sz="4" w:space="0" w:color="auto"/>
          <w:bottom w:val="single" w:sz="4" w:space="0" w:color="auto"/>
        </w:tblBorders>
        <w:tblLayout w:type="fixed"/>
        <w:tblLook w:val="04A0" w:firstRow="1" w:lastRow="0" w:firstColumn="1" w:lastColumn="0" w:noHBand="0" w:noVBand="1"/>
      </w:tblPr>
      <w:tblGrid>
        <w:gridCol w:w="2127"/>
        <w:gridCol w:w="1417"/>
        <w:gridCol w:w="1418"/>
        <w:gridCol w:w="1559"/>
        <w:gridCol w:w="1276"/>
        <w:gridCol w:w="1842"/>
        <w:gridCol w:w="1701"/>
        <w:gridCol w:w="1418"/>
        <w:gridCol w:w="1200"/>
      </w:tblGrid>
      <w:tr w:rsidR="004C1855" w:rsidRPr="00BF6894" w14:paraId="054480F4" w14:textId="77777777" w:rsidTr="00866934">
        <w:trPr>
          <w:trHeight w:val="288"/>
        </w:trPr>
        <w:tc>
          <w:tcPr>
            <w:tcW w:w="2127" w:type="dxa"/>
            <w:tcBorders>
              <w:top w:val="single" w:sz="4" w:space="0" w:color="auto"/>
            </w:tcBorders>
            <w:noWrap/>
          </w:tcPr>
          <w:p w14:paraId="3ED3B260" w14:textId="2582BE7E" w:rsidR="004C1855" w:rsidRPr="00BF6894" w:rsidRDefault="004C1855" w:rsidP="00B537E0">
            <w:pPr>
              <w:widowControl/>
              <w:spacing w:line="240" w:lineRule="auto"/>
              <w:ind w:firstLine="0"/>
              <w:rPr>
                <w:rFonts w:eastAsia="Times New Roman"/>
                <w:color w:val="000000"/>
              </w:rPr>
            </w:pPr>
            <w:r>
              <w:rPr>
                <w:rFonts w:eastAsia="Times New Roman"/>
                <w:color w:val="000000"/>
              </w:rPr>
              <w:t xml:space="preserve">Study </w:t>
            </w:r>
          </w:p>
        </w:tc>
        <w:tc>
          <w:tcPr>
            <w:tcW w:w="1417" w:type="dxa"/>
            <w:tcBorders>
              <w:top w:val="single" w:sz="4" w:space="0" w:color="auto"/>
            </w:tcBorders>
            <w:noWrap/>
          </w:tcPr>
          <w:p w14:paraId="5A6EECC8" w14:textId="71BB967A" w:rsidR="004C1855" w:rsidRPr="001250EC" w:rsidRDefault="004C1855" w:rsidP="00B537E0">
            <w:pPr>
              <w:widowControl/>
              <w:spacing w:line="240" w:lineRule="auto"/>
              <w:ind w:firstLine="0"/>
              <w:jc w:val="center"/>
              <w:rPr>
                <w:rFonts w:eastAsia="Times New Roman"/>
                <w:sz w:val="20"/>
                <w:szCs w:val="20"/>
              </w:rPr>
            </w:pPr>
            <w:r w:rsidRPr="001250EC">
              <w:rPr>
                <w:rFonts w:eastAsia="Times New Roman"/>
                <w:sz w:val="20"/>
                <w:szCs w:val="20"/>
              </w:rPr>
              <w:t xml:space="preserve">Prosocial Response to Formal Social Control </w:t>
            </w:r>
          </w:p>
        </w:tc>
        <w:tc>
          <w:tcPr>
            <w:tcW w:w="1418" w:type="dxa"/>
            <w:tcBorders>
              <w:top w:val="single" w:sz="4" w:space="0" w:color="auto"/>
            </w:tcBorders>
            <w:noWrap/>
          </w:tcPr>
          <w:p w14:paraId="6C7EA1AD" w14:textId="78F45FFF" w:rsidR="004C1855" w:rsidRPr="001250EC" w:rsidRDefault="004C1855" w:rsidP="00B537E0">
            <w:pPr>
              <w:widowControl/>
              <w:spacing w:line="240" w:lineRule="auto"/>
              <w:ind w:firstLine="0"/>
              <w:jc w:val="center"/>
              <w:rPr>
                <w:rFonts w:eastAsia="Times New Roman"/>
                <w:sz w:val="20"/>
                <w:szCs w:val="20"/>
              </w:rPr>
            </w:pPr>
            <w:r w:rsidRPr="001250EC">
              <w:rPr>
                <w:rFonts w:eastAsia="Times New Roman"/>
                <w:sz w:val="20"/>
                <w:szCs w:val="20"/>
              </w:rPr>
              <w:t>Positive Treatment Experiences</w:t>
            </w:r>
          </w:p>
        </w:tc>
        <w:tc>
          <w:tcPr>
            <w:tcW w:w="1559" w:type="dxa"/>
            <w:tcBorders>
              <w:top w:val="single" w:sz="4" w:space="0" w:color="auto"/>
            </w:tcBorders>
            <w:noWrap/>
          </w:tcPr>
          <w:p w14:paraId="510D4EB3" w14:textId="1289E7AE" w:rsidR="004C1855" w:rsidRPr="001250EC" w:rsidRDefault="004C1855" w:rsidP="00B537E0">
            <w:pPr>
              <w:widowControl/>
              <w:spacing w:line="240" w:lineRule="auto"/>
              <w:ind w:firstLine="0"/>
              <w:jc w:val="center"/>
              <w:rPr>
                <w:rFonts w:eastAsia="Times New Roman"/>
                <w:sz w:val="20"/>
                <w:szCs w:val="20"/>
              </w:rPr>
            </w:pPr>
            <w:r w:rsidRPr="001250EC">
              <w:rPr>
                <w:rFonts w:eastAsia="Times New Roman"/>
                <w:sz w:val="20"/>
                <w:szCs w:val="20"/>
              </w:rPr>
              <w:t>Development of Insight and Application of Understanding</w:t>
            </w:r>
          </w:p>
        </w:tc>
        <w:tc>
          <w:tcPr>
            <w:tcW w:w="1276" w:type="dxa"/>
            <w:tcBorders>
              <w:top w:val="single" w:sz="4" w:space="0" w:color="auto"/>
            </w:tcBorders>
            <w:noWrap/>
          </w:tcPr>
          <w:p w14:paraId="069115C1" w14:textId="6D7D19A7" w:rsidR="004C1855" w:rsidRPr="001250EC" w:rsidRDefault="004C1855" w:rsidP="00B537E0">
            <w:pPr>
              <w:widowControl/>
              <w:spacing w:line="240" w:lineRule="auto"/>
              <w:ind w:firstLine="0"/>
              <w:jc w:val="center"/>
              <w:rPr>
                <w:rFonts w:eastAsia="Times New Roman"/>
                <w:sz w:val="20"/>
                <w:szCs w:val="20"/>
              </w:rPr>
            </w:pPr>
            <w:r w:rsidRPr="001250EC">
              <w:rPr>
                <w:rFonts w:eastAsia="Times New Roman"/>
                <w:sz w:val="20"/>
                <w:szCs w:val="20"/>
              </w:rPr>
              <w:t>Strengthened Personal Agency</w:t>
            </w:r>
          </w:p>
        </w:tc>
        <w:tc>
          <w:tcPr>
            <w:tcW w:w="1842" w:type="dxa"/>
            <w:tcBorders>
              <w:top w:val="single" w:sz="4" w:space="0" w:color="auto"/>
            </w:tcBorders>
            <w:noWrap/>
          </w:tcPr>
          <w:p w14:paraId="06FC2FBC" w14:textId="3B05BEB9" w:rsidR="004C1855" w:rsidRPr="001250EC" w:rsidRDefault="004C1855" w:rsidP="00B537E0">
            <w:pPr>
              <w:widowControl/>
              <w:spacing w:line="240" w:lineRule="auto"/>
              <w:ind w:firstLine="0"/>
              <w:jc w:val="center"/>
              <w:rPr>
                <w:rFonts w:eastAsia="Times New Roman"/>
                <w:b/>
                <w:bCs/>
                <w:sz w:val="20"/>
                <w:szCs w:val="20"/>
              </w:rPr>
            </w:pPr>
            <w:r w:rsidRPr="001250EC">
              <w:rPr>
                <w:rFonts w:eastAsia="Times New Roman"/>
                <w:sz w:val="20"/>
                <w:szCs w:val="20"/>
              </w:rPr>
              <w:t>Social Support and Accountability to Social Networks</w:t>
            </w:r>
          </w:p>
        </w:tc>
        <w:tc>
          <w:tcPr>
            <w:tcW w:w="1701" w:type="dxa"/>
            <w:tcBorders>
              <w:top w:val="single" w:sz="4" w:space="0" w:color="auto"/>
            </w:tcBorders>
            <w:noWrap/>
          </w:tcPr>
          <w:p w14:paraId="13BFEFA1" w14:textId="220F2E25" w:rsidR="004C1855" w:rsidRPr="001250EC" w:rsidRDefault="004C1855" w:rsidP="00B537E0">
            <w:pPr>
              <w:widowControl/>
              <w:spacing w:line="240" w:lineRule="auto"/>
              <w:ind w:firstLine="0"/>
              <w:jc w:val="center"/>
              <w:rPr>
                <w:rFonts w:eastAsia="Times New Roman"/>
                <w:sz w:val="20"/>
                <w:szCs w:val="20"/>
              </w:rPr>
            </w:pPr>
            <w:r w:rsidRPr="001250EC">
              <w:rPr>
                <w:rFonts w:eastAsia="Times New Roman"/>
                <w:sz w:val="20"/>
                <w:szCs w:val="20"/>
              </w:rPr>
              <w:t>Living In Congruence with Values</w:t>
            </w:r>
          </w:p>
        </w:tc>
        <w:tc>
          <w:tcPr>
            <w:tcW w:w="1418" w:type="dxa"/>
            <w:tcBorders>
              <w:top w:val="single" w:sz="4" w:space="0" w:color="auto"/>
            </w:tcBorders>
            <w:noWrap/>
          </w:tcPr>
          <w:p w14:paraId="4558AD09" w14:textId="216261A5" w:rsidR="004C1855" w:rsidRPr="001250EC" w:rsidRDefault="004C1855" w:rsidP="00B537E0">
            <w:pPr>
              <w:widowControl/>
              <w:spacing w:line="240" w:lineRule="auto"/>
              <w:ind w:firstLine="0"/>
              <w:jc w:val="center"/>
              <w:rPr>
                <w:rFonts w:eastAsia="Times New Roman"/>
                <w:sz w:val="20"/>
                <w:szCs w:val="20"/>
              </w:rPr>
            </w:pPr>
            <w:r w:rsidRPr="001250EC">
              <w:rPr>
                <w:rFonts w:eastAsia="Times New Roman"/>
                <w:sz w:val="20"/>
                <w:szCs w:val="20"/>
              </w:rPr>
              <w:t>Desistance By Deterrence</w:t>
            </w:r>
          </w:p>
        </w:tc>
        <w:tc>
          <w:tcPr>
            <w:tcW w:w="1200" w:type="dxa"/>
            <w:tcBorders>
              <w:top w:val="single" w:sz="4" w:space="0" w:color="auto"/>
            </w:tcBorders>
            <w:noWrap/>
          </w:tcPr>
          <w:p w14:paraId="75F2F8ED" w14:textId="12670CFF" w:rsidR="004C1855" w:rsidRPr="001250EC" w:rsidRDefault="004C1855" w:rsidP="00B537E0">
            <w:pPr>
              <w:widowControl/>
              <w:spacing w:line="240" w:lineRule="auto"/>
              <w:ind w:firstLine="0"/>
              <w:jc w:val="center"/>
              <w:rPr>
                <w:rFonts w:eastAsia="Times New Roman"/>
                <w:sz w:val="20"/>
                <w:szCs w:val="20"/>
              </w:rPr>
            </w:pPr>
            <w:r w:rsidRPr="001250EC">
              <w:rPr>
                <w:rFonts w:eastAsia="Times New Roman"/>
                <w:sz w:val="20"/>
                <w:szCs w:val="20"/>
              </w:rPr>
              <w:t>Natural Desistance</w:t>
            </w:r>
          </w:p>
        </w:tc>
      </w:tr>
      <w:tr w:rsidR="001250EC" w:rsidRPr="00BF6894" w14:paraId="0364420F" w14:textId="77777777" w:rsidTr="00866934">
        <w:trPr>
          <w:trHeight w:val="288"/>
        </w:trPr>
        <w:tc>
          <w:tcPr>
            <w:tcW w:w="2127" w:type="dxa"/>
            <w:tcBorders>
              <w:top w:val="single" w:sz="4" w:space="0" w:color="auto"/>
            </w:tcBorders>
            <w:noWrap/>
            <w:hideMark/>
          </w:tcPr>
          <w:p w14:paraId="38478DCD"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Bartle (2012)</w:t>
            </w:r>
          </w:p>
        </w:tc>
        <w:tc>
          <w:tcPr>
            <w:tcW w:w="1417" w:type="dxa"/>
            <w:tcBorders>
              <w:top w:val="single" w:sz="4" w:space="0" w:color="auto"/>
            </w:tcBorders>
            <w:noWrap/>
            <w:hideMark/>
          </w:tcPr>
          <w:p w14:paraId="2C17C9A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tcBorders>
              <w:top w:val="single" w:sz="4" w:space="0" w:color="auto"/>
            </w:tcBorders>
            <w:noWrap/>
            <w:hideMark/>
          </w:tcPr>
          <w:p w14:paraId="27A05095"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tcBorders>
              <w:top w:val="single" w:sz="4" w:space="0" w:color="auto"/>
            </w:tcBorders>
            <w:noWrap/>
            <w:hideMark/>
          </w:tcPr>
          <w:p w14:paraId="4C40251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tcBorders>
              <w:top w:val="single" w:sz="4" w:space="0" w:color="auto"/>
            </w:tcBorders>
            <w:noWrap/>
            <w:hideMark/>
          </w:tcPr>
          <w:p w14:paraId="53DBCFB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tcBorders>
              <w:top w:val="single" w:sz="4" w:space="0" w:color="auto"/>
            </w:tcBorders>
            <w:noWrap/>
            <w:hideMark/>
          </w:tcPr>
          <w:p w14:paraId="32BBF8E5"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tcBorders>
              <w:top w:val="single" w:sz="4" w:space="0" w:color="auto"/>
            </w:tcBorders>
            <w:noWrap/>
            <w:hideMark/>
          </w:tcPr>
          <w:p w14:paraId="70482E1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tcBorders>
              <w:top w:val="single" w:sz="4" w:space="0" w:color="auto"/>
            </w:tcBorders>
            <w:noWrap/>
            <w:hideMark/>
          </w:tcPr>
          <w:p w14:paraId="1C1E5FA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tcBorders>
              <w:top w:val="single" w:sz="4" w:space="0" w:color="auto"/>
            </w:tcBorders>
            <w:noWrap/>
            <w:hideMark/>
          </w:tcPr>
          <w:p w14:paraId="5448AEB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r>
      <w:tr w:rsidR="001250EC" w:rsidRPr="00BF6894" w14:paraId="0A8B45F0" w14:textId="77777777" w:rsidTr="00866934">
        <w:trPr>
          <w:trHeight w:val="288"/>
        </w:trPr>
        <w:tc>
          <w:tcPr>
            <w:tcW w:w="2127" w:type="dxa"/>
            <w:noWrap/>
            <w:hideMark/>
          </w:tcPr>
          <w:p w14:paraId="14C548B8"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Bates et al. (2012)</w:t>
            </w:r>
          </w:p>
        </w:tc>
        <w:tc>
          <w:tcPr>
            <w:tcW w:w="1417" w:type="dxa"/>
            <w:noWrap/>
            <w:hideMark/>
          </w:tcPr>
          <w:p w14:paraId="6F83804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22DDF26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37A9FB2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0F15639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429B19F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5340A8DF"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729B420F"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49422B7D" w14:textId="77777777" w:rsidR="00BE5D53" w:rsidRPr="00BF6894" w:rsidRDefault="00BE5D53" w:rsidP="00B537E0">
            <w:pPr>
              <w:widowControl/>
              <w:spacing w:line="240" w:lineRule="auto"/>
              <w:ind w:firstLine="0"/>
              <w:jc w:val="center"/>
              <w:rPr>
                <w:rFonts w:eastAsia="Times New Roman"/>
              </w:rPr>
            </w:pPr>
          </w:p>
        </w:tc>
      </w:tr>
      <w:tr w:rsidR="001250EC" w:rsidRPr="00BF6894" w14:paraId="0ADA5DC3" w14:textId="77777777" w:rsidTr="00866934">
        <w:trPr>
          <w:trHeight w:val="288"/>
        </w:trPr>
        <w:tc>
          <w:tcPr>
            <w:tcW w:w="2127" w:type="dxa"/>
            <w:noWrap/>
            <w:hideMark/>
          </w:tcPr>
          <w:p w14:paraId="475D7152"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Bates et al. (2014)</w:t>
            </w:r>
          </w:p>
        </w:tc>
        <w:tc>
          <w:tcPr>
            <w:tcW w:w="1417" w:type="dxa"/>
            <w:noWrap/>
            <w:hideMark/>
          </w:tcPr>
          <w:p w14:paraId="66D130B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02464209"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5C60022C"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6A4046F3"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3EEEB78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6702F14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6EE548E"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302EB4C9" w14:textId="77777777" w:rsidR="00BE5D53" w:rsidRPr="00BF6894" w:rsidRDefault="00BE5D53" w:rsidP="00B537E0">
            <w:pPr>
              <w:widowControl/>
              <w:spacing w:line="240" w:lineRule="auto"/>
              <w:ind w:firstLine="0"/>
              <w:jc w:val="center"/>
              <w:rPr>
                <w:rFonts w:eastAsia="Times New Roman"/>
              </w:rPr>
            </w:pPr>
          </w:p>
        </w:tc>
      </w:tr>
      <w:tr w:rsidR="001250EC" w:rsidRPr="00BF6894" w14:paraId="4F24D8F4" w14:textId="77777777" w:rsidTr="00866934">
        <w:trPr>
          <w:trHeight w:val="299"/>
        </w:trPr>
        <w:tc>
          <w:tcPr>
            <w:tcW w:w="2127" w:type="dxa"/>
            <w:noWrap/>
            <w:hideMark/>
          </w:tcPr>
          <w:p w14:paraId="5146D84C"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Bohmert et al. (2018)</w:t>
            </w:r>
          </w:p>
        </w:tc>
        <w:tc>
          <w:tcPr>
            <w:tcW w:w="1417" w:type="dxa"/>
            <w:noWrap/>
            <w:hideMark/>
          </w:tcPr>
          <w:p w14:paraId="25E4AE6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51039A9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124F097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7D2A2BC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55DEA1E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58F5D356"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69B981D3"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0CB677F6" w14:textId="77777777" w:rsidR="00BE5D53" w:rsidRPr="00BF6894" w:rsidRDefault="00BE5D53" w:rsidP="00B537E0">
            <w:pPr>
              <w:widowControl/>
              <w:spacing w:line="240" w:lineRule="auto"/>
              <w:ind w:firstLine="0"/>
              <w:jc w:val="center"/>
              <w:rPr>
                <w:rFonts w:eastAsia="Times New Roman"/>
              </w:rPr>
            </w:pPr>
          </w:p>
        </w:tc>
      </w:tr>
      <w:tr w:rsidR="001250EC" w:rsidRPr="00BF6894" w14:paraId="2928381D" w14:textId="77777777" w:rsidTr="00866934">
        <w:trPr>
          <w:trHeight w:val="288"/>
        </w:trPr>
        <w:tc>
          <w:tcPr>
            <w:tcW w:w="2127" w:type="dxa"/>
            <w:noWrap/>
            <w:hideMark/>
          </w:tcPr>
          <w:p w14:paraId="54817455" w14:textId="77777777" w:rsidR="00BE5D53" w:rsidRPr="00A455A1" w:rsidRDefault="00BE5D53" w:rsidP="00B537E0">
            <w:pPr>
              <w:widowControl/>
              <w:spacing w:line="240" w:lineRule="auto"/>
              <w:ind w:firstLine="0"/>
              <w:rPr>
                <w:rFonts w:eastAsia="Times New Roman"/>
                <w:sz w:val="22"/>
                <w:szCs w:val="22"/>
              </w:rPr>
            </w:pPr>
            <w:proofErr w:type="spellStart"/>
            <w:r w:rsidRPr="00A455A1">
              <w:rPr>
                <w:rFonts w:eastAsia="Times New Roman"/>
                <w:color w:val="000000"/>
                <w:sz w:val="22"/>
                <w:szCs w:val="22"/>
              </w:rPr>
              <w:t>Cesaroni</w:t>
            </w:r>
            <w:proofErr w:type="spellEnd"/>
            <w:r w:rsidRPr="00A455A1">
              <w:rPr>
                <w:rFonts w:eastAsia="Times New Roman"/>
                <w:color w:val="000000"/>
                <w:sz w:val="22"/>
                <w:szCs w:val="22"/>
              </w:rPr>
              <w:t xml:space="preserve"> (2001)</w:t>
            </w:r>
          </w:p>
        </w:tc>
        <w:tc>
          <w:tcPr>
            <w:tcW w:w="1417" w:type="dxa"/>
            <w:noWrap/>
            <w:hideMark/>
          </w:tcPr>
          <w:p w14:paraId="0558CA4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3A55DB9E"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0AD7089B"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7671CB5E"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0693C3A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6DC64DF6"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6BA9C436"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6AD9308B" w14:textId="77777777" w:rsidR="00BE5D53" w:rsidRPr="00BF6894" w:rsidRDefault="00BE5D53" w:rsidP="00B537E0">
            <w:pPr>
              <w:widowControl/>
              <w:spacing w:line="240" w:lineRule="auto"/>
              <w:ind w:firstLine="0"/>
              <w:jc w:val="center"/>
              <w:rPr>
                <w:rFonts w:eastAsia="Times New Roman"/>
              </w:rPr>
            </w:pPr>
          </w:p>
        </w:tc>
      </w:tr>
      <w:tr w:rsidR="001250EC" w:rsidRPr="00BF6894" w14:paraId="375CD5ED" w14:textId="77777777" w:rsidTr="00866934">
        <w:trPr>
          <w:trHeight w:val="288"/>
        </w:trPr>
        <w:tc>
          <w:tcPr>
            <w:tcW w:w="2127" w:type="dxa"/>
            <w:noWrap/>
            <w:hideMark/>
          </w:tcPr>
          <w:p w14:paraId="438506A8"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Cooley (2020)</w:t>
            </w:r>
          </w:p>
        </w:tc>
        <w:tc>
          <w:tcPr>
            <w:tcW w:w="1417" w:type="dxa"/>
            <w:noWrap/>
            <w:hideMark/>
          </w:tcPr>
          <w:p w14:paraId="615D32EC"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4F77640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3245F1C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405A56A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64BC5229"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27A8DFE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14A1DE0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20CEC4B3" w14:textId="77777777" w:rsidR="00BE5D53" w:rsidRPr="00BF6894" w:rsidRDefault="00BE5D53" w:rsidP="00B537E0">
            <w:pPr>
              <w:widowControl/>
              <w:spacing w:line="240" w:lineRule="auto"/>
              <w:ind w:firstLine="0"/>
              <w:jc w:val="center"/>
              <w:rPr>
                <w:rFonts w:eastAsia="Times New Roman"/>
              </w:rPr>
            </w:pPr>
          </w:p>
        </w:tc>
      </w:tr>
      <w:tr w:rsidR="001250EC" w:rsidRPr="00BF6894" w14:paraId="06E5F2EB" w14:textId="77777777" w:rsidTr="00866934">
        <w:trPr>
          <w:trHeight w:val="288"/>
        </w:trPr>
        <w:tc>
          <w:tcPr>
            <w:tcW w:w="2127" w:type="dxa"/>
            <w:noWrap/>
            <w:hideMark/>
          </w:tcPr>
          <w:p w14:paraId="173E9D25"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Cooley et al. (2017)</w:t>
            </w:r>
          </w:p>
        </w:tc>
        <w:tc>
          <w:tcPr>
            <w:tcW w:w="1417" w:type="dxa"/>
            <w:noWrap/>
            <w:hideMark/>
          </w:tcPr>
          <w:p w14:paraId="581F526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44A941F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2C536C1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17661795"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42A35A3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0FC8B47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21C013D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60C529EA" w14:textId="77777777" w:rsidR="00BE5D53" w:rsidRPr="00BF6894" w:rsidRDefault="00BE5D53" w:rsidP="00B537E0">
            <w:pPr>
              <w:widowControl/>
              <w:spacing w:line="240" w:lineRule="auto"/>
              <w:ind w:firstLine="0"/>
              <w:jc w:val="center"/>
              <w:rPr>
                <w:rFonts w:eastAsia="Times New Roman"/>
              </w:rPr>
            </w:pPr>
          </w:p>
        </w:tc>
      </w:tr>
      <w:tr w:rsidR="001250EC" w:rsidRPr="00BF6894" w14:paraId="70111131" w14:textId="77777777" w:rsidTr="00866934">
        <w:trPr>
          <w:trHeight w:val="288"/>
        </w:trPr>
        <w:tc>
          <w:tcPr>
            <w:tcW w:w="2127" w:type="dxa"/>
            <w:noWrap/>
            <w:hideMark/>
          </w:tcPr>
          <w:p w14:paraId="53588815"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Cooley and Sample (2018)</w:t>
            </w:r>
          </w:p>
        </w:tc>
        <w:tc>
          <w:tcPr>
            <w:tcW w:w="1417" w:type="dxa"/>
            <w:noWrap/>
            <w:hideMark/>
          </w:tcPr>
          <w:p w14:paraId="066971B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163D068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3E310D1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7AD0ECB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3C16513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3F36AD4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2FA2782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06E73CB8" w14:textId="77777777" w:rsidR="00BE5D53" w:rsidRPr="00BF6894" w:rsidRDefault="00BE5D53" w:rsidP="00B537E0">
            <w:pPr>
              <w:widowControl/>
              <w:spacing w:line="240" w:lineRule="auto"/>
              <w:ind w:firstLine="0"/>
              <w:jc w:val="center"/>
              <w:rPr>
                <w:rFonts w:eastAsia="Times New Roman"/>
              </w:rPr>
            </w:pPr>
          </w:p>
        </w:tc>
      </w:tr>
      <w:tr w:rsidR="001250EC" w:rsidRPr="00BF6894" w14:paraId="44521F52" w14:textId="77777777" w:rsidTr="00866934">
        <w:trPr>
          <w:trHeight w:val="288"/>
        </w:trPr>
        <w:tc>
          <w:tcPr>
            <w:tcW w:w="2127" w:type="dxa"/>
            <w:noWrap/>
            <w:hideMark/>
          </w:tcPr>
          <w:p w14:paraId="12CC6ADF"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Duwe and Donnay (2008)</w:t>
            </w:r>
          </w:p>
        </w:tc>
        <w:tc>
          <w:tcPr>
            <w:tcW w:w="1417" w:type="dxa"/>
            <w:noWrap/>
            <w:hideMark/>
          </w:tcPr>
          <w:p w14:paraId="472CAB8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17BC3A13"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2B0CA5F3"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1F4713DA"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04D14AFF" w14:textId="77777777" w:rsidR="00BE5D53" w:rsidRPr="00BF6894" w:rsidRDefault="00BE5D53" w:rsidP="00B537E0">
            <w:pPr>
              <w:widowControl/>
              <w:spacing w:line="240" w:lineRule="auto"/>
              <w:ind w:firstLine="0"/>
              <w:jc w:val="center"/>
              <w:rPr>
                <w:rFonts w:eastAsia="Times New Roman"/>
              </w:rPr>
            </w:pPr>
          </w:p>
        </w:tc>
        <w:tc>
          <w:tcPr>
            <w:tcW w:w="1701" w:type="dxa"/>
            <w:noWrap/>
            <w:hideMark/>
          </w:tcPr>
          <w:p w14:paraId="6C36BFF9"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0B6F9B29"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53A0365B" w14:textId="77777777" w:rsidR="00BE5D53" w:rsidRPr="00BF6894" w:rsidRDefault="00BE5D53" w:rsidP="00B537E0">
            <w:pPr>
              <w:widowControl/>
              <w:spacing w:line="240" w:lineRule="auto"/>
              <w:ind w:firstLine="0"/>
              <w:jc w:val="center"/>
              <w:rPr>
                <w:rFonts w:eastAsia="Times New Roman"/>
              </w:rPr>
            </w:pPr>
          </w:p>
        </w:tc>
      </w:tr>
      <w:tr w:rsidR="001250EC" w:rsidRPr="00BF6894" w14:paraId="14A8C62F" w14:textId="77777777" w:rsidTr="00866934">
        <w:trPr>
          <w:trHeight w:val="288"/>
        </w:trPr>
        <w:tc>
          <w:tcPr>
            <w:tcW w:w="2127" w:type="dxa"/>
            <w:noWrap/>
            <w:hideMark/>
          </w:tcPr>
          <w:p w14:paraId="11FBE103"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Farmer et al. (2012)</w:t>
            </w:r>
          </w:p>
        </w:tc>
        <w:tc>
          <w:tcPr>
            <w:tcW w:w="1417" w:type="dxa"/>
            <w:noWrap/>
            <w:hideMark/>
          </w:tcPr>
          <w:p w14:paraId="06F3EE0F"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5700713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47052F6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2CF8D1D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609636B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7DBEB52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18382708"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3D3E289C" w14:textId="77777777" w:rsidR="00BE5D53" w:rsidRPr="00BF6894" w:rsidRDefault="00BE5D53" w:rsidP="00B537E0">
            <w:pPr>
              <w:widowControl/>
              <w:spacing w:line="240" w:lineRule="auto"/>
              <w:ind w:firstLine="0"/>
              <w:jc w:val="center"/>
              <w:rPr>
                <w:rFonts w:eastAsia="Times New Roman"/>
              </w:rPr>
            </w:pPr>
          </w:p>
        </w:tc>
      </w:tr>
      <w:tr w:rsidR="001250EC" w:rsidRPr="00BF6894" w14:paraId="6B97487F" w14:textId="77777777" w:rsidTr="00866934">
        <w:trPr>
          <w:trHeight w:val="288"/>
        </w:trPr>
        <w:tc>
          <w:tcPr>
            <w:tcW w:w="2127" w:type="dxa"/>
            <w:noWrap/>
            <w:hideMark/>
          </w:tcPr>
          <w:p w14:paraId="7027415F"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Farmer et al. (2015)</w:t>
            </w:r>
          </w:p>
        </w:tc>
        <w:tc>
          <w:tcPr>
            <w:tcW w:w="1417" w:type="dxa"/>
            <w:noWrap/>
            <w:hideMark/>
          </w:tcPr>
          <w:p w14:paraId="2D03BA19"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030709C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400FEA9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3DA6A88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3D9B0F9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00B1EC9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44CD794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19B26347" w14:textId="77777777" w:rsidR="00BE5D53" w:rsidRPr="00BF6894" w:rsidRDefault="00BE5D53" w:rsidP="00B537E0">
            <w:pPr>
              <w:widowControl/>
              <w:spacing w:line="240" w:lineRule="auto"/>
              <w:ind w:firstLine="0"/>
              <w:jc w:val="center"/>
              <w:rPr>
                <w:rFonts w:eastAsia="Times New Roman"/>
              </w:rPr>
            </w:pPr>
          </w:p>
        </w:tc>
      </w:tr>
      <w:tr w:rsidR="001250EC" w:rsidRPr="00BF6894" w14:paraId="717AC92F" w14:textId="77777777" w:rsidTr="00866934">
        <w:trPr>
          <w:trHeight w:val="288"/>
        </w:trPr>
        <w:tc>
          <w:tcPr>
            <w:tcW w:w="2127" w:type="dxa"/>
            <w:noWrap/>
            <w:hideMark/>
          </w:tcPr>
          <w:p w14:paraId="17B7188C"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Farmer et al. (2016)</w:t>
            </w:r>
          </w:p>
        </w:tc>
        <w:tc>
          <w:tcPr>
            <w:tcW w:w="1417" w:type="dxa"/>
            <w:noWrap/>
            <w:hideMark/>
          </w:tcPr>
          <w:p w14:paraId="66356B34"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2A5E9A8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0A5A474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446DC876"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42B023E5" w14:textId="77777777" w:rsidR="00BE5D53" w:rsidRPr="00BF6894" w:rsidRDefault="00BE5D53" w:rsidP="00B537E0">
            <w:pPr>
              <w:widowControl/>
              <w:spacing w:line="240" w:lineRule="auto"/>
              <w:ind w:firstLine="0"/>
              <w:jc w:val="center"/>
              <w:rPr>
                <w:rFonts w:eastAsia="Times New Roman"/>
              </w:rPr>
            </w:pPr>
          </w:p>
        </w:tc>
        <w:tc>
          <w:tcPr>
            <w:tcW w:w="1701" w:type="dxa"/>
            <w:noWrap/>
            <w:hideMark/>
          </w:tcPr>
          <w:p w14:paraId="7A5DD78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D22B0A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36E1049D" w14:textId="77777777" w:rsidR="00BE5D53" w:rsidRPr="00BF6894" w:rsidRDefault="00BE5D53" w:rsidP="00B537E0">
            <w:pPr>
              <w:widowControl/>
              <w:spacing w:line="240" w:lineRule="auto"/>
              <w:ind w:firstLine="0"/>
              <w:jc w:val="center"/>
              <w:rPr>
                <w:rFonts w:eastAsia="Times New Roman"/>
              </w:rPr>
            </w:pPr>
          </w:p>
        </w:tc>
      </w:tr>
      <w:tr w:rsidR="001250EC" w:rsidRPr="00BF6894" w14:paraId="5CF15644" w14:textId="77777777" w:rsidTr="00866934">
        <w:trPr>
          <w:trHeight w:val="288"/>
        </w:trPr>
        <w:tc>
          <w:tcPr>
            <w:tcW w:w="2127" w:type="dxa"/>
            <w:noWrap/>
            <w:hideMark/>
          </w:tcPr>
          <w:p w14:paraId="6A3507C5"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Harris (2014)</w:t>
            </w:r>
          </w:p>
        </w:tc>
        <w:tc>
          <w:tcPr>
            <w:tcW w:w="1417" w:type="dxa"/>
            <w:noWrap/>
            <w:hideMark/>
          </w:tcPr>
          <w:p w14:paraId="0F7807EE"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0AD4F681"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2701597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79D17F85"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7515FCF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6797507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32F8093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7085ED6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r>
      <w:tr w:rsidR="001250EC" w:rsidRPr="00BF6894" w14:paraId="0A6301E0" w14:textId="77777777" w:rsidTr="00866934">
        <w:trPr>
          <w:trHeight w:val="288"/>
        </w:trPr>
        <w:tc>
          <w:tcPr>
            <w:tcW w:w="2127" w:type="dxa"/>
            <w:noWrap/>
            <w:hideMark/>
          </w:tcPr>
          <w:p w14:paraId="32241E0F"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Harris (2016)</w:t>
            </w:r>
          </w:p>
        </w:tc>
        <w:tc>
          <w:tcPr>
            <w:tcW w:w="1417" w:type="dxa"/>
            <w:noWrap/>
            <w:hideMark/>
          </w:tcPr>
          <w:p w14:paraId="2EA2005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17F3C9B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7E8F6A71"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5EF36AE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3B58476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44B90CF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0A326C6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4B7609C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r>
      <w:tr w:rsidR="001250EC" w:rsidRPr="00BF6894" w14:paraId="498A0DDD" w14:textId="77777777" w:rsidTr="00866934">
        <w:trPr>
          <w:trHeight w:val="288"/>
        </w:trPr>
        <w:tc>
          <w:tcPr>
            <w:tcW w:w="2127" w:type="dxa"/>
            <w:noWrap/>
            <w:hideMark/>
          </w:tcPr>
          <w:p w14:paraId="57509C95"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Harris (2017a)</w:t>
            </w:r>
          </w:p>
        </w:tc>
        <w:tc>
          <w:tcPr>
            <w:tcW w:w="1417" w:type="dxa"/>
            <w:noWrap/>
            <w:hideMark/>
          </w:tcPr>
          <w:p w14:paraId="4A93E355"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2685209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5C407CE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310566C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3745334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74CD8AE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0C56A4C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72FC0649"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r>
      <w:tr w:rsidR="001250EC" w:rsidRPr="00BF6894" w14:paraId="37C61584" w14:textId="77777777" w:rsidTr="00866934">
        <w:trPr>
          <w:trHeight w:val="288"/>
        </w:trPr>
        <w:tc>
          <w:tcPr>
            <w:tcW w:w="2127" w:type="dxa"/>
            <w:noWrap/>
            <w:hideMark/>
          </w:tcPr>
          <w:p w14:paraId="291EEF79"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Harris et al. (2017)</w:t>
            </w:r>
          </w:p>
        </w:tc>
        <w:tc>
          <w:tcPr>
            <w:tcW w:w="1417" w:type="dxa"/>
            <w:noWrap/>
            <w:hideMark/>
          </w:tcPr>
          <w:p w14:paraId="22D5B36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B4F291C"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26E92311"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58F2FB7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7CA52E0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67E4F9F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565791EA"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78859585" w14:textId="77777777" w:rsidR="00BE5D53" w:rsidRPr="00BF6894" w:rsidRDefault="00BE5D53" w:rsidP="00B537E0">
            <w:pPr>
              <w:widowControl/>
              <w:spacing w:line="240" w:lineRule="auto"/>
              <w:ind w:firstLine="0"/>
              <w:jc w:val="center"/>
              <w:rPr>
                <w:rFonts w:eastAsia="Times New Roman"/>
              </w:rPr>
            </w:pPr>
          </w:p>
        </w:tc>
      </w:tr>
      <w:tr w:rsidR="001250EC" w:rsidRPr="00BF6894" w14:paraId="27E4E741" w14:textId="77777777" w:rsidTr="00866934">
        <w:trPr>
          <w:trHeight w:val="288"/>
        </w:trPr>
        <w:tc>
          <w:tcPr>
            <w:tcW w:w="2127" w:type="dxa"/>
            <w:noWrap/>
            <w:hideMark/>
          </w:tcPr>
          <w:p w14:paraId="7D0AE46C"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Harris et al. (2019)</w:t>
            </w:r>
          </w:p>
        </w:tc>
        <w:tc>
          <w:tcPr>
            <w:tcW w:w="1417" w:type="dxa"/>
            <w:noWrap/>
            <w:hideMark/>
          </w:tcPr>
          <w:p w14:paraId="25E9EB5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19F51B1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6B1C9EE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4408556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0EC0989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0DAAF31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23B593E"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69DB94B6" w14:textId="77777777" w:rsidR="00BE5D53" w:rsidRPr="00BF6894" w:rsidRDefault="00BE5D53" w:rsidP="00B537E0">
            <w:pPr>
              <w:widowControl/>
              <w:spacing w:line="240" w:lineRule="auto"/>
              <w:ind w:firstLine="0"/>
              <w:jc w:val="center"/>
              <w:rPr>
                <w:rFonts w:eastAsia="Times New Roman"/>
              </w:rPr>
            </w:pPr>
          </w:p>
        </w:tc>
      </w:tr>
      <w:tr w:rsidR="001250EC" w:rsidRPr="00BF6894" w14:paraId="0D4B763E" w14:textId="77777777" w:rsidTr="00866934">
        <w:trPr>
          <w:trHeight w:val="288"/>
        </w:trPr>
        <w:tc>
          <w:tcPr>
            <w:tcW w:w="2127" w:type="dxa"/>
            <w:noWrap/>
            <w:hideMark/>
          </w:tcPr>
          <w:p w14:paraId="75BC9C6C"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Harris and Levenson (2021)</w:t>
            </w:r>
          </w:p>
        </w:tc>
        <w:tc>
          <w:tcPr>
            <w:tcW w:w="1417" w:type="dxa"/>
            <w:noWrap/>
            <w:hideMark/>
          </w:tcPr>
          <w:p w14:paraId="5FC9E04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5EAF00F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7AC46AB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5C3E61F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60413431"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407C387B"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788FAA1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3A7DF5CC" w14:textId="77777777" w:rsidR="00BE5D53" w:rsidRPr="00BF6894" w:rsidRDefault="00BE5D53" w:rsidP="00B537E0">
            <w:pPr>
              <w:widowControl/>
              <w:spacing w:line="240" w:lineRule="auto"/>
              <w:ind w:firstLine="0"/>
              <w:jc w:val="center"/>
              <w:rPr>
                <w:rFonts w:eastAsia="Times New Roman"/>
              </w:rPr>
            </w:pPr>
          </w:p>
        </w:tc>
      </w:tr>
      <w:tr w:rsidR="001250EC" w:rsidRPr="00BF6894" w14:paraId="4A3738B4" w14:textId="77777777" w:rsidTr="00866934">
        <w:trPr>
          <w:trHeight w:val="288"/>
        </w:trPr>
        <w:tc>
          <w:tcPr>
            <w:tcW w:w="2127" w:type="dxa"/>
            <w:noWrap/>
            <w:hideMark/>
          </w:tcPr>
          <w:p w14:paraId="67E4C91B" w14:textId="77777777" w:rsidR="00BE5D53" w:rsidRPr="00A455A1" w:rsidRDefault="00BE5D53" w:rsidP="00B537E0">
            <w:pPr>
              <w:widowControl/>
              <w:spacing w:line="240" w:lineRule="auto"/>
              <w:ind w:firstLine="0"/>
              <w:rPr>
                <w:rFonts w:eastAsia="Times New Roman"/>
                <w:sz w:val="22"/>
                <w:szCs w:val="22"/>
              </w:rPr>
            </w:pPr>
            <w:proofErr w:type="spellStart"/>
            <w:r w:rsidRPr="00A455A1">
              <w:rPr>
                <w:rFonts w:eastAsia="Times New Roman"/>
                <w:color w:val="000000"/>
                <w:sz w:val="22"/>
                <w:szCs w:val="22"/>
              </w:rPr>
              <w:t>Höing</w:t>
            </w:r>
            <w:proofErr w:type="spellEnd"/>
            <w:r w:rsidRPr="00A455A1">
              <w:rPr>
                <w:rFonts w:eastAsia="Times New Roman"/>
                <w:color w:val="000000"/>
                <w:sz w:val="22"/>
                <w:szCs w:val="22"/>
              </w:rPr>
              <w:t xml:space="preserve"> et al. (2013)</w:t>
            </w:r>
          </w:p>
        </w:tc>
        <w:tc>
          <w:tcPr>
            <w:tcW w:w="1417" w:type="dxa"/>
            <w:noWrap/>
            <w:hideMark/>
          </w:tcPr>
          <w:p w14:paraId="4F040D7D"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698657D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61E4AE5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1D022F2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77D6DCC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08E1A02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52CADA5A"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4B27A023" w14:textId="77777777" w:rsidR="00BE5D53" w:rsidRPr="00BF6894" w:rsidRDefault="00BE5D53" w:rsidP="00B537E0">
            <w:pPr>
              <w:widowControl/>
              <w:spacing w:line="240" w:lineRule="auto"/>
              <w:ind w:firstLine="0"/>
              <w:jc w:val="center"/>
              <w:rPr>
                <w:rFonts w:eastAsia="Times New Roman"/>
              </w:rPr>
            </w:pPr>
          </w:p>
        </w:tc>
      </w:tr>
      <w:tr w:rsidR="001250EC" w:rsidRPr="00BF6894" w14:paraId="7F96CC94" w14:textId="77777777" w:rsidTr="00866934">
        <w:trPr>
          <w:trHeight w:val="288"/>
        </w:trPr>
        <w:tc>
          <w:tcPr>
            <w:tcW w:w="2127" w:type="dxa"/>
            <w:noWrap/>
            <w:hideMark/>
          </w:tcPr>
          <w:p w14:paraId="346F9E26" w14:textId="77777777" w:rsidR="00BE5D53" w:rsidRPr="00A455A1" w:rsidRDefault="00BE5D53" w:rsidP="00B537E0">
            <w:pPr>
              <w:widowControl/>
              <w:spacing w:line="240" w:lineRule="auto"/>
              <w:ind w:firstLine="0"/>
              <w:rPr>
                <w:rFonts w:eastAsia="Times New Roman"/>
                <w:sz w:val="22"/>
                <w:szCs w:val="22"/>
              </w:rPr>
            </w:pPr>
            <w:proofErr w:type="spellStart"/>
            <w:r w:rsidRPr="00A455A1">
              <w:rPr>
                <w:rFonts w:eastAsia="Times New Roman"/>
                <w:color w:val="000000"/>
                <w:sz w:val="22"/>
                <w:szCs w:val="22"/>
              </w:rPr>
              <w:t>Höing</w:t>
            </w:r>
            <w:proofErr w:type="spellEnd"/>
            <w:r w:rsidRPr="00A455A1">
              <w:rPr>
                <w:rFonts w:eastAsia="Times New Roman"/>
                <w:color w:val="000000"/>
                <w:sz w:val="22"/>
                <w:szCs w:val="22"/>
              </w:rPr>
              <w:t xml:space="preserve"> et al. (2017)</w:t>
            </w:r>
          </w:p>
        </w:tc>
        <w:tc>
          <w:tcPr>
            <w:tcW w:w="1417" w:type="dxa"/>
            <w:noWrap/>
            <w:hideMark/>
          </w:tcPr>
          <w:p w14:paraId="3912E6C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252C4B5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2F541E4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491A6E6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160AFCE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3E94F15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2FADAF6"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1CAEF918" w14:textId="77777777" w:rsidR="00BE5D53" w:rsidRPr="00BF6894" w:rsidRDefault="00BE5D53" w:rsidP="00B537E0">
            <w:pPr>
              <w:widowControl/>
              <w:spacing w:line="240" w:lineRule="auto"/>
              <w:ind w:firstLine="0"/>
              <w:jc w:val="center"/>
              <w:rPr>
                <w:rFonts w:eastAsia="Times New Roman"/>
              </w:rPr>
            </w:pPr>
          </w:p>
        </w:tc>
      </w:tr>
      <w:tr w:rsidR="001250EC" w:rsidRPr="00BF6894" w14:paraId="672AD728" w14:textId="77777777" w:rsidTr="00866934">
        <w:trPr>
          <w:trHeight w:val="288"/>
        </w:trPr>
        <w:tc>
          <w:tcPr>
            <w:tcW w:w="2127" w:type="dxa"/>
            <w:noWrap/>
            <w:hideMark/>
          </w:tcPr>
          <w:p w14:paraId="67F106A9"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Hulley (2016)</w:t>
            </w:r>
          </w:p>
        </w:tc>
        <w:tc>
          <w:tcPr>
            <w:tcW w:w="1417" w:type="dxa"/>
            <w:noWrap/>
            <w:hideMark/>
          </w:tcPr>
          <w:p w14:paraId="24997024"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2D6FDA6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3719E27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77124C5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1407A6A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0490669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32BCDBF1"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124E76A8" w14:textId="77777777" w:rsidR="00BE5D53" w:rsidRPr="00BF6894" w:rsidRDefault="00BE5D53" w:rsidP="00B537E0">
            <w:pPr>
              <w:widowControl/>
              <w:spacing w:line="240" w:lineRule="auto"/>
              <w:ind w:firstLine="0"/>
              <w:jc w:val="center"/>
              <w:rPr>
                <w:rFonts w:eastAsia="Times New Roman"/>
              </w:rPr>
            </w:pPr>
          </w:p>
        </w:tc>
      </w:tr>
      <w:tr w:rsidR="001250EC" w:rsidRPr="00BF6894" w14:paraId="34C16F1E" w14:textId="77777777" w:rsidTr="00866934">
        <w:trPr>
          <w:trHeight w:val="288"/>
        </w:trPr>
        <w:tc>
          <w:tcPr>
            <w:tcW w:w="2127" w:type="dxa"/>
            <w:noWrap/>
            <w:hideMark/>
          </w:tcPr>
          <w:p w14:paraId="4A8630F9"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lastRenderedPageBreak/>
              <w:t>Kewley et al. (2017)</w:t>
            </w:r>
          </w:p>
        </w:tc>
        <w:tc>
          <w:tcPr>
            <w:tcW w:w="1417" w:type="dxa"/>
            <w:noWrap/>
            <w:hideMark/>
          </w:tcPr>
          <w:p w14:paraId="19119700"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52DAACF9"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2A2A9B5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3F96D62A"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18A2D68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3A0C1D7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DD3D2DE"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424D9106" w14:textId="77777777" w:rsidR="00BE5D53" w:rsidRPr="00BF6894" w:rsidRDefault="00BE5D53" w:rsidP="00B537E0">
            <w:pPr>
              <w:widowControl/>
              <w:spacing w:line="240" w:lineRule="auto"/>
              <w:ind w:firstLine="0"/>
              <w:jc w:val="center"/>
              <w:rPr>
                <w:rFonts w:eastAsia="Times New Roman"/>
              </w:rPr>
            </w:pPr>
          </w:p>
        </w:tc>
      </w:tr>
      <w:tr w:rsidR="001250EC" w:rsidRPr="00BF6894" w14:paraId="7D0B1D7D" w14:textId="77777777" w:rsidTr="00866934">
        <w:trPr>
          <w:trHeight w:val="288"/>
        </w:trPr>
        <w:tc>
          <w:tcPr>
            <w:tcW w:w="2127" w:type="dxa"/>
            <w:noWrap/>
            <w:hideMark/>
          </w:tcPr>
          <w:p w14:paraId="0E9E6BBE"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Kitson-Boyce et al. (2019)</w:t>
            </w:r>
          </w:p>
        </w:tc>
        <w:tc>
          <w:tcPr>
            <w:tcW w:w="1417" w:type="dxa"/>
            <w:noWrap/>
            <w:hideMark/>
          </w:tcPr>
          <w:p w14:paraId="6E980A73"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59D5C0F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785949E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1475124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6A4A6B2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43FEB18E"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1CEE795E"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03B2CA64" w14:textId="77777777" w:rsidR="00BE5D53" w:rsidRPr="00BF6894" w:rsidRDefault="00BE5D53" w:rsidP="00B537E0">
            <w:pPr>
              <w:widowControl/>
              <w:spacing w:line="240" w:lineRule="auto"/>
              <w:ind w:firstLine="0"/>
              <w:jc w:val="center"/>
              <w:rPr>
                <w:rFonts w:eastAsia="Times New Roman"/>
              </w:rPr>
            </w:pPr>
          </w:p>
        </w:tc>
      </w:tr>
      <w:tr w:rsidR="001250EC" w:rsidRPr="00BF6894" w14:paraId="7A243CFF" w14:textId="77777777" w:rsidTr="00866934">
        <w:trPr>
          <w:trHeight w:val="288"/>
        </w:trPr>
        <w:tc>
          <w:tcPr>
            <w:tcW w:w="2127" w:type="dxa"/>
            <w:noWrap/>
            <w:hideMark/>
          </w:tcPr>
          <w:p w14:paraId="314524B6"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Kras (2021)</w:t>
            </w:r>
          </w:p>
        </w:tc>
        <w:tc>
          <w:tcPr>
            <w:tcW w:w="1417" w:type="dxa"/>
            <w:noWrap/>
            <w:hideMark/>
          </w:tcPr>
          <w:p w14:paraId="449E23FF"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01D7CB3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4E9C1E8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564BEC3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39B1322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5DDCC80B"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9F346B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04EC5923" w14:textId="77777777" w:rsidR="00BE5D53" w:rsidRPr="00BF6894" w:rsidRDefault="00BE5D53" w:rsidP="00B537E0">
            <w:pPr>
              <w:widowControl/>
              <w:spacing w:line="240" w:lineRule="auto"/>
              <w:ind w:firstLine="0"/>
              <w:jc w:val="center"/>
              <w:rPr>
                <w:rFonts w:eastAsia="Times New Roman"/>
              </w:rPr>
            </w:pPr>
          </w:p>
        </w:tc>
      </w:tr>
      <w:tr w:rsidR="001250EC" w:rsidRPr="00BF6894" w14:paraId="0F541F2E" w14:textId="77777777" w:rsidTr="00866934">
        <w:trPr>
          <w:trHeight w:val="288"/>
        </w:trPr>
        <w:tc>
          <w:tcPr>
            <w:tcW w:w="2127" w:type="dxa"/>
            <w:noWrap/>
            <w:hideMark/>
          </w:tcPr>
          <w:p w14:paraId="02065E5F"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Kras and Blasko (2016)</w:t>
            </w:r>
          </w:p>
        </w:tc>
        <w:tc>
          <w:tcPr>
            <w:tcW w:w="1417" w:type="dxa"/>
            <w:noWrap/>
            <w:hideMark/>
          </w:tcPr>
          <w:p w14:paraId="495F0BB9"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5E518E4D"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79CD057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4958DE0F"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714BC847" w14:textId="77777777" w:rsidR="00BE5D53" w:rsidRPr="00BF6894" w:rsidRDefault="00BE5D53" w:rsidP="00B537E0">
            <w:pPr>
              <w:widowControl/>
              <w:spacing w:line="240" w:lineRule="auto"/>
              <w:ind w:firstLine="0"/>
              <w:jc w:val="center"/>
              <w:rPr>
                <w:rFonts w:eastAsia="Times New Roman"/>
              </w:rPr>
            </w:pPr>
          </w:p>
        </w:tc>
        <w:tc>
          <w:tcPr>
            <w:tcW w:w="1701" w:type="dxa"/>
            <w:noWrap/>
            <w:hideMark/>
          </w:tcPr>
          <w:p w14:paraId="034F3C0A"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11BF0302"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67E3201E" w14:textId="77777777" w:rsidR="00BE5D53" w:rsidRPr="00BF6894" w:rsidRDefault="00BE5D53" w:rsidP="00B537E0">
            <w:pPr>
              <w:widowControl/>
              <w:spacing w:line="240" w:lineRule="auto"/>
              <w:ind w:firstLine="0"/>
              <w:jc w:val="center"/>
              <w:rPr>
                <w:rFonts w:eastAsia="Times New Roman"/>
              </w:rPr>
            </w:pPr>
          </w:p>
        </w:tc>
      </w:tr>
      <w:tr w:rsidR="001250EC" w:rsidRPr="00BF6894" w14:paraId="0BF2316E" w14:textId="77777777" w:rsidTr="00866934">
        <w:trPr>
          <w:trHeight w:val="288"/>
        </w:trPr>
        <w:tc>
          <w:tcPr>
            <w:tcW w:w="2127" w:type="dxa"/>
            <w:noWrap/>
            <w:hideMark/>
          </w:tcPr>
          <w:p w14:paraId="1E83942E" w14:textId="77777777" w:rsidR="00BE5D53" w:rsidRPr="00A455A1" w:rsidRDefault="00BE5D53" w:rsidP="00B537E0">
            <w:pPr>
              <w:widowControl/>
              <w:spacing w:line="240" w:lineRule="auto"/>
              <w:ind w:firstLine="0"/>
              <w:rPr>
                <w:rFonts w:eastAsia="Times New Roman"/>
                <w:sz w:val="22"/>
                <w:szCs w:val="22"/>
              </w:rPr>
            </w:pPr>
            <w:proofErr w:type="spellStart"/>
            <w:r w:rsidRPr="00A455A1">
              <w:rPr>
                <w:rFonts w:eastAsia="Times New Roman"/>
                <w:color w:val="000000"/>
                <w:sz w:val="22"/>
                <w:szCs w:val="22"/>
              </w:rPr>
              <w:t>Kruttschnitt</w:t>
            </w:r>
            <w:proofErr w:type="spellEnd"/>
            <w:r w:rsidRPr="00A455A1">
              <w:rPr>
                <w:rFonts w:eastAsia="Times New Roman"/>
                <w:color w:val="000000"/>
                <w:sz w:val="22"/>
                <w:szCs w:val="22"/>
              </w:rPr>
              <w:t xml:space="preserve"> et al. (2000)</w:t>
            </w:r>
          </w:p>
        </w:tc>
        <w:tc>
          <w:tcPr>
            <w:tcW w:w="1417" w:type="dxa"/>
            <w:noWrap/>
            <w:hideMark/>
          </w:tcPr>
          <w:p w14:paraId="38D8775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6366004B"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5B261AFB"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5FE5F1F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137F6D7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1A97299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3422C0D9"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344D138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r>
      <w:tr w:rsidR="001250EC" w:rsidRPr="00BF6894" w14:paraId="171D19C2" w14:textId="77777777" w:rsidTr="00866934">
        <w:trPr>
          <w:trHeight w:val="288"/>
        </w:trPr>
        <w:tc>
          <w:tcPr>
            <w:tcW w:w="2127" w:type="dxa"/>
            <w:noWrap/>
            <w:hideMark/>
          </w:tcPr>
          <w:p w14:paraId="07FE86C0"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Lytle et al. (2017)</w:t>
            </w:r>
          </w:p>
        </w:tc>
        <w:tc>
          <w:tcPr>
            <w:tcW w:w="1417" w:type="dxa"/>
            <w:noWrap/>
            <w:hideMark/>
          </w:tcPr>
          <w:p w14:paraId="4A843324"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4CAAB92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4C8EF007"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229B1FFA"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34266EB9"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41726BD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5D9F557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449EB1F0" w14:textId="77777777" w:rsidR="00BE5D53" w:rsidRPr="00BF6894" w:rsidRDefault="00BE5D53" w:rsidP="00B537E0">
            <w:pPr>
              <w:widowControl/>
              <w:spacing w:line="240" w:lineRule="auto"/>
              <w:ind w:firstLine="0"/>
              <w:jc w:val="center"/>
              <w:rPr>
                <w:rFonts w:eastAsia="Times New Roman"/>
              </w:rPr>
            </w:pPr>
          </w:p>
        </w:tc>
      </w:tr>
      <w:tr w:rsidR="001250EC" w:rsidRPr="00BF6894" w14:paraId="76A85104" w14:textId="77777777" w:rsidTr="00866934">
        <w:trPr>
          <w:trHeight w:val="300"/>
        </w:trPr>
        <w:tc>
          <w:tcPr>
            <w:tcW w:w="2127" w:type="dxa"/>
            <w:noWrap/>
            <w:hideMark/>
          </w:tcPr>
          <w:p w14:paraId="7767B799"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N. Mann et al. (2019)</w:t>
            </w:r>
          </w:p>
        </w:tc>
        <w:tc>
          <w:tcPr>
            <w:tcW w:w="1417" w:type="dxa"/>
            <w:noWrap/>
            <w:hideMark/>
          </w:tcPr>
          <w:p w14:paraId="60FB6E2D"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28BEAF75"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365DDFB1"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4A5B480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2AE69C91"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6C113BB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6C2CE1E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10E32FAA" w14:textId="77777777" w:rsidR="00BE5D53" w:rsidRPr="00BF6894" w:rsidRDefault="00BE5D53" w:rsidP="00B537E0">
            <w:pPr>
              <w:widowControl/>
              <w:spacing w:line="240" w:lineRule="auto"/>
              <w:ind w:firstLine="0"/>
              <w:jc w:val="center"/>
              <w:rPr>
                <w:rFonts w:eastAsia="Times New Roman"/>
              </w:rPr>
            </w:pPr>
          </w:p>
        </w:tc>
      </w:tr>
      <w:tr w:rsidR="00F96F64" w:rsidRPr="00BF6894" w14:paraId="4F3E725F" w14:textId="77777777" w:rsidTr="00866934">
        <w:trPr>
          <w:trHeight w:val="300"/>
        </w:trPr>
        <w:tc>
          <w:tcPr>
            <w:tcW w:w="2127" w:type="dxa"/>
            <w:noWrap/>
          </w:tcPr>
          <w:p w14:paraId="41283EB6" w14:textId="3847983F" w:rsidR="00F96F64" w:rsidRPr="00A455A1" w:rsidRDefault="00F96F64" w:rsidP="00F96F64">
            <w:pPr>
              <w:widowControl/>
              <w:spacing w:line="240" w:lineRule="auto"/>
              <w:ind w:firstLine="0"/>
              <w:rPr>
                <w:rFonts w:eastAsia="Times New Roman"/>
                <w:color w:val="000000"/>
                <w:sz w:val="22"/>
                <w:szCs w:val="22"/>
              </w:rPr>
            </w:pPr>
            <w:r w:rsidRPr="00A455A1">
              <w:rPr>
                <w:rFonts w:eastAsia="Times New Roman"/>
                <w:color w:val="000000"/>
                <w:sz w:val="22"/>
                <w:szCs w:val="22"/>
              </w:rPr>
              <w:t>McAlinden et al. (2017)</w:t>
            </w:r>
          </w:p>
        </w:tc>
        <w:tc>
          <w:tcPr>
            <w:tcW w:w="1417" w:type="dxa"/>
            <w:noWrap/>
          </w:tcPr>
          <w:p w14:paraId="3FFA9CBE" w14:textId="77777777" w:rsidR="00F96F64" w:rsidRPr="00BF6894" w:rsidRDefault="00F96F64" w:rsidP="00F96F64">
            <w:pPr>
              <w:widowControl/>
              <w:spacing w:line="240" w:lineRule="auto"/>
              <w:ind w:firstLine="0"/>
              <w:jc w:val="center"/>
              <w:rPr>
                <w:rFonts w:eastAsia="Times New Roman"/>
              </w:rPr>
            </w:pPr>
          </w:p>
        </w:tc>
        <w:tc>
          <w:tcPr>
            <w:tcW w:w="1418" w:type="dxa"/>
            <w:noWrap/>
          </w:tcPr>
          <w:p w14:paraId="0C5BE996" w14:textId="2DA87923" w:rsidR="00F96F64" w:rsidRPr="00BF6894" w:rsidRDefault="00F96F64" w:rsidP="00F96F64">
            <w:pPr>
              <w:widowControl/>
              <w:spacing w:line="240" w:lineRule="auto"/>
              <w:ind w:firstLine="0"/>
              <w:jc w:val="center"/>
              <w:rPr>
                <w:rFonts w:eastAsia="Times New Roman"/>
              </w:rPr>
            </w:pPr>
            <w:r w:rsidRPr="00BF6894">
              <w:rPr>
                <w:rFonts w:eastAsia="Times New Roman"/>
              </w:rPr>
              <w:t>x</w:t>
            </w:r>
          </w:p>
        </w:tc>
        <w:tc>
          <w:tcPr>
            <w:tcW w:w="1559" w:type="dxa"/>
            <w:noWrap/>
          </w:tcPr>
          <w:p w14:paraId="3D1CDAB0" w14:textId="333BFBCC" w:rsidR="00F96F64" w:rsidRPr="00BF6894" w:rsidRDefault="00F96F64" w:rsidP="00F96F64">
            <w:pPr>
              <w:widowControl/>
              <w:spacing w:line="240" w:lineRule="auto"/>
              <w:ind w:firstLine="0"/>
              <w:jc w:val="center"/>
              <w:rPr>
                <w:rFonts w:eastAsia="Times New Roman"/>
              </w:rPr>
            </w:pPr>
            <w:r w:rsidRPr="00BF6894">
              <w:rPr>
                <w:rFonts w:eastAsia="Times New Roman"/>
              </w:rPr>
              <w:t>x</w:t>
            </w:r>
          </w:p>
        </w:tc>
        <w:tc>
          <w:tcPr>
            <w:tcW w:w="1276" w:type="dxa"/>
            <w:noWrap/>
          </w:tcPr>
          <w:p w14:paraId="16FE5873" w14:textId="1F3790E9" w:rsidR="00F96F64" w:rsidRPr="00BF6894" w:rsidRDefault="00F96F64" w:rsidP="00F96F64">
            <w:pPr>
              <w:widowControl/>
              <w:spacing w:line="240" w:lineRule="auto"/>
              <w:ind w:firstLine="0"/>
              <w:jc w:val="center"/>
              <w:rPr>
                <w:rFonts w:eastAsia="Times New Roman"/>
              </w:rPr>
            </w:pPr>
            <w:r w:rsidRPr="00BF6894">
              <w:rPr>
                <w:rFonts w:eastAsia="Times New Roman"/>
              </w:rPr>
              <w:t>x</w:t>
            </w:r>
          </w:p>
        </w:tc>
        <w:tc>
          <w:tcPr>
            <w:tcW w:w="1842" w:type="dxa"/>
            <w:noWrap/>
          </w:tcPr>
          <w:p w14:paraId="3693E455" w14:textId="31BEFF48" w:rsidR="00F96F64" w:rsidRPr="00BF6894" w:rsidRDefault="00F96F64" w:rsidP="00F96F64">
            <w:pPr>
              <w:widowControl/>
              <w:spacing w:line="240" w:lineRule="auto"/>
              <w:ind w:firstLine="0"/>
              <w:jc w:val="center"/>
              <w:rPr>
                <w:rFonts w:eastAsia="Times New Roman"/>
              </w:rPr>
            </w:pPr>
            <w:r w:rsidRPr="00BF6894">
              <w:rPr>
                <w:rFonts w:eastAsia="Times New Roman"/>
              </w:rPr>
              <w:t>x</w:t>
            </w:r>
          </w:p>
        </w:tc>
        <w:tc>
          <w:tcPr>
            <w:tcW w:w="1701" w:type="dxa"/>
            <w:noWrap/>
          </w:tcPr>
          <w:p w14:paraId="62AB5F54" w14:textId="07542F52" w:rsidR="00F96F64" w:rsidRPr="00BF6894" w:rsidRDefault="00F96F64" w:rsidP="00F96F64">
            <w:pPr>
              <w:widowControl/>
              <w:spacing w:line="240" w:lineRule="auto"/>
              <w:ind w:firstLine="0"/>
              <w:jc w:val="center"/>
              <w:rPr>
                <w:rFonts w:eastAsia="Times New Roman"/>
              </w:rPr>
            </w:pPr>
            <w:r w:rsidRPr="00BF6894">
              <w:rPr>
                <w:rFonts w:eastAsia="Times New Roman"/>
              </w:rPr>
              <w:t>x</w:t>
            </w:r>
          </w:p>
        </w:tc>
        <w:tc>
          <w:tcPr>
            <w:tcW w:w="1418" w:type="dxa"/>
            <w:noWrap/>
          </w:tcPr>
          <w:p w14:paraId="6374FA2C" w14:textId="43A81F2D" w:rsidR="00F96F64" w:rsidRPr="00BF6894" w:rsidRDefault="00F96F64" w:rsidP="00F96F64">
            <w:pPr>
              <w:widowControl/>
              <w:spacing w:line="240" w:lineRule="auto"/>
              <w:ind w:firstLine="0"/>
              <w:jc w:val="center"/>
              <w:rPr>
                <w:rFonts w:eastAsia="Times New Roman"/>
              </w:rPr>
            </w:pPr>
            <w:r w:rsidRPr="00BF6894">
              <w:rPr>
                <w:rFonts w:eastAsia="Times New Roman"/>
              </w:rPr>
              <w:t>x</w:t>
            </w:r>
          </w:p>
        </w:tc>
        <w:tc>
          <w:tcPr>
            <w:tcW w:w="1200" w:type="dxa"/>
            <w:noWrap/>
          </w:tcPr>
          <w:p w14:paraId="19AE4FF7" w14:textId="23C0D8A4" w:rsidR="00F96F64" w:rsidRPr="00BF6894" w:rsidRDefault="00F96F64" w:rsidP="00F96F64">
            <w:pPr>
              <w:widowControl/>
              <w:spacing w:line="240" w:lineRule="auto"/>
              <w:ind w:firstLine="0"/>
              <w:jc w:val="center"/>
              <w:rPr>
                <w:rFonts w:eastAsia="Times New Roman"/>
              </w:rPr>
            </w:pPr>
            <w:r w:rsidRPr="00BF6894">
              <w:rPr>
                <w:rFonts w:eastAsia="Times New Roman"/>
              </w:rPr>
              <w:t>x</w:t>
            </w:r>
          </w:p>
        </w:tc>
      </w:tr>
      <w:tr w:rsidR="001250EC" w:rsidRPr="00BF6894" w14:paraId="2821F9EF" w14:textId="77777777" w:rsidTr="00866934">
        <w:trPr>
          <w:trHeight w:val="288"/>
        </w:trPr>
        <w:tc>
          <w:tcPr>
            <w:tcW w:w="2127" w:type="dxa"/>
            <w:noWrap/>
            <w:hideMark/>
          </w:tcPr>
          <w:p w14:paraId="4DBBEFA4"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Milner (2017)</w:t>
            </w:r>
          </w:p>
        </w:tc>
        <w:tc>
          <w:tcPr>
            <w:tcW w:w="1417" w:type="dxa"/>
            <w:noWrap/>
            <w:hideMark/>
          </w:tcPr>
          <w:p w14:paraId="3DE549E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20522A1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0B26A801"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6507DF7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7A13CAE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645C5D2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466F966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41E9244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r>
      <w:tr w:rsidR="001250EC" w:rsidRPr="00BF6894" w14:paraId="7B14C6C5" w14:textId="77777777" w:rsidTr="00866934">
        <w:trPr>
          <w:trHeight w:val="288"/>
        </w:trPr>
        <w:tc>
          <w:tcPr>
            <w:tcW w:w="2127" w:type="dxa"/>
            <w:noWrap/>
            <w:hideMark/>
          </w:tcPr>
          <w:p w14:paraId="117246E0"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Richards (2020)</w:t>
            </w:r>
          </w:p>
        </w:tc>
        <w:tc>
          <w:tcPr>
            <w:tcW w:w="1417" w:type="dxa"/>
            <w:noWrap/>
            <w:hideMark/>
          </w:tcPr>
          <w:p w14:paraId="6815BE03"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25277399"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758A8DB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5F6CB812"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68DE62B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367E71C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2BDEE071"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20551509" w14:textId="77777777" w:rsidR="00BE5D53" w:rsidRPr="00BF6894" w:rsidRDefault="00BE5D53" w:rsidP="00B537E0">
            <w:pPr>
              <w:widowControl/>
              <w:spacing w:line="240" w:lineRule="auto"/>
              <w:ind w:firstLine="0"/>
              <w:jc w:val="center"/>
              <w:rPr>
                <w:rFonts w:eastAsia="Times New Roman"/>
              </w:rPr>
            </w:pPr>
          </w:p>
        </w:tc>
      </w:tr>
      <w:tr w:rsidR="001250EC" w:rsidRPr="00BF6894" w14:paraId="2F821EC5" w14:textId="77777777" w:rsidTr="00866934">
        <w:trPr>
          <w:trHeight w:val="288"/>
        </w:trPr>
        <w:tc>
          <w:tcPr>
            <w:tcW w:w="2127" w:type="dxa"/>
            <w:noWrap/>
          </w:tcPr>
          <w:p w14:paraId="79B62251"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Richards et al. (2020)</w:t>
            </w:r>
          </w:p>
        </w:tc>
        <w:tc>
          <w:tcPr>
            <w:tcW w:w="1417" w:type="dxa"/>
            <w:noWrap/>
          </w:tcPr>
          <w:p w14:paraId="5B4F7C0E" w14:textId="77777777" w:rsidR="00BE5D53" w:rsidRPr="00BF6894" w:rsidRDefault="00BE5D53" w:rsidP="00B537E0">
            <w:pPr>
              <w:widowControl/>
              <w:spacing w:line="240" w:lineRule="auto"/>
              <w:ind w:firstLine="0"/>
              <w:jc w:val="center"/>
              <w:rPr>
                <w:rFonts w:eastAsia="Times New Roman"/>
              </w:rPr>
            </w:pPr>
          </w:p>
        </w:tc>
        <w:tc>
          <w:tcPr>
            <w:tcW w:w="1418" w:type="dxa"/>
            <w:noWrap/>
          </w:tcPr>
          <w:p w14:paraId="1356FE0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tcPr>
          <w:p w14:paraId="0B5C1D5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tcPr>
          <w:p w14:paraId="67DDB74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tcPr>
          <w:p w14:paraId="3FCC9BCC" w14:textId="77777777" w:rsidR="00BE5D53" w:rsidRPr="00BF6894" w:rsidRDefault="00BE5D53" w:rsidP="00B537E0">
            <w:pPr>
              <w:widowControl/>
              <w:spacing w:line="240" w:lineRule="auto"/>
              <w:ind w:firstLine="0"/>
              <w:jc w:val="center"/>
              <w:rPr>
                <w:rFonts w:eastAsia="Times New Roman"/>
              </w:rPr>
            </w:pPr>
          </w:p>
        </w:tc>
        <w:tc>
          <w:tcPr>
            <w:tcW w:w="1701" w:type="dxa"/>
            <w:noWrap/>
          </w:tcPr>
          <w:p w14:paraId="2781B0C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tcPr>
          <w:p w14:paraId="3566DF8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tcPr>
          <w:p w14:paraId="469A7B89" w14:textId="77777777" w:rsidR="00BE5D53" w:rsidRPr="00BF6894" w:rsidRDefault="00BE5D53" w:rsidP="00B537E0">
            <w:pPr>
              <w:widowControl/>
              <w:spacing w:line="240" w:lineRule="auto"/>
              <w:ind w:firstLine="0"/>
              <w:jc w:val="center"/>
              <w:rPr>
                <w:rFonts w:eastAsia="Times New Roman"/>
              </w:rPr>
            </w:pPr>
          </w:p>
        </w:tc>
      </w:tr>
      <w:tr w:rsidR="001250EC" w:rsidRPr="00BF6894" w14:paraId="27855703" w14:textId="77777777" w:rsidTr="00866934">
        <w:trPr>
          <w:trHeight w:val="288"/>
        </w:trPr>
        <w:tc>
          <w:tcPr>
            <w:tcW w:w="2127" w:type="dxa"/>
            <w:noWrap/>
            <w:hideMark/>
          </w:tcPr>
          <w:p w14:paraId="0396F0B3"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Sample et al. (2018)</w:t>
            </w:r>
          </w:p>
        </w:tc>
        <w:tc>
          <w:tcPr>
            <w:tcW w:w="1417" w:type="dxa"/>
            <w:noWrap/>
            <w:hideMark/>
          </w:tcPr>
          <w:p w14:paraId="509CA4F8"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2471A2C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367F4AB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4C6344A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174E58A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33AC7E5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B7706B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2048E4FC" w14:textId="77777777" w:rsidR="00BE5D53" w:rsidRPr="00BF6894" w:rsidRDefault="00BE5D53" w:rsidP="00B537E0">
            <w:pPr>
              <w:widowControl/>
              <w:spacing w:line="240" w:lineRule="auto"/>
              <w:ind w:firstLine="0"/>
              <w:jc w:val="center"/>
              <w:rPr>
                <w:rFonts w:eastAsia="Times New Roman"/>
              </w:rPr>
            </w:pPr>
          </w:p>
        </w:tc>
      </w:tr>
      <w:tr w:rsidR="001250EC" w:rsidRPr="00BF6894" w14:paraId="595B5022" w14:textId="77777777" w:rsidTr="00866934">
        <w:trPr>
          <w:trHeight w:val="288"/>
        </w:trPr>
        <w:tc>
          <w:tcPr>
            <w:tcW w:w="2127" w:type="dxa"/>
            <w:noWrap/>
            <w:hideMark/>
          </w:tcPr>
          <w:p w14:paraId="495C1117"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Scoones et al. (2012)</w:t>
            </w:r>
          </w:p>
        </w:tc>
        <w:tc>
          <w:tcPr>
            <w:tcW w:w="1417" w:type="dxa"/>
            <w:noWrap/>
            <w:hideMark/>
          </w:tcPr>
          <w:p w14:paraId="6C088328"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1D9C93A3"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1AD8A2AB"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03E5346B"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0B18AC7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4C9DF30D"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62822A0A"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3693A630" w14:textId="77777777" w:rsidR="00BE5D53" w:rsidRPr="00BF6894" w:rsidRDefault="00BE5D53" w:rsidP="00B537E0">
            <w:pPr>
              <w:widowControl/>
              <w:spacing w:line="240" w:lineRule="auto"/>
              <w:ind w:firstLine="0"/>
              <w:jc w:val="center"/>
              <w:rPr>
                <w:rFonts w:eastAsia="Times New Roman"/>
              </w:rPr>
            </w:pPr>
          </w:p>
        </w:tc>
      </w:tr>
      <w:tr w:rsidR="001250EC" w:rsidRPr="00BF6894" w14:paraId="1E19EF50" w14:textId="77777777" w:rsidTr="00866934">
        <w:trPr>
          <w:trHeight w:val="288"/>
        </w:trPr>
        <w:tc>
          <w:tcPr>
            <w:tcW w:w="2127" w:type="dxa"/>
            <w:noWrap/>
            <w:hideMark/>
          </w:tcPr>
          <w:p w14:paraId="60E199F5"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Sowden and Olver (2017)</w:t>
            </w:r>
          </w:p>
        </w:tc>
        <w:tc>
          <w:tcPr>
            <w:tcW w:w="1417" w:type="dxa"/>
            <w:noWrap/>
            <w:hideMark/>
          </w:tcPr>
          <w:p w14:paraId="49DC3940"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208D1FA6"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6103DD26"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6C47DD55"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1C03009D" w14:textId="77777777" w:rsidR="00BE5D53" w:rsidRPr="00BF6894" w:rsidRDefault="00BE5D53" w:rsidP="00B537E0">
            <w:pPr>
              <w:widowControl/>
              <w:spacing w:line="240" w:lineRule="auto"/>
              <w:ind w:firstLine="0"/>
              <w:jc w:val="center"/>
              <w:rPr>
                <w:rFonts w:eastAsia="Times New Roman"/>
              </w:rPr>
            </w:pPr>
          </w:p>
        </w:tc>
        <w:tc>
          <w:tcPr>
            <w:tcW w:w="1701" w:type="dxa"/>
            <w:noWrap/>
            <w:hideMark/>
          </w:tcPr>
          <w:p w14:paraId="3A3B4EE4"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104E6217"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2A15B6FE" w14:textId="77777777" w:rsidR="00BE5D53" w:rsidRPr="00BF6894" w:rsidRDefault="00BE5D53" w:rsidP="00B537E0">
            <w:pPr>
              <w:widowControl/>
              <w:spacing w:line="240" w:lineRule="auto"/>
              <w:ind w:firstLine="0"/>
              <w:jc w:val="center"/>
              <w:rPr>
                <w:rFonts w:eastAsia="Times New Roman"/>
              </w:rPr>
            </w:pPr>
          </w:p>
        </w:tc>
      </w:tr>
      <w:tr w:rsidR="001250EC" w:rsidRPr="00BF6894" w14:paraId="4C0AFEEA" w14:textId="77777777" w:rsidTr="00866934">
        <w:trPr>
          <w:trHeight w:val="288"/>
        </w:trPr>
        <w:tc>
          <w:tcPr>
            <w:tcW w:w="2127" w:type="dxa"/>
            <w:noWrap/>
            <w:hideMark/>
          </w:tcPr>
          <w:p w14:paraId="39DA6AD6"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Stansfield et al. (2019)</w:t>
            </w:r>
          </w:p>
        </w:tc>
        <w:tc>
          <w:tcPr>
            <w:tcW w:w="1417" w:type="dxa"/>
            <w:noWrap/>
            <w:hideMark/>
          </w:tcPr>
          <w:p w14:paraId="0B41590E"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6502223C"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1DE841D3"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7231EFF3"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00CF353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283A37A8"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5C760158"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361E8617" w14:textId="77777777" w:rsidR="00BE5D53" w:rsidRPr="00BF6894" w:rsidRDefault="00BE5D53" w:rsidP="00B537E0">
            <w:pPr>
              <w:widowControl/>
              <w:spacing w:line="240" w:lineRule="auto"/>
              <w:ind w:firstLine="0"/>
              <w:jc w:val="center"/>
              <w:rPr>
                <w:rFonts w:eastAsia="Times New Roman"/>
              </w:rPr>
            </w:pPr>
          </w:p>
        </w:tc>
      </w:tr>
      <w:tr w:rsidR="00204CFE" w:rsidRPr="00BF6894" w14:paraId="08931E71" w14:textId="77777777" w:rsidTr="00866934">
        <w:trPr>
          <w:trHeight w:val="288"/>
        </w:trPr>
        <w:tc>
          <w:tcPr>
            <w:tcW w:w="2127" w:type="dxa"/>
            <w:noWrap/>
          </w:tcPr>
          <w:p w14:paraId="5A0CFC20" w14:textId="19819C30" w:rsidR="00204CFE" w:rsidRPr="00A455A1" w:rsidRDefault="00204CFE" w:rsidP="00204CFE">
            <w:pPr>
              <w:widowControl/>
              <w:spacing w:line="240" w:lineRule="auto"/>
              <w:ind w:firstLine="0"/>
              <w:rPr>
                <w:rFonts w:eastAsia="Times New Roman"/>
                <w:color w:val="000000"/>
                <w:sz w:val="22"/>
                <w:szCs w:val="22"/>
              </w:rPr>
            </w:pPr>
            <w:r w:rsidRPr="00A455A1">
              <w:rPr>
                <w:rFonts w:eastAsia="Times New Roman"/>
                <w:color w:val="000000"/>
                <w:sz w:val="22"/>
                <w:szCs w:val="22"/>
              </w:rPr>
              <w:t>ten Bensel and Sample (2017)</w:t>
            </w:r>
          </w:p>
        </w:tc>
        <w:tc>
          <w:tcPr>
            <w:tcW w:w="1417" w:type="dxa"/>
            <w:noWrap/>
          </w:tcPr>
          <w:p w14:paraId="3F31403A" w14:textId="77777777" w:rsidR="00204CFE" w:rsidRPr="00BF6894" w:rsidRDefault="00204CFE" w:rsidP="00204CFE">
            <w:pPr>
              <w:widowControl/>
              <w:spacing w:line="240" w:lineRule="auto"/>
              <w:ind w:firstLine="0"/>
              <w:jc w:val="center"/>
              <w:rPr>
                <w:rFonts w:eastAsia="Times New Roman"/>
              </w:rPr>
            </w:pPr>
          </w:p>
        </w:tc>
        <w:tc>
          <w:tcPr>
            <w:tcW w:w="1418" w:type="dxa"/>
            <w:noWrap/>
          </w:tcPr>
          <w:p w14:paraId="5F79BA6C" w14:textId="1C51A868"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559" w:type="dxa"/>
            <w:noWrap/>
          </w:tcPr>
          <w:p w14:paraId="5BF1BAC4" w14:textId="03B65A24"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276" w:type="dxa"/>
            <w:noWrap/>
          </w:tcPr>
          <w:p w14:paraId="6396E2DE" w14:textId="05ACC354"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842" w:type="dxa"/>
            <w:noWrap/>
          </w:tcPr>
          <w:p w14:paraId="2E8A4D8B" w14:textId="4FCE17BD"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701" w:type="dxa"/>
            <w:noWrap/>
          </w:tcPr>
          <w:p w14:paraId="0ACDA0BF" w14:textId="307181EB"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418" w:type="dxa"/>
            <w:noWrap/>
          </w:tcPr>
          <w:p w14:paraId="0D9C6B4C" w14:textId="77777777" w:rsidR="00204CFE" w:rsidRPr="00BF6894" w:rsidRDefault="00204CFE" w:rsidP="00204CFE">
            <w:pPr>
              <w:widowControl/>
              <w:spacing w:line="240" w:lineRule="auto"/>
              <w:ind w:firstLine="0"/>
              <w:jc w:val="center"/>
              <w:rPr>
                <w:rFonts w:eastAsia="Times New Roman"/>
              </w:rPr>
            </w:pPr>
          </w:p>
        </w:tc>
        <w:tc>
          <w:tcPr>
            <w:tcW w:w="1200" w:type="dxa"/>
            <w:noWrap/>
          </w:tcPr>
          <w:p w14:paraId="44CD0705" w14:textId="77777777" w:rsidR="00204CFE" w:rsidRPr="00BF6894" w:rsidRDefault="00204CFE" w:rsidP="00204CFE">
            <w:pPr>
              <w:widowControl/>
              <w:spacing w:line="240" w:lineRule="auto"/>
              <w:ind w:firstLine="0"/>
              <w:jc w:val="center"/>
              <w:rPr>
                <w:rFonts w:eastAsia="Times New Roman"/>
              </w:rPr>
            </w:pPr>
          </w:p>
        </w:tc>
      </w:tr>
      <w:tr w:rsidR="00204CFE" w:rsidRPr="00BF6894" w14:paraId="538753E9" w14:textId="77777777" w:rsidTr="00866934">
        <w:trPr>
          <w:trHeight w:val="288"/>
        </w:trPr>
        <w:tc>
          <w:tcPr>
            <w:tcW w:w="2127" w:type="dxa"/>
            <w:noWrap/>
          </w:tcPr>
          <w:p w14:paraId="397B90A4" w14:textId="0D91E4D9" w:rsidR="00204CFE" w:rsidRPr="00A455A1" w:rsidRDefault="00204CFE" w:rsidP="00204CFE">
            <w:pPr>
              <w:widowControl/>
              <w:spacing w:line="240" w:lineRule="auto"/>
              <w:ind w:firstLine="0"/>
              <w:rPr>
                <w:rFonts w:eastAsia="Times New Roman"/>
                <w:color w:val="000000"/>
                <w:sz w:val="22"/>
                <w:szCs w:val="22"/>
              </w:rPr>
            </w:pPr>
            <w:r w:rsidRPr="00A455A1">
              <w:rPr>
                <w:rFonts w:eastAsia="Times New Roman"/>
                <w:color w:val="000000"/>
                <w:sz w:val="22"/>
                <w:szCs w:val="22"/>
              </w:rPr>
              <w:t>ten Bensel and Sample (2019)</w:t>
            </w:r>
          </w:p>
        </w:tc>
        <w:tc>
          <w:tcPr>
            <w:tcW w:w="1417" w:type="dxa"/>
            <w:noWrap/>
          </w:tcPr>
          <w:p w14:paraId="5468A909" w14:textId="77777777" w:rsidR="00204CFE" w:rsidRPr="00BF6894" w:rsidRDefault="00204CFE" w:rsidP="00204CFE">
            <w:pPr>
              <w:widowControl/>
              <w:spacing w:line="240" w:lineRule="auto"/>
              <w:ind w:firstLine="0"/>
              <w:jc w:val="center"/>
              <w:rPr>
                <w:rFonts w:eastAsia="Times New Roman"/>
              </w:rPr>
            </w:pPr>
          </w:p>
        </w:tc>
        <w:tc>
          <w:tcPr>
            <w:tcW w:w="1418" w:type="dxa"/>
            <w:noWrap/>
          </w:tcPr>
          <w:p w14:paraId="4E29A6B8" w14:textId="31050F75"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559" w:type="dxa"/>
            <w:noWrap/>
          </w:tcPr>
          <w:p w14:paraId="2EEDC2A0" w14:textId="2A2EBEF1"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276" w:type="dxa"/>
            <w:noWrap/>
          </w:tcPr>
          <w:p w14:paraId="72504F89" w14:textId="77777777" w:rsidR="00204CFE" w:rsidRPr="00BF6894" w:rsidRDefault="00204CFE" w:rsidP="00204CFE">
            <w:pPr>
              <w:widowControl/>
              <w:spacing w:line="240" w:lineRule="auto"/>
              <w:ind w:firstLine="0"/>
              <w:jc w:val="center"/>
              <w:rPr>
                <w:rFonts w:eastAsia="Times New Roman"/>
              </w:rPr>
            </w:pPr>
          </w:p>
        </w:tc>
        <w:tc>
          <w:tcPr>
            <w:tcW w:w="1842" w:type="dxa"/>
            <w:noWrap/>
          </w:tcPr>
          <w:p w14:paraId="0E082BB1" w14:textId="5E5FE94F"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701" w:type="dxa"/>
            <w:noWrap/>
          </w:tcPr>
          <w:p w14:paraId="6A80CE96" w14:textId="208659A9"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418" w:type="dxa"/>
            <w:noWrap/>
          </w:tcPr>
          <w:p w14:paraId="6A822D8D" w14:textId="5D2A79B1" w:rsidR="00204CFE" w:rsidRPr="00BF6894" w:rsidRDefault="00204CFE" w:rsidP="00204CFE">
            <w:pPr>
              <w:widowControl/>
              <w:spacing w:line="240" w:lineRule="auto"/>
              <w:ind w:firstLine="0"/>
              <w:jc w:val="center"/>
              <w:rPr>
                <w:rFonts w:eastAsia="Times New Roman"/>
              </w:rPr>
            </w:pPr>
            <w:r w:rsidRPr="00BF6894">
              <w:rPr>
                <w:rFonts w:eastAsia="Times New Roman"/>
              </w:rPr>
              <w:t>x</w:t>
            </w:r>
          </w:p>
        </w:tc>
        <w:tc>
          <w:tcPr>
            <w:tcW w:w="1200" w:type="dxa"/>
            <w:noWrap/>
          </w:tcPr>
          <w:p w14:paraId="1F1A6AFE" w14:textId="77777777" w:rsidR="00204CFE" w:rsidRPr="00BF6894" w:rsidRDefault="00204CFE" w:rsidP="00204CFE">
            <w:pPr>
              <w:widowControl/>
              <w:spacing w:line="240" w:lineRule="auto"/>
              <w:ind w:firstLine="0"/>
              <w:jc w:val="center"/>
              <w:rPr>
                <w:rFonts w:eastAsia="Times New Roman"/>
              </w:rPr>
            </w:pPr>
          </w:p>
        </w:tc>
      </w:tr>
      <w:tr w:rsidR="001250EC" w:rsidRPr="00BF6894" w14:paraId="265A0291" w14:textId="77777777" w:rsidTr="00866934">
        <w:trPr>
          <w:trHeight w:val="288"/>
        </w:trPr>
        <w:tc>
          <w:tcPr>
            <w:tcW w:w="2127" w:type="dxa"/>
            <w:noWrap/>
            <w:hideMark/>
          </w:tcPr>
          <w:p w14:paraId="6DCBF73E"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Walker et al. (2017)</w:t>
            </w:r>
          </w:p>
        </w:tc>
        <w:tc>
          <w:tcPr>
            <w:tcW w:w="1417" w:type="dxa"/>
            <w:noWrap/>
            <w:hideMark/>
          </w:tcPr>
          <w:p w14:paraId="44D8EB5A"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50C9AFD7"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646BA445"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1089CAC1"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1133FFD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12EBB281"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772BC3F2"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650906E2"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r>
      <w:tr w:rsidR="001250EC" w:rsidRPr="00BF6894" w14:paraId="125BB962" w14:textId="77777777" w:rsidTr="00866934">
        <w:trPr>
          <w:trHeight w:val="288"/>
        </w:trPr>
        <w:tc>
          <w:tcPr>
            <w:tcW w:w="2127" w:type="dxa"/>
            <w:noWrap/>
            <w:hideMark/>
          </w:tcPr>
          <w:p w14:paraId="220E0655"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Willis and Grace (2008)</w:t>
            </w:r>
          </w:p>
        </w:tc>
        <w:tc>
          <w:tcPr>
            <w:tcW w:w="1417" w:type="dxa"/>
            <w:noWrap/>
            <w:hideMark/>
          </w:tcPr>
          <w:p w14:paraId="0F15AEC4"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4DDE5E68"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66D8A760"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209A07C9"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502971CD"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60FF9FC2"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49A0D0F5"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397D2E08" w14:textId="77777777" w:rsidR="00BE5D53" w:rsidRPr="00BF6894" w:rsidRDefault="00BE5D53" w:rsidP="00B537E0">
            <w:pPr>
              <w:widowControl/>
              <w:spacing w:line="240" w:lineRule="auto"/>
              <w:ind w:firstLine="0"/>
              <w:jc w:val="center"/>
              <w:rPr>
                <w:rFonts w:eastAsia="Times New Roman"/>
              </w:rPr>
            </w:pPr>
          </w:p>
        </w:tc>
      </w:tr>
      <w:tr w:rsidR="001250EC" w:rsidRPr="00BF6894" w14:paraId="1B50EE19" w14:textId="77777777" w:rsidTr="00866934">
        <w:trPr>
          <w:trHeight w:val="288"/>
        </w:trPr>
        <w:tc>
          <w:tcPr>
            <w:tcW w:w="2127" w:type="dxa"/>
            <w:noWrap/>
            <w:hideMark/>
          </w:tcPr>
          <w:p w14:paraId="2DC6C382"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Willis and Grace (2009)</w:t>
            </w:r>
          </w:p>
        </w:tc>
        <w:tc>
          <w:tcPr>
            <w:tcW w:w="1417" w:type="dxa"/>
            <w:noWrap/>
            <w:hideMark/>
          </w:tcPr>
          <w:p w14:paraId="3D4717F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6B6FFC81"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4236D886"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4D1D69AA"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7C6B888E"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44629BB5"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15FC4CCB"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0B1AB9A7" w14:textId="77777777" w:rsidR="00BE5D53" w:rsidRPr="00BF6894" w:rsidRDefault="00BE5D53" w:rsidP="00B537E0">
            <w:pPr>
              <w:widowControl/>
              <w:spacing w:line="240" w:lineRule="auto"/>
              <w:ind w:firstLine="0"/>
              <w:jc w:val="center"/>
              <w:rPr>
                <w:rFonts w:eastAsia="Times New Roman"/>
              </w:rPr>
            </w:pPr>
          </w:p>
        </w:tc>
      </w:tr>
      <w:tr w:rsidR="001250EC" w:rsidRPr="00BF6894" w14:paraId="44DD4A26" w14:textId="77777777" w:rsidTr="00866934">
        <w:trPr>
          <w:trHeight w:val="288"/>
        </w:trPr>
        <w:tc>
          <w:tcPr>
            <w:tcW w:w="2127" w:type="dxa"/>
            <w:noWrap/>
            <w:hideMark/>
          </w:tcPr>
          <w:p w14:paraId="26AFD775"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Wilson et al. (2009)</w:t>
            </w:r>
          </w:p>
        </w:tc>
        <w:tc>
          <w:tcPr>
            <w:tcW w:w="1417" w:type="dxa"/>
            <w:noWrap/>
            <w:hideMark/>
          </w:tcPr>
          <w:p w14:paraId="42E96C7C"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0FF3A7BE"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1176DD92"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181EF0B3"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7604C18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2F80D18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7BF2E328"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300181CC" w14:textId="77777777" w:rsidR="00BE5D53" w:rsidRPr="00BF6894" w:rsidRDefault="00BE5D53" w:rsidP="00B537E0">
            <w:pPr>
              <w:widowControl/>
              <w:spacing w:line="240" w:lineRule="auto"/>
              <w:ind w:firstLine="0"/>
              <w:jc w:val="center"/>
              <w:rPr>
                <w:rFonts w:eastAsia="Times New Roman"/>
              </w:rPr>
            </w:pPr>
          </w:p>
        </w:tc>
      </w:tr>
      <w:tr w:rsidR="001250EC" w:rsidRPr="00BF6894" w14:paraId="7FC9828C" w14:textId="77777777" w:rsidTr="00866934">
        <w:trPr>
          <w:trHeight w:val="288"/>
        </w:trPr>
        <w:tc>
          <w:tcPr>
            <w:tcW w:w="2127" w:type="dxa"/>
            <w:noWrap/>
            <w:hideMark/>
          </w:tcPr>
          <w:p w14:paraId="5721D8EB"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Wilson et al. (2007)</w:t>
            </w:r>
          </w:p>
        </w:tc>
        <w:tc>
          <w:tcPr>
            <w:tcW w:w="1417" w:type="dxa"/>
            <w:noWrap/>
            <w:hideMark/>
          </w:tcPr>
          <w:p w14:paraId="488B83AA"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2B46F7DC" w14:textId="77777777" w:rsidR="00BE5D53" w:rsidRPr="00BF6894" w:rsidRDefault="00BE5D53" w:rsidP="00B537E0">
            <w:pPr>
              <w:widowControl/>
              <w:spacing w:line="240" w:lineRule="auto"/>
              <w:ind w:firstLine="0"/>
              <w:jc w:val="center"/>
              <w:rPr>
                <w:rFonts w:eastAsia="Times New Roman"/>
              </w:rPr>
            </w:pPr>
          </w:p>
        </w:tc>
        <w:tc>
          <w:tcPr>
            <w:tcW w:w="1559" w:type="dxa"/>
            <w:noWrap/>
            <w:hideMark/>
          </w:tcPr>
          <w:p w14:paraId="5C9F8A5D" w14:textId="77777777" w:rsidR="00BE5D53" w:rsidRPr="00BF6894" w:rsidRDefault="00BE5D53" w:rsidP="00B537E0">
            <w:pPr>
              <w:widowControl/>
              <w:spacing w:line="240" w:lineRule="auto"/>
              <w:ind w:firstLine="0"/>
              <w:jc w:val="center"/>
              <w:rPr>
                <w:rFonts w:eastAsia="Times New Roman"/>
              </w:rPr>
            </w:pPr>
          </w:p>
        </w:tc>
        <w:tc>
          <w:tcPr>
            <w:tcW w:w="1276" w:type="dxa"/>
            <w:noWrap/>
            <w:hideMark/>
          </w:tcPr>
          <w:p w14:paraId="6F8BEAA6" w14:textId="77777777" w:rsidR="00BE5D53" w:rsidRPr="00BF6894" w:rsidRDefault="00BE5D53" w:rsidP="00B537E0">
            <w:pPr>
              <w:widowControl/>
              <w:spacing w:line="240" w:lineRule="auto"/>
              <w:ind w:firstLine="0"/>
              <w:jc w:val="center"/>
              <w:rPr>
                <w:rFonts w:eastAsia="Times New Roman"/>
              </w:rPr>
            </w:pPr>
          </w:p>
        </w:tc>
        <w:tc>
          <w:tcPr>
            <w:tcW w:w="1842" w:type="dxa"/>
            <w:noWrap/>
            <w:hideMark/>
          </w:tcPr>
          <w:p w14:paraId="65B5CC7A" w14:textId="77777777" w:rsidR="00BE5D53" w:rsidRPr="00BF6894" w:rsidRDefault="00BE5D53" w:rsidP="00B537E0">
            <w:pPr>
              <w:widowControl/>
              <w:spacing w:line="240" w:lineRule="auto"/>
              <w:ind w:firstLine="0"/>
              <w:jc w:val="center"/>
              <w:rPr>
                <w:rFonts w:eastAsia="Times New Roman"/>
              </w:rPr>
            </w:pPr>
          </w:p>
        </w:tc>
        <w:tc>
          <w:tcPr>
            <w:tcW w:w="1701" w:type="dxa"/>
            <w:noWrap/>
            <w:hideMark/>
          </w:tcPr>
          <w:p w14:paraId="0A724D00" w14:textId="77777777" w:rsidR="00BE5D53" w:rsidRPr="00BF6894" w:rsidRDefault="00BE5D53" w:rsidP="00B537E0">
            <w:pPr>
              <w:widowControl/>
              <w:spacing w:line="240" w:lineRule="auto"/>
              <w:ind w:firstLine="0"/>
              <w:jc w:val="center"/>
              <w:rPr>
                <w:rFonts w:eastAsia="Times New Roman"/>
              </w:rPr>
            </w:pPr>
          </w:p>
        </w:tc>
        <w:tc>
          <w:tcPr>
            <w:tcW w:w="1418" w:type="dxa"/>
            <w:noWrap/>
            <w:hideMark/>
          </w:tcPr>
          <w:p w14:paraId="5E00A2F5" w14:textId="77777777" w:rsidR="00BE5D53" w:rsidRPr="00BF6894" w:rsidRDefault="00BE5D53" w:rsidP="00B537E0">
            <w:pPr>
              <w:widowControl/>
              <w:spacing w:line="240" w:lineRule="auto"/>
              <w:ind w:firstLine="0"/>
              <w:jc w:val="center"/>
              <w:rPr>
                <w:rFonts w:eastAsia="Times New Roman"/>
              </w:rPr>
            </w:pPr>
          </w:p>
        </w:tc>
        <w:tc>
          <w:tcPr>
            <w:tcW w:w="1200" w:type="dxa"/>
            <w:noWrap/>
            <w:hideMark/>
          </w:tcPr>
          <w:p w14:paraId="5978866A" w14:textId="77777777" w:rsidR="00BE5D53" w:rsidRPr="00BF6894" w:rsidRDefault="00BE5D53" w:rsidP="00B537E0">
            <w:pPr>
              <w:widowControl/>
              <w:spacing w:line="240" w:lineRule="auto"/>
              <w:ind w:firstLine="0"/>
              <w:jc w:val="center"/>
              <w:rPr>
                <w:rFonts w:eastAsia="Times New Roman"/>
              </w:rPr>
            </w:pPr>
          </w:p>
        </w:tc>
      </w:tr>
      <w:tr w:rsidR="001250EC" w:rsidRPr="00BF6894" w14:paraId="238228D6" w14:textId="77777777" w:rsidTr="00866934">
        <w:trPr>
          <w:trHeight w:val="312"/>
        </w:trPr>
        <w:tc>
          <w:tcPr>
            <w:tcW w:w="2127" w:type="dxa"/>
            <w:noWrap/>
            <w:hideMark/>
          </w:tcPr>
          <w:p w14:paraId="16BB5C84" w14:textId="77777777" w:rsidR="00BE5D53" w:rsidRPr="00A455A1" w:rsidRDefault="00BE5D53" w:rsidP="00B537E0">
            <w:pPr>
              <w:widowControl/>
              <w:spacing w:line="240" w:lineRule="auto"/>
              <w:ind w:firstLine="0"/>
              <w:rPr>
                <w:rFonts w:eastAsia="Times New Roman"/>
                <w:sz w:val="22"/>
                <w:szCs w:val="22"/>
              </w:rPr>
            </w:pPr>
            <w:r w:rsidRPr="00A455A1">
              <w:rPr>
                <w:rFonts w:eastAsia="Times New Roman"/>
                <w:color w:val="000000"/>
                <w:sz w:val="22"/>
                <w:szCs w:val="22"/>
              </w:rPr>
              <w:t>Woodward (2018)</w:t>
            </w:r>
          </w:p>
        </w:tc>
        <w:tc>
          <w:tcPr>
            <w:tcW w:w="1417" w:type="dxa"/>
            <w:noWrap/>
            <w:hideMark/>
          </w:tcPr>
          <w:p w14:paraId="2CD8E8C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1866F64F"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559" w:type="dxa"/>
            <w:noWrap/>
            <w:hideMark/>
          </w:tcPr>
          <w:p w14:paraId="4103EA4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76" w:type="dxa"/>
            <w:noWrap/>
            <w:hideMark/>
          </w:tcPr>
          <w:p w14:paraId="4E3F5466"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842" w:type="dxa"/>
            <w:noWrap/>
            <w:hideMark/>
          </w:tcPr>
          <w:p w14:paraId="6E95A62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701" w:type="dxa"/>
            <w:noWrap/>
            <w:hideMark/>
          </w:tcPr>
          <w:p w14:paraId="7E13B227"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418" w:type="dxa"/>
            <w:noWrap/>
            <w:hideMark/>
          </w:tcPr>
          <w:p w14:paraId="54A684C4" w14:textId="77777777" w:rsidR="00BE5D53" w:rsidRPr="00BF6894" w:rsidRDefault="00BE5D53" w:rsidP="00B537E0">
            <w:pPr>
              <w:widowControl/>
              <w:spacing w:line="240" w:lineRule="auto"/>
              <w:ind w:firstLine="0"/>
              <w:jc w:val="center"/>
              <w:rPr>
                <w:rFonts w:eastAsia="Times New Roman"/>
              </w:rPr>
            </w:pPr>
            <w:r w:rsidRPr="00BF6894">
              <w:rPr>
                <w:rFonts w:eastAsia="Times New Roman"/>
              </w:rPr>
              <w:t>x</w:t>
            </w:r>
          </w:p>
        </w:tc>
        <w:tc>
          <w:tcPr>
            <w:tcW w:w="1200" w:type="dxa"/>
            <w:noWrap/>
            <w:hideMark/>
          </w:tcPr>
          <w:p w14:paraId="13404420" w14:textId="77777777" w:rsidR="00BE5D53" w:rsidRPr="00BF6894" w:rsidRDefault="00BE5D53" w:rsidP="00B537E0">
            <w:pPr>
              <w:widowControl/>
              <w:spacing w:line="240" w:lineRule="auto"/>
              <w:ind w:firstLine="0"/>
              <w:jc w:val="center"/>
              <w:rPr>
                <w:rFonts w:eastAsia="Times New Roman"/>
              </w:rPr>
            </w:pPr>
          </w:p>
        </w:tc>
      </w:tr>
      <w:tr w:rsidR="00476235" w:rsidRPr="00BF6894" w14:paraId="29417B66" w14:textId="77777777" w:rsidTr="00866934">
        <w:trPr>
          <w:trHeight w:val="312"/>
        </w:trPr>
        <w:tc>
          <w:tcPr>
            <w:tcW w:w="2127" w:type="dxa"/>
            <w:noWrap/>
          </w:tcPr>
          <w:p w14:paraId="7C02EA5E" w14:textId="4CE48831" w:rsidR="00476235" w:rsidRPr="001250EC" w:rsidRDefault="00476235" w:rsidP="00476235">
            <w:pPr>
              <w:widowControl/>
              <w:spacing w:line="240" w:lineRule="auto"/>
              <w:ind w:firstLine="0"/>
              <w:rPr>
                <w:rFonts w:eastAsia="Times New Roman"/>
                <w:color w:val="000000"/>
                <w:sz w:val="20"/>
                <w:szCs w:val="20"/>
              </w:rPr>
            </w:pPr>
            <w:r w:rsidRPr="001250EC">
              <w:rPr>
                <w:rFonts w:eastAsia="Times New Roman"/>
                <w:color w:val="000000"/>
                <w:sz w:val="20"/>
                <w:szCs w:val="20"/>
              </w:rPr>
              <w:lastRenderedPageBreak/>
              <w:t>Studies per mechanism</w:t>
            </w:r>
          </w:p>
        </w:tc>
        <w:tc>
          <w:tcPr>
            <w:tcW w:w="1417" w:type="dxa"/>
            <w:noWrap/>
          </w:tcPr>
          <w:p w14:paraId="16E60B04" w14:textId="30B7A6D8" w:rsidR="00476235" w:rsidRPr="00476235" w:rsidRDefault="00476235" w:rsidP="00476235">
            <w:pPr>
              <w:widowControl/>
              <w:spacing w:line="240" w:lineRule="auto"/>
              <w:ind w:firstLine="0"/>
              <w:jc w:val="center"/>
            </w:pPr>
            <w:r w:rsidRPr="00BF6894">
              <w:rPr>
                <w:rFonts w:eastAsia="Times New Roman"/>
                <w:i/>
                <w:iCs/>
              </w:rPr>
              <w:t>n</w:t>
            </w:r>
            <w:r>
              <w:rPr>
                <w:rFonts w:eastAsia="Times New Roman"/>
                <w:i/>
                <w:iCs/>
              </w:rPr>
              <w:t xml:space="preserve"> = </w:t>
            </w:r>
            <w:r w:rsidRPr="00BF6894">
              <w:rPr>
                <w:rFonts w:eastAsia="Times New Roman"/>
              </w:rPr>
              <w:t>16</w:t>
            </w:r>
          </w:p>
        </w:tc>
        <w:tc>
          <w:tcPr>
            <w:tcW w:w="1418" w:type="dxa"/>
            <w:noWrap/>
          </w:tcPr>
          <w:p w14:paraId="12415D77" w14:textId="10888C88" w:rsidR="00476235" w:rsidRPr="00BF6894" w:rsidRDefault="00476235" w:rsidP="00476235">
            <w:pPr>
              <w:widowControl/>
              <w:spacing w:line="240" w:lineRule="auto"/>
              <w:ind w:firstLine="0"/>
              <w:jc w:val="center"/>
              <w:rPr>
                <w:rFonts w:eastAsia="Times New Roman"/>
              </w:rPr>
            </w:pPr>
            <w:r w:rsidRPr="00BF6894">
              <w:rPr>
                <w:rFonts w:eastAsia="Times New Roman"/>
                <w:i/>
                <w:iCs/>
              </w:rPr>
              <w:t>n</w:t>
            </w:r>
            <w:r>
              <w:rPr>
                <w:rFonts w:eastAsia="Times New Roman"/>
                <w:i/>
                <w:iCs/>
              </w:rPr>
              <w:t xml:space="preserve"> = </w:t>
            </w:r>
            <w:r w:rsidRPr="00BF6894">
              <w:rPr>
                <w:rFonts w:eastAsia="Times New Roman"/>
              </w:rPr>
              <w:t>21</w:t>
            </w:r>
          </w:p>
        </w:tc>
        <w:tc>
          <w:tcPr>
            <w:tcW w:w="1559" w:type="dxa"/>
            <w:noWrap/>
          </w:tcPr>
          <w:p w14:paraId="70AB5CDE" w14:textId="6183EBA3" w:rsidR="00476235" w:rsidRPr="00BF6894" w:rsidRDefault="00476235" w:rsidP="00476235">
            <w:pPr>
              <w:widowControl/>
              <w:spacing w:line="240" w:lineRule="auto"/>
              <w:ind w:firstLine="0"/>
              <w:jc w:val="center"/>
              <w:rPr>
                <w:rFonts w:eastAsia="Times New Roman"/>
              </w:rPr>
            </w:pPr>
            <w:r w:rsidRPr="00BF6894">
              <w:rPr>
                <w:rFonts w:eastAsia="Times New Roman"/>
                <w:i/>
                <w:iCs/>
              </w:rPr>
              <w:t>n</w:t>
            </w:r>
            <w:r>
              <w:rPr>
                <w:rFonts w:eastAsia="Times New Roman"/>
                <w:i/>
                <w:iCs/>
              </w:rPr>
              <w:t xml:space="preserve"> = </w:t>
            </w:r>
            <w:r w:rsidRPr="00BF6894">
              <w:rPr>
                <w:rFonts w:eastAsia="Times New Roman"/>
              </w:rPr>
              <w:t>18</w:t>
            </w:r>
          </w:p>
        </w:tc>
        <w:tc>
          <w:tcPr>
            <w:tcW w:w="1276" w:type="dxa"/>
            <w:noWrap/>
          </w:tcPr>
          <w:p w14:paraId="7916AB27" w14:textId="1CF3A8D4" w:rsidR="00476235" w:rsidRPr="00BF6894" w:rsidRDefault="00476235" w:rsidP="00476235">
            <w:pPr>
              <w:widowControl/>
              <w:spacing w:line="240" w:lineRule="auto"/>
              <w:ind w:firstLine="0"/>
              <w:jc w:val="center"/>
              <w:rPr>
                <w:rFonts w:eastAsia="Times New Roman"/>
              </w:rPr>
            </w:pPr>
            <w:r w:rsidRPr="00BF6894">
              <w:rPr>
                <w:rFonts w:eastAsia="Times New Roman"/>
                <w:i/>
                <w:iCs/>
              </w:rPr>
              <w:t>n</w:t>
            </w:r>
            <w:r>
              <w:rPr>
                <w:rFonts w:eastAsia="Times New Roman"/>
                <w:i/>
                <w:iCs/>
              </w:rPr>
              <w:t xml:space="preserve"> = </w:t>
            </w:r>
            <w:r w:rsidRPr="00BF6894">
              <w:rPr>
                <w:rFonts w:eastAsia="Times New Roman"/>
              </w:rPr>
              <w:t>17</w:t>
            </w:r>
          </w:p>
        </w:tc>
        <w:tc>
          <w:tcPr>
            <w:tcW w:w="1842" w:type="dxa"/>
            <w:noWrap/>
          </w:tcPr>
          <w:p w14:paraId="75B0F6C5" w14:textId="4AA093F9" w:rsidR="00476235" w:rsidRPr="00BF6894" w:rsidRDefault="00476235" w:rsidP="00476235">
            <w:pPr>
              <w:widowControl/>
              <w:spacing w:line="240" w:lineRule="auto"/>
              <w:ind w:firstLine="0"/>
              <w:jc w:val="center"/>
              <w:rPr>
                <w:rFonts w:eastAsia="Times New Roman"/>
              </w:rPr>
            </w:pPr>
            <w:r w:rsidRPr="00BF6894">
              <w:rPr>
                <w:rFonts w:eastAsia="Times New Roman"/>
                <w:i/>
                <w:iCs/>
              </w:rPr>
              <w:t>n</w:t>
            </w:r>
            <w:r>
              <w:rPr>
                <w:rFonts w:eastAsia="Times New Roman"/>
                <w:i/>
                <w:iCs/>
              </w:rPr>
              <w:t xml:space="preserve"> = </w:t>
            </w:r>
            <w:r w:rsidRPr="00BF6894">
              <w:rPr>
                <w:rFonts w:eastAsia="Times New Roman"/>
              </w:rPr>
              <w:t>26</w:t>
            </w:r>
          </w:p>
        </w:tc>
        <w:tc>
          <w:tcPr>
            <w:tcW w:w="1701" w:type="dxa"/>
            <w:noWrap/>
          </w:tcPr>
          <w:p w14:paraId="20F7CA4C" w14:textId="0D5991D3" w:rsidR="00476235" w:rsidRPr="00BF6894" w:rsidRDefault="00476235" w:rsidP="00476235">
            <w:pPr>
              <w:widowControl/>
              <w:spacing w:line="240" w:lineRule="auto"/>
              <w:ind w:firstLine="0"/>
              <w:jc w:val="center"/>
              <w:rPr>
                <w:rFonts w:eastAsia="Times New Roman"/>
              </w:rPr>
            </w:pPr>
            <w:r w:rsidRPr="00BF6894">
              <w:rPr>
                <w:rFonts w:eastAsia="Times New Roman"/>
                <w:i/>
                <w:iCs/>
              </w:rPr>
              <w:t>n</w:t>
            </w:r>
            <w:r>
              <w:rPr>
                <w:rFonts w:eastAsia="Times New Roman"/>
                <w:i/>
                <w:iCs/>
              </w:rPr>
              <w:t xml:space="preserve"> = </w:t>
            </w:r>
            <w:r w:rsidRPr="00BF6894">
              <w:rPr>
                <w:rFonts w:eastAsia="Times New Roman"/>
              </w:rPr>
              <w:t>18</w:t>
            </w:r>
          </w:p>
        </w:tc>
        <w:tc>
          <w:tcPr>
            <w:tcW w:w="1418" w:type="dxa"/>
            <w:noWrap/>
          </w:tcPr>
          <w:p w14:paraId="5D187A48" w14:textId="403C0160" w:rsidR="00476235" w:rsidRPr="00BF6894" w:rsidRDefault="00476235" w:rsidP="00476235">
            <w:pPr>
              <w:widowControl/>
              <w:spacing w:line="240" w:lineRule="auto"/>
              <w:ind w:firstLine="0"/>
              <w:jc w:val="center"/>
              <w:rPr>
                <w:rFonts w:eastAsia="Times New Roman"/>
              </w:rPr>
            </w:pPr>
            <w:r w:rsidRPr="00BF6894">
              <w:rPr>
                <w:rFonts w:eastAsia="Times New Roman"/>
                <w:i/>
                <w:iCs/>
              </w:rPr>
              <w:t>n</w:t>
            </w:r>
            <w:r>
              <w:rPr>
                <w:rFonts w:eastAsia="Times New Roman"/>
                <w:i/>
                <w:iCs/>
              </w:rPr>
              <w:t xml:space="preserve"> = </w:t>
            </w:r>
            <w:r w:rsidRPr="00BF6894">
              <w:rPr>
                <w:rFonts w:eastAsia="Times New Roman"/>
              </w:rPr>
              <w:t>11</w:t>
            </w:r>
          </w:p>
        </w:tc>
        <w:tc>
          <w:tcPr>
            <w:tcW w:w="1200" w:type="dxa"/>
            <w:noWrap/>
          </w:tcPr>
          <w:p w14:paraId="0F181099" w14:textId="590DA2C7" w:rsidR="00476235" w:rsidRPr="00BF6894" w:rsidRDefault="00476235" w:rsidP="00476235">
            <w:pPr>
              <w:widowControl/>
              <w:spacing w:line="240" w:lineRule="auto"/>
              <w:ind w:firstLine="0"/>
              <w:jc w:val="center"/>
              <w:rPr>
                <w:rFonts w:eastAsia="Times New Roman"/>
              </w:rPr>
            </w:pPr>
            <w:r w:rsidRPr="00BF6894">
              <w:rPr>
                <w:rFonts w:eastAsia="Times New Roman"/>
                <w:i/>
                <w:iCs/>
              </w:rPr>
              <w:t>n</w:t>
            </w:r>
            <w:r>
              <w:rPr>
                <w:rFonts w:eastAsia="Times New Roman"/>
                <w:i/>
                <w:iCs/>
              </w:rPr>
              <w:t xml:space="preserve"> = </w:t>
            </w:r>
            <w:r w:rsidRPr="00BF6894">
              <w:rPr>
                <w:rFonts w:eastAsia="Times New Roman"/>
              </w:rPr>
              <w:t>6</w:t>
            </w:r>
          </w:p>
        </w:tc>
      </w:tr>
    </w:tbl>
    <w:p w14:paraId="2D3EA120" w14:textId="186DA954" w:rsidR="006A548A" w:rsidRPr="00953135" w:rsidRDefault="00F96F64" w:rsidP="006A548A">
      <w:pPr>
        <w:pStyle w:val="Caption"/>
        <w:ind w:firstLine="0"/>
        <w:rPr>
          <w:b w:val="0"/>
          <w:bCs w:val="0"/>
        </w:rPr>
      </w:pPr>
      <w:r w:rsidRPr="00953135">
        <w:rPr>
          <w:i/>
          <w:iCs/>
        </w:rPr>
        <w:t>Note.</w:t>
      </w:r>
      <w:r>
        <w:rPr>
          <w:b w:val="0"/>
          <w:bCs w:val="0"/>
          <w:i/>
          <w:iCs/>
        </w:rPr>
        <w:t xml:space="preserve"> </w:t>
      </w:r>
      <w:r w:rsidR="00953135">
        <w:rPr>
          <w:b w:val="0"/>
          <w:bCs w:val="0"/>
          <w:i/>
          <w:iCs/>
        </w:rPr>
        <w:t>N</w:t>
      </w:r>
      <w:r w:rsidR="00953135">
        <w:rPr>
          <w:b w:val="0"/>
          <w:bCs w:val="0"/>
        </w:rPr>
        <w:t xml:space="preserve"> = 44 reports informed </w:t>
      </w:r>
      <w:r w:rsidR="00953135">
        <w:rPr>
          <w:b w:val="0"/>
          <w:bCs w:val="0"/>
          <w:i/>
          <w:iCs/>
        </w:rPr>
        <w:t>n</w:t>
      </w:r>
      <w:r w:rsidR="00953135">
        <w:rPr>
          <w:b w:val="0"/>
          <w:bCs w:val="0"/>
        </w:rPr>
        <w:t xml:space="preserve"> = 29 studies. </w:t>
      </w:r>
    </w:p>
    <w:p w14:paraId="56B816ED" w14:textId="77777777" w:rsidR="006A548A" w:rsidRDefault="006A548A" w:rsidP="006A548A">
      <w:pPr>
        <w:tabs>
          <w:tab w:val="left" w:pos="5130"/>
        </w:tabs>
      </w:pPr>
    </w:p>
    <w:p w14:paraId="5F20AEA3" w14:textId="77777777" w:rsidR="006A548A" w:rsidRPr="007A0F4B" w:rsidRDefault="006A548A" w:rsidP="008E3859">
      <w:pPr>
        <w:ind w:firstLine="0"/>
        <w:rPr>
          <w:b/>
          <w:bCs/>
        </w:rPr>
      </w:pPr>
    </w:p>
    <w:p w14:paraId="117DD295" w14:textId="77777777" w:rsidR="00DB0DEB" w:rsidRDefault="00DB0DEB">
      <w:pPr>
        <w:widowControl/>
        <w:rPr>
          <w:b/>
          <w:bCs/>
        </w:rPr>
      </w:pPr>
      <w:r>
        <w:br w:type="page"/>
      </w:r>
    </w:p>
    <w:p w14:paraId="48C4EADB" w14:textId="7E680A32" w:rsidR="008E3859" w:rsidRPr="007A0F4B" w:rsidRDefault="008E3859" w:rsidP="008E3859">
      <w:pPr>
        <w:pStyle w:val="Caption"/>
        <w:ind w:firstLine="0"/>
      </w:pPr>
      <w:r w:rsidRPr="007A0F4B">
        <w:lastRenderedPageBreak/>
        <w:t xml:space="preserve">Supplementary Material Table </w:t>
      </w:r>
      <w:r w:rsidR="00734ED2">
        <w:t>7</w:t>
      </w:r>
    </w:p>
    <w:p w14:paraId="74B26685" w14:textId="3E54EEF5" w:rsidR="00401100" w:rsidRPr="007A0F4B" w:rsidRDefault="00401100" w:rsidP="00401100">
      <w:pPr>
        <w:pStyle w:val="Caption"/>
        <w:ind w:firstLine="0"/>
        <w:rPr>
          <w:rFonts w:eastAsia="Times New Roman"/>
          <w:b w:val="0"/>
          <w:bCs w:val="0"/>
          <w:i/>
          <w:iCs/>
          <w:szCs w:val="32"/>
        </w:rPr>
      </w:pPr>
      <w:r w:rsidRPr="007A0F4B">
        <w:rPr>
          <w:b w:val="0"/>
          <w:bCs w:val="0"/>
          <w:i/>
          <w:iCs/>
        </w:rPr>
        <w:t>Examples of Findings that Informed Each Mechanism and Key Themes</w:t>
      </w:r>
      <w:bookmarkEnd w:id="0"/>
    </w:p>
    <w:tbl>
      <w:tblPr>
        <w:tblStyle w:val="TableGrid8"/>
        <w:tblW w:w="5129"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9676"/>
      </w:tblGrid>
      <w:tr w:rsidR="00401100" w:rsidRPr="007A0F4B" w14:paraId="59990C1F" w14:textId="77777777" w:rsidTr="00C342F1">
        <w:trPr>
          <w:tblHeader/>
        </w:trPr>
        <w:tc>
          <w:tcPr>
            <w:tcW w:w="1621" w:type="pct"/>
            <w:tcBorders>
              <w:top w:val="single" w:sz="4" w:space="0" w:color="auto"/>
              <w:bottom w:val="single" w:sz="4" w:space="0" w:color="auto"/>
            </w:tcBorders>
          </w:tcPr>
          <w:p w14:paraId="7B1400B6" w14:textId="77777777" w:rsidR="00401100" w:rsidRPr="007A0F4B" w:rsidRDefault="00401100" w:rsidP="00C342F1">
            <w:pPr>
              <w:widowControl/>
              <w:rPr>
                <w:rFonts w:ascii="Times New Roman" w:eastAsiaTheme="minorHAnsi" w:hAnsi="Times New Roman" w:cs="Times New Roman"/>
              </w:rPr>
            </w:pPr>
            <w:r w:rsidRPr="007A0F4B">
              <w:rPr>
                <w:rFonts w:ascii="Times New Roman" w:eastAsiaTheme="minorHAnsi" w:hAnsi="Times New Roman" w:cs="Times New Roman"/>
              </w:rPr>
              <w:t>Mechanism and Theme</w:t>
            </w:r>
          </w:p>
        </w:tc>
        <w:tc>
          <w:tcPr>
            <w:tcW w:w="3379" w:type="pct"/>
            <w:tcBorders>
              <w:top w:val="single" w:sz="4" w:space="0" w:color="auto"/>
              <w:bottom w:val="single" w:sz="4" w:space="0" w:color="auto"/>
            </w:tcBorders>
          </w:tcPr>
          <w:p w14:paraId="496C44D2" w14:textId="77777777" w:rsidR="00401100" w:rsidRPr="007A0F4B" w:rsidRDefault="00401100" w:rsidP="00C342F1">
            <w:pPr>
              <w:widowControl/>
              <w:rPr>
                <w:rFonts w:ascii="Times New Roman" w:eastAsiaTheme="minorHAnsi" w:hAnsi="Times New Roman" w:cs="Times New Roman"/>
              </w:rPr>
            </w:pPr>
            <w:r w:rsidRPr="007A0F4B">
              <w:rPr>
                <w:rFonts w:ascii="Times New Roman" w:eastAsiaTheme="minorHAnsi" w:hAnsi="Times New Roman" w:cs="Times New Roman"/>
              </w:rPr>
              <w:t xml:space="preserve">Examples of Findings </w:t>
            </w:r>
          </w:p>
        </w:tc>
      </w:tr>
      <w:tr w:rsidR="00401100" w:rsidRPr="007A0F4B" w14:paraId="5620D109" w14:textId="77777777" w:rsidTr="00C342F1">
        <w:tc>
          <w:tcPr>
            <w:tcW w:w="5000" w:type="pct"/>
            <w:gridSpan w:val="2"/>
            <w:tcBorders>
              <w:top w:val="single" w:sz="4" w:space="0" w:color="auto"/>
            </w:tcBorders>
          </w:tcPr>
          <w:p w14:paraId="5F72E750" w14:textId="77777777" w:rsidR="00401100" w:rsidRPr="007A0F4B" w:rsidRDefault="00401100" w:rsidP="00C342F1">
            <w:pPr>
              <w:widowControl/>
              <w:rPr>
                <w:rFonts w:ascii="Times New Roman" w:eastAsiaTheme="minorHAnsi" w:hAnsi="Times New Roman" w:cs="Times New Roman"/>
              </w:rPr>
            </w:pPr>
            <w:r w:rsidRPr="007A0F4B">
              <w:rPr>
                <w:rFonts w:ascii="Times New Roman" w:eastAsiaTheme="minorHAnsi" w:hAnsi="Times New Roman" w:cs="Times New Roman"/>
                <w:i/>
                <w:iCs/>
              </w:rPr>
              <w:t xml:space="preserve">Prosocial Response to Formal Social Control </w:t>
            </w:r>
          </w:p>
        </w:tc>
      </w:tr>
      <w:tr w:rsidR="00401100" w:rsidRPr="007A0F4B" w14:paraId="3AC7E6F6" w14:textId="77777777" w:rsidTr="00C342F1">
        <w:tc>
          <w:tcPr>
            <w:tcW w:w="1621" w:type="pct"/>
          </w:tcPr>
          <w:p w14:paraId="44003277"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Turning points for change</w:t>
            </w:r>
          </w:p>
        </w:tc>
        <w:tc>
          <w:tcPr>
            <w:tcW w:w="3379" w:type="pct"/>
          </w:tcPr>
          <w:p w14:paraId="569CE428"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 remember the day that they opened that gate and let me out, and it was just like, I’m never going to go back there again” (Bartle, 2012, p. 77). </w:t>
            </w:r>
            <w:r w:rsidRPr="007A0F4B">
              <w:rPr>
                <w:rFonts w:eastAsiaTheme="minorHAnsi"/>
              </w:rPr>
              <w:fldChar w:fldCharType="begin" w:fldLock="1"/>
            </w:r>
            <w:r w:rsidRPr="007A0F4B">
              <w:rPr>
                <w:rFonts w:ascii="Times New Roman" w:eastAsiaTheme="minorHAnsi" w:hAnsi="Times New Roman" w:cs="Times New Roman"/>
              </w:rPr>
              <w:instrText>ADDIN CSL_CITATION {"citationItems":[{"id":"ITEM-1","itemData":{"abstract":"Despite the fact that the majority of Child Sex Offenders (CSOs) do not reoffend (Hanson &amp; Bussière, 1998), very little is known about what supports and motivates CSOs to maintain their desistance. While the Relapse Prevention Model of CSO treatment (Marlatt, 1985; Pithers, 1990; Ward &amp; Hudson, 2000) suggests that desisting CSOs are vigilant for risk and motivated by a desire to avoid reoffending, the Good Lives Model (Laws &amp; Ward, 2011; Ward &amp; Marshall, 2004) suggests that desisting CSOs have replaced se","author":[{"dropping-particle":"","family":"Bartle","given":"H","non-dropping-particle":"","parse-names":false,"suffix":""}],"id":"ITEM-1","issued":{"date-parts":[["2012"]]},"publisher":"University of Auckland","title":"Staying stopped: Maintaining desistance from child sexual abuse following treatment [Unpublished doctoral thesis]","type":"thesis"},"locator":"77","uris":["http://www.mendeley.com/documents/?uuid=f329f4a5-20b0-4e52-99ec-f8d027c2cc47"]}],"mendeley":{"formattedCitation":"(Bartle, 2012, p. 77)","plainTextFormattedCitation":"(Bartle, 2012, p. 77)","previouslyFormattedCitation":"(Bartle, 2012, p. 77)"},"properties":{"noteIndex":0},"schema":"https://github.com/citation-style-language/schema/raw/master/csl-citation.json"}</w:instrText>
            </w:r>
            <w:r w:rsidRPr="007A0F4B">
              <w:rPr>
                <w:rFonts w:eastAsiaTheme="minorHAnsi"/>
              </w:rPr>
              <w:fldChar w:fldCharType="separate"/>
            </w:r>
            <w:r w:rsidRPr="007A0F4B">
              <w:rPr>
                <w:rFonts w:eastAsiaTheme="minorHAnsi"/>
              </w:rPr>
              <w:fldChar w:fldCharType="end"/>
            </w:r>
          </w:p>
          <w:p w14:paraId="5BE9C612"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“Interviewees repeatedly said that they were ‘shocked’ into changing not just their </w:t>
            </w:r>
            <w:proofErr w:type="spellStart"/>
            <w:r w:rsidRPr="007A0F4B">
              <w:rPr>
                <w:rFonts w:ascii="Times New Roman" w:eastAsiaTheme="minorHAnsi" w:hAnsi="Times New Roman" w:cs="Times New Roman"/>
              </w:rPr>
              <w:t>behaviours</w:t>
            </w:r>
            <w:proofErr w:type="spellEnd"/>
            <w:r w:rsidRPr="007A0F4B">
              <w:rPr>
                <w:rFonts w:ascii="Times New Roman" w:eastAsiaTheme="minorHAnsi" w:hAnsi="Times New Roman" w:cs="Times New Roman"/>
              </w:rPr>
              <w:t xml:space="preserve"> but also their views about the abuse they were perpetrating, and this precipitated an end to any consideration of further abuse. </w:t>
            </w:r>
            <w:proofErr w:type="gramStart"/>
            <w:r w:rsidRPr="007A0F4B">
              <w:rPr>
                <w:rFonts w:ascii="Times New Roman" w:eastAsiaTheme="minorHAnsi" w:hAnsi="Times New Roman" w:cs="Times New Roman"/>
              </w:rPr>
              <w:t>A number of</w:t>
            </w:r>
            <w:proofErr w:type="gramEnd"/>
            <w:r w:rsidRPr="007A0F4B">
              <w:rPr>
                <w:rFonts w:ascii="Times New Roman" w:eastAsiaTheme="minorHAnsi" w:hAnsi="Times New Roman" w:cs="Times New Roman"/>
              </w:rPr>
              <w:t xml:space="preserve"> participants vividly described their shock at being arrested. Several said that arrest acted as a turning point after which they ceased offending” (Farmer et al., 2015, p. 328).</w:t>
            </w:r>
          </w:p>
          <w:p w14:paraId="32607DD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 shock of the police turning up at the door- gave me enough of a shock not to want to do it again” (Milner, 2017, p. 81). </w:t>
            </w:r>
          </w:p>
        </w:tc>
      </w:tr>
      <w:tr w:rsidR="00401100" w:rsidRPr="007A0F4B" w14:paraId="78CD52D2" w14:textId="77777777" w:rsidTr="00C342F1">
        <w:tc>
          <w:tcPr>
            <w:tcW w:w="1621" w:type="pct"/>
          </w:tcPr>
          <w:p w14:paraId="21F44702"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Active engagement with professionals</w:t>
            </w:r>
          </w:p>
        </w:tc>
        <w:tc>
          <w:tcPr>
            <w:tcW w:w="3379" w:type="pct"/>
          </w:tcPr>
          <w:p w14:paraId="3354D0D3" w14:textId="77777777" w:rsidR="00401100" w:rsidRPr="007A0F4B" w:rsidRDefault="00401100" w:rsidP="00C342F1">
            <w:pPr>
              <w:widowControl/>
              <w:ind w:left="674" w:right="684" w:hanging="674"/>
              <w:rPr>
                <w:rFonts w:ascii="Times New Roman" w:eastAsiaTheme="minorHAnsi" w:hAnsi="Times New Roman" w:cs="Times New Roman"/>
              </w:rPr>
            </w:pPr>
            <w:r w:rsidRPr="007A0F4B">
              <w:rPr>
                <w:rFonts w:ascii="Times New Roman" w:eastAsiaTheme="minorHAnsi" w:hAnsi="Times New Roman" w:cs="Times New Roman"/>
              </w:rPr>
              <w:t xml:space="preserve">“I wanted to fulfil the terms of the probation. I wanted to have my life back. I wanted to, like you hear </w:t>
            </w:r>
            <w:proofErr w:type="gramStart"/>
            <w:r w:rsidRPr="007A0F4B">
              <w:rPr>
                <w:rFonts w:ascii="Times New Roman" w:eastAsiaTheme="minorHAnsi" w:hAnsi="Times New Roman" w:cs="Times New Roman"/>
              </w:rPr>
              <w:t>over and over again, I wanted</w:t>
            </w:r>
            <w:proofErr w:type="gramEnd"/>
            <w:r w:rsidRPr="007A0F4B">
              <w:rPr>
                <w:rFonts w:ascii="Times New Roman" w:eastAsiaTheme="minorHAnsi" w:hAnsi="Times New Roman" w:cs="Times New Roman"/>
              </w:rPr>
              <w:t xml:space="preserve"> to be that changed person. I also, as time went on, felt better about myself for doing as well as I was doing, working hard in the therapy sessions. The first two years, I got a lot out of therapy. I even started to collaborate with my probation officer” (Cooley et al., 2017, p. 127).</w:t>
            </w:r>
          </w:p>
          <w:p w14:paraId="57DBF1DD"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“I just started going to church again. But I had to go through some stuff to make sure I could go because I can’t be around kids and stuff like that” (Harris et al., 2017, p. 112).</w:t>
            </w:r>
          </w:p>
          <w:p w14:paraId="2BDA8281"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“His sense of self was changing because he was able to prove to others that he was no longer a risk and he was happy to engage with all of the requirements of his risk management plans” (Woodward, 2018, p. 219).</w:t>
            </w:r>
          </w:p>
        </w:tc>
      </w:tr>
      <w:tr w:rsidR="00401100" w:rsidRPr="007A0F4B" w14:paraId="2F63DE48" w14:textId="77777777" w:rsidTr="00C342F1">
        <w:tc>
          <w:tcPr>
            <w:tcW w:w="5000" w:type="pct"/>
            <w:gridSpan w:val="2"/>
          </w:tcPr>
          <w:p w14:paraId="77EF38D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Positive Treatment Experiences</w:t>
            </w:r>
          </w:p>
        </w:tc>
      </w:tr>
      <w:tr w:rsidR="00401100" w:rsidRPr="007A0F4B" w14:paraId="4DA586CF" w14:textId="77777777" w:rsidTr="00C342F1">
        <w:tc>
          <w:tcPr>
            <w:tcW w:w="1621" w:type="pct"/>
          </w:tcPr>
          <w:p w14:paraId="25532BBA" w14:textId="77777777" w:rsidR="00401100" w:rsidRPr="007A0F4B" w:rsidRDefault="00401100" w:rsidP="00C342F1">
            <w:pPr>
              <w:widowControl/>
              <w:rPr>
                <w:rFonts w:ascii="Times New Roman" w:eastAsiaTheme="minorHAnsi" w:hAnsi="Times New Roman" w:cs="Times New Roman"/>
              </w:rPr>
            </w:pPr>
            <w:r w:rsidRPr="007A0F4B">
              <w:rPr>
                <w:rFonts w:ascii="Times New Roman" w:eastAsiaTheme="minorHAnsi" w:hAnsi="Times New Roman" w:cs="Times New Roman"/>
              </w:rPr>
              <w:t xml:space="preserve">            A turning point for change</w:t>
            </w:r>
          </w:p>
        </w:tc>
        <w:tc>
          <w:tcPr>
            <w:tcW w:w="3379" w:type="pct"/>
          </w:tcPr>
          <w:p w14:paraId="02C1418F"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 know that part of it </w:t>
            </w:r>
            <w:proofErr w:type="gramStart"/>
            <w:r w:rsidRPr="007A0F4B">
              <w:rPr>
                <w:rFonts w:ascii="Times New Roman" w:eastAsiaTheme="minorHAnsi" w:hAnsi="Times New Roman" w:cs="Times New Roman"/>
              </w:rPr>
              <w:t>has to</w:t>
            </w:r>
            <w:proofErr w:type="gramEnd"/>
            <w:r w:rsidRPr="007A0F4B">
              <w:rPr>
                <w:rFonts w:ascii="Times New Roman" w:eastAsiaTheme="minorHAnsi" w:hAnsi="Times New Roman" w:cs="Times New Roman"/>
              </w:rPr>
              <w:t xml:space="preserve"> be therapy. That’s why I guess they say knowledge is power. See, I wasn’t armed with all the information before, so I wasn’t reasoning as well as I am now” (Harris, 2014, p. 1567).</w:t>
            </w:r>
          </w:p>
          <w:p w14:paraId="4AFCCD4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“Desisters discussed how they were able to assert agency over their lives because treatment lessons supported overall life changes, not just criminogenic ones” (Kras, 2021, p. 13). </w:t>
            </w:r>
          </w:p>
          <w:p w14:paraId="5F5B53AA"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lastRenderedPageBreak/>
              <w:t>“Participants about their turning point in relation to deciding to stop offending. The men gave four key reasons (in order of prevalence): Effect on self and others, Treatment, Arrest and prison and Wanting a positive future” (Milner, 2017, p. 100).</w:t>
            </w:r>
          </w:p>
        </w:tc>
      </w:tr>
      <w:tr w:rsidR="00401100" w:rsidRPr="007A0F4B" w14:paraId="0BB16A8D" w14:textId="77777777" w:rsidTr="00C342F1">
        <w:tc>
          <w:tcPr>
            <w:tcW w:w="1621" w:type="pct"/>
          </w:tcPr>
          <w:p w14:paraId="62319C2C"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lastRenderedPageBreak/>
              <w:t>Peer support and mutual challenge</w:t>
            </w:r>
          </w:p>
        </w:tc>
        <w:tc>
          <w:tcPr>
            <w:tcW w:w="3379" w:type="pct"/>
          </w:tcPr>
          <w:p w14:paraId="2441302F" w14:textId="77777777" w:rsidR="00401100" w:rsidRPr="007A0F4B" w:rsidRDefault="00401100" w:rsidP="00C342F1">
            <w:pPr>
              <w:widowControl/>
              <w:ind w:left="674" w:right="684" w:hanging="674"/>
              <w:rPr>
                <w:rFonts w:ascii="Times New Roman" w:eastAsiaTheme="minorHAnsi" w:hAnsi="Times New Roman" w:cs="Times New Roman"/>
              </w:rPr>
            </w:pPr>
            <w:r w:rsidRPr="007A0F4B">
              <w:rPr>
                <w:rFonts w:ascii="Times New Roman" w:eastAsiaTheme="minorHAnsi" w:hAnsi="Times New Roman" w:cs="Times New Roman"/>
              </w:rPr>
              <w:t>“After two months of sobriety his confidence in the process had grown, and the Circle began to challenge continuing poor attitudes towards women… His willingness to discuss live issues in this way showed promise in the process (Bates et al., 2012, pp. 366–367).</w:t>
            </w:r>
          </w:p>
          <w:p w14:paraId="73E239A3" w14:textId="77777777" w:rsidR="00401100" w:rsidRPr="007A0F4B" w:rsidRDefault="00401100" w:rsidP="00C342F1">
            <w:pPr>
              <w:widowControl/>
              <w:ind w:left="674" w:right="684" w:hanging="674"/>
              <w:rPr>
                <w:rFonts w:ascii="Times New Roman" w:eastAsiaTheme="minorHAnsi" w:hAnsi="Times New Roman" w:cs="Times New Roman"/>
              </w:rPr>
            </w:pPr>
            <w:r w:rsidRPr="007A0F4B">
              <w:rPr>
                <w:rFonts w:ascii="Times New Roman" w:eastAsiaTheme="minorHAnsi" w:hAnsi="Times New Roman" w:cs="Times New Roman"/>
              </w:rPr>
              <w:t>“It gives me a place to talk about it. It gives me a place to vent. I can see that there’s other people having problems like I do. That helps a lot, the fact that you know that there are other guys who are going through the same kind of stuff you are.” (Kras, 2021, p. 14)</w:t>
            </w:r>
          </w:p>
          <w:p w14:paraId="48CA15C1"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“Marvin (registrant) explained, “I could have not gotten through my conviction and sentence without this group. So much encouragement here” (Sample et al., 2018, p. 4268).</w:t>
            </w:r>
          </w:p>
        </w:tc>
      </w:tr>
      <w:tr w:rsidR="00401100" w:rsidRPr="007A0F4B" w14:paraId="74745D7D" w14:textId="77777777" w:rsidTr="00C342F1">
        <w:tc>
          <w:tcPr>
            <w:tcW w:w="1621" w:type="pct"/>
          </w:tcPr>
          <w:p w14:paraId="30516A1B"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Understanding sexual offense process</w:t>
            </w:r>
          </w:p>
          <w:p w14:paraId="3E606134" w14:textId="77777777" w:rsidR="00401100" w:rsidRPr="007A0F4B" w:rsidRDefault="00401100" w:rsidP="00C342F1">
            <w:pPr>
              <w:widowControl/>
              <w:rPr>
                <w:rFonts w:ascii="Times New Roman" w:eastAsiaTheme="minorHAnsi" w:hAnsi="Times New Roman" w:cs="Times New Roman"/>
              </w:rPr>
            </w:pPr>
          </w:p>
        </w:tc>
        <w:tc>
          <w:tcPr>
            <w:tcW w:w="3379" w:type="pct"/>
          </w:tcPr>
          <w:p w14:paraId="127DE81A" w14:textId="77777777" w:rsidR="00401100" w:rsidRPr="007A0F4B" w:rsidRDefault="00401100" w:rsidP="00C342F1">
            <w:pPr>
              <w:widowControl/>
              <w:autoSpaceDE w:val="0"/>
              <w:autoSpaceDN w:val="0"/>
              <w:adjustRightInd w:val="0"/>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“Once you understand what you’ve done wrong, you can start moving on to how to counteract </w:t>
            </w:r>
            <w:proofErr w:type="gramStart"/>
            <w:r w:rsidRPr="007A0F4B">
              <w:rPr>
                <w:rFonts w:ascii="Times New Roman" w:eastAsiaTheme="minorHAnsi" w:hAnsi="Times New Roman" w:cs="Times New Roman"/>
              </w:rPr>
              <w:t>that</w:t>
            </w:r>
            <w:proofErr w:type="gramEnd"/>
            <w:r w:rsidRPr="007A0F4B">
              <w:rPr>
                <w:rFonts w:ascii="Times New Roman" w:eastAsiaTheme="minorHAnsi" w:hAnsi="Times New Roman" w:cs="Times New Roman"/>
              </w:rPr>
              <w:t xml:space="preserve"> so you don’t do it again” (Bartle, 2012, p. 90).</w:t>
            </w:r>
          </w:p>
          <w:p w14:paraId="033DE99E" w14:textId="77777777" w:rsidR="00401100" w:rsidRPr="007A0F4B" w:rsidRDefault="00401100" w:rsidP="00C342F1">
            <w:pPr>
              <w:widowControl/>
              <w:autoSpaceDE w:val="0"/>
              <w:autoSpaceDN w:val="0"/>
              <w:adjustRightInd w:val="0"/>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“During the interviews, they were eager to demonstrate their newly gained insight regarding offending and self-governance. They willingly shared their knowledge of triggers, tools, and risk situations and spoke in the present tense about their ability and commitment to stay safe” (Harris, 2016, p. 1728). </w:t>
            </w:r>
          </w:p>
          <w:p w14:paraId="79380067"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w:t>
            </w:r>
            <w:proofErr w:type="gramStart"/>
            <w:r w:rsidRPr="007A0F4B">
              <w:rPr>
                <w:rFonts w:ascii="Times New Roman" w:eastAsiaTheme="minorHAnsi" w:hAnsi="Times New Roman" w:cs="Times New Roman"/>
              </w:rPr>
              <w:t>Basically</w:t>
            </w:r>
            <w:proofErr w:type="gramEnd"/>
            <w:r w:rsidRPr="007A0F4B">
              <w:rPr>
                <w:rFonts w:ascii="Times New Roman" w:eastAsiaTheme="minorHAnsi" w:hAnsi="Times New Roman" w:cs="Times New Roman"/>
              </w:rPr>
              <w:t xml:space="preserve"> the </w:t>
            </w:r>
            <w:proofErr w:type="spellStart"/>
            <w:r w:rsidRPr="007A0F4B">
              <w:rPr>
                <w:rFonts w:ascii="Times New Roman" w:eastAsiaTheme="minorHAnsi" w:hAnsi="Times New Roman" w:cs="Times New Roman"/>
              </w:rPr>
              <w:t>programme</w:t>
            </w:r>
            <w:proofErr w:type="spellEnd"/>
            <w:r w:rsidRPr="007A0F4B">
              <w:rPr>
                <w:rFonts w:ascii="Times New Roman" w:eastAsiaTheme="minorHAnsi" w:hAnsi="Times New Roman" w:cs="Times New Roman"/>
              </w:rPr>
              <w:t xml:space="preserve"> properly sorted me out… I learnt coping techniques and talking about things without trivializing it or putting it on them [victims]… I learnt the skills to see the warning </w:t>
            </w:r>
            <w:proofErr w:type="gramStart"/>
            <w:r w:rsidRPr="007A0F4B">
              <w:rPr>
                <w:rFonts w:ascii="Times New Roman" w:eastAsiaTheme="minorHAnsi" w:hAnsi="Times New Roman" w:cs="Times New Roman"/>
              </w:rPr>
              <w:t>signs</w:t>
            </w:r>
            <w:proofErr w:type="gramEnd"/>
            <w:r w:rsidRPr="007A0F4B">
              <w:rPr>
                <w:rFonts w:ascii="Times New Roman" w:eastAsiaTheme="minorHAnsi" w:hAnsi="Times New Roman" w:cs="Times New Roman"/>
              </w:rPr>
              <w:t xml:space="preserve"> and I now know who I’ve got to talk </w:t>
            </w:r>
            <w:proofErr w:type="gramStart"/>
            <w:r w:rsidRPr="007A0F4B">
              <w:rPr>
                <w:rFonts w:ascii="Times New Roman" w:eastAsiaTheme="minorHAnsi" w:hAnsi="Times New Roman" w:cs="Times New Roman"/>
              </w:rPr>
              <w:t>to”</w:t>
            </w:r>
            <w:proofErr w:type="gramEnd"/>
            <w:r w:rsidRPr="007A0F4B">
              <w:rPr>
                <w:rFonts w:ascii="Times New Roman" w:eastAsiaTheme="minorHAnsi" w:hAnsi="Times New Roman" w:cs="Times New Roman"/>
              </w:rPr>
              <w:t xml:space="preserve"> (N. Mann et al., 2019, p. 6).</w:t>
            </w:r>
          </w:p>
        </w:tc>
      </w:tr>
      <w:tr w:rsidR="00401100" w:rsidRPr="007A0F4B" w14:paraId="71B56654" w14:textId="77777777" w:rsidTr="00C342F1">
        <w:tc>
          <w:tcPr>
            <w:tcW w:w="1621" w:type="pct"/>
          </w:tcPr>
          <w:p w14:paraId="2F336EBC"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Awareness of the harm caused to others</w:t>
            </w:r>
          </w:p>
        </w:tc>
        <w:tc>
          <w:tcPr>
            <w:tcW w:w="3379" w:type="pct"/>
          </w:tcPr>
          <w:p w14:paraId="632BF28B" w14:textId="77777777" w:rsidR="00401100" w:rsidRPr="007A0F4B" w:rsidRDefault="00401100" w:rsidP="00C342F1">
            <w:pPr>
              <w:widowControl/>
              <w:autoSpaceDE w:val="0"/>
              <w:autoSpaceDN w:val="0"/>
              <w:adjustRightInd w:val="0"/>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“Acknowledging the harm caused by their offense emerged as an important theme in the narratives of the men. When asked to identify a general turning point in their lives, many participants spoke of the (extremely difficult) moment that they accepted what they had done and took responsibility for their offense” (D.A. Harris, 2014, p. 1567). </w:t>
            </w:r>
          </w:p>
          <w:p w14:paraId="2804ACF1" w14:textId="77777777" w:rsidR="00401100" w:rsidRPr="007A0F4B" w:rsidRDefault="00401100" w:rsidP="00C342F1">
            <w:pPr>
              <w:widowControl/>
              <w:autoSpaceDE w:val="0"/>
              <w:autoSpaceDN w:val="0"/>
              <w:adjustRightInd w:val="0"/>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“Desisters’ redemption occurred as a process of developing empathy, which improved agency and self-efficacy, ultimately impacting self-worth…for instance, when asked about how he knows he will not reoffend again, Louis stated, “The principles, I utilize the principles. I try to put myself in somebody else’s shoes. I want to treat people like I want to be treated.” In essence, the treatment experience changed desisters’ views of themselves such that </w:t>
            </w:r>
            <w:r w:rsidRPr="007A0F4B">
              <w:rPr>
                <w:rFonts w:ascii="Times New Roman" w:eastAsiaTheme="minorHAnsi" w:hAnsi="Times New Roman" w:cs="Times New Roman"/>
              </w:rPr>
              <w:lastRenderedPageBreak/>
              <w:t>engaging in sexual deviance was incompatible with their emerging identity and developing empathy” (Kras, 2021, pp. 12-13).</w:t>
            </w:r>
          </w:p>
          <w:p w14:paraId="566B6959"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“Definitely the SOTP had the biggest effect on stopping me from reoffending. Because of the victim empathy, that’s when I decided” (Milner, 2017, p. 81). </w:t>
            </w:r>
          </w:p>
        </w:tc>
      </w:tr>
      <w:tr w:rsidR="00401100" w:rsidRPr="007A0F4B" w14:paraId="09E6A176" w14:textId="77777777" w:rsidTr="00C342F1">
        <w:tc>
          <w:tcPr>
            <w:tcW w:w="5000" w:type="pct"/>
            <w:gridSpan w:val="2"/>
          </w:tcPr>
          <w:p w14:paraId="57238D0A" w14:textId="77777777" w:rsidR="00401100" w:rsidRPr="007A0F4B" w:rsidRDefault="00401100" w:rsidP="00C342F1">
            <w:pPr>
              <w:widowControl/>
              <w:rPr>
                <w:rFonts w:ascii="Times New Roman" w:eastAsiaTheme="minorHAnsi" w:hAnsi="Times New Roman" w:cs="Times New Roman"/>
              </w:rPr>
            </w:pPr>
            <w:r w:rsidRPr="007A0F4B">
              <w:rPr>
                <w:rFonts w:ascii="Times New Roman" w:eastAsiaTheme="minorHAnsi" w:hAnsi="Times New Roman" w:cs="Times New Roman"/>
              </w:rPr>
              <w:lastRenderedPageBreak/>
              <w:t>Development of Insight and Application of Understanding</w:t>
            </w:r>
          </w:p>
        </w:tc>
      </w:tr>
      <w:tr w:rsidR="00401100" w:rsidRPr="007A0F4B" w14:paraId="0BCBB428" w14:textId="77777777" w:rsidTr="00C342F1">
        <w:tc>
          <w:tcPr>
            <w:tcW w:w="1621" w:type="pct"/>
          </w:tcPr>
          <w:p w14:paraId="6FCCE3C3" w14:textId="77777777" w:rsidR="00401100" w:rsidRPr="007A0F4B" w:rsidRDefault="00401100" w:rsidP="00C342F1">
            <w:pPr>
              <w:widowControl/>
              <w:ind w:left="596"/>
              <w:rPr>
                <w:rFonts w:ascii="Times New Roman" w:eastAsiaTheme="minorHAnsi" w:hAnsi="Times New Roman" w:cs="Times New Roman"/>
                <w:i/>
                <w:iCs/>
              </w:rPr>
            </w:pPr>
            <w:r w:rsidRPr="007A0F4B">
              <w:rPr>
                <w:rFonts w:ascii="Times New Roman" w:eastAsiaTheme="minorHAnsi" w:hAnsi="Times New Roman" w:cs="Times New Roman"/>
              </w:rPr>
              <w:t xml:space="preserve">Self-regulation </w:t>
            </w:r>
          </w:p>
        </w:tc>
        <w:tc>
          <w:tcPr>
            <w:tcW w:w="3379" w:type="pct"/>
          </w:tcPr>
          <w:p w14:paraId="224A9D0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“Changes included coping better with emotion, reducing stress, avoiding drug and alcohol use, and making sure that basic life requirements were in place… Participants described getting better at handling strong emotions including anger, resentment and sadness, and also spoke about having a better understanding of their emotions, which led to more effective coping strategies” (Bartle, 2012, pp. 107–108). </w:t>
            </w:r>
          </w:p>
          <w:p w14:paraId="23764898"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“That’s when I first learned to meditate and was able to get some separation from my emotions and get a way to subjectively look at my emotions from outside</w:t>
            </w:r>
            <w:proofErr w:type="gramStart"/>
            <w:r w:rsidRPr="007A0F4B">
              <w:rPr>
                <w:rFonts w:ascii="Times New Roman" w:eastAsiaTheme="minorHAnsi" w:hAnsi="Times New Roman" w:cs="Times New Roman"/>
              </w:rPr>
              <w:t>. . . .</w:t>
            </w:r>
            <w:proofErr w:type="gramEnd"/>
            <w:r w:rsidRPr="007A0F4B">
              <w:rPr>
                <w:rFonts w:ascii="Times New Roman" w:eastAsiaTheme="minorHAnsi" w:hAnsi="Times New Roman" w:cs="Times New Roman"/>
              </w:rPr>
              <w:t xml:space="preserve"> And that has just been an incredible journey</w:t>
            </w:r>
            <w:proofErr w:type="gramStart"/>
            <w:r w:rsidRPr="007A0F4B">
              <w:rPr>
                <w:rFonts w:ascii="Times New Roman" w:eastAsiaTheme="minorHAnsi" w:hAnsi="Times New Roman" w:cs="Times New Roman"/>
              </w:rPr>
              <w:t>. . . .</w:t>
            </w:r>
            <w:proofErr w:type="gramEnd"/>
            <w:r w:rsidRPr="007A0F4B">
              <w:rPr>
                <w:rFonts w:ascii="Times New Roman" w:eastAsiaTheme="minorHAnsi" w:hAnsi="Times New Roman" w:cs="Times New Roman"/>
              </w:rPr>
              <w:t xml:space="preserve"> So, every day now is about, I think, my life right now. You know? Every moment of my day right now is a high point, no matter what I’m dealing with because I know that it’s me living it now” (Harris et al., 2019, p. 210). </w:t>
            </w:r>
          </w:p>
        </w:tc>
      </w:tr>
      <w:tr w:rsidR="00401100" w:rsidRPr="007A0F4B" w14:paraId="006B3100" w14:textId="77777777" w:rsidTr="00C342F1">
        <w:tc>
          <w:tcPr>
            <w:tcW w:w="1621" w:type="pct"/>
          </w:tcPr>
          <w:p w14:paraId="20CB1A35"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Relationships</w:t>
            </w:r>
          </w:p>
        </w:tc>
        <w:tc>
          <w:tcPr>
            <w:tcW w:w="3379" w:type="pct"/>
          </w:tcPr>
          <w:p w14:paraId="2AB91528"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“Registrants discussed how although they were married to the same woman before their sexual crime, their relationship was stronger because they communicated better and were able to share anything with their spouse” (Cooley, 2021, p. 59).</w:t>
            </w:r>
          </w:p>
          <w:p w14:paraId="196D785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“Some core members learned to be more open and honest in their communication, and some report an improved quality of their relationships outside of the circle, due to more openness in their communication” (</w:t>
            </w:r>
            <w:proofErr w:type="spellStart"/>
            <w:r w:rsidRPr="007A0F4B">
              <w:rPr>
                <w:rFonts w:ascii="Times New Roman" w:eastAsiaTheme="minorHAnsi" w:hAnsi="Times New Roman" w:cs="Times New Roman"/>
              </w:rPr>
              <w:t>Höing</w:t>
            </w:r>
            <w:proofErr w:type="spellEnd"/>
            <w:r w:rsidRPr="007A0F4B">
              <w:rPr>
                <w:rFonts w:ascii="Times New Roman" w:eastAsiaTheme="minorHAnsi" w:hAnsi="Times New Roman" w:cs="Times New Roman"/>
              </w:rPr>
              <w:t xml:space="preserve"> et al., 2013, p. 280).</w:t>
            </w:r>
          </w:p>
          <w:p w14:paraId="17ADC4FF"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“There’s just me (name) now, but old (name) wasn’t very nice, he was a predator, terrible, where new (name) is open, honest with people and treats people with respect, and they treat me with the respect I have never had" (Milner, 2017, p. 79). </w:t>
            </w:r>
          </w:p>
        </w:tc>
      </w:tr>
      <w:tr w:rsidR="00401100" w:rsidRPr="007A0F4B" w14:paraId="2312CC79" w14:textId="77777777" w:rsidTr="00C342F1">
        <w:tc>
          <w:tcPr>
            <w:tcW w:w="1621" w:type="pct"/>
          </w:tcPr>
          <w:p w14:paraId="2B436F9E"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Safety</w:t>
            </w:r>
          </w:p>
        </w:tc>
        <w:tc>
          <w:tcPr>
            <w:tcW w:w="3379" w:type="pct"/>
          </w:tcPr>
          <w:p w14:paraId="551DD717"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 Circle worked with John to help him manage risky situations. A good example is the use of a checklist they helped him to produce. It is laminated and on the inside of his front door. It gives him a set of responses to say if any </w:t>
            </w:r>
            <w:proofErr w:type="spellStart"/>
            <w:r w:rsidRPr="007A0F4B">
              <w:rPr>
                <w:rFonts w:ascii="Times New Roman" w:eastAsiaTheme="minorHAnsi" w:hAnsi="Times New Roman" w:cs="Times New Roman"/>
              </w:rPr>
              <w:t>neighbours</w:t>
            </w:r>
            <w:proofErr w:type="spellEnd"/>
            <w:r w:rsidRPr="007A0F4B">
              <w:rPr>
                <w:rFonts w:ascii="Times New Roman" w:eastAsiaTheme="minorHAnsi" w:hAnsi="Times New Roman" w:cs="Times New Roman"/>
              </w:rPr>
              <w:t xml:space="preserve"> knock at his door with requests that might place him in risky situations” (Bates et al., 2012, p. 365).</w:t>
            </w:r>
          </w:p>
          <w:p w14:paraId="74D178C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 can go to church if I get an ‘okay’ from the pastor or minister or whatever. If I get an ‘okay’ from them that I told them my charges, and they’re </w:t>
            </w:r>
            <w:proofErr w:type="spellStart"/>
            <w:r w:rsidRPr="007A0F4B">
              <w:rPr>
                <w:rFonts w:ascii="Times New Roman" w:eastAsiaTheme="minorHAnsi" w:hAnsi="Times New Roman" w:cs="Times New Roman"/>
              </w:rPr>
              <w:t>gonna</w:t>
            </w:r>
            <w:proofErr w:type="spellEnd"/>
            <w:r w:rsidRPr="007A0F4B">
              <w:rPr>
                <w:rFonts w:ascii="Times New Roman" w:eastAsiaTheme="minorHAnsi" w:hAnsi="Times New Roman" w:cs="Times New Roman"/>
              </w:rPr>
              <w:t xml:space="preserve"> put me in a seat where there </w:t>
            </w:r>
            <w:proofErr w:type="spellStart"/>
            <w:r w:rsidRPr="007A0F4B">
              <w:rPr>
                <w:rFonts w:ascii="Times New Roman" w:eastAsiaTheme="minorHAnsi" w:hAnsi="Times New Roman" w:cs="Times New Roman"/>
              </w:rPr>
              <w:t>ain’t</w:t>
            </w:r>
            <w:proofErr w:type="spellEnd"/>
            <w:r w:rsidRPr="007A0F4B">
              <w:rPr>
                <w:rFonts w:ascii="Times New Roman" w:eastAsiaTheme="minorHAnsi" w:hAnsi="Times New Roman" w:cs="Times New Roman"/>
              </w:rPr>
              <w:t xml:space="preserve"> no young children around or nothing like that” (Harris et al., 2017, p. 112).</w:t>
            </w:r>
          </w:p>
        </w:tc>
      </w:tr>
      <w:tr w:rsidR="00401100" w:rsidRPr="007A0F4B" w14:paraId="54A94DA2" w14:textId="77777777" w:rsidTr="00C342F1">
        <w:tc>
          <w:tcPr>
            <w:tcW w:w="1621" w:type="pct"/>
          </w:tcPr>
          <w:p w14:paraId="233B0CB5"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lastRenderedPageBreak/>
              <w:t xml:space="preserve">Shame management  </w:t>
            </w:r>
          </w:p>
        </w:tc>
        <w:tc>
          <w:tcPr>
            <w:tcW w:w="3379" w:type="pct"/>
          </w:tcPr>
          <w:p w14:paraId="2B6351EC"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“Situational aspect of their offending past is a narrative frame that the individuals have retrospectively applied to past </w:t>
            </w:r>
            <w:proofErr w:type="spellStart"/>
            <w:r w:rsidRPr="007A0F4B">
              <w:rPr>
                <w:rFonts w:ascii="Times New Roman" w:eastAsiaTheme="minorHAnsi" w:hAnsi="Times New Roman" w:cs="Times New Roman"/>
              </w:rPr>
              <w:t>behaviours</w:t>
            </w:r>
            <w:proofErr w:type="spellEnd"/>
            <w:r w:rsidRPr="007A0F4B">
              <w:rPr>
                <w:rFonts w:ascii="Times New Roman" w:eastAsiaTheme="minorHAnsi" w:hAnsi="Times New Roman" w:cs="Times New Roman"/>
              </w:rPr>
              <w:t xml:space="preserve"> </w:t>
            </w:r>
            <w:proofErr w:type="gramStart"/>
            <w:r w:rsidRPr="007A0F4B">
              <w:rPr>
                <w:rFonts w:ascii="Times New Roman" w:eastAsiaTheme="minorHAnsi" w:hAnsi="Times New Roman" w:cs="Times New Roman"/>
              </w:rPr>
              <w:t>so as to</w:t>
            </w:r>
            <w:proofErr w:type="gramEnd"/>
            <w:r w:rsidRPr="007A0F4B">
              <w:rPr>
                <w:rFonts w:ascii="Times New Roman" w:eastAsiaTheme="minorHAnsi" w:hAnsi="Times New Roman" w:cs="Times New Roman"/>
              </w:rPr>
              <w:t xml:space="preserve"> separate their desired, present selves from undesirable past selves. In such cases, the framing itself might be understood as a protective cognition that helps them desist” (Farmer et al., 2015, p. 327). </w:t>
            </w:r>
          </w:p>
          <w:p w14:paraId="1C4AA03B"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“Still others, overcome by the stigma of their offense and now understanding the devastating consequences of their crimes, may decide quite rationally to never offend again, live an offense-free life, avoid another stint in prison, or the creation of more victims.” (Harris, 2014, p. 1575). </w:t>
            </w:r>
          </w:p>
          <w:p w14:paraId="75F1B492"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“Neutralizations assist desistance from sexual offending by allowing for the negotiation of stigma and rejection of the “sex offender” label, thus providing for the development of a nonoffending, prosocial identity” (Hulley, 2016, p. 1776). </w:t>
            </w:r>
          </w:p>
        </w:tc>
      </w:tr>
      <w:tr w:rsidR="00401100" w:rsidRPr="007A0F4B" w14:paraId="64EDE42D" w14:textId="77777777" w:rsidTr="00C342F1">
        <w:tc>
          <w:tcPr>
            <w:tcW w:w="5000" w:type="pct"/>
            <w:gridSpan w:val="2"/>
          </w:tcPr>
          <w:p w14:paraId="7E141EC8"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Strengthened Personal Agency </w:t>
            </w:r>
          </w:p>
        </w:tc>
      </w:tr>
      <w:tr w:rsidR="00401100" w:rsidRPr="007A0F4B" w14:paraId="01E61FEA" w14:textId="77777777" w:rsidTr="00C342F1">
        <w:tc>
          <w:tcPr>
            <w:tcW w:w="1621" w:type="pct"/>
          </w:tcPr>
          <w:p w14:paraId="15578690" w14:textId="77777777" w:rsidR="00401100" w:rsidRPr="007A0F4B" w:rsidRDefault="00401100" w:rsidP="00C342F1">
            <w:pPr>
              <w:widowControl/>
              <w:ind w:left="596"/>
              <w:rPr>
                <w:rFonts w:ascii="Times New Roman" w:eastAsiaTheme="minorHAnsi" w:hAnsi="Times New Roman" w:cs="Times New Roman"/>
                <w:i/>
                <w:iCs/>
              </w:rPr>
            </w:pPr>
            <w:r w:rsidRPr="007A0F4B">
              <w:rPr>
                <w:rFonts w:ascii="Times New Roman" w:eastAsiaTheme="minorHAnsi" w:hAnsi="Times New Roman" w:cs="Times New Roman"/>
              </w:rPr>
              <w:t>Internal locus of control</w:t>
            </w:r>
          </w:p>
        </w:tc>
        <w:tc>
          <w:tcPr>
            <w:tcW w:w="3379" w:type="pct"/>
          </w:tcPr>
          <w:p w14:paraId="59D21196"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“Through Agency they were able to have a sense of control, which enabled them to feel that they could exercise some command over what happened in their life, in that they were able to find positive outcomes from negative events” (Farmer et al, 2012, p. 942). </w:t>
            </w:r>
          </w:p>
          <w:p w14:paraId="6AF9881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“It’s up to us [to not reoﬀend]”, that “keeping out of trouble is up to you” and that “it’s your choice to walk the road”. Men in the study did not identify an external savior (e.g., program or person) responsible for recognizing their true </w:t>
            </w:r>
            <w:proofErr w:type="gramStart"/>
            <w:r w:rsidRPr="007A0F4B">
              <w:rPr>
                <w:rFonts w:ascii="Times New Roman" w:eastAsiaTheme="minorHAnsi" w:hAnsi="Times New Roman" w:cs="Times New Roman"/>
              </w:rPr>
              <w:t>potential, but</w:t>
            </w:r>
            <w:proofErr w:type="gramEnd"/>
            <w:r w:rsidRPr="007A0F4B">
              <w:rPr>
                <w:rFonts w:ascii="Times New Roman" w:eastAsiaTheme="minorHAnsi" w:hAnsi="Times New Roman" w:cs="Times New Roman"/>
              </w:rPr>
              <w:t xml:space="preserve"> rather took credit for their own desistance” (Richards et al., 2020, p.16). </w:t>
            </w:r>
          </w:p>
        </w:tc>
      </w:tr>
      <w:tr w:rsidR="00401100" w:rsidRPr="007A0F4B" w14:paraId="1581FA72" w14:textId="77777777" w:rsidTr="00C342F1">
        <w:tc>
          <w:tcPr>
            <w:tcW w:w="1621" w:type="pct"/>
          </w:tcPr>
          <w:p w14:paraId="746313C5"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 xml:space="preserve">Self-efficacy </w:t>
            </w:r>
          </w:p>
        </w:tc>
        <w:tc>
          <w:tcPr>
            <w:tcW w:w="3379" w:type="pct"/>
          </w:tcPr>
          <w:p w14:paraId="17FA5C84"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“For many of the men, informal social controls, such as family, were a positive aspect of their lives, encouraging them to remain offense free: I’m very optimistic I’ve got family… it gives me a feeling of self-belief and self-esteem” (N. Mann et al., 2019, p. 9).</w:t>
            </w:r>
          </w:p>
          <w:p w14:paraId="7ABBE660"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 men also took ﬁerce ownership of their current and future law-abiding selves, displaying a sense of optimism about the future and a strong sense of self-eﬃcacy” (Richards et al., 2020, p. 16). </w:t>
            </w:r>
          </w:p>
        </w:tc>
      </w:tr>
      <w:tr w:rsidR="00401100" w:rsidRPr="007A0F4B" w14:paraId="40725527" w14:textId="77777777" w:rsidTr="00C342F1">
        <w:tc>
          <w:tcPr>
            <w:tcW w:w="1621" w:type="pct"/>
          </w:tcPr>
          <w:p w14:paraId="3671ADC6"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Self-esteem and confidence</w:t>
            </w:r>
          </w:p>
        </w:tc>
        <w:tc>
          <w:tcPr>
            <w:tcW w:w="3379" w:type="pct"/>
          </w:tcPr>
          <w:p w14:paraId="42244DE9"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“In addition, core members report a more positive mental self-representation (self-esteem, positive narrative identity). “I feel more self conﬁdent, have more trust in the future. My fears that I don’t belong in this society anymore have gone. I do belong” (</w:t>
            </w:r>
            <w:proofErr w:type="spellStart"/>
            <w:r w:rsidRPr="007A0F4B">
              <w:rPr>
                <w:rFonts w:ascii="Times New Roman" w:eastAsiaTheme="minorHAnsi" w:hAnsi="Times New Roman" w:cs="Times New Roman"/>
              </w:rPr>
              <w:t>Höing</w:t>
            </w:r>
            <w:proofErr w:type="spellEnd"/>
            <w:r w:rsidRPr="007A0F4B">
              <w:rPr>
                <w:rFonts w:ascii="Times New Roman" w:eastAsiaTheme="minorHAnsi" w:hAnsi="Times New Roman" w:cs="Times New Roman"/>
              </w:rPr>
              <w:t xml:space="preserve"> et al., 2013, pp. 280-281). </w:t>
            </w:r>
          </w:p>
          <w:p w14:paraId="05CDBA57"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“Group members reported increased levels of self-esteem, confidence, empowerment, and changes in the way they see themselves since becoming members of “Fearless.” Huck </w:t>
            </w:r>
            <w:r w:rsidRPr="007A0F4B">
              <w:rPr>
                <w:rFonts w:ascii="Times New Roman" w:eastAsiaTheme="minorHAnsi" w:hAnsi="Times New Roman" w:cs="Times New Roman"/>
              </w:rPr>
              <w:lastRenderedPageBreak/>
              <w:t xml:space="preserve">explained how he would not have the confidence to testify at legislative hearings without the encouragement of “Fearless” members” (Sample et al., 2018, p. 4268). </w:t>
            </w:r>
          </w:p>
        </w:tc>
      </w:tr>
      <w:tr w:rsidR="00401100" w:rsidRPr="007A0F4B" w14:paraId="38267412" w14:textId="77777777" w:rsidTr="00C342F1">
        <w:tc>
          <w:tcPr>
            <w:tcW w:w="1621" w:type="pct"/>
          </w:tcPr>
          <w:p w14:paraId="537096A6"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lastRenderedPageBreak/>
              <w:t>Perseverance and resilience</w:t>
            </w:r>
          </w:p>
        </w:tc>
        <w:tc>
          <w:tcPr>
            <w:tcW w:w="3379" w:type="pct"/>
          </w:tcPr>
          <w:p w14:paraId="21503E37"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 final style of desistance is “resilience” and includes a constellation of characteristics that emphasize recovery and redemption. This final style was marked by a strong desire to move on from their offending past as well as emphasizing a demonstrated pattern of success upon release” (Harris 2016, p. 1729). </w:t>
            </w:r>
          </w:p>
          <w:p w14:paraId="1E6F8AA4"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“Even though this resettlement process was slow and it had taken eight years for him to feel more settled than he ever had, he stated he was determined and motivated to succeed with his life away from crime” (Woodward, 2018, pp. 136–137). </w:t>
            </w:r>
          </w:p>
        </w:tc>
      </w:tr>
      <w:tr w:rsidR="00401100" w:rsidRPr="007A0F4B" w14:paraId="3310605F" w14:textId="77777777" w:rsidTr="00C342F1">
        <w:tc>
          <w:tcPr>
            <w:tcW w:w="1621" w:type="pct"/>
          </w:tcPr>
          <w:p w14:paraId="363F9CBF" w14:textId="77777777" w:rsidR="00401100" w:rsidRPr="007A0F4B" w:rsidRDefault="00401100" w:rsidP="00C342F1">
            <w:pPr>
              <w:widowControl/>
              <w:ind w:left="596"/>
              <w:rPr>
                <w:rFonts w:ascii="Times New Roman" w:eastAsiaTheme="minorHAnsi" w:hAnsi="Times New Roman" w:cs="Times New Roman"/>
              </w:rPr>
            </w:pPr>
            <w:r w:rsidRPr="007A0F4B">
              <w:rPr>
                <w:rFonts w:ascii="Times New Roman" w:eastAsiaTheme="minorHAnsi" w:hAnsi="Times New Roman" w:cs="Times New Roman"/>
              </w:rPr>
              <w:t>Hope and optimism</w:t>
            </w:r>
          </w:p>
        </w:tc>
        <w:tc>
          <w:tcPr>
            <w:tcW w:w="3379" w:type="pct"/>
          </w:tcPr>
          <w:p w14:paraId="416D2CCB"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“Resilient desisters tended to look to the future with hope and optimism and spoke convincingly about their recovery and rehabilitation” (Harris, 2016, p. 1724).</w:t>
            </w:r>
          </w:p>
          <w:p w14:paraId="145C46AF"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“This research supports previous (mainly) theoretical suggestions that hope and optimism, locus of control and social connectedness may be important factors in desistance from sexual offending” (Milner, 2017, p. 165). </w:t>
            </w:r>
          </w:p>
        </w:tc>
      </w:tr>
      <w:tr w:rsidR="00401100" w:rsidRPr="007A0F4B" w14:paraId="461F0151" w14:textId="77777777" w:rsidTr="00C342F1">
        <w:tc>
          <w:tcPr>
            <w:tcW w:w="5000" w:type="pct"/>
            <w:gridSpan w:val="2"/>
          </w:tcPr>
          <w:p w14:paraId="164DEA37" w14:textId="77777777" w:rsidR="00401100" w:rsidRPr="007A0F4B" w:rsidRDefault="00401100" w:rsidP="00C342F1">
            <w:pPr>
              <w:widowControl/>
              <w:jc w:val="both"/>
              <w:rPr>
                <w:rFonts w:ascii="Times New Roman" w:eastAsiaTheme="minorHAnsi" w:hAnsi="Times New Roman" w:cs="Times New Roman"/>
                <w:iCs/>
              </w:rPr>
            </w:pPr>
            <w:r w:rsidRPr="007A0F4B">
              <w:rPr>
                <w:rFonts w:ascii="Times New Roman" w:eastAsiaTheme="minorHAnsi" w:hAnsi="Times New Roman" w:cs="Times New Roman"/>
                <w:bCs/>
                <w:iCs/>
              </w:rPr>
              <w:t xml:space="preserve">Social Support and Accountability to Social Networks </w:t>
            </w:r>
          </w:p>
        </w:tc>
      </w:tr>
      <w:tr w:rsidR="00401100" w:rsidRPr="007A0F4B" w14:paraId="03399E04" w14:textId="77777777" w:rsidTr="00C342F1">
        <w:tc>
          <w:tcPr>
            <w:tcW w:w="1621" w:type="pct"/>
          </w:tcPr>
          <w:p w14:paraId="2E826940" w14:textId="77777777" w:rsidR="00401100" w:rsidRPr="007A0F4B" w:rsidRDefault="00401100" w:rsidP="00C342F1">
            <w:pPr>
              <w:widowControl/>
              <w:ind w:left="596"/>
              <w:jc w:val="both"/>
              <w:rPr>
                <w:rFonts w:ascii="Times New Roman" w:eastAsiaTheme="minorHAnsi" w:hAnsi="Times New Roman" w:cs="Times New Roman"/>
                <w:bCs/>
                <w:i/>
              </w:rPr>
            </w:pPr>
            <w:r w:rsidRPr="007A0F4B">
              <w:rPr>
                <w:rFonts w:ascii="Times New Roman" w:eastAsiaTheme="minorHAnsi" w:hAnsi="Times New Roman" w:cs="Times New Roman"/>
              </w:rPr>
              <w:t>Acquisition of social support</w:t>
            </w:r>
          </w:p>
        </w:tc>
        <w:tc>
          <w:tcPr>
            <w:tcW w:w="3379" w:type="pct"/>
          </w:tcPr>
          <w:p w14:paraId="5C0C9A82"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“Social support and romantic partners were named as particularly important in terms of mitigating the desistance-undermining effects of negative consequences, but also in assisting with risk awareness and management, reminding participants of prosocial strengths and values, and providing opportunities to practice and benefit from positive changes” (Bartle, 2012, p. 120). </w:t>
            </w:r>
          </w:p>
          <w:p w14:paraId="6A905A65"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“The passage of time and acquisition of social capital appeared to provide respondents desisting from sexual offending with meaning in life as they engaged in the process of identity reconstruction” (Hulley, 2016, p. 1786).</w:t>
            </w:r>
          </w:p>
          <w:p w14:paraId="3EE8C77B"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““There’s not a lot you can’t get through even if it’s something you can’t singularly (get though), you can get together with someone (from the circle).” (Kitson-Boyce, 2019, p. 201)</w:t>
            </w:r>
          </w:p>
        </w:tc>
      </w:tr>
      <w:tr w:rsidR="00401100" w:rsidRPr="007A0F4B" w14:paraId="53D8E90D" w14:textId="77777777" w:rsidTr="00C342F1">
        <w:tc>
          <w:tcPr>
            <w:tcW w:w="1621" w:type="pct"/>
          </w:tcPr>
          <w:p w14:paraId="546FBB3F" w14:textId="77777777" w:rsidR="00401100" w:rsidRPr="007A0F4B" w:rsidRDefault="00401100" w:rsidP="00C342F1">
            <w:pPr>
              <w:widowControl/>
              <w:ind w:left="596"/>
              <w:jc w:val="both"/>
              <w:rPr>
                <w:rFonts w:ascii="Times New Roman" w:eastAsiaTheme="minorHAnsi" w:hAnsi="Times New Roman" w:cs="Times New Roman"/>
                <w:bCs/>
                <w:i/>
              </w:rPr>
            </w:pPr>
            <w:r w:rsidRPr="007A0F4B">
              <w:rPr>
                <w:rFonts w:ascii="Times New Roman" w:eastAsiaTheme="minorHAnsi" w:hAnsi="Times New Roman" w:cs="Times New Roman"/>
              </w:rPr>
              <w:t>Support and accountability</w:t>
            </w:r>
          </w:p>
        </w:tc>
        <w:tc>
          <w:tcPr>
            <w:tcW w:w="3379" w:type="pct"/>
          </w:tcPr>
          <w:p w14:paraId="5D6F37C7"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“Nearly all the Core Members interviewed stated that having the volunteers to talk to helped them work through problems and respond to them in a risk-free way” (Kitson-Boyce et al., 2019, p. 200).</w:t>
            </w:r>
          </w:p>
          <w:p w14:paraId="0EBBC09C"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“I’ve had very supportive friends and people that are around me. My kids are very supportive as well. They’ve been there for me. When I sat there fighting with depression… family really </w:t>
            </w:r>
            <w:r w:rsidRPr="007A0F4B">
              <w:rPr>
                <w:rFonts w:ascii="Times New Roman" w:eastAsiaTheme="minorHAnsi" w:hAnsi="Times New Roman" w:cs="Times New Roman"/>
              </w:rPr>
              <w:lastRenderedPageBreak/>
              <w:t>kept me, got me back straight again. That’s the most important thing” (N. Mann et al., 2019, p. 9).</w:t>
            </w:r>
          </w:p>
        </w:tc>
      </w:tr>
      <w:tr w:rsidR="00401100" w:rsidRPr="007A0F4B" w14:paraId="32BF83BF" w14:textId="77777777" w:rsidTr="00C342F1">
        <w:tc>
          <w:tcPr>
            <w:tcW w:w="1621" w:type="pct"/>
          </w:tcPr>
          <w:p w14:paraId="43718365" w14:textId="77777777" w:rsidR="00401100" w:rsidRPr="007A0F4B" w:rsidRDefault="00401100" w:rsidP="00C342F1">
            <w:pPr>
              <w:widowControl/>
              <w:ind w:left="596"/>
              <w:jc w:val="both"/>
              <w:rPr>
                <w:rFonts w:ascii="Times New Roman" w:eastAsiaTheme="minorHAnsi" w:hAnsi="Times New Roman" w:cs="Times New Roman"/>
                <w:bCs/>
                <w:i/>
              </w:rPr>
            </w:pPr>
            <w:r w:rsidRPr="007A0F4B">
              <w:rPr>
                <w:rFonts w:ascii="Times New Roman" w:eastAsiaTheme="minorHAnsi" w:hAnsi="Times New Roman" w:cs="Times New Roman"/>
              </w:rPr>
              <w:lastRenderedPageBreak/>
              <w:t>Prosocial roles</w:t>
            </w:r>
          </w:p>
        </w:tc>
        <w:tc>
          <w:tcPr>
            <w:tcW w:w="3379" w:type="pct"/>
          </w:tcPr>
          <w:p w14:paraId="74CA9434"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“Over time, Jack has come to see himself as a productive, working citizen with hopes and dreams that model those of other prosocial others. He no longer looks </w:t>
            </w:r>
            <w:proofErr w:type="gramStart"/>
            <w:r w:rsidRPr="007A0F4B">
              <w:rPr>
                <w:rFonts w:ascii="Times New Roman" w:eastAsiaTheme="minorHAnsi" w:hAnsi="Times New Roman" w:cs="Times New Roman"/>
              </w:rPr>
              <w:t>to</w:t>
            </w:r>
            <w:proofErr w:type="gramEnd"/>
            <w:r w:rsidRPr="007A0F4B">
              <w:rPr>
                <w:rFonts w:ascii="Times New Roman" w:eastAsiaTheme="minorHAnsi" w:hAnsi="Times New Roman" w:cs="Times New Roman"/>
              </w:rPr>
              <w:t xml:space="preserve"> his feet when he speaks, avoids shaking hands, or appears tense during interviews. He is now relaxed, calm, and freely shares changes in his life circumstances and how they make him feel. He is proud of himself for who he is now, a pride not observed when interviewing him as he reentered society and began living without any correctional supervision” (Cooley et al., 2018, p. 493). </w:t>
            </w:r>
          </w:p>
          <w:p w14:paraId="1AA478EB"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“These friendships and group activities helped empower sex offenders not only to adopt, but to maintain a conventional prosocial identity that may help them desist from offending” (ten Bensel &amp; Sample, 2017., p. 506). </w:t>
            </w:r>
          </w:p>
        </w:tc>
      </w:tr>
      <w:tr w:rsidR="00401100" w:rsidRPr="007A0F4B" w14:paraId="0B806929" w14:textId="77777777" w:rsidTr="00C342F1">
        <w:tc>
          <w:tcPr>
            <w:tcW w:w="1621" w:type="pct"/>
          </w:tcPr>
          <w:p w14:paraId="782E0EF3" w14:textId="77777777" w:rsidR="00401100" w:rsidRPr="007A0F4B" w:rsidRDefault="00401100" w:rsidP="00C342F1">
            <w:pPr>
              <w:widowControl/>
              <w:ind w:left="596"/>
              <w:jc w:val="both"/>
              <w:rPr>
                <w:rFonts w:ascii="Times New Roman" w:eastAsiaTheme="minorHAnsi" w:hAnsi="Times New Roman" w:cs="Times New Roman"/>
                <w:bCs/>
                <w:i/>
              </w:rPr>
            </w:pPr>
            <w:r w:rsidRPr="007A0F4B">
              <w:rPr>
                <w:rFonts w:ascii="Times New Roman" w:eastAsiaTheme="minorHAnsi" w:hAnsi="Times New Roman" w:cs="Times New Roman"/>
              </w:rPr>
              <w:t>Prosocial connection</w:t>
            </w:r>
          </w:p>
        </w:tc>
        <w:tc>
          <w:tcPr>
            <w:tcW w:w="3379" w:type="pct"/>
          </w:tcPr>
          <w:p w14:paraId="1A0074F1"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“Regardless of the context, country, system, or structure in which Circles are implemented, </w:t>
            </w:r>
            <w:proofErr w:type="gramStart"/>
            <w:r w:rsidRPr="007A0F4B">
              <w:rPr>
                <w:rFonts w:ascii="Times New Roman" w:eastAsiaTheme="minorHAnsi" w:hAnsi="Times New Roman" w:cs="Times New Roman"/>
              </w:rPr>
              <w:t>it would appear that the</w:t>
            </w:r>
            <w:proofErr w:type="gramEnd"/>
            <w:r w:rsidRPr="007A0F4B">
              <w:rPr>
                <w:rFonts w:ascii="Times New Roman" w:eastAsiaTheme="minorHAnsi" w:hAnsi="Times New Roman" w:cs="Times New Roman"/>
              </w:rPr>
              <w:t xml:space="preserve"> “magic ingredient” of meaningful human relationships remains the same. It works because members of the community give of their time and selves through an apparently genuine desire to engage in constructive and creative ways of reducing sexual reoffending” (Bates et al., 2014, p. 879).</w:t>
            </w:r>
          </w:p>
          <w:p w14:paraId="1E931459"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“Supportive relationships provided a source of uniformity and acceptance for desisters, which is important considering the ostracizing stigma typically experienced by sex offender populations” (Lytle et al., 2013, p. 132).</w:t>
            </w:r>
          </w:p>
        </w:tc>
      </w:tr>
      <w:tr w:rsidR="00401100" w:rsidRPr="007A0F4B" w14:paraId="55E3D2A7" w14:textId="77777777" w:rsidTr="00C342F1">
        <w:tc>
          <w:tcPr>
            <w:tcW w:w="1621" w:type="pct"/>
          </w:tcPr>
          <w:p w14:paraId="584F00AA" w14:textId="77777777" w:rsidR="00401100" w:rsidRPr="007A0F4B" w:rsidRDefault="00401100" w:rsidP="00C342F1">
            <w:pPr>
              <w:widowControl/>
              <w:rPr>
                <w:rFonts w:ascii="Times New Roman" w:eastAsiaTheme="minorHAnsi" w:hAnsi="Times New Roman" w:cs="Times New Roman"/>
              </w:rPr>
            </w:pPr>
            <w:r w:rsidRPr="007A0F4B">
              <w:rPr>
                <w:rFonts w:ascii="Times New Roman" w:eastAsiaTheme="minorHAnsi" w:hAnsi="Times New Roman" w:cs="Times New Roman"/>
              </w:rPr>
              <w:t>Living in Congruence with Values</w:t>
            </w:r>
          </w:p>
        </w:tc>
        <w:tc>
          <w:tcPr>
            <w:tcW w:w="3379" w:type="pct"/>
          </w:tcPr>
          <w:p w14:paraId="69D9717E" w14:textId="77777777" w:rsidR="00401100" w:rsidRPr="007A0F4B" w:rsidRDefault="00401100" w:rsidP="00C342F1">
            <w:pPr>
              <w:widowControl/>
              <w:ind w:left="674" w:hanging="674"/>
              <w:rPr>
                <w:rFonts w:ascii="Times New Roman" w:eastAsiaTheme="minorHAnsi" w:hAnsi="Times New Roman" w:cs="Times New Roman"/>
              </w:rPr>
            </w:pPr>
          </w:p>
        </w:tc>
      </w:tr>
      <w:tr w:rsidR="00401100" w:rsidRPr="007A0F4B" w14:paraId="45CCFFD1" w14:textId="77777777" w:rsidTr="00C342F1">
        <w:tc>
          <w:tcPr>
            <w:tcW w:w="1621" w:type="pct"/>
          </w:tcPr>
          <w:p w14:paraId="20152F61" w14:textId="1A9AB76B" w:rsidR="00401100" w:rsidRPr="007A0F4B" w:rsidRDefault="00611901" w:rsidP="00C342F1">
            <w:pPr>
              <w:widowControl/>
              <w:ind w:left="596"/>
              <w:jc w:val="both"/>
              <w:rPr>
                <w:rFonts w:ascii="Times New Roman" w:eastAsiaTheme="minorHAnsi" w:hAnsi="Times New Roman" w:cs="Times New Roman"/>
              </w:rPr>
            </w:pPr>
            <w:r>
              <w:rPr>
                <w:rFonts w:ascii="Times New Roman" w:eastAsiaTheme="minorHAnsi" w:hAnsi="Times New Roman" w:cs="Times New Roman"/>
              </w:rPr>
              <w:t>Living a meaningful life</w:t>
            </w:r>
          </w:p>
        </w:tc>
        <w:tc>
          <w:tcPr>
            <w:tcW w:w="3379" w:type="pct"/>
          </w:tcPr>
          <w:p w14:paraId="67C7667D"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 have a life I want, and I have done things to get that. I got help, I have </w:t>
            </w:r>
            <w:proofErr w:type="gramStart"/>
            <w:r w:rsidRPr="007A0F4B">
              <w:rPr>
                <w:rFonts w:ascii="Times New Roman" w:eastAsiaTheme="minorHAnsi" w:hAnsi="Times New Roman" w:cs="Times New Roman"/>
              </w:rPr>
              <w:t>friends</w:t>
            </w:r>
            <w:proofErr w:type="gramEnd"/>
            <w:r w:rsidRPr="007A0F4B">
              <w:rPr>
                <w:rFonts w:ascii="Times New Roman" w:eastAsiaTheme="minorHAnsi" w:hAnsi="Times New Roman" w:cs="Times New Roman"/>
              </w:rPr>
              <w:t xml:space="preserve"> so I don’t have to deal with everything alone, and my job is great” (Cooley &amp; Sample, 2018, p. 492). </w:t>
            </w:r>
          </w:p>
          <w:p w14:paraId="67B3C9D6"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“I know where I’m going, I know what I want to do. I’ve got a circle of friends now, my parents are aware of me being bullied (as a child), I’m back home with them now, my money’s under control, my drinking is under control, the only thing that isn’t under control . . . is the sickness because I had five weeks off work this year with it but now I’m onto medication finally to control it” (Farmer et al, 2012, p. 941).</w:t>
            </w:r>
          </w:p>
          <w:p w14:paraId="7752FD51"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“Majority of core members in our sample showed—to a varying degree—signs of transitions toward desistance. Most prevalent were changes in cognitive function, for example, improvements in self-reflection, self-confidence, and self-esteem; and behavioral changes, </w:t>
            </w:r>
            <w:r w:rsidRPr="007A0F4B">
              <w:rPr>
                <w:rFonts w:ascii="Times New Roman" w:eastAsiaTheme="minorHAnsi" w:hAnsi="Times New Roman" w:cs="Times New Roman"/>
              </w:rPr>
              <w:lastRenderedPageBreak/>
              <w:t>such as more active problem solving, improved assertiveness, and improved social skills” (</w:t>
            </w:r>
            <w:proofErr w:type="spellStart"/>
            <w:r w:rsidRPr="007A0F4B">
              <w:rPr>
                <w:rFonts w:ascii="Times New Roman" w:eastAsiaTheme="minorHAnsi" w:hAnsi="Times New Roman" w:cs="Times New Roman"/>
              </w:rPr>
              <w:t>Höing</w:t>
            </w:r>
            <w:proofErr w:type="spellEnd"/>
            <w:r w:rsidRPr="007A0F4B">
              <w:rPr>
                <w:rFonts w:ascii="Times New Roman" w:eastAsiaTheme="minorHAnsi" w:hAnsi="Times New Roman" w:cs="Times New Roman"/>
              </w:rPr>
              <w:t xml:space="preserve"> et al., 2017, p. 767).</w:t>
            </w:r>
          </w:p>
        </w:tc>
      </w:tr>
      <w:tr w:rsidR="00401100" w:rsidRPr="007A0F4B" w14:paraId="2B9910ED" w14:textId="77777777" w:rsidTr="00C342F1">
        <w:tc>
          <w:tcPr>
            <w:tcW w:w="1621" w:type="pct"/>
          </w:tcPr>
          <w:p w14:paraId="647EC446" w14:textId="77777777" w:rsidR="00401100" w:rsidRPr="007A0F4B" w:rsidRDefault="00401100" w:rsidP="00C342F1">
            <w:pPr>
              <w:widowControl/>
              <w:ind w:left="596"/>
              <w:jc w:val="both"/>
              <w:rPr>
                <w:rFonts w:eastAsiaTheme="minorHAnsi"/>
              </w:rPr>
            </w:pPr>
            <w:r w:rsidRPr="007A0F4B">
              <w:rPr>
                <w:rFonts w:ascii="Times New Roman" w:eastAsiaTheme="minorHAnsi" w:hAnsi="Times New Roman" w:cs="Times New Roman"/>
              </w:rPr>
              <w:lastRenderedPageBreak/>
              <w:t>Sense of purpose</w:t>
            </w:r>
          </w:p>
        </w:tc>
        <w:tc>
          <w:tcPr>
            <w:tcW w:w="3379" w:type="pct"/>
          </w:tcPr>
          <w:p w14:paraId="6E3C98FA"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 feel a lot better with my life being able to help others due to being a volunteer and giving something back to the community” (Milner, 2017, p. 79). </w:t>
            </w:r>
          </w:p>
          <w:p w14:paraId="25C5B01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“They all seemed to have found people they consider as friends, a sense of purpose, and little sense of social exclusion when actively participating in multiple online media formats” (ten Bensel &amp; Sample, 2019, p. 287). </w:t>
            </w:r>
          </w:p>
          <w:p w14:paraId="2C00891E" w14:textId="77777777" w:rsidR="00401100" w:rsidRPr="007A0F4B" w:rsidRDefault="00401100" w:rsidP="00C342F1">
            <w:pPr>
              <w:widowControl/>
              <w:ind w:left="674" w:hanging="674"/>
              <w:rPr>
                <w:rFonts w:eastAsiaTheme="minorHAnsi"/>
              </w:rPr>
            </w:pPr>
            <w:r w:rsidRPr="007A0F4B">
              <w:rPr>
                <w:rFonts w:ascii="Times New Roman" w:eastAsiaTheme="minorHAnsi" w:hAnsi="Times New Roman" w:cs="Times New Roman"/>
              </w:rPr>
              <w:t>“Nearly all of the desisting group participants in the study portrayed themselves as being in control of their lives and had a clear sense of purpose and planning for the future” (McAlinden et al., 2017, p. 277).</w:t>
            </w:r>
          </w:p>
        </w:tc>
      </w:tr>
      <w:tr w:rsidR="00401100" w:rsidRPr="007A0F4B" w14:paraId="33FCC4E7" w14:textId="77777777" w:rsidTr="00C342F1">
        <w:tc>
          <w:tcPr>
            <w:tcW w:w="1621" w:type="pct"/>
          </w:tcPr>
          <w:p w14:paraId="2A2B2373" w14:textId="77777777" w:rsidR="00401100" w:rsidRPr="007A0F4B" w:rsidRDefault="00401100" w:rsidP="00C342F1">
            <w:pPr>
              <w:widowControl/>
              <w:ind w:left="596"/>
              <w:jc w:val="both"/>
              <w:rPr>
                <w:rFonts w:eastAsiaTheme="minorHAnsi"/>
              </w:rPr>
            </w:pPr>
            <w:r w:rsidRPr="007A0F4B">
              <w:rPr>
                <w:rFonts w:ascii="Times New Roman" w:eastAsiaTheme="minorHAnsi" w:hAnsi="Times New Roman" w:cs="Times New Roman"/>
              </w:rPr>
              <w:t xml:space="preserve">Stability </w:t>
            </w:r>
          </w:p>
        </w:tc>
        <w:tc>
          <w:tcPr>
            <w:tcW w:w="3379" w:type="pct"/>
          </w:tcPr>
          <w:p w14:paraId="53FBB3F7"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“Two core members developed more appropriate leisure time activities to reduce the risk of relapse (“It helped me to talk about my risk factors—one of the things we discovered was the fact that I have little activities in the evenings and the weekends, which resulted in a list of things I can do and places to go—which I do now”)” (</w:t>
            </w:r>
            <w:proofErr w:type="spellStart"/>
            <w:r w:rsidRPr="007A0F4B">
              <w:rPr>
                <w:rFonts w:ascii="Times New Roman" w:eastAsiaTheme="minorHAnsi" w:hAnsi="Times New Roman" w:cs="Times New Roman"/>
              </w:rPr>
              <w:t>Höing</w:t>
            </w:r>
            <w:proofErr w:type="spellEnd"/>
            <w:r w:rsidRPr="007A0F4B">
              <w:rPr>
                <w:rFonts w:ascii="Times New Roman" w:eastAsiaTheme="minorHAnsi" w:hAnsi="Times New Roman" w:cs="Times New Roman"/>
              </w:rPr>
              <w:t xml:space="preserve"> et al., 2017, p. 762). </w:t>
            </w:r>
          </w:p>
          <w:p w14:paraId="7A33E59E" w14:textId="77777777" w:rsidR="00401100" w:rsidRPr="007A0F4B" w:rsidRDefault="00401100" w:rsidP="00C342F1">
            <w:pPr>
              <w:widowControl/>
              <w:ind w:left="674" w:hanging="674"/>
              <w:rPr>
                <w:rFonts w:eastAsiaTheme="minorHAnsi"/>
              </w:rPr>
            </w:pPr>
            <w:r w:rsidRPr="007A0F4B">
              <w:rPr>
                <w:rFonts w:ascii="Times New Roman" w:eastAsiaTheme="minorHAnsi" w:hAnsi="Times New Roman" w:cs="Times New Roman"/>
              </w:rPr>
              <w:t xml:space="preserve">“One common sub-theme was the self-awareness of the importance of ‘keeping busy’ or remaining occupied as a situational coping mechanism. This seemed to be particularly the case for men who had offended over the internet in the past” (McAlinden et al., 2017, p. 272). </w:t>
            </w:r>
          </w:p>
        </w:tc>
      </w:tr>
      <w:tr w:rsidR="00401100" w:rsidRPr="007A0F4B" w14:paraId="7E1587DC" w14:textId="77777777" w:rsidTr="00C342F1">
        <w:tc>
          <w:tcPr>
            <w:tcW w:w="1621" w:type="pct"/>
          </w:tcPr>
          <w:p w14:paraId="031A97FB" w14:textId="77777777" w:rsidR="00401100" w:rsidRPr="007A0F4B" w:rsidRDefault="00401100" w:rsidP="00C342F1">
            <w:pPr>
              <w:widowControl/>
              <w:ind w:left="596"/>
              <w:jc w:val="both"/>
              <w:rPr>
                <w:rFonts w:eastAsiaTheme="minorHAnsi"/>
              </w:rPr>
            </w:pPr>
            <w:r w:rsidRPr="007A0F4B">
              <w:rPr>
                <w:rFonts w:ascii="Times New Roman" w:eastAsiaTheme="minorHAnsi" w:hAnsi="Times New Roman" w:cs="Times New Roman"/>
              </w:rPr>
              <w:t>Spirituality and faith</w:t>
            </w:r>
          </w:p>
        </w:tc>
        <w:tc>
          <w:tcPr>
            <w:tcW w:w="3379" w:type="pct"/>
          </w:tcPr>
          <w:p w14:paraId="2E45254B"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 opportunity to seek forgiveness was one that participants took during their engagement with their religious community. In navigating the forgiveness-seeking process, participants gained an immense sense of peace, restoration and comfort” (Kewley et al., 2017, p. 93). </w:t>
            </w:r>
          </w:p>
          <w:p w14:paraId="2DB46F10" w14:textId="77777777" w:rsidR="00401100" w:rsidRPr="007A0F4B" w:rsidRDefault="00401100" w:rsidP="00C342F1">
            <w:pPr>
              <w:widowControl/>
              <w:ind w:left="674" w:hanging="674"/>
              <w:rPr>
                <w:rFonts w:eastAsiaTheme="minorHAnsi"/>
              </w:rPr>
            </w:pPr>
            <w:r w:rsidRPr="007A0F4B">
              <w:rPr>
                <w:rFonts w:ascii="Times New Roman" w:eastAsiaTheme="minorHAnsi" w:hAnsi="Times New Roman" w:cs="Times New Roman"/>
              </w:rPr>
              <w:t xml:space="preserve">“Sean had developed a relationship with his faith, as he proclaimed to be a Buddhist… he stated it helped him to live day-to-day and to enjoy the moment, rather than fix himself on goal setting. Buddhism gave Sean the peace of mind that he longed for and it helped him to feel part of a small community. It was </w:t>
            </w:r>
            <w:proofErr w:type="spellStart"/>
            <w:r w:rsidRPr="007A0F4B">
              <w:rPr>
                <w:rFonts w:ascii="Times New Roman" w:eastAsiaTheme="minorHAnsi" w:hAnsi="Times New Roman" w:cs="Times New Roman"/>
              </w:rPr>
              <w:t>non-judgemental</w:t>
            </w:r>
            <w:proofErr w:type="spellEnd"/>
            <w:r w:rsidRPr="007A0F4B">
              <w:rPr>
                <w:rFonts w:ascii="Times New Roman" w:eastAsiaTheme="minorHAnsi" w:hAnsi="Times New Roman" w:cs="Times New Roman"/>
              </w:rPr>
              <w:t xml:space="preserve"> in nature and that drew him to it” (Woodward, 2018, p. 152). </w:t>
            </w:r>
          </w:p>
        </w:tc>
      </w:tr>
      <w:tr w:rsidR="00401100" w:rsidRPr="007A0F4B" w14:paraId="679C7513" w14:textId="77777777" w:rsidTr="00C342F1">
        <w:tc>
          <w:tcPr>
            <w:tcW w:w="1621" w:type="pct"/>
          </w:tcPr>
          <w:p w14:paraId="1B09F4F7" w14:textId="77777777" w:rsidR="00401100" w:rsidRPr="007A0F4B" w:rsidRDefault="00401100" w:rsidP="00C342F1">
            <w:pPr>
              <w:widowControl/>
              <w:ind w:left="596"/>
              <w:jc w:val="both"/>
              <w:rPr>
                <w:rFonts w:ascii="Times New Roman" w:eastAsiaTheme="minorHAnsi" w:hAnsi="Times New Roman" w:cs="Times New Roman"/>
              </w:rPr>
            </w:pPr>
            <w:r w:rsidRPr="007A0F4B">
              <w:rPr>
                <w:rFonts w:ascii="Times New Roman" w:eastAsiaTheme="minorHAnsi" w:hAnsi="Times New Roman" w:cs="Times New Roman"/>
              </w:rPr>
              <w:t>Prosocial identity</w:t>
            </w:r>
          </w:p>
        </w:tc>
        <w:tc>
          <w:tcPr>
            <w:tcW w:w="3379" w:type="pct"/>
          </w:tcPr>
          <w:p w14:paraId="68076CE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 resilient desisters also spoke of having had two lives and of “knifing off” (Maruna, 2001). Akin to Giordano et al.’s (2002) “complete desisters,” these men tended to describe their offending in the past tense, thus placing a “great deal of distance between their old, discarded selves and those they currently claim” (p. 1031)” (Harris, 2016, pp. 1729–1730). </w:t>
            </w:r>
          </w:p>
          <w:p w14:paraId="7FE93367"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lastRenderedPageBreak/>
              <w:t xml:space="preserve">“The men in the study were therefore all “primary desisters” in that they had not reoﬀended following their release from prison. In the main they also presented as “secondary desisters”– i.e. presented identity narratives incompatible with oﬀending” (Richards et al., 2020, p. 11). </w:t>
            </w:r>
          </w:p>
          <w:p w14:paraId="3065E8AF"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 “This capacity to embrace a new non-criminal identity and to move on from the legacy of an offending past or to ‘put the past behind them’ was integral to the desisting narratives of the participants in the present study” (McAlinden et al., 2017, p. 276). </w:t>
            </w:r>
          </w:p>
          <w:p w14:paraId="509C5B90"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“Hence, for the (desisting) men who discussed it, twice as many described cognitive transformation as those still identifying as sexual offenders. Cognitive transformation primarily occurred through treatment. This research proposes that cognitive transformation is central to being a ‘Thriver’; that is, an individual with a set of other protective factors, such as hope and optimism, social connectedness and an ability to manage one’s sexual interests through cognitive strategies” (Milner, 2017, p. 209). </w:t>
            </w:r>
          </w:p>
          <w:p w14:paraId="197182EC"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“Upon interviewing, Kevin explained he prefers to be called a ‘registered citizen’ rather than a ‘sex oﬀender’ and he clearly associates himself with the legal status of sex oﬀender, not a personal identity of a sex oﬀender” (Cooley et al., 2018, p. 495). </w:t>
            </w:r>
          </w:p>
          <w:p w14:paraId="32B868E2"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“The label “sex offender” carries considerable negative connotations and was openly rejected by many of the participants in this study. In this way, participants may have been considering the impact of such labelling on their future </w:t>
            </w:r>
            <w:proofErr w:type="gramStart"/>
            <w:r w:rsidRPr="007A0F4B">
              <w:rPr>
                <w:rFonts w:ascii="Times New Roman" w:eastAsiaTheme="minorHAnsi" w:hAnsi="Times New Roman" w:cs="Times New Roman"/>
              </w:rPr>
              <w:t>selves, and</w:t>
            </w:r>
            <w:proofErr w:type="gramEnd"/>
            <w:r w:rsidRPr="007A0F4B">
              <w:rPr>
                <w:rFonts w:ascii="Times New Roman" w:eastAsiaTheme="minorHAnsi" w:hAnsi="Times New Roman" w:cs="Times New Roman"/>
              </w:rPr>
              <w:t xml:space="preserve"> attempting to construct a more positive personal identity. They did not wish to be viewed as a “sex offender,” and they did not wish others to view them in this way either” (Farmer et al., 2016, p. 1767).</w:t>
            </w:r>
          </w:p>
        </w:tc>
      </w:tr>
      <w:tr w:rsidR="00401100" w:rsidRPr="007A0F4B" w14:paraId="5C185D8E" w14:textId="77777777" w:rsidTr="00C342F1">
        <w:tc>
          <w:tcPr>
            <w:tcW w:w="1621" w:type="pct"/>
          </w:tcPr>
          <w:p w14:paraId="784444F9" w14:textId="77777777" w:rsidR="00401100" w:rsidRPr="007A0F4B" w:rsidRDefault="00401100" w:rsidP="00C342F1">
            <w:pPr>
              <w:widowControl/>
              <w:jc w:val="both"/>
              <w:rPr>
                <w:rFonts w:ascii="Times New Roman" w:eastAsiaTheme="minorHAnsi" w:hAnsi="Times New Roman" w:cs="Times New Roman"/>
              </w:rPr>
            </w:pPr>
            <w:r w:rsidRPr="007A0F4B">
              <w:rPr>
                <w:rFonts w:ascii="Times New Roman" w:eastAsiaTheme="minorHAnsi" w:hAnsi="Times New Roman" w:cs="Times New Roman"/>
              </w:rPr>
              <w:lastRenderedPageBreak/>
              <w:t>Desistance by Deterrence</w:t>
            </w:r>
          </w:p>
        </w:tc>
        <w:tc>
          <w:tcPr>
            <w:tcW w:w="3379" w:type="pct"/>
          </w:tcPr>
          <w:p w14:paraId="6E16F3F3"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“Resigned desisters were stuck in the past and used a lot of negative language, often in the past tense… None of these men identified themselves as sex offenders and expressed frustration that they were required to participate in treatment for something that they often described as a “</w:t>
            </w:r>
            <w:proofErr w:type="spellStart"/>
            <w:r w:rsidRPr="007A0F4B">
              <w:rPr>
                <w:rFonts w:ascii="Times New Roman" w:eastAsiaTheme="minorHAnsi" w:hAnsi="Times New Roman" w:cs="Times New Roman"/>
              </w:rPr>
              <w:t>oneoff</w:t>
            </w:r>
            <w:proofErr w:type="spellEnd"/>
            <w:r w:rsidRPr="007A0F4B">
              <w:rPr>
                <w:rFonts w:ascii="Times New Roman" w:eastAsiaTheme="minorHAnsi" w:hAnsi="Times New Roman" w:cs="Times New Roman"/>
              </w:rPr>
              <w:t xml:space="preserve">,” blamed on substance abuse, and/or maintained was part of a consensual relationship” (Harris, 2016, p. 1724). </w:t>
            </w:r>
          </w:p>
          <w:p w14:paraId="019995E9"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“Most participants displayed a style of coping which was accented by crippling and ultimately futile hypervigilance…obsessive about complying with the law to avoid exposure or re-incarceration” (Harris &amp; Levenson, 2021, p. 776). </w:t>
            </w:r>
          </w:p>
          <w:p w14:paraId="7C18BD05"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“Men who still identified with being a sex offender. They had not undergone a cognitive transformation, and the clinical observation was that they appeared more socially isolated, </w:t>
            </w:r>
            <w:r w:rsidRPr="007A0F4B">
              <w:rPr>
                <w:rFonts w:ascii="Times New Roman" w:eastAsiaTheme="minorHAnsi" w:hAnsi="Times New Roman" w:cs="Times New Roman"/>
              </w:rPr>
              <w:lastRenderedPageBreak/>
              <w:t xml:space="preserve">less hopeful and had a Poor me victim stance. Their turning points for change were </w:t>
            </w:r>
            <w:proofErr w:type="gramStart"/>
            <w:r w:rsidRPr="007A0F4B">
              <w:rPr>
                <w:rFonts w:ascii="Times New Roman" w:eastAsiaTheme="minorHAnsi" w:hAnsi="Times New Roman" w:cs="Times New Roman"/>
              </w:rPr>
              <w:t>external;</w:t>
            </w:r>
            <w:proofErr w:type="gramEnd"/>
            <w:r w:rsidRPr="007A0F4B">
              <w:rPr>
                <w:rFonts w:ascii="Times New Roman" w:eastAsiaTheme="minorHAnsi" w:hAnsi="Times New Roman" w:cs="Times New Roman"/>
              </w:rPr>
              <w:t xml:space="preserve"> the impact of arrest and prison. This group was not </w:t>
            </w:r>
            <w:proofErr w:type="gramStart"/>
            <w:r w:rsidRPr="007A0F4B">
              <w:rPr>
                <w:rFonts w:ascii="Times New Roman" w:eastAsiaTheme="minorHAnsi" w:hAnsi="Times New Roman" w:cs="Times New Roman"/>
              </w:rPr>
              <w:t>offending, yet</w:t>
            </w:r>
            <w:proofErr w:type="gramEnd"/>
            <w:r w:rsidRPr="007A0F4B">
              <w:rPr>
                <w:rFonts w:ascii="Times New Roman" w:eastAsiaTheme="minorHAnsi" w:hAnsi="Times New Roman" w:cs="Times New Roman"/>
              </w:rPr>
              <w:t xml:space="preserve"> appeared to be just ‘surviving’ and existing day to day” (Milner, 2017, pp. 173–174). </w:t>
            </w:r>
          </w:p>
        </w:tc>
      </w:tr>
      <w:tr w:rsidR="00401100" w:rsidRPr="007A0F4B" w14:paraId="6B1E6CC5" w14:textId="77777777" w:rsidTr="00C342F1">
        <w:tc>
          <w:tcPr>
            <w:tcW w:w="1621" w:type="pct"/>
          </w:tcPr>
          <w:p w14:paraId="2DC9F5D1" w14:textId="77777777" w:rsidR="00401100" w:rsidRPr="007A0F4B" w:rsidRDefault="00401100" w:rsidP="00C342F1">
            <w:pPr>
              <w:widowControl/>
              <w:jc w:val="both"/>
              <w:rPr>
                <w:rFonts w:ascii="Times New Roman" w:eastAsiaTheme="minorHAnsi" w:hAnsi="Times New Roman" w:cs="Times New Roman"/>
              </w:rPr>
            </w:pPr>
            <w:r w:rsidRPr="007A0F4B">
              <w:rPr>
                <w:rFonts w:ascii="Times New Roman" w:eastAsiaTheme="minorHAnsi" w:hAnsi="Times New Roman" w:cs="Times New Roman"/>
                <w:lang w:eastAsia="en-NZ"/>
              </w:rPr>
              <w:lastRenderedPageBreak/>
              <w:t>Natural Desistance</w:t>
            </w:r>
          </w:p>
        </w:tc>
        <w:tc>
          <w:tcPr>
            <w:tcW w:w="3379" w:type="pct"/>
          </w:tcPr>
          <w:p w14:paraId="37E8159D"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“The three men identified as “natural desisters” were among the youngest in the sample (aged 44-48). The men who talked explicitly about aging out of crime did so in very typically criminological ways</w:t>
            </w:r>
            <w:proofErr w:type="gramStart"/>
            <w:r w:rsidRPr="007A0F4B">
              <w:rPr>
                <w:rFonts w:ascii="Times New Roman" w:eastAsiaTheme="minorHAnsi" w:hAnsi="Times New Roman" w:cs="Times New Roman"/>
              </w:rPr>
              <w:t>…”I’m</w:t>
            </w:r>
            <w:proofErr w:type="gramEnd"/>
            <w:r w:rsidRPr="007A0F4B">
              <w:rPr>
                <w:rFonts w:ascii="Times New Roman" w:eastAsiaTheme="minorHAnsi" w:hAnsi="Times New Roman" w:cs="Times New Roman"/>
              </w:rPr>
              <w:t xml:space="preserve"> not like I used to be. I don’t get violent. I don’t drink and do drugs today. (Subject 10) It’s just not in me no more. I’m too old . . . I got tired of fighting, </w:t>
            </w:r>
            <w:proofErr w:type="spellStart"/>
            <w:r w:rsidRPr="007A0F4B">
              <w:rPr>
                <w:rFonts w:ascii="Times New Roman" w:eastAsiaTheme="minorHAnsi" w:hAnsi="Times New Roman" w:cs="Times New Roman"/>
              </w:rPr>
              <w:t>y’know</w:t>
            </w:r>
            <w:proofErr w:type="spellEnd"/>
            <w:r w:rsidRPr="007A0F4B">
              <w:rPr>
                <w:rFonts w:ascii="Times New Roman" w:eastAsiaTheme="minorHAnsi" w:hAnsi="Times New Roman" w:cs="Times New Roman"/>
              </w:rPr>
              <w:t xml:space="preserve">?”” (Harris, 2014, p. 1566). </w:t>
            </w:r>
          </w:p>
          <w:p w14:paraId="5D91F4D6"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“I’m just getting past </w:t>
            </w:r>
            <w:proofErr w:type="gramStart"/>
            <w:r w:rsidRPr="007A0F4B">
              <w:rPr>
                <w:rFonts w:ascii="Times New Roman" w:eastAsiaTheme="minorHAnsi" w:hAnsi="Times New Roman" w:cs="Times New Roman"/>
              </w:rPr>
              <w:t>it,</w:t>
            </w:r>
            <w:proofErr w:type="gramEnd"/>
            <w:r w:rsidRPr="007A0F4B">
              <w:rPr>
                <w:rFonts w:ascii="Times New Roman" w:eastAsiaTheme="minorHAnsi" w:hAnsi="Times New Roman" w:cs="Times New Roman"/>
              </w:rPr>
              <w:t xml:space="preserve"> I am too old.” (Milner, 2017, p. 97)</w:t>
            </w:r>
          </w:p>
          <w:p w14:paraId="436A968D" w14:textId="77777777" w:rsidR="00401100" w:rsidRPr="007A0F4B" w:rsidRDefault="00401100" w:rsidP="00C342F1">
            <w:pPr>
              <w:widowControl/>
              <w:ind w:left="674" w:hanging="674"/>
              <w:rPr>
                <w:rFonts w:ascii="Times New Roman" w:eastAsiaTheme="minorHAnsi" w:hAnsi="Times New Roman" w:cs="Times New Roman"/>
              </w:rPr>
            </w:pPr>
            <w:r w:rsidRPr="007A0F4B">
              <w:rPr>
                <w:rFonts w:ascii="Times New Roman" w:eastAsiaTheme="minorHAnsi" w:hAnsi="Times New Roman" w:cs="Times New Roman"/>
              </w:rPr>
              <w:t xml:space="preserve">“Offending rates declined with time for everyone in the sample, irrespective of the level of family support. This finding is unsurprising, given the overwhelming evidence that crime tends to decline with age, both for individuals convicted of general offenses and for those convicted of sex offenses” (Walker et al., 2017, p. 16). </w:t>
            </w:r>
          </w:p>
        </w:tc>
      </w:tr>
    </w:tbl>
    <w:p w14:paraId="144965C4" w14:textId="093FC1B3" w:rsidR="00983F8B" w:rsidRPr="007A0F4B" w:rsidRDefault="00401100">
      <w:pPr>
        <w:rPr>
          <w:rFonts w:eastAsia="Times New Roman"/>
          <w:szCs w:val="32"/>
        </w:rPr>
      </w:pPr>
      <w:r w:rsidRPr="007A0F4B">
        <w:rPr>
          <w:rFonts w:eastAsia="Times New Roman"/>
          <w:szCs w:val="32"/>
        </w:rPr>
        <w:tab/>
      </w:r>
    </w:p>
    <w:p w14:paraId="53754834" w14:textId="16BD3A1F" w:rsidR="00D44460" w:rsidRPr="007A0F4B" w:rsidRDefault="00D44460">
      <w:pPr>
        <w:widowControl/>
        <w:rPr>
          <w:b/>
          <w:bCs/>
        </w:rPr>
      </w:pPr>
      <w:bookmarkStart w:id="3" w:name="_Toc190180244"/>
    </w:p>
    <w:bookmarkEnd w:id="3"/>
    <w:p w14:paraId="59AD9BB6" w14:textId="77777777" w:rsidR="00FD2426" w:rsidRPr="007A0F4B" w:rsidRDefault="00FD2426" w:rsidP="00FD2426">
      <w:pPr>
        <w:ind w:firstLine="0"/>
      </w:pPr>
    </w:p>
    <w:p w14:paraId="743B8462" w14:textId="77777777" w:rsidR="00FD2426" w:rsidRPr="007A0F4B" w:rsidRDefault="00FD2426" w:rsidP="00FD2426">
      <w:pPr>
        <w:ind w:firstLine="0"/>
      </w:pPr>
    </w:p>
    <w:p w14:paraId="2A5299B1" w14:textId="77777777" w:rsidR="00FD2426" w:rsidRPr="007A0F4B" w:rsidRDefault="00FD2426" w:rsidP="00FD2426">
      <w:pPr>
        <w:ind w:firstLine="0"/>
      </w:pPr>
    </w:p>
    <w:p w14:paraId="7F1B8ABA" w14:textId="77777777" w:rsidR="00FD2426" w:rsidRDefault="00FD2426" w:rsidP="00FD2426">
      <w:pPr>
        <w:ind w:firstLine="0"/>
      </w:pPr>
    </w:p>
    <w:sectPr w:rsidR="00FD2426" w:rsidSect="0040110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92097"/>
    <w:multiLevelType w:val="hybridMultilevel"/>
    <w:tmpl w:val="3C782F42"/>
    <w:lvl w:ilvl="0" w:tplc="5DF87BAE">
      <w:start w:val="1"/>
      <w:numFmt w:val="decimal"/>
      <w:lvlText w:val="%1."/>
      <w:lvlJc w:val="left"/>
      <w:pPr>
        <w:ind w:left="736" w:hanging="360"/>
      </w:pPr>
      <w:rPr>
        <w:rFonts w:hint="default"/>
      </w:rPr>
    </w:lvl>
    <w:lvl w:ilvl="1" w:tplc="14090019" w:tentative="1">
      <w:start w:val="1"/>
      <w:numFmt w:val="lowerLetter"/>
      <w:lvlText w:val="%2."/>
      <w:lvlJc w:val="left"/>
      <w:pPr>
        <w:ind w:left="1456" w:hanging="360"/>
      </w:pPr>
    </w:lvl>
    <w:lvl w:ilvl="2" w:tplc="1409001B" w:tentative="1">
      <w:start w:val="1"/>
      <w:numFmt w:val="lowerRoman"/>
      <w:lvlText w:val="%3."/>
      <w:lvlJc w:val="right"/>
      <w:pPr>
        <w:ind w:left="2176" w:hanging="180"/>
      </w:pPr>
    </w:lvl>
    <w:lvl w:ilvl="3" w:tplc="1409000F" w:tentative="1">
      <w:start w:val="1"/>
      <w:numFmt w:val="decimal"/>
      <w:lvlText w:val="%4."/>
      <w:lvlJc w:val="left"/>
      <w:pPr>
        <w:ind w:left="2896" w:hanging="360"/>
      </w:pPr>
    </w:lvl>
    <w:lvl w:ilvl="4" w:tplc="14090019" w:tentative="1">
      <w:start w:val="1"/>
      <w:numFmt w:val="lowerLetter"/>
      <w:lvlText w:val="%5."/>
      <w:lvlJc w:val="left"/>
      <w:pPr>
        <w:ind w:left="3616" w:hanging="360"/>
      </w:pPr>
    </w:lvl>
    <w:lvl w:ilvl="5" w:tplc="1409001B" w:tentative="1">
      <w:start w:val="1"/>
      <w:numFmt w:val="lowerRoman"/>
      <w:lvlText w:val="%6."/>
      <w:lvlJc w:val="right"/>
      <w:pPr>
        <w:ind w:left="4336" w:hanging="180"/>
      </w:pPr>
    </w:lvl>
    <w:lvl w:ilvl="6" w:tplc="1409000F" w:tentative="1">
      <w:start w:val="1"/>
      <w:numFmt w:val="decimal"/>
      <w:lvlText w:val="%7."/>
      <w:lvlJc w:val="left"/>
      <w:pPr>
        <w:ind w:left="5056" w:hanging="360"/>
      </w:pPr>
    </w:lvl>
    <w:lvl w:ilvl="7" w:tplc="14090019" w:tentative="1">
      <w:start w:val="1"/>
      <w:numFmt w:val="lowerLetter"/>
      <w:lvlText w:val="%8."/>
      <w:lvlJc w:val="left"/>
      <w:pPr>
        <w:ind w:left="5776" w:hanging="360"/>
      </w:pPr>
    </w:lvl>
    <w:lvl w:ilvl="8" w:tplc="1409001B" w:tentative="1">
      <w:start w:val="1"/>
      <w:numFmt w:val="lowerRoman"/>
      <w:lvlText w:val="%9."/>
      <w:lvlJc w:val="right"/>
      <w:pPr>
        <w:ind w:left="6496" w:hanging="180"/>
      </w:pPr>
    </w:lvl>
  </w:abstractNum>
  <w:num w:numId="1" w16cid:durableId="881987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100"/>
    <w:rsid w:val="00033D6E"/>
    <w:rsid w:val="0005301F"/>
    <w:rsid w:val="00090CD1"/>
    <w:rsid w:val="000A1552"/>
    <w:rsid w:val="000A1D54"/>
    <w:rsid w:val="000C3308"/>
    <w:rsid w:val="000D28A6"/>
    <w:rsid w:val="0010284E"/>
    <w:rsid w:val="00103ED8"/>
    <w:rsid w:val="0010613A"/>
    <w:rsid w:val="001250EC"/>
    <w:rsid w:val="00127D03"/>
    <w:rsid w:val="00155FCA"/>
    <w:rsid w:val="00165C88"/>
    <w:rsid w:val="00184AD9"/>
    <w:rsid w:val="00192B58"/>
    <w:rsid w:val="001A01D5"/>
    <w:rsid w:val="001B41E7"/>
    <w:rsid w:val="001E6F46"/>
    <w:rsid w:val="00204CFE"/>
    <w:rsid w:val="00220472"/>
    <w:rsid w:val="00233CD6"/>
    <w:rsid w:val="002729DF"/>
    <w:rsid w:val="002775F3"/>
    <w:rsid w:val="00297847"/>
    <w:rsid w:val="002B4933"/>
    <w:rsid w:val="002B57EA"/>
    <w:rsid w:val="002C4236"/>
    <w:rsid w:val="002C5F50"/>
    <w:rsid w:val="002F703A"/>
    <w:rsid w:val="00302B16"/>
    <w:rsid w:val="00317AB6"/>
    <w:rsid w:val="003200C7"/>
    <w:rsid w:val="00323394"/>
    <w:rsid w:val="00393E74"/>
    <w:rsid w:val="003A6FF2"/>
    <w:rsid w:val="003B0E7B"/>
    <w:rsid w:val="003D31FA"/>
    <w:rsid w:val="00401100"/>
    <w:rsid w:val="004034C0"/>
    <w:rsid w:val="00403FA0"/>
    <w:rsid w:val="004247E2"/>
    <w:rsid w:val="004311FE"/>
    <w:rsid w:val="0043684A"/>
    <w:rsid w:val="00466A9D"/>
    <w:rsid w:val="00476235"/>
    <w:rsid w:val="004863B8"/>
    <w:rsid w:val="00490F53"/>
    <w:rsid w:val="004C1855"/>
    <w:rsid w:val="004F4FD7"/>
    <w:rsid w:val="004F75ED"/>
    <w:rsid w:val="00511934"/>
    <w:rsid w:val="00540508"/>
    <w:rsid w:val="00546D10"/>
    <w:rsid w:val="00557BCA"/>
    <w:rsid w:val="005634FB"/>
    <w:rsid w:val="0058171B"/>
    <w:rsid w:val="00591981"/>
    <w:rsid w:val="005A04BC"/>
    <w:rsid w:val="005B5C06"/>
    <w:rsid w:val="005F4EAD"/>
    <w:rsid w:val="005F7C87"/>
    <w:rsid w:val="00611901"/>
    <w:rsid w:val="00651B2C"/>
    <w:rsid w:val="006664BD"/>
    <w:rsid w:val="006A0B0B"/>
    <w:rsid w:val="006A0EA2"/>
    <w:rsid w:val="006A548A"/>
    <w:rsid w:val="006B17FB"/>
    <w:rsid w:val="006E0CF2"/>
    <w:rsid w:val="006E74F3"/>
    <w:rsid w:val="00705F49"/>
    <w:rsid w:val="00734ED2"/>
    <w:rsid w:val="00736E6F"/>
    <w:rsid w:val="0074429C"/>
    <w:rsid w:val="00753EA5"/>
    <w:rsid w:val="00763AB0"/>
    <w:rsid w:val="00780BBB"/>
    <w:rsid w:val="00792A95"/>
    <w:rsid w:val="007A068D"/>
    <w:rsid w:val="007A0F4B"/>
    <w:rsid w:val="007B18CD"/>
    <w:rsid w:val="007F55C8"/>
    <w:rsid w:val="008230F8"/>
    <w:rsid w:val="008275D3"/>
    <w:rsid w:val="00832403"/>
    <w:rsid w:val="008413DC"/>
    <w:rsid w:val="00842C33"/>
    <w:rsid w:val="00852DED"/>
    <w:rsid w:val="00866934"/>
    <w:rsid w:val="008C02C3"/>
    <w:rsid w:val="008D1AA3"/>
    <w:rsid w:val="008D5EB7"/>
    <w:rsid w:val="008E3859"/>
    <w:rsid w:val="00910AC4"/>
    <w:rsid w:val="0093024B"/>
    <w:rsid w:val="00940368"/>
    <w:rsid w:val="00953135"/>
    <w:rsid w:val="00953CE1"/>
    <w:rsid w:val="009665A2"/>
    <w:rsid w:val="00977E28"/>
    <w:rsid w:val="00983C1A"/>
    <w:rsid w:val="00983F8B"/>
    <w:rsid w:val="0099486B"/>
    <w:rsid w:val="009B3114"/>
    <w:rsid w:val="009F5A3A"/>
    <w:rsid w:val="00A42145"/>
    <w:rsid w:val="00A455A1"/>
    <w:rsid w:val="00A530DE"/>
    <w:rsid w:val="00A80759"/>
    <w:rsid w:val="00A952F5"/>
    <w:rsid w:val="00AB230F"/>
    <w:rsid w:val="00AF3043"/>
    <w:rsid w:val="00B175AF"/>
    <w:rsid w:val="00B17632"/>
    <w:rsid w:val="00B2577A"/>
    <w:rsid w:val="00B350FC"/>
    <w:rsid w:val="00B67216"/>
    <w:rsid w:val="00B97EAE"/>
    <w:rsid w:val="00BE4711"/>
    <w:rsid w:val="00BE5D53"/>
    <w:rsid w:val="00BF0BB2"/>
    <w:rsid w:val="00C221EE"/>
    <w:rsid w:val="00C52E0C"/>
    <w:rsid w:val="00C82259"/>
    <w:rsid w:val="00C85143"/>
    <w:rsid w:val="00CA2940"/>
    <w:rsid w:val="00CA76C5"/>
    <w:rsid w:val="00CB40D5"/>
    <w:rsid w:val="00CC302E"/>
    <w:rsid w:val="00D44460"/>
    <w:rsid w:val="00D448E0"/>
    <w:rsid w:val="00D5323C"/>
    <w:rsid w:val="00D56050"/>
    <w:rsid w:val="00D74D55"/>
    <w:rsid w:val="00D75AC0"/>
    <w:rsid w:val="00D80E82"/>
    <w:rsid w:val="00D9278E"/>
    <w:rsid w:val="00DB0DEB"/>
    <w:rsid w:val="00DC3689"/>
    <w:rsid w:val="00DE5F49"/>
    <w:rsid w:val="00DE61E1"/>
    <w:rsid w:val="00DF06C0"/>
    <w:rsid w:val="00E20C54"/>
    <w:rsid w:val="00E210C5"/>
    <w:rsid w:val="00E56C00"/>
    <w:rsid w:val="00E70E69"/>
    <w:rsid w:val="00EB5F41"/>
    <w:rsid w:val="00ED26F4"/>
    <w:rsid w:val="00F24045"/>
    <w:rsid w:val="00F96F64"/>
    <w:rsid w:val="00FD162E"/>
    <w:rsid w:val="00FD242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E1D2"/>
  <w15:chartTrackingRefBased/>
  <w15:docId w15:val="{41E52E6F-EC02-4D7D-BF7C-B67094680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NZ"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C54"/>
    <w:pPr>
      <w:widowControl w:val="0"/>
    </w:pPr>
    <w:rPr>
      <w:rFonts w:eastAsia="Aptos"/>
      <w:lang w:val="en-US"/>
    </w:rPr>
  </w:style>
  <w:style w:type="paragraph" w:styleId="Heading1">
    <w:name w:val="heading 1"/>
    <w:aliases w:val="apa 1"/>
    <w:basedOn w:val="Normal"/>
    <w:next w:val="Normal"/>
    <w:link w:val="Heading1Char"/>
    <w:uiPriority w:val="9"/>
    <w:qFormat/>
    <w:rsid w:val="00155FCA"/>
    <w:pPr>
      <w:keepNext/>
      <w:keepLines/>
      <w:jc w:val="center"/>
      <w:outlineLvl w:val="0"/>
    </w:pPr>
    <w:rPr>
      <w:rFonts w:eastAsiaTheme="majorEastAsia" w:cstheme="majorBidi"/>
      <w:b/>
      <w:szCs w:val="40"/>
    </w:rPr>
  </w:style>
  <w:style w:type="paragraph" w:styleId="Heading2">
    <w:name w:val="heading 2"/>
    <w:aliases w:val="apa 2"/>
    <w:basedOn w:val="Normal"/>
    <w:next w:val="Normal"/>
    <w:link w:val="Heading2Char"/>
    <w:uiPriority w:val="9"/>
    <w:unhideWhenUsed/>
    <w:qFormat/>
    <w:rsid w:val="00A42145"/>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9B3114"/>
    <w:pPr>
      <w:keepNext/>
      <w:keepLines/>
      <w:spacing w:after="160"/>
      <w:ind w:firstLine="0"/>
      <w:outlineLvl w:val="2"/>
    </w:pPr>
    <w:rPr>
      <w:rFonts w:eastAsiaTheme="majorEastAsia" w:cstheme="majorBidi"/>
      <w:b/>
      <w:i/>
      <w:szCs w:val="28"/>
    </w:rPr>
  </w:style>
  <w:style w:type="paragraph" w:styleId="Heading4">
    <w:name w:val="heading 4"/>
    <w:aliases w:val="apa 4"/>
    <w:basedOn w:val="Normal"/>
    <w:next w:val="Normal"/>
    <w:link w:val="Heading4Char"/>
    <w:uiPriority w:val="9"/>
    <w:unhideWhenUsed/>
    <w:qFormat/>
    <w:rsid w:val="003B0E7B"/>
    <w:pPr>
      <w:keepNext/>
      <w:keepLines/>
      <w:outlineLvl w:val="3"/>
    </w:pPr>
    <w:rPr>
      <w:rFonts w:eastAsiaTheme="majorEastAsia" w:cstheme="majorBidi"/>
      <w:i/>
      <w:iCs/>
    </w:rPr>
  </w:style>
  <w:style w:type="paragraph" w:styleId="Heading5">
    <w:name w:val="heading 5"/>
    <w:basedOn w:val="Normal"/>
    <w:next w:val="Normal"/>
    <w:link w:val="Heading5Char"/>
    <w:uiPriority w:val="9"/>
    <w:unhideWhenUsed/>
    <w:qFormat/>
    <w:rsid w:val="0040110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40110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40110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40110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40110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apa 2 Char"/>
    <w:basedOn w:val="DefaultParagraphFont"/>
    <w:link w:val="Heading2"/>
    <w:uiPriority w:val="9"/>
    <w:rsid w:val="00A42145"/>
    <w:rPr>
      <w:rFonts w:ascii="Times New Roman" w:eastAsiaTheme="majorEastAsia" w:hAnsi="Times New Roman" w:cstheme="majorBidi"/>
      <w:b/>
      <w:szCs w:val="32"/>
    </w:rPr>
  </w:style>
  <w:style w:type="character" w:customStyle="1" w:styleId="Heading1Char">
    <w:name w:val="Heading 1 Char"/>
    <w:aliases w:val="apa 1 Char"/>
    <w:basedOn w:val="DefaultParagraphFont"/>
    <w:link w:val="Heading1"/>
    <w:uiPriority w:val="9"/>
    <w:rsid w:val="00155FCA"/>
    <w:rPr>
      <w:rFonts w:eastAsiaTheme="majorEastAsia" w:cstheme="majorBidi"/>
      <w:b/>
      <w:szCs w:val="40"/>
    </w:rPr>
  </w:style>
  <w:style w:type="paragraph" w:styleId="Subtitle">
    <w:name w:val="Subtitle"/>
    <w:aliases w:val="apa 3"/>
    <w:basedOn w:val="Normal"/>
    <w:next w:val="Normal"/>
    <w:link w:val="SubtitleChar"/>
    <w:uiPriority w:val="11"/>
    <w:qFormat/>
    <w:rsid w:val="00A42145"/>
    <w:pPr>
      <w:numPr>
        <w:ilvl w:val="1"/>
      </w:numPr>
      <w:ind w:left="907" w:firstLine="720"/>
    </w:pPr>
    <w:rPr>
      <w:rFonts w:eastAsiaTheme="majorEastAsia" w:cstheme="majorBidi"/>
      <w:b/>
      <w:i/>
      <w:spacing w:val="15"/>
      <w:szCs w:val="28"/>
    </w:rPr>
  </w:style>
  <w:style w:type="character" w:customStyle="1" w:styleId="SubtitleChar">
    <w:name w:val="Subtitle Char"/>
    <w:aliases w:val="apa 3 Char"/>
    <w:basedOn w:val="DefaultParagraphFont"/>
    <w:link w:val="Subtitle"/>
    <w:uiPriority w:val="11"/>
    <w:rsid w:val="00A42145"/>
    <w:rPr>
      <w:rFonts w:ascii="Times New Roman" w:eastAsiaTheme="majorEastAsia" w:hAnsi="Times New Roman" w:cstheme="majorBidi"/>
      <w:b/>
      <w:i/>
      <w:spacing w:val="15"/>
      <w:szCs w:val="28"/>
    </w:rPr>
  </w:style>
  <w:style w:type="character" w:customStyle="1" w:styleId="Heading3Char">
    <w:name w:val="Heading 3 Char"/>
    <w:basedOn w:val="DefaultParagraphFont"/>
    <w:link w:val="Heading3"/>
    <w:uiPriority w:val="9"/>
    <w:rsid w:val="009B3114"/>
    <w:rPr>
      <w:rFonts w:eastAsiaTheme="majorEastAsia" w:cstheme="majorBidi"/>
      <w:b/>
      <w:i/>
      <w:kern w:val="0"/>
      <w:szCs w:val="28"/>
      <w14:ligatures w14:val="none"/>
    </w:rPr>
  </w:style>
  <w:style w:type="character" w:customStyle="1" w:styleId="Heading4Char">
    <w:name w:val="Heading 4 Char"/>
    <w:aliases w:val="apa 4 Char"/>
    <w:basedOn w:val="DefaultParagraphFont"/>
    <w:link w:val="Heading4"/>
    <w:uiPriority w:val="9"/>
    <w:rsid w:val="003B0E7B"/>
    <w:rPr>
      <w:rFonts w:eastAsiaTheme="majorEastAsia" w:cstheme="majorBidi"/>
      <w:i/>
      <w:iCs/>
    </w:rPr>
  </w:style>
  <w:style w:type="character" w:customStyle="1" w:styleId="Heading5Char">
    <w:name w:val="Heading 5 Char"/>
    <w:basedOn w:val="DefaultParagraphFont"/>
    <w:link w:val="Heading5"/>
    <w:uiPriority w:val="9"/>
    <w:rsid w:val="00401100"/>
    <w:rPr>
      <w:rFonts w:asciiTheme="minorHAnsi" w:eastAsiaTheme="majorEastAsia" w:hAnsiTheme="minorHAnsi" w:cstheme="majorBidi"/>
      <w:color w:val="0F4761" w:themeColor="accent1" w:themeShade="BF"/>
      <w:lang w:val="en-US"/>
    </w:rPr>
  </w:style>
  <w:style w:type="character" w:customStyle="1" w:styleId="Heading6Char">
    <w:name w:val="Heading 6 Char"/>
    <w:basedOn w:val="DefaultParagraphFont"/>
    <w:link w:val="Heading6"/>
    <w:uiPriority w:val="9"/>
    <w:rsid w:val="00401100"/>
    <w:rPr>
      <w:rFonts w:asciiTheme="minorHAnsi" w:eastAsiaTheme="majorEastAsia" w:hAnsiTheme="minorHAnsi" w:cstheme="majorBidi"/>
      <w:i/>
      <w:iCs/>
      <w:color w:val="595959" w:themeColor="text1" w:themeTint="A6"/>
      <w:lang w:val="en-US"/>
    </w:rPr>
  </w:style>
  <w:style w:type="character" w:customStyle="1" w:styleId="Heading7Char">
    <w:name w:val="Heading 7 Char"/>
    <w:basedOn w:val="DefaultParagraphFont"/>
    <w:link w:val="Heading7"/>
    <w:uiPriority w:val="9"/>
    <w:rsid w:val="00401100"/>
    <w:rPr>
      <w:rFonts w:asciiTheme="minorHAnsi" w:eastAsiaTheme="majorEastAsia" w:hAnsiTheme="minorHAnsi" w:cstheme="majorBidi"/>
      <w:color w:val="595959" w:themeColor="text1" w:themeTint="A6"/>
      <w:lang w:val="en-US"/>
    </w:rPr>
  </w:style>
  <w:style w:type="character" w:customStyle="1" w:styleId="Heading8Char">
    <w:name w:val="Heading 8 Char"/>
    <w:basedOn w:val="DefaultParagraphFont"/>
    <w:link w:val="Heading8"/>
    <w:uiPriority w:val="9"/>
    <w:rsid w:val="00401100"/>
    <w:rPr>
      <w:rFonts w:asciiTheme="minorHAnsi" w:eastAsiaTheme="majorEastAsia" w:hAnsiTheme="minorHAnsi" w:cstheme="majorBidi"/>
      <w:i/>
      <w:iCs/>
      <w:color w:val="272727" w:themeColor="text1" w:themeTint="D8"/>
      <w:lang w:val="en-US"/>
    </w:rPr>
  </w:style>
  <w:style w:type="character" w:customStyle="1" w:styleId="Heading9Char">
    <w:name w:val="Heading 9 Char"/>
    <w:basedOn w:val="DefaultParagraphFont"/>
    <w:link w:val="Heading9"/>
    <w:uiPriority w:val="9"/>
    <w:rsid w:val="00401100"/>
    <w:rPr>
      <w:rFonts w:asciiTheme="minorHAnsi" w:eastAsiaTheme="majorEastAsia" w:hAnsiTheme="minorHAnsi" w:cstheme="majorBidi"/>
      <w:color w:val="272727" w:themeColor="text1" w:themeTint="D8"/>
      <w:lang w:val="en-US"/>
    </w:rPr>
  </w:style>
  <w:style w:type="paragraph" w:styleId="Title">
    <w:name w:val="Title"/>
    <w:aliases w:val="Level 4"/>
    <w:basedOn w:val="Normal"/>
    <w:next w:val="Normal"/>
    <w:link w:val="TitleChar"/>
    <w:uiPriority w:val="10"/>
    <w:qFormat/>
    <w:rsid w:val="00401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Level 4 Char"/>
    <w:basedOn w:val="DefaultParagraphFont"/>
    <w:link w:val="Title"/>
    <w:uiPriority w:val="10"/>
    <w:rsid w:val="00401100"/>
    <w:rPr>
      <w:rFonts w:asciiTheme="majorHAnsi" w:eastAsiaTheme="majorEastAsia" w:hAnsiTheme="majorHAnsi" w:cstheme="majorBidi"/>
      <w:spacing w:val="-10"/>
      <w:kern w:val="28"/>
      <w:sz w:val="56"/>
      <w:szCs w:val="56"/>
      <w:lang w:val="en-US"/>
    </w:rPr>
  </w:style>
  <w:style w:type="paragraph" w:styleId="Quote">
    <w:name w:val="Quote"/>
    <w:basedOn w:val="Normal"/>
    <w:next w:val="Normal"/>
    <w:link w:val="QuoteChar"/>
    <w:uiPriority w:val="29"/>
    <w:qFormat/>
    <w:rsid w:val="004011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1100"/>
    <w:rPr>
      <w:i/>
      <w:iCs/>
      <w:color w:val="404040" w:themeColor="text1" w:themeTint="BF"/>
      <w:lang w:val="en-US"/>
    </w:rPr>
  </w:style>
  <w:style w:type="paragraph" w:styleId="ListParagraph">
    <w:name w:val="List Paragraph"/>
    <w:basedOn w:val="Normal"/>
    <w:link w:val="ListParagraphChar"/>
    <w:uiPriority w:val="34"/>
    <w:qFormat/>
    <w:rsid w:val="00401100"/>
    <w:pPr>
      <w:ind w:left="720"/>
      <w:contextualSpacing/>
    </w:pPr>
  </w:style>
  <w:style w:type="character" w:styleId="IntenseEmphasis">
    <w:name w:val="Intense Emphasis"/>
    <w:basedOn w:val="DefaultParagraphFont"/>
    <w:uiPriority w:val="21"/>
    <w:qFormat/>
    <w:rsid w:val="00401100"/>
    <w:rPr>
      <w:i/>
      <w:iCs/>
      <w:color w:val="0F4761" w:themeColor="accent1" w:themeShade="BF"/>
    </w:rPr>
  </w:style>
  <w:style w:type="paragraph" w:styleId="IntenseQuote">
    <w:name w:val="Intense Quote"/>
    <w:basedOn w:val="Normal"/>
    <w:next w:val="Normal"/>
    <w:link w:val="IntenseQuoteChar"/>
    <w:uiPriority w:val="30"/>
    <w:qFormat/>
    <w:rsid w:val="00401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100"/>
    <w:rPr>
      <w:i/>
      <w:iCs/>
      <w:color w:val="0F4761" w:themeColor="accent1" w:themeShade="BF"/>
      <w:lang w:val="en-US"/>
    </w:rPr>
  </w:style>
  <w:style w:type="character" w:styleId="IntenseReference">
    <w:name w:val="Intense Reference"/>
    <w:basedOn w:val="DefaultParagraphFont"/>
    <w:uiPriority w:val="32"/>
    <w:qFormat/>
    <w:rsid w:val="00401100"/>
    <w:rPr>
      <w:b/>
      <w:bCs/>
      <w:smallCaps/>
      <w:color w:val="0F4761" w:themeColor="accent1" w:themeShade="BF"/>
      <w:spacing w:val="5"/>
    </w:rPr>
  </w:style>
  <w:style w:type="paragraph" w:styleId="Caption">
    <w:name w:val="caption"/>
    <w:basedOn w:val="Normal"/>
    <w:next w:val="Normal"/>
    <w:uiPriority w:val="35"/>
    <w:unhideWhenUsed/>
    <w:qFormat/>
    <w:rsid w:val="00401100"/>
    <w:pPr>
      <w:spacing w:after="200"/>
    </w:pPr>
    <w:rPr>
      <w:b/>
      <w:bCs/>
    </w:rPr>
  </w:style>
  <w:style w:type="table" w:customStyle="1" w:styleId="TableGrid8">
    <w:name w:val="Table Grid8"/>
    <w:basedOn w:val="TableNormal"/>
    <w:next w:val="TableGrid"/>
    <w:uiPriority w:val="39"/>
    <w:rsid w:val="00401100"/>
    <w:pPr>
      <w:spacing w:line="240" w:lineRule="auto"/>
      <w:ind w:firstLine="0"/>
    </w:pPr>
    <w:rPr>
      <w:rFonts w:ascii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11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A068D"/>
    <w:pPr>
      <w:spacing w:line="240" w:lineRule="auto"/>
      <w:ind w:firstLine="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548A"/>
    <w:pPr>
      <w:tabs>
        <w:tab w:val="center" w:pos="4513"/>
        <w:tab w:val="right" w:pos="9026"/>
      </w:tabs>
      <w:spacing w:line="240" w:lineRule="auto"/>
    </w:pPr>
    <w:rPr>
      <w:lang w:val="en-NZ"/>
    </w:rPr>
  </w:style>
  <w:style w:type="character" w:customStyle="1" w:styleId="HeaderChar">
    <w:name w:val="Header Char"/>
    <w:basedOn w:val="DefaultParagraphFont"/>
    <w:link w:val="Header"/>
    <w:uiPriority w:val="99"/>
    <w:rsid w:val="006A548A"/>
    <w:rPr>
      <w:rFonts w:eastAsia="Aptos"/>
    </w:rPr>
  </w:style>
  <w:style w:type="paragraph" w:styleId="Footer">
    <w:name w:val="footer"/>
    <w:basedOn w:val="Normal"/>
    <w:link w:val="FooterChar"/>
    <w:uiPriority w:val="99"/>
    <w:unhideWhenUsed/>
    <w:rsid w:val="006A548A"/>
    <w:pPr>
      <w:tabs>
        <w:tab w:val="center" w:pos="4513"/>
        <w:tab w:val="right" w:pos="9026"/>
      </w:tabs>
      <w:spacing w:line="240" w:lineRule="auto"/>
    </w:pPr>
    <w:rPr>
      <w:lang w:val="en-NZ"/>
    </w:rPr>
  </w:style>
  <w:style w:type="character" w:customStyle="1" w:styleId="FooterChar">
    <w:name w:val="Footer Char"/>
    <w:basedOn w:val="DefaultParagraphFont"/>
    <w:link w:val="Footer"/>
    <w:uiPriority w:val="99"/>
    <w:rsid w:val="006A548A"/>
    <w:rPr>
      <w:rFonts w:eastAsia="Aptos"/>
    </w:rPr>
  </w:style>
  <w:style w:type="paragraph" w:styleId="TOCHeading">
    <w:name w:val="TOC Heading"/>
    <w:basedOn w:val="Heading1"/>
    <w:next w:val="Normal"/>
    <w:uiPriority w:val="39"/>
    <w:unhideWhenUsed/>
    <w:qFormat/>
    <w:rsid w:val="006A548A"/>
    <w:pPr>
      <w:keepNext w:val="0"/>
      <w:tabs>
        <w:tab w:val="left" w:pos="856"/>
        <w:tab w:val="center" w:pos="4513"/>
      </w:tabs>
      <w:ind w:firstLine="0"/>
      <w:contextualSpacing/>
      <w:outlineLvl w:val="9"/>
    </w:pPr>
    <w:rPr>
      <w:rFonts w:eastAsia="Times New Roman" w:cs="Times New Roman"/>
      <w:bCs/>
      <w:szCs w:val="24"/>
      <w:lang w:val="en-NZ"/>
    </w:rPr>
  </w:style>
  <w:style w:type="paragraph" w:customStyle="1" w:styleId="APA7ReferenceListheading">
    <w:name w:val="APA 7 Reference List heading"/>
    <w:basedOn w:val="Normal"/>
    <w:qFormat/>
    <w:rsid w:val="006A548A"/>
    <w:pPr>
      <w:jc w:val="center"/>
    </w:pPr>
    <w:rPr>
      <w:lang w:val="en-NZ"/>
    </w:rPr>
  </w:style>
  <w:style w:type="paragraph" w:customStyle="1" w:styleId="APAreferencelist">
    <w:name w:val="APA reference list"/>
    <w:basedOn w:val="Normal"/>
    <w:qFormat/>
    <w:rsid w:val="006A548A"/>
    <w:pPr>
      <w:keepLines/>
      <w:ind w:left="720" w:hanging="720"/>
    </w:pPr>
    <w:rPr>
      <w:lang w:val="en-NZ"/>
    </w:rPr>
  </w:style>
  <w:style w:type="paragraph" w:customStyle="1" w:styleId="nonAPA">
    <w:name w:val="non APA"/>
    <w:link w:val="nonAPAChar"/>
    <w:qFormat/>
    <w:rsid w:val="006A548A"/>
    <w:pPr>
      <w:spacing w:after="160" w:line="240" w:lineRule="auto"/>
      <w:ind w:firstLine="0"/>
    </w:pPr>
    <w:rPr>
      <w:rFonts w:eastAsia="Times New Roman"/>
      <w:szCs w:val="26"/>
      <w:lang w:val="en-US"/>
    </w:rPr>
  </w:style>
  <w:style w:type="character" w:customStyle="1" w:styleId="nonAPAChar">
    <w:name w:val="non APA Char"/>
    <w:link w:val="nonAPA"/>
    <w:rsid w:val="006A548A"/>
    <w:rPr>
      <w:rFonts w:eastAsia="Times New Roman"/>
      <w:szCs w:val="26"/>
      <w:lang w:val="en-US"/>
    </w:rPr>
  </w:style>
  <w:style w:type="character" w:customStyle="1" w:styleId="cf01">
    <w:name w:val="cf01"/>
    <w:rsid w:val="006A548A"/>
    <w:rPr>
      <w:rFonts w:ascii="Segoe UI" w:hAnsi="Segoe UI" w:cs="Segoe UI" w:hint="default"/>
      <w:sz w:val="18"/>
      <w:szCs w:val="18"/>
    </w:rPr>
  </w:style>
  <w:style w:type="character" w:styleId="CommentReference">
    <w:name w:val="annotation reference"/>
    <w:uiPriority w:val="99"/>
    <w:unhideWhenUsed/>
    <w:rsid w:val="006A548A"/>
    <w:rPr>
      <w:sz w:val="16"/>
      <w:szCs w:val="16"/>
    </w:rPr>
  </w:style>
  <w:style w:type="paragraph" w:styleId="CommentText">
    <w:name w:val="annotation text"/>
    <w:basedOn w:val="Normal"/>
    <w:link w:val="CommentTextChar"/>
    <w:uiPriority w:val="99"/>
    <w:unhideWhenUsed/>
    <w:rsid w:val="006A548A"/>
    <w:pPr>
      <w:widowControl/>
      <w:spacing w:after="160"/>
      <w:ind w:firstLine="0"/>
    </w:pPr>
    <w:rPr>
      <w:sz w:val="20"/>
      <w:szCs w:val="20"/>
      <w:lang w:val="en-NZ"/>
    </w:rPr>
  </w:style>
  <w:style w:type="character" w:customStyle="1" w:styleId="CommentTextChar">
    <w:name w:val="Comment Text Char"/>
    <w:basedOn w:val="DefaultParagraphFont"/>
    <w:link w:val="CommentText"/>
    <w:uiPriority w:val="99"/>
    <w:rsid w:val="006A548A"/>
    <w:rPr>
      <w:rFonts w:eastAsia="Aptos"/>
      <w:sz w:val="20"/>
      <w:szCs w:val="20"/>
    </w:rPr>
  </w:style>
  <w:style w:type="character" w:customStyle="1" w:styleId="cf11">
    <w:name w:val="cf11"/>
    <w:rsid w:val="006A548A"/>
    <w:rPr>
      <w:rFonts w:ascii="Segoe UI" w:hAnsi="Segoe UI" w:cs="Segoe UI" w:hint="default"/>
      <w:i/>
      <w:iCs/>
      <w:sz w:val="18"/>
      <w:szCs w:val="18"/>
    </w:rPr>
  </w:style>
  <w:style w:type="paragraph" w:styleId="CommentSubject">
    <w:name w:val="annotation subject"/>
    <w:basedOn w:val="CommentText"/>
    <w:next w:val="CommentText"/>
    <w:link w:val="CommentSubjectChar"/>
    <w:uiPriority w:val="99"/>
    <w:semiHidden/>
    <w:unhideWhenUsed/>
    <w:rsid w:val="006A548A"/>
    <w:pPr>
      <w:widowControl w:val="0"/>
      <w:spacing w:after="0" w:line="240" w:lineRule="auto"/>
      <w:ind w:firstLine="720"/>
      <w:jc w:val="both"/>
    </w:pPr>
    <w:rPr>
      <w:b/>
      <w:bCs/>
    </w:rPr>
  </w:style>
  <w:style w:type="character" w:customStyle="1" w:styleId="CommentSubjectChar">
    <w:name w:val="Comment Subject Char"/>
    <w:basedOn w:val="CommentTextChar"/>
    <w:link w:val="CommentSubject"/>
    <w:uiPriority w:val="99"/>
    <w:semiHidden/>
    <w:rsid w:val="006A548A"/>
    <w:rPr>
      <w:rFonts w:eastAsia="Aptos"/>
      <w:b/>
      <w:bCs/>
      <w:sz w:val="20"/>
      <w:szCs w:val="20"/>
    </w:rPr>
  </w:style>
  <w:style w:type="character" w:styleId="Hyperlink">
    <w:name w:val="Hyperlink"/>
    <w:uiPriority w:val="99"/>
    <w:unhideWhenUsed/>
    <w:rsid w:val="006A548A"/>
    <w:rPr>
      <w:color w:val="0000FF"/>
      <w:u w:val="single"/>
    </w:rPr>
  </w:style>
  <w:style w:type="character" w:customStyle="1" w:styleId="ListParagraphChar">
    <w:name w:val="List Paragraph Char"/>
    <w:basedOn w:val="DefaultParagraphFont"/>
    <w:link w:val="ListParagraph"/>
    <w:uiPriority w:val="34"/>
    <w:rsid w:val="006A548A"/>
    <w:rPr>
      <w:rFonts w:eastAsia="Aptos"/>
      <w:lang w:val="en-US"/>
    </w:rPr>
  </w:style>
  <w:style w:type="character" w:styleId="UnresolvedMention">
    <w:name w:val="Unresolved Mention"/>
    <w:uiPriority w:val="99"/>
    <w:semiHidden/>
    <w:unhideWhenUsed/>
    <w:rsid w:val="006A548A"/>
    <w:rPr>
      <w:color w:val="605E5C"/>
      <w:shd w:val="clear" w:color="auto" w:fill="E1DFDD"/>
    </w:rPr>
  </w:style>
  <w:style w:type="paragraph" w:customStyle="1" w:styleId="Normal0">
    <w:name w:val="[Normal]"/>
    <w:rsid w:val="006A548A"/>
    <w:pPr>
      <w:widowControl w:val="0"/>
      <w:autoSpaceDE w:val="0"/>
      <w:autoSpaceDN w:val="0"/>
      <w:adjustRightInd w:val="0"/>
      <w:spacing w:line="240" w:lineRule="auto"/>
      <w:ind w:firstLine="0"/>
    </w:pPr>
    <w:rPr>
      <w:rFonts w:ascii="Arial" w:eastAsia="Aptos" w:hAnsi="Arial" w:cs="Arial"/>
    </w:rPr>
  </w:style>
  <w:style w:type="paragraph" w:styleId="NoSpacing">
    <w:name w:val="No Spacing"/>
    <w:uiPriority w:val="1"/>
    <w:qFormat/>
    <w:rsid w:val="006A548A"/>
    <w:pPr>
      <w:widowControl w:val="0"/>
      <w:spacing w:line="240" w:lineRule="auto"/>
      <w:jc w:val="both"/>
    </w:pPr>
    <w:rPr>
      <w:rFonts w:eastAsia="Aptos"/>
      <w:szCs w:val="22"/>
    </w:rPr>
  </w:style>
  <w:style w:type="table" w:customStyle="1" w:styleId="TableGrid1">
    <w:name w:val="Table Grid1"/>
    <w:basedOn w:val="TableNormal"/>
    <w:next w:val="TableGrid"/>
    <w:uiPriority w:val="39"/>
    <w:rsid w:val="006A548A"/>
    <w:pPr>
      <w:spacing w:line="240" w:lineRule="auto"/>
      <w:ind w:firstLine="0"/>
    </w:pPr>
    <w:rPr>
      <w:rFonts w:ascii="Aptos" w:eastAsia="Times New Roman" w:hAnsi="Aptos"/>
      <w:sz w:val="22"/>
      <w:szCs w:val="22"/>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6A548A"/>
    <w:pPr>
      <w:widowControl/>
      <w:spacing w:beforeAutospacing="1" w:afterAutospacing="1"/>
      <w:ind w:firstLine="0"/>
    </w:pPr>
    <w:rPr>
      <w:rFonts w:eastAsia="Times New Roman"/>
      <w:lang w:val="en-NZ" w:eastAsia="en-NZ"/>
    </w:rPr>
  </w:style>
  <w:style w:type="paragraph" w:styleId="TableofFigures">
    <w:name w:val="table of figures"/>
    <w:basedOn w:val="Normal"/>
    <w:next w:val="Normal"/>
    <w:uiPriority w:val="99"/>
    <w:unhideWhenUsed/>
    <w:rsid w:val="006A548A"/>
    <w:rPr>
      <w:lang w:val="en-NZ"/>
    </w:rPr>
  </w:style>
  <w:style w:type="paragraph" w:styleId="Revision">
    <w:name w:val="Revision"/>
    <w:hidden/>
    <w:uiPriority w:val="99"/>
    <w:semiHidden/>
    <w:rsid w:val="006A548A"/>
    <w:pPr>
      <w:spacing w:line="240" w:lineRule="auto"/>
      <w:ind w:firstLine="0"/>
    </w:pPr>
    <w:rPr>
      <w:rFonts w:eastAsia="Aptos"/>
      <w:szCs w:val="22"/>
    </w:rPr>
  </w:style>
  <w:style w:type="paragraph" w:styleId="BalloonText">
    <w:name w:val="Balloon Text"/>
    <w:basedOn w:val="Normal"/>
    <w:link w:val="BalloonTextChar"/>
    <w:uiPriority w:val="99"/>
    <w:semiHidden/>
    <w:unhideWhenUsed/>
    <w:rsid w:val="006A548A"/>
    <w:rPr>
      <w:rFonts w:ascii="Segoe UI" w:hAnsi="Segoe UI" w:cs="Segoe UI"/>
      <w:sz w:val="18"/>
      <w:szCs w:val="18"/>
      <w:lang w:val="en-NZ"/>
    </w:rPr>
  </w:style>
  <w:style w:type="character" w:customStyle="1" w:styleId="BalloonTextChar">
    <w:name w:val="Balloon Text Char"/>
    <w:basedOn w:val="DefaultParagraphFont"/>
    <w:link w:val="BalloonText"/>
    <w:uiPriority w:val="99"/>
    <w:semiHidden/>
    <w:rsid w:val="006A548A"/>
    <w:rPr>
      <w:rFonts w:ascii="Segoe UI" w:eastAsia="Aptos" w:hAnsi="Segoe UI" w:cs="Segoe UI"/>
      <w:sz w:val="18"/>
      <w:szCs w:val="18"/>
    </w:rPr>
  </w:style>
  <w:style w:type="character" w:styleId="PlaceholderText">
    <w:name w:val="Placeholder Text"/>
    <w:uiPriority w:val="99"/>
    <w:semiHidden/>
    <w:rsid w:val="006A548A"/>
    <w:rPr>
      <w:color w:val="808080"/>
    </w:rPr>
  </w:style>
  <w:style w:type="paragraph" w:styleId="FootnoteText">
    <w:name w:val="footnote text"/>
    <w:basedOn w:val="Normal"/>
    <w:link w:val="FootnoteTextChar"/>
    <w:uiPriority w:val="99"/>
    <w:semiHidden/>
    <w:unhideWhenUsed/>
    <w:rsid w:val="006A548A"/>
    <w:rPr>
      <w:sz w:val="20"/>
      <w:szCs w:val="20"/>
      <w:lang w:val="en-NZ"/>
    </w:rPr>
  </w:style>
  <w:style w:type="character" w:customStyle="1" w:styleId="FootnoteTextChar">
    <w:name w:val="Footnote Text Char"/>
    <w:basedOn w:val="DefaultParagraphFont"/>
    <w:link w:val="FootnoteText"/>
    <w:uiPriority w:val="99"/>
    <w:semiHidden/>
    <w:rsid w:val="006A548A"/>
    <w:rPr>
      <w:rFonts w:eastAsia="Aptos"/>
      <w:sz w:val="20"/>
      <w:szCs w:val="20"/>
    </w:rPr>
  </w:style>
  <w:style w:type="character" w:styleId="FootnoteReference">
    <w:name w:val="footnote reference"/>
    <w:uiPriority w:val="99"/>
    <w:semiHidden/>
    <w:unhideWhenUsed/>
    <w:rsid w:val="006A548A"/>
    <w:rPr>
      <w:vertAlign w:val="superscript"/>
    </w:rPr>
  </w:style>
  <w:style w:type="character" w:customStyle="1" w:styleId="normaltextrun">
    <w:name w:val="normaltextrun"/>
    <w:basedOn w:val="DefaultParagraphFont"/>
    <w:rsid w:val="006A548A"/>
  </w:style>
  <w:style w:type="paragraph" w:styleId="TOC1">
    <w:name w:val="toc 1"/>
    <w:basedOn w:val="Normal"/>
    <w:next w:val="Normal"/>
    <w:uiPriority w:val="39"/>
    <w:unhideWhenUsed/>
    <w:rsid w:val="006A548A"/>
    <w:pPr>
      <w:ind w:firstLine="0"/>
    </w:pPr>
    <w:rPr>
      <w:lang w:val="en-NZ"/>
    </w:rPr>
  </w:style>
  <w:style w:type="paragraph" w:styleId="TOC2">
    <w:name w:val="toc 2"/>
    <w:basedOn w:val="Normal"/>
    <w:next w:val="Normal"/>
    <w:uiPriority w:val="39"/>
    <w:unhideWhenUsed/>
    <w:rsid w:val="006A548A"/>
    <w:pPr>
      <w:spacing w:after="100"/>
      <w:ind w:left="220"/>
    </w:pPr>
    <w:rPr>
      <w:lang w:val="en-NZ"/>
    </w:rPr>
  </w:style>
  <w:style w:type="paragraph" w:styleId="TOC3">
    <w:name w:val="toc 3"/>
    <w:basedOn w:val="Normal"/>
    <w:next w:val="Normal"/>
    <w:uiPriority w:val="39"/>
    <w:unhideWhenUsed/>
    <w:rsid w:val="006A548A"/>
    <w:pPr>
      <w:spacing w:after="100"/>
      <w:ind w:left="440"/>
    </w:pPr>
    <w:rPr>
      <w:lang w:val="en-NZ"/>
    </w:rPr>
  </w:style>
  <w:style w:type="paragraph" w:styleId="TOC4">
    <w:name w:val="toc 4"/>
    <w:basedOn w:val="Normal"/>
    <w:next w:val="Normal"/>
    <w:uiPriority w:val="39"/>
    <w:unhideWhenUsed/>
    <w:rsid w:val="006A548A"/>
    <w:pPr>
      <w:spacing w:after="100"/>
      <w:ind w:left="660"/>
    </w:pPr>
    <w:rPr>
      <w:lang w:val="en-NZ"/>
    </w:rPr>
  </w:style>
  <w:style w:type="paragraph" w:styleId="TOC5">
    <w:name w:val="toc 5"/>
    <w:basedOn w:val="Normal"/>
    <w:next w:val="Normal"/>
    <w:uiPriority w:val="39"/>
    <w:unhideWhenUsed/>
    <w:rsid w:val="006A548A"/>
    <w:pPr>
      <w:spacing w:after="100"/>
      <w:ind w:left="880"/>
    </w:pPr>
    <w:rPr>
      <w:lang w:val="en-NZ"/>
    </w:rPr>
  </w:style>
  <w:style w:type="paragraph" w:styleId="TOC6">
    <w:name w:val="toc 6"/>
    <w:basedOn w:val="Normal"/>
    <w:next w:val="Normal"/>
    <w:uiPriority w:val="39"/>
    <w:unhideWhenUsed/>
    <w:rsid w:val="006A548A"/>
    <w:pPr>
      <w:spacing w:after="100"/>
      <w:ind w:left="1100"/>
    </w:pPr>
    <w:rPr>
      <w:lang w:val="en-NZ"/>
    </w:rPr>
  </w:style>
  <w:style w:type="paragraph" w:styleId="TOC7">
    <w:name w:val="toc 7"/>
    <w:basedOn w:val="Normal"/>
    <w:next w:val="Normal"/>
    <w:uiPriority w:val="39"/>
    <w:unhideWhenUsed/>
    <w:rsid w:val="006A548A"/>
    <w:pPr>
      <w:spacing w:after="100"/>
      <w:ind w:left="1320"/>
    </w:pPr>
    <w:rPr>
      <w:lang w:val="en-NZ"/>
    </w:rPr>
  </w:style>
  <w:style w:type="paragraph" w:styleId="TOC8">
    <w:name w:val="toc 8"/>
    <w:basedOn w:val="Normal"/>
    <w:next w:val="Normal"/>
    <w:uiPriority w:val="39"/>
    <w:unhideWhenUsed/>
    <w:rsid w:val="006A548A"/>
    <w:pPr>
      <w:spacing w:after="100"/>
      <w:ind w:left="1540"/>
    </w:pPr>
    <w:rPr>
      <w:lang w:val="en-NZ"/>
    </w:rPr>
  </w:style>
  <w:style w:type="paragraph" w:styleId="TOC9">
    <w:name w:val="toc 9"/>
    <w:basedOn w:val="Normal"/>
    <w:next w:val="Normal"/>
    <w:uiPriority w:val="39"/>
    <w:unhideWhenUsed/>
    <w:rsid w:val="006A548A"/>
    <w:pPr>
      <w:spacing w:after="100"/>
      <w:ind w:left="1760"/>
    </w:pPr>
    <w:rPr>
      <w:lang w:val="en-NZ"/>
    </w:rPr>
  </w:style>
  <w:style w:type="paragraph" w:styleId="EndnoteText">
    <w:name w:val="endnote text"/>
    <w:basedOn w:val="Normal"/>
    <w:link w:val="EndnoteTextChar"/>
    <w:uiPriority w:val="99"/>
    <w:semiHidden/>
    <w:unhideWhenUsed/>
    <w:rsid w:val="006A548A"/>
    <w:rPr>
      <w:sz w:val="20"/>
      <w:szCs w:val="20"/>
      <w:lang w:val="en-NZ"/>
    </w:rPr>
  </w:style>
  <w:style w:type="character" w:customStyle="1" w:styleId="EndnoteTextChar">
    <w:name w:val="Endnote Text Char"/>
    <w:basedOn w:val="DefaultParagraphFont"/>
    <w:link w:val="EndnoteText"/>
    <w:uiPriority w:val="99"/>
    <w:semiHidden/>
    <w:rsid w:val="006A548A"/>
    <w:rPr>
      <w:rFonts w:eastAsia="Aptos"/>
      <w:sz w:val="20"/>
      <w:szCs w:val="20"/>
    </w:rPr>
  </w:style>
  <w:style w:type="character" w:styleId="EndnoteReference">
    <w:name w:val="endnote reference"/>
    <w:uiPriority w:val="99"/>
    <w:semiHidden/>
    <w:unhideWhenUsed/>
    <w:rsid w:val="006A548A"/>
    <w:rPr>
      <w:vertAlign w:val="superscript"/>
    </w:rPr>
  </w:style>
  <w:style w:type="paragraph" w:customStyle="1" w:styleId="paragraph">
    <w:name w:val="paragraph"/>
    <w:basedOn w:val="Normal"/>
    <w:rsid w:val="006A548A"/>
    <w:pPr>
      <w:widowControl/>
      <w:spacing w:before="100" w:beforeAutospacing="1" w:after="100" w:afterAutospacing="1" w:line="240" w:lineRule="auto"/>
      <w:ind w:firstLine="0"/>
    </w:pPr>
    <w:rPr>
      <w:rFonts w:eastAsia="Times New Roman"/>
      <w:lang w:val="en-NZ" w:eastAsia="en-NZ"/>
    </w:rPr>
  </w:style>
  <w:style w:type="character" w:customStyle="1" w:styleId="eop">
    <w:name w:val="eop"/>
    <w:basedOn w:val="DefaultParagraphFont"/>
    <w:rsid w:val="006A548A"/>
  </w:style>
  <w:style w:type="character" w:styleId="FollowedHyperlink">
    <w:name w:val="FollowedHyperlink"/>
    <w:uiPriority w:val="99"/>
    <w:semiHidden/>
    <w:unhideWhenUsed/>
    <w:rsid w:val="006A548A"/>
    <w:rPr>
      <w:color w:val="96607D"/>
      <w:u w:val="single"/>
    </w:rPr>
  </w:style>
  <w:style w:type="paragraph" w:styleId="NormalWeb">
    <w:name w:val="Normal (Web)"/>
    <w:basedOn w:val="Normal"/>
    <w:uiPriority w:val="99"/>
    <w:unhideWhenUsed/>
    <w:rsid w:val="006A548A"/>
    <w:pPr>
      <w:widowControl/>
      <w:spacing w:before="100" w:beforeAutospacing="1" w:after="100" w:afterAutospacing="1" w:line="240" w:lineRule="auto"/>
    </w:pPr>
    <w:rPr>
      <w:rFonts w:eastAsia="Times New Roman"/>
      <w:lang w:val="en-NZ" w:eastAsia="en-NZ"/>
    </w:rPr>
  </w:style>
  <w:style w:type="character" w:styleId="Emphasis">
    <w:name w:val="Emphasis"/>
    <w:uiPriority w:val="20"/>
    <w:qFormat/>
    <w:rsid w:val="006A548A"/>
    <w:rPr>
      <w:i/>
      <w:iCs/>
    </w:rPr>
  </w:style>
  <w:style w:type="numbering" w:customStyle="1" w:styleId="NoList1">
    <w:name w:val="No List1"/>
    <w:next w:val="NoList"/>
    <w:uiPriority w:val="99"/>
    <w:semiHidden/>
    <w:unhideWhenUsed/>
    <w:rsid w:val="006A548A"/>
  </w:style>
  <w:style w:type="table" w:styleId="PlainTable3">
    <w:name w:val="Plain Table 3"/>
    <w:basedOn w:val="TableNormal"/>
    <w:uiPriority w:val="43"/>
    <w:rsid w:val="006A548A"/>
    <w:pPr>
      <w:spacing w:line="240" w:lineRule="auto"/>
    </w:pPr>
    <w:rPr>
      <w:rFonts w:ascii="Aptos" w:eastAsia="Aptos" w:hAnsi="Aptos"/>
      <w:kern w:val="2"/>
      <w:sz w:val="22"/>
      <w:szCs w:val="22"/>
      <w:lang w:eastAsia="en-NZ"/>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SubtleEmphasis">
    <w:name w:val="Subtle Emphasis"/>
    <w:uiPriority w:val="19"/>
    <w:qFormat/>
    <w:rsid w:val="006A548A"/>
    <w:rPr>
      <w:i/>
      <w:iCs/>
      <w:color w:val="404040"/>
    </w:rPr>
  </w:style>
  <w:style w:type="table" w:styleId="TableGridLight">
    <w:name w:val="Grid Table Light"/>
    <w:basedOn w:val="TableNormal"/>
    <w:uiPriority w:val="40"/>
    <w:rsid w:val="006A548A"/>
    <w:pPr>
      <w:spacing w:line="240" w:lineRule="auto"/>
    </w:pPr>
    <w:rPr>
      <w:rFonts w:ascii="Aptos" w:eastAsia="Aptos" w:hAnsi="Aptos"/>
      <w:kern w:val="2"/>
      <w:sz w:val="20"/>
      <w:szCs w:val="20"/>
      <w:lang w:eastAsia="en-NZ"/>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
    <w:name w:val="Table Grid2"/>
    <w:basedOn w:val="TableNormal"/>
    <w:next w:val="TableGrid"/>
    <w:uiPriority w:val="39"/>
    <w:rsid w:val="006A548A"/>
    <w:pPr>
      <w:spacing w:line="240" w:lineRule="auto"/>
    </w:pPr>
    <w:rPr>
      <w:rFonts w:ascii="Aptos" w:eastAsia="Aptos" w:hAnsi="Aptos"/>
      <w:kern w:val="2"/>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6A548A"/>
    <w:pPr>
      <w:spacing w:line="240" w:lineRule="auto"/>
      <w:ind w:firstLine="0"/>
    </w:pPr>
    <w:rPr>
      <w:rFonts w:ascii="Aptos" w:eastAsia="Aptos" w:hAnsi="Aptos"/>
      <w:kern w:val="2"/>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A548A"/>
    <w:rPr>
      <w:b/>
      <w:bCs/>
    </w:rPr>
  </w:style>
  <w:style w:type="paragraph" w:customStyle="1" w:styleId="msonormal0">
    <w:name w:val="msonormal"/>
    <w:basedOn w:val="Normal"/>
    <w:rsid w:val="006A548A"/>
    <w:pPr>
      <w:widowControl/>
      <w:spacing w:before="100" w:beforeAutospacing="1" w:after="100" w:afterAutospacing="1" w:line="240" w:lineRule="auto"/>
      <w:ind w:firstLine="0"/>
    </w:pPr>
    <w:rPr>
      <w:rFonts w:eastAsia="Times New Roman"/>
      <w:lang w:val="en-NZ" w:eastAsia="en-NZ"/>
    </w:rPr>
  </w:style>
  <w:style w:type="character" w:customStyle="1" w:styleId="textrun">
    <w:name w:val="textrun"/>
    <w:basedOn w:val="DefaultParagraphFont"/>
    <w:rsid w:val="006A548A"/>
  </w:style>
  <w:style w:type="character" w:customStyle="1" w:styleId="spellingerror">
    <w:name w:val="spellingerror"/>
    <w:basedOn w:val="DefaultParagraphFont"/>
    <w:rsid w:val="006A548A"/>
  </w:style>
  <w:style w:type="paragraph" w:customStyle="1" w:styleId="outlineelement">
    <w:name w:val="outlineelement"/>
    <w:basedOn w:val="Normal"/>
    <w:rsid w:val="006A548A"/>
    <w:pPr>
      <w:widowControl/>
      <w:spacing w:before="100" w:beforeAutospacing="1" w:after="100" w:afterAutospacing="1" w:line="240" w:lineRule="auto"/>
      <w:ind w:firstLine="0"/>
    </w:pPr>
    <w:rPr>
      <w:rFonts w:eastAsia="Times New Roman"/>
      <w:lang w:val="en-NZ" w:eastAsia="en-NZ"/>
    </w:rPr>
  </w:style>
  <w:style w:type="character" w:customStyle="1" w:styleId="contextualspellingandgrammarerror">
    <w:name w:val="contextualspellingandgrammarerror"/>
    <w:basedOn w:val="DefaultParagraphFont"/>
    <w:rsid w:val="006A548A"/>
  </w:style>
  <w:style w:type="character" w:customStyle="1" w:styleId="scxw250169019">
    <w:name w:val="scxw250169019"/>
    <w:basedOn w:val="DefaultParagraphFont"/>
    <w:rsid w:val="006A548A"/>
  </w:style>
  <w:style w:type="paragraph" w:customStyle="1" w:styleId="EndNoteBibliographyTitle">
    <w:name w:val="EndNote Bibliography Title"/>
    <w:basedOn w:val="Normal"/>
    <w:link w:val="EndNoteBibliographyTitleChar"/>
    <w:rsid w:val="006A548A"/>
    <w:pPr>
      <w:jc w:val="center"/>
    </w:pPr>
    <w:rPr>
      <w:noProof/>
      <w:lang w:val="en-NZ"/>
    </w:rPr>
  </w:style>
  <w:style w:type="character" w:customStyle="1" w:styleId="EndNoteBibliographyTitleChar">
    <w:name w:val="EndNote Bibliography Title Char"/>
    <w:link w:val="EndNoteBibliographyTitle"/>
    <w:rsid w:val="006A548A"/>
    <w:rPr>
      <w:rFonts w:eastAsia="Aptos"/>
      <w:noProof/>
    </w:rPr>
  </w:style>
  <w:style w:type="paragraph" w:customStyle="1" w:styleId="EndNoteBibliography">
    <w:name w:val="EndNote Bibliography"/>
    <w:basedOn w:val="Normal"/>
    <w:link w:val="EndNoteBibliographyChar"/>
    <w:rsid w:val="006A548A"/>
    <w:pPr>
      <w:spacing w:line="240" w:lineRule="auto"/>
    </w:pPr>
    <w:rPr>
      <w:noProof/>
      <w:lang w:val="en-NZ"/>
    </w:rPr>
  </w:style>
  <w:style w:type="character" w:customStyle="1" w:styleId="EndNoteBibliographyChar">
    <w:name w:val="EndNote Bibliography Char"/>
    <w:link w:val="EndNoteBibliography"/>
    <w:rsid w:val="006A548A"/>
    <w:rPr>
      <w:rFonts w:eastAsia="Aptos"/>
      <w:noProof/>
    </w:rPr>
  </w:style>
  <w:style w:type="table" w:customStyle="1" w:styleId="TableGrid4">
    <w:name w:val="Table Grid4"/>
    <w:basedOn w:val="TableNormal"/>
    <w:next w:val="TableGrid"/>
    <w:uiPriority w:val="39"/>
    <w:rsid w:val="006A548A"/>
    <w:pPr>
      <w:spacing w:line="240" w:lineRule="auto"/>
      <w:ind w:firstLine="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A548A"/>
    <w:pPr>
      <w:spacing w:line="240" w:lineRule="auto"/>
      <w:ind w:firstLine="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A548A"/>
    <w:pPr>
      <w:spacing w:line="240" w:lineRule="auto"/>
      <w:ind w:firstLine="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A548A"/>
    <w:pPr>
      <w:spacing w:line="240" w:lineRule="auto"/>
      <w:ind w:firstLine="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30</Pages>
  <Words>8341</Words>
  <Characters>44127</Characters>
  <Application>Microsoft Office Word</Application>
  <DocSecurity>0</DocSecurity>
  <Lines>2206</Lines>
  <Paragraphs>1457</Paragraphs>
  <ScaleCrop>false</ScaleCrop>
  <Company/>
  <LinksUpToDate>false</LinksUpToDate>
  <CharactersWithSpaces>51011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Smolinski</dc:creator>
  <cp:keywords/>
  <dc:description/>
  <cp:lastModifiedBy>Tamara Smolinski</cp:lastModifiedBy>
  <cp:revision>92</cp:revision>
  <dcterms:created xsi:type="dcterms:W3CDTF">2025-12-10T07:09:00Z</dcterms:created>
  <dcterms:modified xsi:type="dcterms:W3CDTF">2026-03-12T02:26:00Z</dcterms:modified>
</cp:coreProperties>
</file>