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8EF" w:rsidRPr="00580DD8" w:rsidRDefault="007D78EF" w:rsidP="007D78EF">
      <w:pPr>
        <w:rPr>
          <w:rFonts w:ascii="Arial" w:hAnsi="Arial" w:cs="Arial"/>
          <w:b/>
        </w:rPr>
      </w:pPr>
      <w:r w:rsidRPr="00580DD8">
        <w:rPr>
          <w:rFonts w:ascii="Arial" w:hAnsi="Arial" w:cs="Arial"/>
          <w:b/>
        </w:rPr>
        <w:t>Weighted burden analysis of exome-sequenced case-control sample implicates synaptic genes in schizophrenia aetiology</w:t>
      </w:r>
    </w:p>
    <w:p w:rsidR="007D78EF" w:rsidRPr="005A68DF" w:rsidRDefault="007D78EF" w:rsidP="007D78EF">
      <w:pPr>
        <w:rPr>
          <w:rFonts w:ascii="Arial" w:hAnsi="Arial" w:cs="Arial"/>
          <w:b/>
        </w:rPr>
      </w:pPr>
      <w:r>
        <w:rPr>
          <w:rFonts w:ascii="Arial" w:hAnsi="Arial" w:cs="Arial"/>
          <w:b/>
        </w:rPr>
        <w:t>Supplementary table S1</w:t>
      </w:r>
    </w:p>
    <w:p w:rsidR="007D78EF" w:rsidRDefault="007D78EF" w:rsidP="007D78EF">
      <w:pPr>
        <w:rPr>
          <w:rFonts w:ascii="Arial" w:hAnsi="Arial" w:cs="Arial"/>
        </w:rPr>
      </w:pPr>
      <w:r>
        <w:rPr>
          <w:rFonts w:ascii="Arial" w:hAnsi="Arial" w:cs="Arial"/>
        </w:rPr>
        <w:t xml:space="preserve">The table shows the weight accorded to each type of variant as annotated by VEP </w:t>
      </w:r>
      <w:r>
        <w:rPr>
          <w:rFonts w:ascii="Arial" w:hAnsi="Arial" w:cs="Arial"/>
        </w:rPr>
        <w:fldChar w:fldCharType="begin" w:fldLock="1"/>
      </w:r>
      <w:r>
        <w:rPr>
          <w:rFonts w:ascii="Arial" w:hAnsi="Arial" w:cs="Arial"/>
        </w:rPr>
        <w:instrText>ADDIN CSL_CITATION { "citationItems" : [ { "id" : "ITEM-1", "itemData" : { "DOI" : "10.1186/s13059-016-0974-4", "ISSN" : "1474-760X", "PMID" : "27268795", "abstract" : "The Ensembl Variant Effect Predictor is a powerful toolset for the analysis, annotation, and prioritization of genomic variants in coding and non-coding regions. It provides access to an extensive collection of genomic annotation, with a variety of interfaces to suit different requirements, and simple options for configuring and extending analysis. It is open source, free to use, and supports full reproducibility of results. The Ensembl Variant Effect Predictor can simplify and accelerate variant interpretation in a wide range of study designs.", "author" : [ { "dropping-particle" : "", "family" : "McLaren", "given" : "William", "non-dropping-particle" : "", "parse-names" : false, "suffix" : "" }, { "dropping-particle" : "", "family" : "Gil", "given" : "Laurent", "non-dropping-particle" : "", "parse-names" : false, "suffix" : "" }, { "dropping-particle" : "", "family" : "Hunt", "given" : "Sarah E", "non-dropping-particle" : "", "parse-names" : false, "suffix" : "" }, { "dropping-particle" : "", "family" : "Riat", "given" : "Harpreet Singh", "non-dropping-particle" : "", "parse-names" : false, "suffix" : "" }, { "dropping-particle" : "", "family" : "Ritchie", "given" : "Graham R S", "non-dropping-particle" : "", "parse-names" : false, "suffix" : "" }, { "dropping-particle" : "", "family" : "Thormann", "given" : "Anja", "non-dropping-particle" : "", "parse-names" : false, "suffix" : "" }, { "dropping-particle" : "", "family" : "Flicek", "given" : "Paul", "non-dropping-particle" : "", "parse-names" : false, "suffix" : "" }, { "dropping-particle" : "", "family" : "Cunningham", "given" : "Fiona", "non-dropping-particle" : "", "parse-names" : false, "suffix" : "" } ], "container-title" : "Genome biology", "id" : "ITEM-1", "issue" : "1", "issued" : { "date-parts" : [ [ "2016", "6", "6" ] ] }, "page" : "122", "title" : "The Ensembl Variant Effect Predictor.", "type" : "article-journal", "volume" : "17" }, "uris" : [ "http://www.mendeley.com/documents/?uuid=067a2261-6c02-3b0c-ada6-c33d9bee2f1b" ] } ], "mendeley" : { "formattedCitation" : "(McLaren et al., 2016)", "plainTextFormattedCitation" : "(McLaren et al., 2016)", "previouslyFormattedCitation" : "(McLaren et al., 2016)" }, "properties" : { "noteIndex" : 0 }, "schema" : "https://github.com/citation-style-language/schema/raw/master/csl-citation.json" }</w:instrText>
      </w:r>
      <w:r>
        <w:rPr>
          <w:rFonts w:ascii="Arial" w:hAnsi="Arial" w:cs="Arial"/>
        </w:rPr>
        <w:fldChar w:fldCharType="separate"/>
      </w:r>
      <w:r w:rsidRPr="00225C9A">
        <w:rPr>
          <w:rFonts w:ascii="Arial" w:hAnsi="Arial" w:cs="Arial"/>
          <w:noProof/>
        </w:rPr>
        <w:t>(McLaren et al., 2016)</w:t>
      </w:r>
      <w:r>
        <w:rPr>
          <w:rFonts w:ascii="Arial" w:hAnsi="Arial" w:cs="Arial"/>
        </w:rPr>
        <w:fldChar w:fldCharType="end"/>
      </w:r>
      <w:r>
        <w:rPr>
          <w:rFonts w:ascii="Arial" w:hAnsi="Arial" w:cs="Arial"/>
        </w:rPr>
        <w:t xml:space="preserve">. 10 was added to this weight if the variant was annotated by </w:t>
      </w:r>
      <w:proofErr w:type="spellStart"/>
      <w:r>
        <w:rPr>
          <w:rFonts w:ascii="Arial" w:hAnsi="Arial" w:cs="Arial"/>
        </w:rPr>
        <w:t>Polyphen</w:t>
      </w:r>
      <w:proofErr w:type="spellEnd"/>
      <w:r>
        <w:rPr>
          <w:rFonts w:ascii="Arial" w:hAnsi="Arial" w:cs="Arial"/>
        </w:rPr>
        <w:t xml:space="preserve"> as possibly or probably damaging and 10 was added if SIFT annotated it as deleterious </w:t>
      </w:r>
      <w:r>
        <w:rPr>
          <w:rFonts w:ascii="Arial" w:hAnsi="Arial" w:cs="Arial"/>
        </w:rPr>
        <w:fldChar w:fldCharType="begin" w:fldLock="1"/>
      </w:r>
      <w:r>
        <w:rPr>
          <w:rFonts w:ascii="Arial" w:hAnsi="Arial" w:cs="Arial"/>
        </w:rPr>
        <w:instrText>ADDIN CSL_CITATION { "citationItems" : [ { "id" : "ITEM-1", "itemData" : { "DOI" : "10.1002/0471142905.hg0720s76", "ISSN" : "1934-8258", "PMID" : "23315928", "abstract" : "PolyPhen-2 (Polymorphism Phenotyping v2), available as software and via a Web server, predicts the possible impact of amino acid substitutions on the stability and function of human proteins using structural and comparative evolutionary considerations. It performs functional annotation of single-nucleotide polymorphisms (SNPs), maps coding SNPs to gene transcripts, extracts protein sequence annotations and structural attributes, and builds conservation profiles. It then estimates the probability of the missense mutation being damaging based on a combination of all these properties. PolyPhen-2 features include a high-quality multiple protein sequence alignment pipeline and a prediction method employing machine-learning classification. The software also integrates the UCSC Genome Browser's human genome annotations and MultiZ multiple alignments of vertebrate genomes with the human genome. PolyPhen-2 is capable of analyzing large volumes of data produced by next-generation sequencing projects, thanks to built-in support for high-performance computing environments like Grid Engine and Platform LSF.", "author" : [ { "dropping-particle" : "", "family" : "Adzhubei", "given" : "Ivan", "non-dropping-particle" : "", "parse-names" : false, "suffix" : "" }, { "dropping-particle" : "", "family" : "Jordan", "given" : "Daniel M", "non-dropping-particle" : "", "parse-names" : false, "suffix" : "" }, { "dropping-particle" : "", "family" : "Sunyaev", "given" : "Shamil R", "non-dropping-particle" : "", "parse-names" : false, "suffix" : "" } ], "container-title" : "Current protocols in human genetics", "id" : "ITEM-1", "issued" : { "date-parts" : [ [ "2013", "1" ] ] }, "publisher" : "NIH Public Access", "title" : "Predicting functional effect of human missense mutations using PolyPhen-2.", "type" : "article-journal", "volume" : "7 Unit7.20" }, "uris" : [ "http://www.mendeley.com/documents/?uuid=9c06240a-0504-4cf8-8f1b-f3e0787304ea" ] }, { "id" : "ITEM-2", "itemData" : { "DOI" : "10.1038/nprot.2009.86", "ISSN" : "1754-2189", "PMID" : "19561590", "abstract" : "The effect of genetic mutation on phenotype is of significant interest in genetics. The type of genetic mutation that causes a single amino acid substitution (AAS) in a protein sequence is called a non-synonymous single nucleotide polymorphism (nsSNP). An nsSNP could potentially affect the function of the protein, subsequently altering the carrier's phenotype. This protocol describes the use of the 'Sorting Tolerant From Intolerant' (SIFT) algorithm in predicting whether an AAS affects protein function. To assess the effect of a substitution, SIFT assumes that important positions in a protein sequence have been conserved throughout evolution and therefore substitutions at these positions may affect protein function. Thus, by using sequence homology, SIFT predicts the effects of all possible substitutions at each position in the protein sequence. The protocol typically takes 5-20 min, depending on the input. SIFT is available as an online tool (http://sift.jcvi.org).", "author" : [ { "dropping-particle" : "", "family" : "Kumar", "given" : "Prateek", "non-dropping-particle" : "", "parse-names" : false, "suffix" : "" }, { "dropping-particle" : "", "family" : "Henikoff", "given" : "Steven", "non-dropping-particle" : "", "parse-names" : false, "suffix" : "" }, { "dropping-particle" : "", "family" : "Ng", "given" : "Pauline C", "non-dropping-particle" : "", "parse-names" : false, "suffix" : "" } ], "container-title" : "Nature Protocols", "id" : "ITEM-2", "issue" : "8", "issued" : { "date-parts" : [ [ "2009", "6", "25" ] ] }, "page" : "1073-1081", "title" : "Predicting the effects of coding non-synonymous variants on protein function using the SIFT algorithm", "type" : "article-journal", "volume" : "4" }, "uris" : [ "http://www.mendeley.com/documents/?uuid=6e5cf64e-5683-40e3-99b1-40b8ab101b79" ] } ], "mendeley" : { "formattedCitation" : "(Adzhubei et al., 2013; Kumar et al., 2009)", "plainTextFormattedCitation" : "(Adzhubei et al., 2013; Kumar et al., 2009)", "previouslyFormattedCitation" : "(Adzhubei et al., 2013; Kumar et al., 2009)" }, "properties" : { "noteIndex" : 0 }, "schema" : "https://github.com/citation-style-language/schema/raw/master/csl-citation.json" }</w:instrText>
      </w:r>
      <w:r>
        <w:rPr>
          <w:rFonts w:ascii="Arial" w:hAnsi="Arial" w:cs="Arial"/>
        </w:rPr>
        <w:fldChar w:fldCharType="separate"/>
      </w:r>
      <w:r w:rsidRPr="00225C9A">
        <w:rPr>
          <w:rFonts w:ascii="Arial" w:hAnsi="Arial" w:cs="Arial"/>
          <w:noProof/>
        </w:rPr>
        <w:t>(Adzhubei et al., 2013; Kumar et al., 2009)</w:t>
      </w:r>
      <w:r>
        <w:rPr>
          <w:rFonts w:ascii="Arial" w:hAnsi="Arial" w:cs="Arial"/>
        </w:rPr>
        <w:fldChar w:fldCharType="end"/>
      </w:r>
      <w:r>
        <w:rPr>
          <w:rFonts w:ascii="Arial" w:hAnsi="Arial" w:cs="Arial"/>
        </w:rPr>
        <w:t>.</w:t>
      </w:r>
    </w:p>
    <w:tbl>
      <w:tblPr>
        <w:tblW w:w="4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0"/>
        <w:gridCol w:w="960"/>
      </w:tblGrid>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r>
              <w:rPr>
                <w:rFonts w:ascii="Calibri" w:hAnsi="Calibri" w:cs="Calibri"/>
                <w:color w:val="000000"/>
              </w:rPr>
              <w:t>VEP annotation</w:t>
            </w:r>
          </w:p>
        </w:tc>
        <w:tc>
          <w:tcPr>
            <w:tcW w:w="960" w:type="dxa"/>
            <w:noWrap/>
            <w:vAlign w:val="bottom"/>
            <w:hideMark/>
          </w:tcPr>
          <w:p w:rsidR="007D78EF" w:rsidRDefault="007D78EF" w:rsidP="00324A38">
            <w:pPr>
              <w:spacing w:after="0"/>
              <w:rPr>
                <w:rFonts w:ascii="Calibri" w:hAnsi="Calibri" w:cs="Calibri"/>
                <w:color w:val="000000"/>
              </w:rPr>
            </w:pPr>
            <w:r>
              <w:rPr>
                <w:rFonts w:ascii="Calibri" w:hAnsi="Calibri" w:cs="Calibri"/>
                <w:color w:val="000000"/>
              </w:rPr>
              <w:t>Weight</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intergenic_variant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1</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feature_truncation</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3</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regulatory_region_variant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3</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feature_elongation</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3</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regulatory_region_amplification</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3</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regulatory_region_ablation</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3</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TF_binding_site_variant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3</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TFBS_amplification</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3</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TFBS_ablation</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3</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downstream_gene_variant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3</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upstream_gene_variant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3</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non_coding_transcript_variant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3</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NMD_transcript_variant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3</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intron_variant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3</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non_coding_transcript_exon_variant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3</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r>
              <w:rPr>
                <w:rFonts w:ascii="Calibri" w:hAnsi="Calibri" w:cs="Calibri"/>
                <w:color w:val="000000"/>
              </w:rPr>
              <w:t>3_prime_UTR_variant</w:t>
            </w:r>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5</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r>
              <w:rPr>
                <w:rFonts w:ascii="Calibri" w:hAnsi="Calibri" w:cs="Calibri"/>
                <w:color w:val="000000"/>
              </w:rPr>
              <w:t>5_prime_UTR_variant</w:t>
            </w:r>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5</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mature_miRNA_variant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5</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coding_sequence_variant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5</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synonymous_variant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5</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stop_retained_variant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5</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incomplete_terminal_codon_variant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5</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splice_region_variant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5</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protein_altering_variant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10</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missense_variant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10</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inframe_deletion</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15</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inframe_insertion</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15</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transcript_amplification</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15</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start_lost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15</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stop_lost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15</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frameshift_variant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20</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stop_gained</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20</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splice_donor_variant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20</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t>splice_acceptor_variant</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20</w:t>
            </w:r>
          </w:p>
        </w:tc>
      </w:tr>
      <w:tr w:rsidR="007D78EF" w:rsidTr="00324A38">
        <w:trPr>
          <w:trHeight w:val="288"/>
        </w:trPr>
        <w:tc>
          <w:tcPr>
            <w:tcW w:w="4000" w:type="dxa"/>
            <w:noWrap/>
            <w:vAlign w:val="bottom"/>
            <w:hideMark/>
          </w:tcPr>
          <w:p w:rsidR="007D78EF" w:rsidRDefault="007D78EF" w:rsidP="00324A38">
            <w:pPr>
              <w:spacing w:after="0"/>
              <w:rPr>
                <w:rFonts w:ascii="Calibri" w:hAnsi="Calibri" w:cs="Calibri"/>
                <w:color w:val="000000"/>
              </w:rPr>
            </w:pPr>
            <w:proofErr w:type="spellStart"/>
            <w:r>
              <w:rPr>
                <w:rFonts w:ascii="Calibri" w:hAnsi="Calibri" w:cs="Calibri"/>
                <w:color w:val="000000"/>
              </w:rPr>
              <w:lastRenderedPageBreak/>
              <w:t>transcript_ablation</w:t>
            </w:r>
            <w:proofErr w:type="spellEnd"/>
          </w:p>
        </w:tc>
        <w:tc>
          <w:tcPr>
            <w:tcW w:w="960" w:type="dxa"/>
            <w:noWrap/>
            <w:vAlign w:val="bottom"/>
            <w:hideMark/>
          </w:tcPr>
          <w:p w:rsidR="007D78EF" w:rsidRDefault="007D78EF" w:rsidP="00324A38">
            <w:pPr>
              <w:spacing w:after="0"/>
              <w:jc w:val="right"/>
              <w:rPr>
                <w:rFonts w:ascii="Calibri" w:hAnsi="Calibri" w:cs="Calibri"/>
                <w:color w:val="000000"/>
              </w:rPr>
            </w:pPr>
            <w:r>
              <w:rPr>
                <w:rFonts w:ascii="Calibri" w:hAnsi="Calibri" w:cs="Calibri"/>
                <w:color w:val="000000"/>
              </w:rPr>
              <w:t>20</w:t>
            </w:r>
          </w:p>
        </w:tc>
      </w:tr>
    </w:tbl>
    <w:p w:rsidR="00A00035" w:rsidRDefault="00A00035">
      <w:bookmarkStart w:id="0" w:name="_GoBack"/>
      <w:bookmarkEnd w:id="0"/>
    </w:p>
    <w:sectPr w:rsidR="00A000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8EF"/>
    <w:rsid w:val="00154BD2"/>
    <w:rsid w:val="005E337E"/>
    <w:rsid w:val="007D78EF"/>
    <w:rsid w:val="00A00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1FAE0C-6788-4272-8562-158DC54CB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78E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1237</Words>
  <Characters>7053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Curtis</dc:creator>
  <cp:keywords/>
  <dc:description/>
  <cp:lastModifiedBy>Dave Curtis</cp:lastModifiedBy>
  <cp:revision>1</cp:revision>
  <dcterms:created xsi:type="dcterms:W3CDTF">2017-10-13T16:51:00Z</dcterms:created>
  <dcterms:modified xsi:type="dcterms:W3CDTF">2017-10-13T16:56:00Z</dcterms:modified>
</cp:coreProperties>
</file>