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86B0" w14:textId="753925A8" w:rsidR="00936AAA" w:rsidRDefault="00936AAA" w:rsidP="00BD1EE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Correlated instruments bivariate case</w:t>
      </w:r>
    </w:p>
    <w:p w14:paraId="3D0138EC" w14:textId="77777777" w:rsidR="00936AAA" w:rsidRDefault="00936AAA" w:rsidP="00BD1EE3">
      <w:pPr>
        <w:jc w:val="both"/>
        <w:rPr>
          <w:rFonts w:ascii="Times New Roman" w:hAnsi="Times New Roman" w:cs="Times New Roman"/>
        </w:rPr>
      </w:pPr>
    </w:p>
    <w:p w14:paraId="74FFB5ED" w14:textId="19D87ED3" w:rsidR="00936AAA" w:rsidRDefault="00936AAA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examine the consistency of the Wald estimator in the bivariate case where the instruments </w:t>
      </w:r>
      <w:r w:rsidR="00E32E34">
        <w:rPr>
          <w:rFonts w:ascii="Times New Roman" w:hAnsi="Times New Roman" w:cs="Times New Roman"/>
        </w:rPr>
        <w:t>may be</w:t>
      </w:r>
      <w:r>
        <w:rPr>
          <w:rFonts w:ascii="Times New Roman" w:hAnsi="Times New Roman" w:cs="Times New Roman"/>
        </w:rPr>
        <w:t xml:space="preserve"> correlated.</w:t>
      </w:r>
      <w:r w:rsidR="00E876DF">
        <w:rPr>
          <w:rFonts w:ascii="Times New Roman" w:hAnsi="Times New Roman" w:cs="Times New Roman"/>
        </w:rPr>
        <w:t xml:space="preserve"> This corresponds to the population model below.</w:t>
      </w:r>
    </w:p>
    <w:p w14:paraId="5F6E9007" w14:textId="77777777" w:rsidR="00936AAA" w:rsidRDefault="00936AAA" w:rsidP="00BD1EE3">
      <w:pPr>
        <w:jc w:val="both"/>
        <w:rPr>
          <w:rFonts w:ascii="Times New Roman" w:hAnsi="Times New Roman" w:cs="Times New Roman"/>
        </w:rPr>
      </w:pPr>
    </w:p>
    <w:p w14:paraId="2A6EFFC5" w14:textId="3DF00EC5" w:rsidR="00936AAA" w:rsidRDefault="00E876DF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37A176" wp14:editId="6C7775D3">
            <wp:extent cx="5621020" cy="3499485"/>
            <wp:effectExtent l="0" t="0" r="0" b="0"/>
            <wp:docPr id="1374696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C553D" w14:textId="77777777" w:rsidR="00936AAA" w:rsidRDefault="00936AAA" w:rsidP="00BD1EE3">
      <w:pPr>
        <w:jc w:val="both"/>
        <w:rPr>
          <w:rFonts w:ascii="Times New Roman" w:hAnsi="Times New Roman" w:cs="Times New Roman"/>
        </w:rPr>
      </w:pPr>
    </w:p>
    <w:p w14:paraId="2E146573" w14:textId="391C246B" w:rsidR="001F65E2" w:rsidRDefault="001F65E2" w:rsidP="00BD1EE3">
      <w:pPr>
        <w:jc w:val="both"/>
        <w:rPr>
          <w:rFonts w:ascii="Times New Roman" w:hAnsi="Times New Roman" w:cs="Times New Roman"/>
        </w:rPr>
      </w:pPr>
      <w:bookmarkStart w:id="0" w:name="_Hlk162267266"/>
      <w:r w:rsidRPr="001F65E2">
        <w:rPr>
          <w:rFonts w:ascii="Times New Roman" w:hAnsi="Times New Roman" w:cs="Times New Roman"/>
          <w:b/>
          <w:bCs/>
        </w:rPr>
        <w:t>Supplementary Figure 7.</w:t>
      </w:r>
      <w:r>
        <w:rPr>
          <w:rFonts w:ascii="Times New Roman" w:hAnsi="Times New Roman" w:cs="Times New Roman"/>
        </w:rPr>
        <w:t xml:space="preserve"> Bidirectional feedback loop model with correlated instruments.</w:t>
      </w:r>
    </w:p>
    <w:bookmarkEnd w:id="0"/>
    <w:p w14:paraId="7F749EBA" w14:textId="77777777" w:rsidR="001F65E2" w:rsidRDefault="001F65E2" w:rsidP="00BD1EE3">
      <w:pPr>
        <w:jc w:val="both"/>
        <w:rPr>
          <w:rFonts w:ascii="Times New Roman" w:hAnsi="Times New Roman" w:cs="Times New Roman"/>
        </w:rPr>
      </w:pPr>
    </w:p>
    <w:p w14:paraId="18C24AD4" w14:textId="78A9811C" w:rsidR="00E32E34" w:rsidRDefault="00E32E34" w:rsidP="00BD1EE3">
      <w:pPr>
        <w:jc w:val="both"/>
        <w:rPr>
          <w:rFonts w:ascii="Times New Roman" w:hAnsi="Times New Roman" w:cs="Times New Roman"/>
        </w:rPr>
      </w:pPr>
      <w:r w:rsidRPr="00875FCB"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Taking the probability limit of </w:t>
      </w:r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>the Wald</w:t>
      </w:r>
      <w:r w:rsidRPr="00875FCB"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 estimator</w:t>
      </w:r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 (</w:t>
      </w:r>
      <m:oMath>
        <m:sSubSup>
          <m:sSubSupPr>
            <m:ctrlPr>
              <w:rPr>
                <w:rStyle w:val="PageNumber"/>
                <w:rFonts w:ascii="Cambria Math" w:hAnsi="Cambria Math" w:cs="Times New Roman"/>
                <w:i/>
              </w:rPr>
            </m:ctrlPr>
          </m:sSubSupPr>
          <m:e>
            <m:acc>
              <m:accPr>
                <m:ctrlPr>
                  <w:rPr>
                    <w:rStyle w:val="PageNumber"/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Style w:val="PageNumber"/>
                    <w:rFonts w:ascii="Cambria Math" w:hAnsi="Cambria Math" w:cs="Times New Roman"/>
                  </w:rPr>
                  <m:t>β</m:t>
                </m:r>
              </m:e>
            </m:acc>
          </m:e>
          <m:sub>
            <m:r>
              <w:rPr>
                <w:rStyle w:val="PageNumber"/>
                <w:rFonts w:ascii="Cambria Math" w:hAnsi="Cambria Math" w:cs="Times New Roman"/>
              </w:rPr>
              <m:t>21</m:t>
            </m:r>
          </m:sub>
          <m:sup>
            <m:r>
              <w:rPr>
                <w:rStyle w:val="PageNumber"/>
                <w:rFonts w:ascii="Cambria Math" w:hAnsi="Cambria Math" w:cs="Times New Roman"/>
              </w:rPr>
              <m:t>*</m:t>
            </m:r>
          </m:sup>
        </m:sSubSup>
      </m:oMath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>)</w:t>
      </w:r>
      <w:r w:rsidRPr="00E32E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the causal effect of </w:t>
      </w:r>
      <w:r w:rsidR="00974867">
        <w:rPr>
          <w:rFonts w:ascii="Times New Roman" w:hAnsi="Times New Roman" w:cs="Times New Roman"/>
        </w:rPr>
        <w:t>y</w:t>
      </w:r>
      <w:r w:rsidRPr="00E32E34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on </w:t>
      </w:r>
      <w:r w:rsidR="00974867">
        <w:rPr>
          <w:rFonts w:ascii="Times New Roman" w:hAnsi="Times New Roman" w:cs="Times New Roman"/>
        </w:rPr>
        <w:t>y</w:t>
      </w:r>
      <w:r w:rsidRPr="00E32E3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 yields</w:t>
      </w:r>
      <w:r w:rsidRPr="00875FCB">
        <w:rPr>
          <w:rFonts w:ascii="Times New Roman" w:eastAsiaTheme="minorEastAsia" w:hAnsi="Times New Roman" w:cs="Times New Roman"/>
          <w:shd w:val="clear" w:color="auto" w:fill="FFFFFF"/>
          <w:lang w:eastAsia="en-GB"/>
        </w:rPr>
        <w:t>:</w:t>
      </w:r>
    </w:p>
    <w:p w14:paraId="2CDAB336" w14:textId="77777777" w:rsidR="00E32E34" w:rsidRDefault="00E32E34" w:rsidP="00BD1EE3">
      <w:pPr>
        <w:jc w:val="both"/>
        <w:rPr>
          <w:rFonts w:ascii="Times New Roman" w:hAnsi="Times New Roman" w:cs="Times New Roman"/>
        </w:rPr>
      </w:pPr>
    </w:p>
    <w:p w14:paraId="7DA1BCD0" w14:textId="1E0A4B0F" w:rsidR="00936AAA" w:rsidRDefault="00E32E34" w:rsidP="00BD1EE3">
      <w:pPr>
        <w:jc w:val="both"/>
        <w:rPr>
          <w:rFonts w:ascii="Times New Roman" w:hAnsi="Times New Roman" w:cs="Times New Roman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21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ϕ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ϕ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ϕ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ϕ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21</m:t>
              </m:r>
            </m:sub>
          </m:sSub>
        </m:oMath>
      </m:oMathPara>
    </w:p>
    <w:p w14:paraId="5812CF5E" w14:textId="77777777" w:rsidR="00936AAA" w:rsidRDefault="00936AAA" w:rsidP="00BD1EE3">
      <w:pPr>
        <w:jc w:val="both"/>
        <w:rPr>
          <w:rFonts w:ascii="Times New Roman" w:hAnsi="Times New Roman" w:cs="Times New Roman"/>
        </w:rPr>
      </w:pPr>
    </w:p>
    <w:p w14:paraId="40405AC6" w14:textId="3BFDD598" w:rsidR="00E32E34" w:rsidRDefault="00E32E34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similar calculation shows that </w:t>
      </w:r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>the Wald</w:t>
      </w:r>
      <w:r w:rsidRPr="00875FCB"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 estimator</w:t>
      </w:r>
      <w:r>
        <w:rPr>
          <w:rFonts w:ascii="Times New Roman" w:eastAsiaTheme="minorEastAsia" w:hAnsi="Times New Roman" w:cs="Times New Roman"/>
          <w:shd w:val="clear" w:color="auto" w:fill="FFFFFF"/>
          <w:lang w:eastAsia="en-GB"/>
        </w:rPr>
        <w:t xml:space="preserve"> </w:t>
      </w:r>
      <w:r>
        <w:rPr>
          <w:rFonts w:ascii="Times New Roman" w:hAnsi="Times New Roman" w:cs="Times New Roman"/>
        </w:rPr>
        <w:t>for the causal effect of Y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on Y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</m:t>
        </m:r>
        <m:sSubSup>
          <m:sSubSupPr>
            <m:ctrlPr>
              <w:rPr>
                <w:rStyle w:val="PageNumber"/>
                <w:rFonts w:ascii="Cambria Math" w:hAnsi="Cambria Math" w:cs="Times New Roman"/>
                <w:i/>
              </w:rPr>
            </m:ctrlPr>
          </m:sSubSupPr>
          <m:e>
            <m:acc>
              <m:accPr>
                <m:ctrlPr>
                  <w:rPr>
                    <w:rStyle w:val="PageNumber"/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Style w:val="PageNumber"/>
                    <w:rFonts w:ascii="Cambria Math" w:hAnsi="Cambria Math" w:cs="Times New Roman"/>
                  </w:rPr>
                  <m:t>β</m:t>
                </m:r>
              </m:e>
            </m:acc>
          </m:e>
          <m:sub>
            <m:r>
              <w:rPr>
                <w:rStyle w:val="PageNumber"/>
                <w:rFonts w:ascii="Cambria Math" w:hAnsi="Cambria Math" w:cs="Times New Roman"/>
              </w:rPr>
              <m:t>12</m:t>
            </m:r>
          </m:sub>
          <m:sup>
            <m:r>
              <w:rPr>
                <w:rStyle w:val="PageNumber"/>
                <w:rFonts w:ascii="Cambria Math" w:hAnsi="Cambria Math" w:cs="Times New Roman"/>
              </w:rPr>
              <m:t>*</m:t>
            </m:r>
          </m:sup>
        </m:sSubSup>
      </m:oMath>
      <w:r>
        <w:rPr>
          <w:rStyle w:val="PageNumber"/>
          <w:rFonts w:ascii="Times New Roman" w:eastAsiaTheme="minorEastAsia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is also inconsistent.</w:t>
      </w:r>
    </w:p>
    <w:p w14:paraId="60FD98A5" w14:textId="77777777" w:rsidR="00E32E34" w:rsidRPr="00936AAA" w:rsidRDefault="00E32E34" w:rsidP="00BD1EE3">
      <w:pPr>
        <w:jc w:val="both"/>
        <w:rPr>
          <w:rFonts w:ascii="Times New Roman" w:hAnsi="Times New Roman" w:cs="Times New Roman"/>
        </w:rPr>
      </w:pPr>
    </w:p>
    <w:p w14:paraId="6918D2D2" w14:textId="130EE203" w:rsidR="00D26EFF" w:rsidRDefault="00D26EFF" w:rsidP="00BD1EE3">
      <w:pPr>
        <w:jc w:val="both"/>
        <w:rPr>
          <w:rFonts w:ascii="Times New Roman" w:hAnsi="Times New Roman" w:cs="Times New Roman"/>
          <w:b/>
          <w:bCs/>
        </w:rPr>
      </w:pPr>
      <w:r w:rsidRPr="0046382C">
        <w:rPr>
          <w:rFonts w:ascii="Times New Roman" w:hAnsi="Times New Roman" w:cs="Times New Roman"/>
          <w:b/>
          <w:bCs/>
        </w:rPr>
        <w:t>Reciprocal causal model for three dependent variables</w:t>
      </w:r>
    </w:p>
    <w:p w14:paraId="3D61C649" w14:textId="77777777" w:rsidR="00BD1EE3" w:rsidRDefault="00BD1EE3" w:rsidP="00BD1EE3">
      <w:pPr>
        <w:jc w:val="both"/>
        <w:rPr>
          <w:rFonts w:ascii="Times New Roman" w:hAnsi="Times New Roman" w:cs="Times New Roman"/>
          <w:b/>
          <w:bCs/>
        </w:rPr>
      </w:pPr>
    </w:p>
    <w:p w14:paraId="176AFF0D" w14:textId="6675E5E1" w:rsidR="00BD1EE3" w:rsidRPr="00BD1EE3" w:rsidRDefault="00BD1EE3" w:rsidP="00BD1EE3">
      <w:pPr>
        <w:jc w:val="both"/>
        <w:rPr>
          <w:rFonts w:ascii="Times New Roman" w:hAnsi="Times New Roman" w:cs="Times New Roman"/>
        </w:rPr>
      </w:pPr>
      <w:r w:rsidRPr="00BD1EE3">
        <w:rPr>
          <w:rFonts w:ascii="Times New Roman" w:hAnsi="Times New Roman" w:cs="Times New Roman"/>
        </w:rPr>
        <w:t xml:space="preserve">Consider the </w:t>
      </w:r>
      <w:r>
        <w:rPr>
          <w:rFonts w:ascii="Times New Roman" w:hAnsi="Times New Roman" w:cs="Times New Roman"/>
        </w:rPr>
        <w:t xml:space="preserve">complicated population model given in </w:t>
      </w:r>
      <w:r w:rsidR="003256A0"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/>
        </w:rPr>
        <w:t xml:space="preserve"> Figure </w:t>
      </w:r>
      <w:r w:rsidR="003256A0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below. The three endogenous variables of interest (</w:t>
      </w:r>
      <w:r w:rsidR="00974867">
        <w:rPr>
          <w:rFonts w:ascii="Times New Roman" w:hAnsi="Times New Roman" w:cs="Times New Roman"/>
        </w:rPr>
        <w:t>y</w:t>
      </w:r>
      <w:r w:rsidRPr="00BD1EE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, </w:t>
      </w:r>
      <w:r w:rsidR="00974867">
        <w:rPr>
          <w:rFonts w:ascii="Times New Roman" w:hAnsi="Times New Roman" w:cs="Times New Roman"/>
        </w:rPr>
        <w:t>y</w:t>
      </w:r>
      <w:r w:rsidRPr="00BD1EE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</w:t>
      </w:r>
      <w:r w:rsidR="00974867">
        <w:rPr>
          <w:rFonts w:ascii="Times New Roman" w:hAnsi="Times New Roman" w:cs="Times New Roman"/>
        </w:rPr>
        <w:t>y</w:t>
      </w:r>
      <w:r w:rsidRPr="00BD1EE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) are each proxied by three exogenous instruments (</w:t>
      </w:r>
      <w:r w:rsidR="00974867">
        <w:rPr>
          <w:rFonts w:ascii="Times New Roman" w:hAnsi="Times New Roman" w:cs="Times New Roman"/>
        </w:rPr>
        <w:t>x</w:t>
      </w:r>
      <w:r w:rsidRPr="00BD1EE3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, </w:t>
      </w:r>
      <w:r w:rsidR="00974867">
        <w:rPr>
          <w:rFonts w:ascii="Times New Roman" w:hAnsi="Times New Roman" w:cs="Times New Roman"/>
        </w:rPr>
        <w:t>x</w:t>
      </w:r>
      <w:r w:rsidRPr="00BD1EE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</w:t>
      </w:r>
      <w:r w:rsidR="00974867">
        <w:rPr>
          <w:rFonts w:ascii="Times New Roman" w:hAnsi="Times New Roman" w:cs="Times New Roman"/>
        </w:rPr>
        <w:t>x</w:t>
      </w:r>
      <w:r w:rsidRPr="00BD1EE3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). Bidirectional feedback loops exist between all the </w:t>
      </w:r>
      <w:r w:rsidR="0097486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variables</w:t>
      </w:r>
      <w:r w:rsidR="005B1F68">
        <w:rPr>
          <w:rFonts w:ascii="Times New Roman" w:hAnsi="Times New Roman" w:cs="Times New Roman"/>
        </w:rPr>
        <w:t>, as well as residual covariances (i.e. through confounding)</w:t>
      </w:r>
      <w:r>
        <w:rPr>
          <w:rFonts w:ascii="Times New Roman" w:hAnsi="Times New Roman" w:cs="Times New Roman"/>
        </w:rPr>
        <w:t>.</w:t>
      </w:r>
      <w:r w:rsidR="00971D70">
        <w:rPr>
          <w:rFonts w:ascii="Times New Roman" w:hAnsi="Times New Roman" w:cs="Times New Roman"/>
        </w:rPr>
        <w:t xml:space="preserve"> Such a network might be an appropriate model for </w:t>
      </w:r>
      <w:r w:rsidR="008D77A6">
        <w:rPr>
          <w:rFonts w:ascii="Times New Roman" w:hAnsi="Times New Roman" w:cs="Times New Roman"/>
        </w:rPr>
        <w:t xml:space="preserve">e.g. </w:t>
      </w:r>
      <w:r w:rsidR="00971D70">
        <w:rPr>
          <w:rFonts w:ascii="Times New Roman" w:hAnsi="Times New Roman" w:cs="Times New Roman"/>
        </w:rPr>
        <w:t>dietary intake of protein, carbohydrates and fat, where we would expect that an increase in consumption of one component would lead to a decrease in consumption of the other constituents.</w:t>
      </w:r>
      <w:r>
        <w:rPr>
          <w:rFonts w:ascii="Times New Roman" w:hAnsi="Times New Roman" w:cs="Times New Roman"/>
        </w:rPr>
        <w:t xml:space="preserve"> We first </w:t>
      </w:r>
      <w:r w:rsidR="000D315A">
        <w:rPr>
          <w:rFonts w:ascii="Times New Roman" w:hAnsi="Times New Roman" w:cs="Times New Roman"/>
        </w:rPr>
        <w:t xml:space="preserve">introduce the model in LISREL notation. Second, we </w:t>
      </w:r>
      <w:r>
        <w:rPr>
          <w:rFonts w:ascii="Times New Roman" w:hAnsi="Times New Roman" w:cs="Times New Roman"/>
        </w:rPr>
        <w:t>show that the model is identified</w:t>
      </w:r>
      <w:r w:rsidR="000D315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D315A">
        <w:rPr>
          <w:rFonts w:ascii="Times New Roman" w:hAnsi="Times New Roman" w:cs="Times New Roman"/>
        </w:rPr>
        <w:t>Finally, we show</w:t>
      </w:r>
      <w:r>
        <w:rPr>
          <w:rFonts w:ascii="Times New Roman" w:hAnsi="Times New Roman" w:cs="Times New Roman"/>
        </w:rPr>
        <w:t xml:space="preserve"> that </w:t>
      </w:r>
      <w:r w:rsidR="000D315A">
        <w:rPr>
          <w:rFonts w:ascii="Times New Roman" w:hAnsi="Times New Roman" w:cs="Times New Roman"/>
        </w:rPr>
        <w:t>the Wald estimator does not produce consistent estimates of the causal effect parameters (i.e. β</w:t>
      </w:r>
      <w:r w:rsidR="000D315A" w:rsidRPr="000D315A">
        <w:rPr>
          <w:rFonts w:ascii="Times New Roman" w:hAnsi="Times New Roman" w:cs="Times New Roman"/>
          <w:vertAlign w:val="subscript"/>
        </w:rPr>
        <w:t>12</w:t>
      </w:r>
      <w:r w:rsidR="000D315A">
        <w:rPr>
          <w:rFonts w:ascii="Times New Roman" w:hAnsi="Times New Roman" w:cs="Times New Roman"/>
        </w:rPr>
        <w:t>, β</w:t>
      </w:r>
      <w:r w:rsidR="000D315A" w:rsidRPr="000D315A">
        <w:rPr>
          <w:rFonts w:ascii="Times New Roman" w:hAnsi="Times New Roman" w:cs="Times New Roman"/>
          <w:vertAlign w:val="subscript"/>
        </w:rPr>
        <w:t>2</w:t>
      </w:r>
      <w:r w:rsidR="000D315A">
        <w:rPr>
          <w:rFonts w:ascii="Times New Roman" w:hAnsi="Times New Roman" w:cs="Times New Roman"/>
          <w:vertAlign w:val="subscript"/>
        </w:rPr>
        <w:t>1</w:t>
      </w:r>
      <w:r w:rsidR="000D315A">
        <w:rPr>
          <w:rFonts w:ascii="Times New Roman" w:hAnsi="Times New Roman" w:cs="Times New Roman"/>
        </w:rPr>
        <w:t>, β</w:t>
      </w:r>
      <w:r w:rsidR="000D315A" w:rsidRPr="000D315A">
        <w:rPr>
          <w:rFonts w:ascii="Times New Roman" w:hAnsi="Times New Roman" w:cs="Times New Roman"/>
          <w:vertAlign w:val="subscript"/>
        </w:rPr>
        <w:t>1</w:t>
      </w:r>
      <w:r w:rsidR="000D315A">
        <w:rPr>
          <w:rFonts w:ascii="Times New Roman" w:hAnsi="Times New Roman" w:cs="Times New Roman"/>
          <w:vertAlign w:val="subscript"/>
        </w:rPr>
        <w:t>3</w:t>
      </w:r>
      <w:r w:rsidR="000D315A">
        <w:rPr>
          <w:rFonts w:ascii="Times New Roman" w:hAnsi="Times New Roman" w:cs="Times New Roman"/>
        </w:rPr>
        <w:t>, β</w:t>
      </w:r>
      <w:r w:rsidR="000D315A">
        <w:rPr>
          <w:rFonts w:ascii="Times New Roman" w:hAnsi="Times New Roman" w:cs="Times New Roman"/>
          <w:vertAlign w:val="subscript"/>
        </w:rPr>
        <w:t>31</w:t>
      </w:r>
      <w:r w:rsidR="000D315A">
        <w:rPr>
          <w:rFonts w:ascii="Times New Roman" w:hAnsi="Times New Roman" w:cs="Times New Roman"/>
        </w:rPr>
        <w:t>, β</w:t>
      </w:r>
      <w:r w:rsidR="000D315A">
        <w:rPr>
          <w:rFonts w:ascii="Times New Roman" w:hAnsi="Times New Roman" w:cs="Times New Roman"/>
          <w:vertAlign w:val="subscript"/>
        </w:rPr>
        <w:t>3</w:t>
      </w:r>
      <w:r w:rsidR="000D315A" w:rsidRPr="000D315A">
        <w:rPr>
          <w:rFonts w:ascii="Times New Roman" w:hAnsi="Times New Roman" w:cs="Times New Roman"/>
          <w:vertAlign w:val="subscript"/>
        </w:rPr>
        <w:t>2</w:t>
      </w:r>
      <w:r w:rsidR="000D315A">
        <w:rPr>
          <w:rFonts w:ascii="Times New Roman" w:hAnsi="Times New Roman" w:cs="Times New Roman"/>
        </w:rPr>
        <w:t>, β</w:t>
      </w:r>
      <w:r w:rsidR="000D315A" w:rsidRPr="000D315A">
        <w:rPr>
          <w:rFonts w:ascii="Times New Roman" w:hAnsi="Times New Roman" w:cs="Times New Roman"/>
          <w:vertAlign w:val="subscript"/>
        </w:rPr>
        <w:t>2</w:t>
      </w:r>
      <w:r w:rsidR="000D315A">
        <w:rPr>
          <w:rFonts w:ascii="Times New Roman" w:hAnsi="Times New Roman" w:cs="Times New Roman"/>
          <w:vertAlign w:val="subscript"/>
        </w:rPr>
        <w:t>3</w:t>
      </w:r>
      <w:r w:rsidR="000D315A">
        <w:rPr>
          <w:rFonts w:ascii="Times New Roman" w:hAnsi="Times New Roman" w:cs="Times New Roman"/>
        </w:rPr>
        <w:t>).</w:t>
      </w:r>
    </w:p>
    <w:p w14:paraId="7EC7A703" w14:textId="77777777" w:rsidR="00BD1EE3" w:rsidRPr="0046382C" w:rsidRDefault="00BD1EE3" w:rsidP="00BD1EE3">
      <w:pPr>
        <w:jc w:val="both"/>
        <w:rPr>
          <w:rFonts w:ascii="Times New Roman" w:hAnsi="Times New Roman" w:cs="Times New Roman"/>
          <w:b/>
          <w:bCs/>
        </w:rPr>
      </w:pPr>
    </w:p>
    <w:p w14:paraId="785CB29A" w14:textId="77777777" w:rsidR="00D26EFF" w:rsidRPr="0046382C" w:rsidRDefault="00D26EFF" w:rsidP="00BD1EE3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en-AU"/>
        </w:rPr>
        <w:lastRenderedPageBreak/>
        <w:drawing>
          <wp:inline distT="0" distB="0" distL="0" distR="0" wp14:anchorId="0408172B" wp14:editId="456D8DCF">
            <wp:extent cx="5731510" cy="3783330"/>
            <wp:effectExtent l="0" t="0" r="0" b="127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C8DD" w14:textId="77777777" w:rsidR="00D26EFF" w:rsidRDefault="00D26EFF" w:rsidP="00BD1EE3">
      <w:pPr>
        <w:jc w:val="both"/>
        <w:rPr>
          <w:rFonts w:ascii="Times New Roman" w:hAnsi="Times New Roman" w:cs="Times New Roman"/>
          <w:u w:val="single"/>
        </w:rPr>
      </w:pPr>
    </w:p>
    <w:p w14:paraId="3B026B8F" w14:textId="32A17F01" w:rsidR="003256A0" w:rsidRDefault="003256A0" w:rsidP="00BD1EE3">
      <w:pPr>
        <w:jc w:val="both"/>
        <w:rPr>
          <w:rFonts w:ascii="Times New Roman" w:hAnsi="Times New Roman" w:cs="Times New Roman"/>
          <w:u w:val="single"/>
        </w:rPr>
      </w:pPr>
      <w:bookmarkStart w:id="1" w:name="_Hlk162267284"/>
      <w:r w:rsidRPr="003256A0">
        <w:rPr>
          <w:rFonts w:ascii="Times New Roman" w:hAnsi="Times New Roman" w:cs="Times New Roman"/>
          <w:b/>
          <w:bCs/>
        </w:rPr>
        <w:t xml:space="preserve">Supplementary Figure </w:t>
      </w:r>
      <w:r w:rsidR="001F65E2">
        <w:rPr>
          <w:rFonts w:ascii="Times New Roman" w:hAnsi="Times New Roman" w:cs="Times New Roman"/>
          <w:b/>
          <w:bCs/>
        </w:rPr>
        <w:t>8</w:t>
      </w:r>
      <w:r w:rsidRPr="003256A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A bidirectional feedback model involving three correlated endogenous variables and three independent instruments for them.</w:t>
      </w:r>
    </w:p>
    <w:bookmarkEnd w:id="1"/>
    <w:p w14:paraId="7EE012A1" w14:textId="77777777" w:rsidR="003256A0" w:rsidRDefault="003256A0" w:rsidP="00BD1EE3">
      <w:pPr>
        <w:jc w:val="both"/>
        <w:rPr>
          <w:rFonts w:ascii="Times New Roman" w:hAnsi="Times New Roman" w:cs="Times New Roman"/>
          <w:u w:val="single"/>
        </w:rPr>
      </w:pPr>
    </w:p>
    <w:p w14:paraId="11F29723" w14:textId="77777777" w:rsidR="00D26EFF" w:rsidRDefault="00D26EFF" w:rsidP="00BD1EE3">
      <w:pPr>
        <w:jc w:val="both"/>
        <w:rPr>
          <w:rFonts w:ascii="Times New Roman" w:hAnsi="Times New Roman" w:cs="Times New Roman"/>
          <w:u w:val="single"/>
        </w:rPr>
      </w:pPr>
      <w:r w:rsidRPr="0046382C">
        <w:rPr>
          <w:rFonts w:ascii="Times New Roman" w:hAnsi="Times New Roman" w:cs="Times New Roman"/>
          <w:u w:val="single"/>
        </w:rPr>
        <w:t xml:space="preserve">Model specification in </w:t>
      </w:r>
      <w:r>
        <w:rPr>
          <w:rFonts w:ascii="Times New Roman" w:hAnsi="Times New Roman" w:cs="Times New Roman"/>
          <w:u w:val="single"/>
        </w:rPr>
        <w:t xml:space="preserve">LISREL </w:t>
      </w:r>
      <w:r w:rsidRPr="0046382C">
        <w:rPr>
          <w:rFonts w:ascii="Times New Roman" w:hAnsi="Times New Roman" w:cs="Times New Roman"/>
          <w:u w:val="single"/>
        </w:rPr>
        <w:t>matrix notation</w:t>
      </w:r>
    </w:p>
    <w:p w14:paraId="229CCCD1" w14:textId="77777777" w:rsidR="00D26EFF" w:rsidRPr="0046382C" w:rsidRDefault="00D26EFF" w:rsidP="00BD1EE3">
      <w:pPr>
        <w:jc w:val="both"/>
        <w:rPr>
          <w:rFonts w:ascii="Times New Roman" w:hAnsi="Times New Roman" w:cs="Times New Roman"/>
          <w:u w:val="single"/>
        </w:rPr>
      </w:pPr>
    </w:p>
    <w:p w14:paraId="746A431E" w14:textId="77777777" w:rsidR="00D26EFF" w:rsidRPr="0046382C" w:rsidRDefault="00D26EFF" w:rsidP="00BD1EE3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imes New Roman"/>
            </w:rPr>
            <m:t>y</m:t>
          </m:r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 xml:space="preserve"> </m:t>
          </m:r>
          <m:r>
            <m:rPr>
              <m:sty m:val="b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>Βy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</w:rPr>
            <m:t>Γx</m:t>
          </m:r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</w:rPr>
            <m:t>ζ</m:t>
          </m:r>
        </m:oMath>
      </m:oMathPara>
    </w:p>
    <w:p w14:paraId="2B9DC3E5" w14:textId="77777777" w:rsidR="00D26EFF" w:rsidRPr="0046382C" w:rsidRDefault="00D26EFF" w:rsidP="00BD1EE3">
      <w:pPr>
        <w:jc w:val="both"/>
        <w:rPr>
          <w:rFonts w:ascii="Times New Roman" w:eastAsiaTheme="minorEastAsia" w:hAnsi="Times New Roman" w:cs="Times New Roman"/>
        </w:rPr>
      </w:pPr>
    </w:p>
    <w:p w14:paraId="5E70F48B" w14:textId="77777777" w:rsidR="00D26EFF" w:rsidRPr="0046382C" w:rsidRDefault="00D26EFF" w:rsidP="00BD1EE3">
      <w:pPr>
        <w:jc w:val="both"/>
        <w:rPr>
          <w:rFonts w:ascii="Times New Roman" w:eastAsiaTheme="minorEastAsia" w:hAnsi="Times New Roman" w:cs="Times New Roman"/>
        </w:rPr>
      </w:pPr>
      <w:r w:rsidRPr="0046382C">
        <w:rPr>
          <w:rFonts w:ascii="Times New Roman" w:eastAsiaTheme="minorEastAsia" w:hAnsi="Times New Roman" w:cs="Times New Roman"/>
        </w:rPr>
        <w:t>where</w:t>
      </w:r>
    </w:p>
    <w:p w14:paraId="2E6255DC" w14:textId="77777777" w:rsidR="00D26EFF" w:rsidRPr="0046382C" w:rsidRDefault="00D26EFF" w:rsidP="00BD1EE3">
      <w:pPr>
        <w:jc w:val="both"/>
        <w:rPr>
          <w:rFonts w:ascii="Times New Roman" w:eastAsiaTheme="minorEastAsia" w:hAnsi="Times New Roman" w:cs="Times New Roman"/>
        </w:rPr>
      </w:pPr>
    </w:p>
    <w:p w14:paraId="0D8498D7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</w:pPr>
      <m:oMath>
        <m:r>
          <m:rPr>
            <m:sty m:val="b"/>
          </m:rP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;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3 x 1 vector of observed dependent variables</w:t>
      </w:r>
    </w:p>
    <w:p w14:paraId="32E82142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</w:pPr>
    </w:p>
    <w:p w14:paraId="0E50C0D0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;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3 x 1 vector of SNP instruments</w:t>
      </w:r>
    </w:p>
    <w:p w14:paraId="4B01AB40" w14:textId="77777777" w:rsidR="00D26EFF" w:rsidRPr="0046382C" w:rsidRDefault="00D26EFF" w:rsidP="00BD1EE3">
      <w:pPr>
        <w:jc w:val="both"/>
        <w:rPr>
          <w:rFonts w:ascii="Times New Roman" w:eastAsiaTheme="minorEastAsia" w:hAnsi="Times New Roman" w:cs="Times New Roman"/>
        </w:rPr>
      </w:pPr>
    </w:p>
    <w:p w14:paraId="1A139F3A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Β</m:t>
        </m:r>
        <m: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333333"/>
                <w:shd w:val="clear" w:color="auto" w:fill="FFFFFF"/>
                <w:lang w:eastAsia="en-GB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hd w:val="clear" w:color="auto" w:fill="FFFFFF"/>
                          <w:lang w:eastAsia="en-GB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;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3 x 3 coefficient matrix for the causal effects of the </w:t>
      </w:r>
      <w:r w:rsidRPr="00AB146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en-GB"/>
        </w:rPr>
        <w:t>y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variables</w:t>
      </w:r>
    </w:p>
    <w:p w14:paraId="7DD039E6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</w:rPr>
      </w:pPr>
    </w:p>
    <w:p w14:paraId="384A37D9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hAnsi="Cambria Math" w:cs="Times New Roman"/>
          </w:rPr>
          <m:t>Γ</m:t>
        </m:r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333333"/>
                <w:shd w:val="clear" w:color="auto" w:fill="FFFFFF"/>
                <w:lang w:eastAsia="en-GB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GB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;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3 x 3 coefficient matrix for the SNP effects of the </w:t>
      </w:r>
      <w:r w:rsidRPr="0046382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en-GB"/>
        </w:rPr>
        <w:t>x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on </w:t>
      </w:r>
      <w:r w:rsidRPr="0046382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en-GB"/>
        </w:rPr>
        <w:t>y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variables</w:t>
      </w:r>
    </w:p>
    <w:p w14:paraId="124D4D16" w14:textId="77777777" w:rsidR="00D26EFF" w:rsidRPr="0046382C" w:rsidRDefault="00D26EFF" w:rsidP="00BD1EE3">
      <w:pPr>
        <w:jc w:val="both"/>
        <w:rPr>
          <w:rFonts w:ascii="Times New Roman" w:hAnsi="Times New Roman" w:cs="Times New Roman"/>
        </w:rPr>
      </w:pPr>
    </w:p>
    <w:p w14:paraId="3A9302E2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hAnsi="Cambria Math" w:cs="Times New Roman"/>
          </w:rPr>
          <m:t>ζ</m:t>
        </m:r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>; 3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x 1 vector of errors</w:t>
      </w:r>
    </w:p>
    <w:p w14:paraId="34E2734A" w14:textId="77777777" w:rsidR="00D26EFF" w:rsidRPr="0046382C" w:rsidRDefault="00D26EFF" w:rsidP="00BD1EE3">
      <w:pPr>
        <w:jc w:val="both"/>
        <w:rPr>
          <w:rFonts w:ascii="Times New Roman" w:hAnsi="Times New Roman" w:cs="Times New Roman"/>
          <w:u w:val="single"/>
        </w:rPr>
      </w:pPr>
    </w:p>
    <w:p w14:paraId="6E6DB9E4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</w:pPr>
    </w:p>
    <w:p w14:paraId="02816222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Φ</m:t>
        </m:r>
        <m: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Pr="0046382C">
        <w:rPr>
          <w:rFonts w:ascii="Times New Roman" w:eastAsia="Times New Roman" w:hAnsi="Times New Roman" w:cs="Times New Roman"/>
        </w:rPr>
        <w:t xml:space="preserve"> </w:t>
      </w:r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is the covariance matrix of </w:t>
      </w:r>
      <w:r w:rsidRPr="0046382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en-GB"/>
        </w:rPr>
        <w:t>x</w:t>
      </w:r>
    </w:p>
    <w:p w14:paraId="389E6108" w14:textId="77777777" w:rsidR="00D26EFF" w:rsidRPr="0046382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14:paraId="2EFD4FF8" w14:textId="77777777" w:rsidR="00D26EFF" w:rsidRPr="00AB146C" w:rsidRDefault="00D26EFF" w:rsidP="00BD1EE3">
      <w:pPr>
        <w:jc w:val="both"/>
        <w:rPr>
          <w:rFonts w:ascii="Times New Roman" w:eastAsia="Times New Roman" w:hAnsi="Times New Roman" w:cs="Times New Roman"/>
          <w:lang w:eastAsia="en-GB"/>
        </w:rPr>
      </w:pPr>
      <m:oMath>
        <m:r>
          <m:rPr>
            <m:sty m:val="b"/>
          </m:rPr>
          <w:rPr>
            <w:rFonts w:ascii="Cambria Math" w:hAnsi="Cambria Math" w:cs="Times New Roman"/>
          </w:rPr>
          <m:t>Ψ</m:t>
        </m:r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e>
                <m:e/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Pr="0046382C">
        <w:rPr>
          <w:rFonts w:ascii="Times New Roman" w:eastAsia="Times New Roman" w:hAnsi="Times New Roman" w:cs="Times New Roman"/>
          <w:color w:val="333333"/>
          <w:shd w:val="clear" w:color="auto" w:fill="FFFFFF"/>
          <w:lang w:eastAsia="en-GB"/>
        </w:rPr>
        <w:t xml:space="preserve"> is the covariance matrix of residual errors </w:t>
      </w:r>
      <w:r w:rsidRPr="0046382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en-US" w:eastAsia="en-GB"/>
        </w:rPr>
        <w:t>ζ</w:t>
      </w: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  <w:lang w:val="en-US" w:eastAsia="en-GB"/>
        </w:rPr>
        <w:t xml:space="preserve"> (lower elements only)</w:t>
      </w:r>
    </w:p>
    <w:p w14:paraId="46F1A254" w14:textId="77777777" w:rsidR="00D26EFF" w:rsidRPr="0046382C" w:rsidRDefault="00D26EFF" w:rsidP="00BD1EE3">
      <w:pPr>
        <w:jc w:val="both"/>
        <w:rPr>
          <w:rFonts w:ascii="Times New Roman" w:hAnsi="Times New Roman" w:cs="Times New Roman"/>
        </w:rPr>
      </w:pPr>
    </w:p>
    <w:p w14:paraId="3EED4410" w14:textId="77777777" w:rsidR="00D26EFF" w:rsidRPr="00AB146C" w:rsidRDefault="00D26EFF" w:rsidP="00BD1EE3">
      <w:pPr>
        <w:jc w:val="both"/>
        <w:rPr>
          <w:rFonts w:ascii="Times New Roman" w:hAnsi="Times New Roman" w:cs="Times New Roman"/>
          <w:u w:val="single"/>
        </w:rPr>
      </w:pPr>
      <w:r w:rsidRPr="00AB146C">
        <w:rPr>
          <w:rFonts w:ascii="Times New Roman" w:hAnsi="Times New Roman" w:cs="Times New Roman"/>
          <w:u w:val="single"/>
        </w:rPr>
        <w:t>Identification of reciprocal causal model for three dependent variables</w:t>
      </w:r>
    </w:p>
    <w:p w14:paraId="2F58E198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</w:p>
    <w:p w14:paraId="7FD35E81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use the “rank condition rule” (Bollen, 1989 p. 101) to establish the identification status of the model. The rank rule starts with creating the matrix </w:t>
      </w:r>
      <w:r w:rsidRPr="00D41449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:</w:t>
      </w:r>
    </w:p>
    <w:p w14:paraId="6ADD7658" w14:textId="77777777" w:rsidR="00D26EFF" w:rsidRPr="00554933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w:r>
        <w:rPr>
          <w:rFonts w:ascii="Times New Roman" w:hAnsi="Times New Roman" w:cs="Times New Roman"/>
        </w:rPr>
        <w:t xml:space="preserve"> </w:t>
      </w:r>
      <w:r w:rsidRPr="00366CB8">
        <w:rPr>
          <w:rFonts w:ascii="Cambria Math" w:eastAsia="Times New Roman" w:hAnsi="Cambria Math" w:cs="Times New Roman"/>
          <w:b/>
          <w:color w:val="333333"/>
          <w:shd w:val="clear" w:color="auto" w:fill="FFFFFF"/>
          <w:lang w:eastAsia="en-GB"/>
        </w:rPr>
        <w:br/>
      </w: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>C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>=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b/>
                  <w:color w:val="333333"/>
                  <w:shd w:val="clear" w:color="auto" w:fill="FFFFFF"/>
                  <w:lang w:eastAsia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(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I-B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)</m:t>
              </m:r>
            </m:e>
          </m:d>
          <m:r>
            <m:rPr>
              <m:sty m:val="bi"/>
            </m:rP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 xml:space="preserve"> | </m:t>
          </m:r>
          <m:d>
            <m:dPr>
              <m:begChr m:val=""/>
              <m:endChr m:val="]"/>
              <m:ctrlPr>
                <w:rPr>
                  <w:rFonts w:ascii="Cambria Math" w:eastAsia="Times New Roman" w:hAnsi="Cambria Math" w:cs="Times New Roman"/>
                  <w:b/>
                  <w:i/>
                  <w:color w:val="333333"/>
                  <w:shd w:val="clear" w:color="auto" w:fill="FFFFFF"/>
                  <w:lang w:eastAsia="en-GB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-Γ</m:t>
              </m:r>
            </m:e>
          </m:d>
          <m:r>
            <w:rPr>
              <w:rFonts w:ascii="Cambria Math" w:eastAsia="Times New Roman" w:hAnsi="Cambria Math" w:cs="Times New Roman"/>
              <w:color w:val="333333"/>
              <w:shd w:val="clear" w:color="auto" w:fill="FFFFFF"/>
              <w:lang w:eastAsia="en-GB"/>
            </w:rPr>
            <m:t>=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i/>
                  <w:color w:val="333333"/>
                  <w:shd w:val="clear" w:color="auto" w:fill="FFFFFF"/>
                  <w:lang w:eastAsia="en-GB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333333"/>
                        <w:shd w:val="clear" w:color="auto" w:fill="FFFFFF"/>
                        <w:lang w:eastAsia="en-GB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21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333333"/>
                        <w:shd w:val="clear" w:color="auto" w:fill="FFFFFF"/>
                        <w:lang w:eastAsia="en-GB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333333"/>
                            <w:shd w:val="clear" w:color="auto" w:fill="FFFFFF"/>
                            <w:lang w:eastAsia="en-GB"/>
                          </w:rPr>
                          <m:t>-β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333333"/>
                        <w:shd w:val="clear" w:color="auto" w:fill="FFFFFF"/>
                        <w:lang w:eastAsia="en-GB"/>
                      </w:rPr>
                      <m:t>1</m:t>
                    </m:r>
                  </m:e>
                </m:mr>
              </m:m>
            </m:e>
          </m:d>
          <m:d>
            <m:dPr>
              <m:begChr m:val=""/>
              <m:endChr m:val="]"/>
              <m:ctrlPr>
                <w:rPr>
                  <w:rFonts w:ascii="Cambria Math" w:eastAsia="Times New Roman" w:hAnsi="Cambria Math" w:cs="Times New Roman"/>
                  <w:i/>
                  <w:color w:val="333333"/>
                  <w:shd w:val="clear" w:color="auto" w:fill="FFFFFF"/>
                  <w:lang w:eastAsia="en-GB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 xml:space="preserve">    </m:t>
              </m:r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hd w:val="clear" w:color="auto" w:fill="FFFFFF"/>
                      <w:lang w:eastAsia="en-GB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-γ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-γ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22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333333"/>
                        <w:shd w:val="clear" w:color="auto" w:fill="FFFFFF"/>
                        <w:lang w:eastAsia="en-GB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-γ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</w:p>
    <w:p w14:paraId="4D11F4FF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</w:p>
    <w:p w14:paraId="44F0AB2F" w14:textId="29F21D89" w:rsidR="00D26EFF" w:rsidRDefault="00D26EFF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check </w:t>
      </w:r>
      <w:r w:rsidR="009F3F5A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identification</w:t>
      </w:r>
      <w:r w:rsidR="009F3F5A">
        <w:rPr>
          <w:rFonts w:ascii="Times New Roman" w:hAnsi="Times New Roman" w:cs="Times New Roman"/>
        </w:rPr>
        <w:t xml:space="preserve"> status</w:t>
      </w:r>
      <w:r>
        <w:rPr>
          <w:rFonts w:ascii="Times New Roman" w:hAnsi="Times New Roman" w:cs="Times New Roman"/>
        </w:rPr>
        <w:t xml:space="preserve"> of the </w:t>
      </w:r>
      <w:r w:rsidRPr="00AB146C"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</w:rPr>
        <w:t xml:space="preserve">th equation, we delete all columns of </w:t>
      </w:r>
      <w:r w:rsidRPr="00D41449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that do not have zeros in the </w:t>
      </w:r>
      <w:r w:rsidRPr="00480830"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</w:rPr>
        <w:t xml:space="preserve">th row of </w:t>
      </w:r>
      <w:r w:rsidRPr="00D41449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. We then use the remaining columns to form a new matrix, </w:t>
      </w:r>
      <w:r w:rsidRPr="00D41449">
        <w:rPr>
          <w:rFonts w:ascii="Times New Roman" w:hAnsi="Times New Roman" w:cs="Times New Roman"/>
          <w:b/>
        </w:rPr>
        <w:t>C</w:t>
      </w:r>
      <w:r w:rsidRPr="00D41449">
        <w:rPr>
          <w:rFonts w:ascii="Times New Roman" w:hAnsi="Times New Roman" w:cs="Times New Roman"/>
          <w:b/>
          <w:vertAlign w:val="subscript"/>
        </w:rPr>
        <w:t>i</w:t>
      </w:r>
      <w:r>
        <w:rPr>
          <w:rFonts w:ascii="Times New Roman" w:hAnsi="Times New Roman" w:cs="Times New Roman"/>
        </w:rPr>
        <w:t xml:space="preserve">. A necessary and sufficient condition for the identification of the </w:t>
      </w:r>
      <w:r w:rsidRPr="00AB146C">
        <w:rPr>
          <w:rFonts w:ascii="Times New Roman" w:hAnsi="Times New Roman" w:cs="Times New Roman"/>
          <w:i/>
          <w:iCs/>
        </w:rPr>
        <w:t>i</w:t>
      </w:r>
      <w:r>
        <w:rPr>
          <w:rFonts w:ascii="Times New Roman" w:hAnsi="Times New Roman" w:cs="Times New Roman"/>
        </w:rPr>
        <w:t xml:space="preserve">th equation is that the rank of </w:t>
      </w:r>
      <w:r w:rsidRPr="00D41449">
        <w:rPr>
          <w:rFonts w:ascii="Times New Roman" w:hAnsi="Times New Roman" w:cs="Times New Roman"/>
          <w:b/>
        </w:rPr>
        <w:t>C</w:t>
      </w:r>
      <w:r w:rsidRPr="00D41449">
        <w:rPr>
          <w:rFonts w:ascii="Times New Roman" w:hAnsi="Times New Roman" w:cs="Times New Roman"/>
          <w:b/>
          <w:vertAlign w:val="subscript"/>
        </w:rPr>
        <w:t>i</w:t>
      </w:r>
      <w:r>
        <w:rPr>
          <w:rFonts w:ascii="Times New Roman" w:hAnsi="Times New Roman" w:cs="Times New Roman"/>
        </w:rPr>
        <w:t xml:space="preserve"> equals </w:t>
      </w:r>
      <m:oMath>
        <m:r>
          <w:rPr>
            <w:rFonts w:ascii="Cambria Math" w:eastAsiaTheme="minorEastAsia" w:hAnsi="Cambria Math" w:cs="Times New Roman"/>
          </w:rPr>
          <m:t>(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p</m:t>
        </m:r>
        <m:r>
          <w:rPr>
            <w:rFonts w:ascii="Cambria Math" w:eastAsiaTheme="minorEastAsia" w:hAnsi="Cambria Math" w:cs="Times New Roman"/>
          </w:rPr>
          <m:t>-1</m:t>
        </m:r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)</m:t>
        </m:r>
      </m:oMath>
      <w:r>
        <w:rPr>
          <w:rFonts w:ascii="Times New Roman" w:hAnsi="Times New Roman" w:cs="Times New Roman"/>
        </w:rPr>
        <w:t>, where p is the number of y variables (so in this case two):</w:t>
      </w:r>
    </w:p>
    <w:p w14:paraId="5FE40E07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</w:p>
    <w:p w14:paraId="4AFB0838" w14:textId="77777777" w:rsidR="00D26EFF" w:rsidRPr="00554933" w:rsidRDefault="008B6734" w:rsidP="00BD1EE3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color w:val="333333"/>
                <w:shd w:val="clear" w:color="auto" w:fill="FFFFFF"/>
                <w:lang w:eastAsia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333333"/>
                    <w:shd w:val="clear" w:color="auto" w:fill="FFFFFF"/>
                    <w:lang w:eastAsia="en-GB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D26EFF" w:rsidRPr="00AB146C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; ra</w:t>
      </w:r>
      <w:r w:rsidR="00D26EFF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nk = 2</w:t>
      </w:r>
    </w:p>
    <w:p w14:paraId="1B7738D8" w14:textId="77777777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b/>
          <w:bCs/>
        </w:rPr>
      </w:pPr>
    </w:p>
    <w:p w14:paraId="47CC6A8B" w14:textId="77777777" w:rsidR="00D26EFF" w:rsidRPr="00554933" w:rsidRDefault="008B6734" w:rsidP="00BD1EE3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color w:val="333333"/>
                <w:shd w:val="clear" w:color="auto" w:fill="FFFFFF"/>
                <w:lang w:eastAsia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333333"/>
                    <w:shd w:val="clear" w:color="auto" w:fill="FFFFFF"/>
                    <w:lang w:eastAsia="en-GB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D26EFF" w:rsidRPr="00480830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; ra</w:t>
      </w:r>
      <w:r w:rsidR="00D26EFF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nk = 2</w:t>
      </w:r>
    </w:p>
    <w:p w14:paraId="0820398E" w14:textId="77777777" w:rsidR="00D26EFF" w:rsidRDefault="00D26EFF" w:rsidP="00BD1EE3">
      <w:pPr>
        <w:jc w:val="both"/>
        <w:rPr>
          <w:rFonts w:ascii="Times New Roman" w:eastAsiaTheme="minorEastAsia" w:hAnsi="Times New Roman" w:cs="Times New Roman"/>
          <w:color w:val="000000" w:themeColor="text1"/>
          <w:u w:val="single"/>
          <w:shd w:val="clear" w:color="auto" w:fill="FFFFFF"/>
          <w:lang w:eastAsia="en-GB"/>
        </w:rPr>
      </w:pPr>
    </w:p>
    <w:p w14:paraId="574CB501" w14:textId="77777777" w:rsidR="00D26EFF" w:rsidRPr="00554933" w:rsidRDefault="008B6734" w:rsidP="00BD1EE3">
      <w:pPr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color w:val="333333"/>
            <w:shd w:val="clear" w:color="auto" w:fill="FFFFFF"/>
            <w:lang w:eastAsia="en-GB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color w:val="333333"/>
                <w:shd w:val="clear" w:color="auto" w:fill="FFFFFF"/>
                <w:lang w:eastAsia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bCs/>
                    <w:i/>
                    <w:color w:val="333333"/>
                    <w:shd w:val="clear" w:color="auto" w:fill="FFFFFF"/>
                    <w:lang w:eastAsia="en-GB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-γ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333333"/>
                      <w:shd w:val="clear" w:color="auto" w:fill="FFFFFF"/>
                      <w:lang w:eastAsia="en-GB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</m:mr>
            </m:m>
          </m:e>
        </m:d>
      </m:oMath>
      <w:r w:rsidR="00D26EFF" w:rsidRPr="00480830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; ra</w:t>
      </w:r>
      <w:r w:rsidR="00D26EFF">
        <w:rPr>
          <w:rFonts w:ascii="Times New Roman" w:eastAsiaTheme="minorEastAsia" w:hAnsi="Times New Roman" w:cs="Times New Roman"/>
          <w:bCs/>
          <w:color w:val="333333"/>
          <w:shd w:val="clear" w:color="auto" w:fill="FFFFFF"/>
          <w:lang w:eastAsia="en-GB"/>
        </w:rPr>
        <w:t>nk = 2</w:t>
      </w:r>
    </w:p>
    <w:p w14:paraId="34C8DEF3" w14:textId="77777777" w:rsidR="00D26EFF" w:rsidRDefault="00D26EFF" w:rsidP="00BD1EE3">
      <w:pPr>
        <w:jc w:val="both"/>
        <w:rPr>
          <w:rFonts w:ascii="Times New Roman" w:eastAsiaTheme="minorEastAsia" w:hAnsi="Times New Roman" w:cs="Times New Roman"/>
          <w:color w:val="000000" w:themeColor="text1"/>
          <w:u w:val="single"/>
          <w:shd w:val="clear" w:color="auto" w:fill="FFFFFF"/>
          <w:lang w:eastAsia="en-GB"/>
        </w:rPr>
      </w:pPr>
    </w:p>
    <w:p w14:paraId="191DE639" w14:textId="77777777" w:rsidR="00D26EFF" w:rsidRDefault="00D26EFF" w:rsidP="00BD1EE3">
      <w:pPr>
        <w:jc w:val="both"/>
        <w:rPr>
          <w:rFonts w:ascii="Times New Roman" w:eastAsiaTheme="minorEastAsia" w:hAnsi="Times New Roman" w:cs="Times New Roman"/>
          <w:color w:val="000000" w:themeColor="text1"/>
          <w:shd w:val="clear" w:color="auto" w:fill="FFFFFF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shd w:val="clear" w:color="auto" w:fill="FFFFFF"/>
          <w:lang w:eastAsia="en-GB"/>
        </w:rPr>
        <w:t>Since all equations are identified, the model as a whole is identified.</w:t>
      </w:r>
    </w:p>
    <w:p w14:paraId="2B15D94C" w14:textId="77777777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000000" w:themeColor="text1"/>
          <w:shd w:val="clear" w:color="auto" w:fill="FFFFFF"/>
          <w:lang w:eastAsia="en-GB"/>
        </w:rPr>
      </w:pPr>
    </w:p>
    <w:p w14:paraId="003E021E" w14:textId="77777777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u w:val="single"/>
          <w:shd w:val="clear" w:color="auto" w:fill="FFFFFF"/>
          <w:lang w:eastAsia="en-GB"/>
        </w:rPr>
      </w:pPr>
      <w:r>
        <w:rPr>
          <w:rFonts w:ascii="Times New Roman" w:eastAsiaTheme="minorEastAsia" w:hAnsi="Times New Roman" w:cs="Times New Roman"/>
          <w:color w:val="000000" w:themeColor="text1"/>
          <w:u w:val="single"/>
          <w:shd w:val="clear" w:color="auto" w:fill="FFFFFF"/>
          <w:lang w:eastAsia="en-GB"/>
        </w:rPr>
        <w:t>(In)c</w:t>
      </w:r>
      <w:r w:rsidRPr="00AB146C">
        <w:rPr>
          <w:rFonts w:ascii="Times New Roman" w:eastAsiaTheme="minorEastAsia" w:hAnsi="Times New Roman" w:cs="Times New Roman"/>
          <w:color w:val="000000" w:themeColor="text1"/>
          <w:u w:val="single"/>
          <w:shd w:val="clear" w:color="auto" w:fill="FFFFFF"/>
          <w:lang w:eastAsia="en-GB"/>
        </w:rPr>
        <w:t xml:space="preserve">onsistency </w:t>
      </w:r>
      <w:r w:rsidRPr="00971D70">
        <w:rPr>
          <w:rFonts w:ascii="Times New Roman" w:eastAsiaTheme="minorEastAsia" w:hAnsi="Times New Roman" w:cs="Times New Roman"/>
          <w:u w:val="single"/>
          <w:shd w:val="clear" w:color="auto" w:fill="FFFFFF"/>
          <w:lang w:eastAsia="en-GB"/>
        </w:rPr>
        <w:t>of the Wald and 2SLS estimators</w:t>
      </w:r>
    </w:p>
    <w:p w14:paraId="65E3F3A4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</w:p>
    <w:p w14:paraId="7506C400" w14:textId="77777777" w:rsidR="00D26EFF" w:rsidRDefault="00D26EFF" w:rsidP="00BD1E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calculate probability limits for the Wald ratio estimator for each causal parameter:</w:t>
      </w:r>
    </w:p>
    <w:p w14:paraId="1F9A3208" w14:textId="77777777" w:rsidR="00D26EFF" w:rsidRPr="0046382C" w:rsidRDefault="00D26EFF" w:rsidP="00BD1EE3">
      <w:pPr>
        <w:jc w:val="both"/>
        <w:rPr>
          <w:rFonts w:ascii="Times New Roman" w:hAnsi="Times New Roman" w:cs="Times New Roman"/>
        </w:rPr>
      </w:pPr>
    </w:p>
    <w:p w14:paraId="797E2476" w14:textId="4E325438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21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333333"/>
                  <w:shd w:val="clear" w:color="auto" w:fill="FFFFFF"/>
                  <w:lang w:eastAsia="en-GB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32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21</m:t>
              </m:r>
            </m:sub>
          </m:sSub>
          <m:r>
            <w:rPr>
              <w:rStyle w:val="PageNumber"/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7749AE9C" w14:textId="6094D06D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31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333333"/>
                  <w:shd w:val="clear" w:color="auto" w:fill="FFFFFF"/>
                  <w:lang w:eastAsia="en-GB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32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31</m:t>
              </m:r>
            </m:sub>
          </m:sSub>
        </m:oMath>
      </m:oMathPara>
    </w:p>
    <w:p w14:paraId="60BC9EAA" w14:textId="02D14976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12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333333"/>
                  <w:shd w:val="clear" w:color="auto" w:fill="FFFFFF"/>
                  <w:lang w:eastAsia="en-GB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12</m:t>
              </m:r>
            </m:sub>
          </m:sSub>
          <m:r>
            <w:rPr>
              <w:rStyle w:val="PageNumber"/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3F1FD3AC" w14:textId="3A6BC26A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w:lastRenderedPageBreak/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32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333333"/>
                  <w:shd w:val="clear" w:color="auto" w:fill="FFFFFF"/>
                  <w:lang w:eastAsia="en-GB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32</m:t>
              </m:r>
            </m:sub>
          </m:sSub>
          <m:r>
            <w:rPr>
              <w:rStyle w:val="PageNumber"/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43084740" w14:textId="61ADF5F2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13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1-β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13</m:t>
              </m:r>
            </m:sub>
          </m:sSub>
          <m:r>
            <w:rPr>
              <w:rStyle w:val="PageNumber"/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2FA22CF4" w14:textId="74F1FA50" w:rsidR="00D26EFF" w:rsidRPr="00AB146C" w:rsidRDefault="00D26EFF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m:oMathPara>
        <m:oMath>
          <m:r>
            <m:rPr>
              <m:sty m:val="p"/>
            </m:rPr>
            <w:rPr>
              <w:rStyle w:val="PageNumber"/>
              <w:rFonts w:ascii="Cambria Math" w:hAnsi="Cambria Math" w:cs="Times New Roman"/>
            </w:rPr>
            <m:t>plim</m:t>
          </m:r>
          <m:d>
            <m:dPr>
              <m:ctrlPr>
                <w:rPr>
                  <w:rStyle w:val="PageNumber"/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Style w:val="PageNumber"/>
                      <w:rFonts w:ascii="Cambria Math" w:hAnsi="Cambria Math" w:cs="Times New Roman"/>
                      <w:i/>
                    </w:rPr>
                  </m:ctrlPr>
                </m:sSubSupPr>
                <m:e>
                  <m:acc>
                    <m:accPr>
                      <m:ctrlPr>
                        <w:rPr>
                          <w:rStyle w:val="PageNumber"/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Style w:val="PageNumber"/>
                          <w:rFonts w:ascii="Cambria Math" w:hAnsi="Cambria Math" w:cs="Times New Roman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Style w:val="PageNumber"/>
                      <w:rFonts w:ascii="Cambria Math" w:hAnsi="Cambria Math" w:cs="Times New Roman"/>
                    </w:rPr>
                    <m:t>23</m:t>
                  </m:r>
                </m:sub>
                <m:sup>
                  <m:r>
                    <w:rPr>
                      <w:rStyle w:val="PageNumber"/>
                      <w:rFonts w:ascii="Cambria Math" w:hAnsi="Cambria Math" w:cs="Times New Roman"/>
                    </w:rPr>
                    <m:t>*</m:t>
                  </m:r>
                </m:sup>
              </m:sSubSup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Style w:val="PageNumber"/>
              <w:rFonts w:ascii="Cambria Math" w:eastAsiaTheme="minorEastAsia" w:hAnsi="Cambria Math" w:cs="Times New Roman"/>
            </w:rPr>
            <m:t>plim</m:t>
          </m:r>
          <m:d>
            <m:dPr>
              <m:begChr m:val="["/>
              <m:endChr m:val="]"/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Style w:val="PageNumber"/>
                      <w:rFonts w:ascii="Cambria Math" w:eastAsiaTheme="minorEastAsia" w:hAnsi="Cambria Math" w:cs="Times New Roman"/>
                    </w:rPr>
                    <m:t>cov</m:t>
                  </m:r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 xml:space="preserve">, </m:t>
                  </m:r>
                  <m:sSub>
                    <m:sSubPr>
                      <m:ctrlPr>
                        <w:rPr>
                          <w:rStyle w:val="PageNumber"/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Style w:val="PageNumber"/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)</m:t>
                  </m:r>
                </m:den>
              </m:f>
            </m:e>
          </m:d>
          <m:r>
            <w:rPr>
              <w:rStyle w:val="PageNumber"/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2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num>
            <m:den>
              <m:r>
                <m:rPr>
                  <m:sty m:val="p"/>
                </m:rPr>
                <w:rPr>
                  <w:rStyle w:val="PageNumber"/>
                  <w:rFonts w:ascii="Cambria Math" w:eastAsiaTheme="minorEastAsia" w:hAnsi="Cambria Math" w:cs="Times New Roman"/>
                </w:rPr>
                <m:t>COV</m:t>
              </m:r>
              <m:r>
                <w:rPr>
                  <w:rStyle w:val="PageNumber"/>
                  <w:rFonts w:ascii="Cambria Math" w:eastAsiaTheme="minorEastAsia" w:hAnsi="Cambria Math" w:cs="Times New Roman"/>
                </w:rPr>
                <m:t>(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Style w:val="PageNumber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y</m:t>
                  </m:r>
                </m:e>
                <m:sub>
                  <m:r>
                    <w:rPr>
                      <w:rStyle w:val="PageNumber"/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  <m:r>
                <w:rPr>
                  <w:rStyle w:val="PageNumber"/>
                  <w:rFonts w:ascii="Cambria Math" w:eastAsiaTheme="minorEastAsia" w:hAnsi="Cambria Math" w:cs="Times New Roman"/>
                </w:rPr>
                <m:t>)</m:t>
              </m:r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 xml:space="preserve"> =</m:t>
          </m:r>
          <m:f>
            <m:fPr>
              <m:ctrlPr>
                <w:rPr>
                  <w:rStyle w:val="PageNumber"/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1-β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hd w:val="clear" w:color="auto" w:fill="FFFFFF"/>
                      <w:lang w:eastAsia="en-GB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21</m:t>
                  </m:r>
                </m:sub>
              </m:sSub>
            </m:den>
          </m:f>
          <m:r>
            <w:rPr>
              <w:rStyle w:val="PageNumber"/>
              <w:rFonts w:ascii="Cambria Math" w:eastAsiaTheme="minorEastAsia" w:hAnsi="Cambria Math" w:cs="Times New Roman"/>
            </w:rPr>
            <m:t>≠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333333"/>
                  <w:shd w:val="clear" w:color="auto" w:fill="FFFFFF"/>
                  <w:lang w:eastAsia="en-GB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23</m:t>
              </m:r>
            </m:sub>
          </m:sSub>
          <m:r>
            <w:rPr>
              <w:rStyle w:val="PageNumber"/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131A863A" w14:textId="77777777" w:rsidR="000D315A" w:rsidRPr="003256A0" w:rsidRDefault="000D315A" w:rsidP="00BD1EE3">
      <w:pPr>
        <w:jc w:val="both"/>
        <w:rPr>
          <w:rFonts w:ascii="Times New Roman" w:eastAsiaTheme="minorEastAsia" w:hAnsi="Times New Roman" w:cs="Times New Roman"/>
          <w:shd w:val="clear" w:color="auto" w:fill="FFFFFF"/>
          <w:lang w:eastAsia="en-GB"/>
        </w:rPr>
      </w:pPr>
    </w:p>
    <w:p w14:paraId="6B02E505" w14:textId="459C2A96" w:rsidR="00D26EFF" w:rsidRPr="003256A0" w:rsidRDefault="00D26EFF" w:rsidP="00BD1EE3">
      <w:pPr>
        <w:jc w:val="both"/>
        <w:rPr>
          <w:rFonts w:ascii="Times New Roman" w:eastAsiaTheme="minorEastAsia" w:hAnsi="Times New Roman" w:cs="Times New Roman"/>
          <w:shd w:val="clear" w:color="auto" w:fill="FFFFFF"/>
          <w:lang w:eastAsia="en-GB"/>
        </w:rPr>
      </w:pPr>
      <w:r w:rsidRPr="003256A0">
        <w:rPr>
          <w:rFonts w:ascii="Times New Roman" w:eastAsiaTheme="minorEastAsia" w:hAnsi="Times New Roman" w:cs="Times New Roman"/>
          <w:shd w:val="clear" w:color="auto" w:fill="FFFFFF"/>
          <w:lang w:eastAsia="en-GB"/>
        </w:rPr>
        <w:t>These calculations show that the Wald ratio estimates are inconsistent estimates of the relevant causal parameters.</w:t>
      </w:r>
    </w:p>
    <w:p w14:paraId="4857D0D2" w14:textId="77777777" w:rsidR="000D315A" w:rsidRPr="003256A0" w:rsidRDefault="000D315A" w:rsidP="00BD1EE3">
      <w:pPr>
        <w:jc w:val="both"/>
        <w:rPr>
          <w:rFonts w:ascii="Times New Roman" w:eastAsiaTheme="minorEastAsia" w:hAnsi="Times New Roman" w:cs="Times New Roman"/>
          <w:shd w:val="clear" w:color="auto" w:fill="FFFFFF"/>
          <w:lang w:eastAsia="en-GB"/>
        </w:rPr>
      </w:pPr>
    </w:p>
    <w:p w14:paraId="61C8476A" w14:textId="017C5CE8" w:rsidR="000D315A" w:rsidRPr="000D315A" w:rsidRDefault="000D315A" w:rsidP="00BD1EE3">
      <w:pPr>
        <w:jc w:val="both"/>
        <w:rPr>
          <w:rFonts w:ascii="Times New Roman" w:eastAsiaTheme="minorEastAsia" w:hAnsi="Times New Roman" w:cs="Times New Roman"/>
          <w:b/>
          <w:bCs/>
          <w:color w:val="333333"/>
          <w:shd w:val="clear" w:color="auto" w:fill="FFFFFF"/>
          <w:lang w:eastAsia="en-GB"/>
        </w:rPr>
      </w:pPr>
      <w:r w:rsidRPr="000D315A">
        <w:rPr>
          <w:rFonts w:ascii="Times New Roman" w:eastAsiaTheme="minorEastAsia" w:hAnsi="Times New Roman" w:cs="Times New Roman"/>
          <w:b/>
          <w:bCs/>
          <w:color w:val="333333"/>
          <w:shd w:val="clear" w:color="auto" w:fill="FFFFFF"/>
          <w:lang w:eastAsia="en-GB"/>
        </w:rPr>
        <w:t>References</w:t>
      </w:r>
    </w:p>
    <w:p w14:paraId="2537FFF0" w14:textId="77777777" w:rsidR="000D315A" w:rsidRDefault="000D315A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</w:p>
    <w:p w14:paraId="07CCE30A" w14:textId="5A2EABC1" w:rsidR="000D315A" w:rsidRPr="00BD1EE3" w:rsidRDefault="000D315A" w:rsidP="00BD1EE3">
      <w:pPr>
        <w:jc w:val="both"/>
        <w:rPr>
          <w:rFonts w:ascii="Times New Roman" w:eastAsiaTheme="minorEastAsia" w:hAnsi="Times New Roman" w:cs="Times New Roman"/>
          <w:color w:val="333333"/>
          <w:shd w:val="clear" w:color="auto" w:fill="FFFFFF"/>
          <w:lang w:eastAsia="en-GB"/>
        </w:rPr>
      </w:pPr>
      <w:r w:rsidRPr="009562B3">
        <w:rPr>
          <w:rFonts w:ascii="Times New Roman" w:hAnsi="Times New Roman" w:cs="Times New Roman"/>
        </w:rPr>
        <w:t xml:space="preserve">Bollen, K. (1989). </w:t>
      </w:r>
      <w:r w:rsidRPr="009562B3">
        <w:rPr>
          <w:rFonts w:ascii="Times New Roman" w:hAnsi="Times New Roman" w:cs="Times New Roman"/>
          <w:i/>
        </w:rPr>
        <w:t>Structural equations with latent variables</w:t>
      </w:r>
      <w:r w:rsidRPr="009562B3">
        <w:rPr>
          <w:rFonts w:ascii="Times New Roman" w:hAnsi="Times New Roman" w:cs="Times New Roman"/>
        </w:rPr>
        <w:t>. Hoboken, NJ, USA: John Wiley and Sons Inc</w:t>
      </w:r>
    </w:p>
    <w:sectPr w:rsidR="000D315A" w:rsidRPr="00BD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FF"/>
    <w:rsid w:val="000D315A"/>
    <w:rsid w:val="001E609B"/>
    <w:rsid w:val="001F65E2"/>
    <w:rsid w:val="003256A0"/>
    <w:rsid w:val="00342485"/>
    <w:rsid w:val="003C718C"/>
    <w:rsid w:val="004F5579"/>
    <w:rsid w:val="005B1F68"/>
    <w:rsid w:val="008B6734"/>
    <w:rsid w:val="008D77A6"/>
    <w:rsid w:val="00936AAA"/>
    <w:rsid w:val="00971D70"/>
    <w:rsid w:val="00974867"/>
    <w:rsid w:val="009F3F5A"/>
    <w:rsid w:val="00AA2E92"/>
    <w:rsid w:val="00BD1EE3"/>
    <w:rsid w:val="00D26EFF"/>
    <w:rsid w:val="00E32E34"/>
    <w:rsid w:val="00E45019"/>
    <w:rsid w:val="00E876DF"/>
    <w:rsid w:val="00F3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E0DF"/>
  <w15:chartTrackingRefBased/>
  <w15:docId w15:val="{16AABE0B-B601-4301-9575-75B8F0F2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F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E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E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EF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EF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EF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EF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EF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EF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EF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E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EF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EFF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EF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EFF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2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Evans</dc:creator>
  <cp:keywords/>
  <dc:description/>
  <cp:lastModifiedBy>David Evans</cp:lastModifiedBy>
  <cp:revision>2</cp:revision>
  <dcterms:created xsi:type="dcterms:W3CDTF">2024-03-26T06:45:00Z</dcterms:created>
  <dcterms:modified xsi:type="dcterms:W3CDTF">2024-03-26T06:45:00Z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2024-02-18T05:12:34Z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c57a5739-df58-4325-ac7a-f2234c51b0b3</vt:lpwstr>
  </property>
  <property fmtid="{D5CDD505-2E9C-101B-9397-08002B2CF9AE}" pid="8" name="MSIP_Label_0f488380-630a-4f55-a077-a19445e3f360_ContentBits">
    <vt:lpwstr>0</vt:lpwstr>
  </property>
</Properties>
</file>