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AF01C1" w14:textId="3505906B" w:rsidR="003F3096" w:rsidRPr="00C04992" w:rsidRDefault="00C04992" w:rsidP="00C04992">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S1: </w:t>
      </w:r>
      <w:r w:rsidR="003F3096" w:rsidRPr="00C04992">
        <w:rPr>
          <w:rFonts w:ascii="Times New Roman" w:hAnsi="Times New Roman" w:cs="Times New Roman"/>
          <w:sz w:val="24"/>
          <w:szCs w:val="24"/>
          <w:lang w:val="en-GB"/>
        </w:rPr>
        <w:t>Pre-Analytical assessment of PFP</w:t>
      </w:r>
    </w:p>
    <w:p w14:paraId="54E2FA31" w14:textId="668DF93F" w:rsidR="003F3096" w:rsidRDefault="003F3096" w:rsidP="003F3096">
      <w:pPr>
        <w:jc w:val="both"/>
        <w:rPr>
          <w:rFonts w:ascii="Times New Roman" w:hAnsi="Times New Roman" w:cs="Times New Roman"/>
          <w:sz w:val="24"/>
          <w:szCs w:val="24"/>
          <w:lang w:val="en-GB"/>
        </w:rPr>
      </w:pPr>
      <w:r w:rsidRPr="00C951DE">
        <w:rPr>
          <w:rFonts w:ascii="Times New Roman" w:hAnsi="Times New Roman" w:cs="Times New Roman"/>
          <w:sz w:val="24"/>
          <w:szCs w:val="24"/>
          <w:lang w:val="en-GB"/>
        </w:rPr>
        <w:t xml:space="preserve">Of the 40 prepared PFP samples, 500 </w:t>
      </w:r>
      <w:proofErr w:type="spellStart"/>
      <w:r w:rsidRPr="00C951DE">
        <w:rPr>
          <w:rFonts w:ascii="Times New Roman" w:hAnsi="Times New Roman" w:cs="Times New Roman"/>
          <w:sz w:val="24"/>
          <w:szCs w:val="24"/>
          <w:lang w:val="en-GB"/>
        </w:rPr>
        <w:t>μL</w:t>
      </w:r>
      <w:proofErr w:type="spellEnd"/>
      <w:r w:rsidRPr="00C951DE">
        <w:rPr>
          <w:rFonts w:ascii="Times New Roman" w:hAnsi="Times New Roman" w:cs="Times New Roman"/>
          <w:sz w:val="24"/>
          <w:szCs w:val="24"/>
          <w:lang w:val="en-GB"/>
        </w:rPr>
        <w:t xml:space="preserve"> were allocated for pre-analytical </w:t>
      </w:r>
      <w:r>
        <w:rPr>
          <w:rFonts w:ascii="Times New Roman" w:hAnsi="Times New Roman" w:cs="Times New Roman"/>
          <w:sz w:val="24"/>
          <w:szCs w:val="24"/>
          <w:lang w:val="en-GB"/>
        </w:rPr>
        <w:t>assessment</w:t>
      </w:r>
      <w:r w:rsidRPr="00C951DE">
        <w:rPr>
          <w:rFonts w:ascii="Times New Roman" w:hAnsi="Times New Roman" w:cs="Times New Roman"/>
          <w:sz w:val="24"/>
          <w:szCs w:val="24"/>
          <w:lang w:val="en-GB"/>
        </w:rPr>
        <w:t xml:space="preserve">. Platelet counts (million cells/L; mean ± SD = 0.73 ± 0.85) and haemoglobin concentrations (g/L; mean ± SD = 0.30 ± 0.46) were initially quantified using a haematology analyser (Sysmex XE2100). After 0.8 </w:t>
      </w:r>
      <w:proofErr w:type="spellStart"/>
      <w:r w:rsidRPr="00C951DE">
        <w:rPr>
          <w:rFonts w:ascii="Times New Roman" w:hAnsi="Times New Roman" w:cs="Times New Roman"/>
          <w:sz w:val="24"/>
          <w:szCs w:val="24"/>
          <w:lang w:val="en-GB"/>
        </w:rPr>
        <w:t>μ</w:t>
      </w:r>
      <w:r>
        <w:rPr>
          <w:rFonts w:ascii="Times New Roman" w:hAnsi="Times New Roman" w:cs="Times New Roman"/>
          <w:sz w:val="24"/>
          <w:szCs w:val="24"/>
          <w:lang w:val="en-GB"/>
        </w:rPr>
        <w:t>m</w:t>
      </w:r>
      <w:proofErr w:type="spellEnd"/>
      <w:r w:rsidRPr="00C951DE">
        <w:rPr>
          <w:rFonts w:ascii="Times New Roman" w:hAnsi="Times New Roman" w:cs="Times New Roman"/>
          <w:sz w:val="24"/>
          <w:szCs w:val="24"/>
          <w:lang w:val="en-GB"/>
        </w:rPr>
        <w:t xml:space="preserve"> filtration during sEV isolation, platelet counts in the PFP were reassessed with the same analyser, showing </w:t>
      </w:r>
      <w:r>
        <w:rPr>
          <w:rFonts w:ascii="Times New Roman" w:hAnsi="Times New Roman" w:cs="Times New Roman"/>
          <w:sz w:val="24"/>
          <w:szCs w:val="24"/>
          <w:lang w:val="en-GB"/>
        </w:rPr>
        <w:t>“</w:t>
      </w:r>
      <w:r w:rsidRPr="0069208A">
        <w:rPr>
          <w:rFonts w:ascii="Times New Roman" w:hAnsi="Times New Roman" w:cs="Times New Roman"/>
          <w:sz w:val="24"/>
          <w:szCs w:val="24"/>
          <w:lang w:val="en-GB"/>
        </w:rPr>
        <w:t>zero million</w:t>
      </w:r>
      <w:r w:rsidRPr="00C951DE">
        <w:rPr>
          <w:rFonts w:ascii="Times New Roman" w:hAnsi="Times New Roman" w:cs="Times New Roman"/>
          <w:sz w:val="24"/>
          <w:szCs w:val="24"/>
          <w:lang w:val="en-GB"/>
        </w:rPr>
        <w:t xml:space="preserve"> cells/L</w:t>
      </w:r>
      <w:r>
        <w:rPr>
          <w:rFonts w:ascii="Times New Roman" w:hAnsi="Times New Roman" w:cs="Times New Roman"/>
          <w:sz w:val="24"/>
          <w:szCs w:val="24"/>
          <w:lang w:val="en-GB"/>
        </w:rPr>
        <w:t>”</w:t>
      </w:r>
      <w:r w:rsidRPr="00C951DE">
        <w:rPr>
          <w:rFonts w:ascii="Times New Roman" w:hAnsi="Times New Roman" w:cs="Times New Roman"/>
          <w:sz w:val="24"/>
          <w:szCs w:val="24"/>
          <w:lang w:val="en-GB"/>
        </w:rPr>
        <w:t xml:space="preserve"> in all samples (n = 40). Subsequently, an ELISA plate reader was utilised to measure absorbance at five wavelengths (450 nm, 492 nm, 540 nm, 620 nm, and 690 nm)</w:t>
      </w:r>
      <w:r>
        <w:rPr>
          <w:rFonts w:ascii="Times New Roman" w:hAnsi="Times New Roman" w:cs="Times New Roman"/>
          <w:sz w:val="24"/>
          <w:szCs w:val="24"/>
          <w:lang w:val="en-GB"/>
        </w:rPr>
        <w:t>.</w:t>
      </w:r>
      <w:r w:rsidRPr="00C951DE">
        <w:rPr>
          <w:rFonts w:ascii="Times New Roman" w:hAnsi="Times New Roman" w:cs="Times New Roman"/>
          <w:sz w:val="24"/>
          <w:szCs w:val="24"/>
          <w:lang w:val="en-GB"/>
        </w:rPr>
        <w:t xml:space="preserve"> Haemolysis was detected at 540 nm (mean ± SD = 0.091 ± 0.017). Icterus was measured at 450 nm (mean ± SD = 0.335 ± 0.059) and 492 nm (mean ± SD = 0.259 ± 0.048), while lipemia was assessed at 620 nm (mean ± SD = 0.063 ± 0.012) and 690 nm (mean ± SD = 0.055 ± 0.016). </w:t>
      </w:r>
    </w:p>
    <w:p w14:paraId="643C72AC" w14:textId="77777777" w:rsidR="00C04992" w:rsidRDefault="00C04992" w:rsidP="00C04992">
      <w:pPr>
        <w:jc w:val="both"/>
        <w:rPr>
          <w:rFonts w:ascii="Times New Roman" w:hAnsi="Times New Roman" w:cs="Times New Roman"/>
          <w:sz w:val="24"/>
          <w:szCs w:val="24"/>
          <w:lang w:val="en-GB"/>
        </w:rPr>
      </w:pPr>
    </w:p>
    <w:p w14:paraId="22A502AB" w14:textId="6F9FE5B6" w:rsidR="003F3096" w:rsidRPr="00C04992" w:rsidRDefault="00C04992" w:rsidP="00C04992">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S2: </w:t>
      </w:r>
      <w:r w:rsidR="003F3096" w:rsidRPr="00C04992">
        <w:rPr>
          <w:rFonts w:ascii="Times New Roman" w:hAnsi="Times New Roman" w:cs="Times New Roman"/>
          <w:sz w:val="24"/>
          <w:szCs w:val="24"/>
          <w:lang w:val="en-GB"/>
        </w:rPr>
        <w:t>Analysis of sEVs</w:t>
      </w:r>
    </w:p>
    <w:p w14:paraId="64DAD124" w14:textId="77777777" w:rsidR="006A5633" w:rsidRDefault="003F3096" w:rsidP="009911AB">
      <w:pPr>
        <w:jc w:val="both"/>
      </w:pPr>
      <w:r w:rsidRPr="00046EAA">
        <w:rPr>
          <w:rFonts w:ascii="Times New Roman" w:hAnsi="Times New Roman" w:cs="Times New Roman"/>
          <w:sz w:val="24"/>
          <w:szCs w:val="24"/>
          <w:lang w:val="en-GB"/>
        </w:rPr>
        <w:t xml:space="preserve">Based on the pre-analytical </w:t>
      </w:r>
      <w:r>
        <w:rPr>
          <w:rFonts w:ascii="Times New Roman" w:hAnsi="Times New Roman" w:cs="Times New Roman"/>
          <w:sz w:val="24"/>
          <w:szCs w:val="24"/>
          <w:lang w:val="en-GB"/>
        </w:rPr>
        <w:t>result</w:t>
      </w:r>
      <w:r w:rsidRPr="00046EAA">
        <w:rPr>
          <w:rFonts w:ascii="Times New Roman" w:hAnsi="Times New Roman" w:cs="Times New Roman"/>
          <w:sz w:val="24"/>
          <w:szCs w:val="24"/>
          <w:lang w:val="en-GB"/>
        </w:rPr>
        <w:t>s, sEVs were isolated from all 40 samples using 70 nm SEC columns.</w:t>
      </w:r>
      <w:r>
        <w:rPr>
          <w:rFonts w:ascii="Times New Roman" w:hAnsi="Times New Roman" w:cs="Times New Roman"/>
          <w:sz w:val="24"/>
          <w:szCs w:val="24"/>
          <w:lang w:val="en-GB"/>
        </w:rPr>
        <w:t xml:space="preserve"> </w:t>
      </w:r>
      <w:r w:rsidR="00B039C6" w:rsidRPr="00B039C6">
        <w:rPr>
          <w:rFonts w:ascii="Times New Roman" w:hAnsi="Times New Roman" w:cs="Times New Roman"/>
          <w:sz w:val="24"/>
          <w:szCs w:val="24"/>
          <w:lang w:val="en-GB"/>
        </w:rPr>
        <w:t xml:space="preserve">As NTA method is unable to distinguish between "vesicular" and "non-vesicular" particles, TEM is also needed to identify vesicles. </w:t>
      </w:r>
      <w:r w:rsidRPr="00A53DC6">
        <w:rPr>
          <w:rFonts w:ascii="Times New Roman" w:hAnsi="Times New Roman" w:cs="Times New Roman"/>
          <w:sz w:val="24"/>
          <w:szCs w:val="24"/>
          <w:lang w:val="en-GB"/>
        </w:rPr>
        <w:t xml:space="preserve">Morphological characterisation and immuno-TEM imaging were conducted </w:t>
      </w:r>
      <w:r w:rsidRPr="00461893">
        <w:rPr>
          <w:rFonts w:ascii="Times New Roman" w:hAnsi="Times New Roman" w:cs="Times New Roman"/>
          <w:sz w:val="24"/>
          <w:szCs w:val="24"/>
          <w:lang w:val="en-GB"/>
        </w:rPr>
        <w:t xml:space="preserve">using an anti-CD9 antibody (Abcam, Cambridge, UK) to label the EVs within the samples (Supplementary Figure </w:t>
      </w:r>
      <w:r w:rsidR="00CC7EBF">
        <w:rPr>
          <w:rFonts w:ascii="Times New Roman" w:hAnsi="Times New Roman" w:cs="Times New Roman"/>
          <w:sz w:val="24"/>
          <w:szCs w:val="24"/>
          <w:lang w:val="en-GB"/>
        </w:rPr>
        <w:t>S</w:t>
      </w:r>
      <w:r w:rsidRPr="00461893">
        <w:rPr>
          <w:rFonts w:ascii="Times New Roman" w:hAnsi="Times New Roman" w:cs="Times New Roman"/>
          <w:sz w:val="24"/>
          <w:szCs w:val="24"/>
          <w:lang w:val="en-GB"/>
        </w:rPr>
        <w:t>1A-B). Analysis by TEM showed that the samples contained EVs with a typical cup-shaped structure.</w:t>
      </w:r>
      <w:r w:rsidR="00B039C6" w:rsidRPr="00B039C6">
        <w:t xml:space="preserve"> </w:t>
      </w:r>
    </w:p>
    <w:p w14:paraId="12834519" w14:textId="6DAB6F54" w:rsidR="006A5633" w:rsidRDefault="00B039C6" w:rsidP="009911AB">
      <w:pPr>
        <w:jc w:val="both"/>
        <w:rPr>
          <w:rFonts w:ascii="Times New Roman" w:hAnsi="Times New Roman" w:cs="Times New Roman"/>
          <w:sz w:val="24"/>
          <w:szCs w:val="24"/>
          <w:lang w:val="en-GB"/>
        </w:rPr>
      </w:pPr>
      <w:r w:rsidRPr="00B039C6">
        <w:rPr>
          <w:rFonts w:ascii="Times New Roman" w:hAnsi="Times New Roman" w:cs="Times New Roman"/>
          <w:sz w:val="24"/>
          <w:szCs w:val="24"/>
          <w:lang w:val="en-GB"/>
        </w:rPr>
        <w:t xml:space="preserve">We used NTA to examine the size distribution and concentration of sEVs (Supplementary Figure 1D-E). Based on size differences, we observed three slightly overlapping populations: “plasma lipoprotein particles” ("PLPs"), sEVs and medium-sized EVs (mEVs). The exclusion criteria for concentration </w:t>
      </w:r>
      <w:proofErr w:type="gramStart"/>
      <w:r w:rsidRPr="00B039C6">
        <w:rPr>
          <w:rFonts w:ascii="Times New Roman" w:hAnsi="Times New Roman" w:cs="Times New Roman"/>
          <w:sz w:val="24"/>
          <w:szCs w:val="24"/>
          <w:lang w:val="en-GB"/>
        </w:rPr>
        <w:t>was</w:t>
      </w:r>
      <w:proofErr w:type="gramEnd"/>
      <w:r w:rsidRPr="00B039C6">
        <w:rPr>
          <w:rFonts w:ascii="Times New Roman" w:hAnsi="Times New Roman" w:cs="Times New Roman"/>
          <w:sz w:val="24"/>
          <w:szCs w:val="24"/>
          <w:lang w:val="en-GB"/>
        </w:rPr>
        <w:t xml:space="preserve"> 1 x 10</w:t>
      </w:r>
      <w:r w:rsidRPr="00B039C6">
        <w:rPr>
          <w:rFonts w:ascii="Times New Roman" w:hAnsi="Times New Roman" w:cs="Times New Roman"/>
          <w:sz w:val="24"/>
          <w:szCs w:val="24"/>
          <w:vertAlign w:val="superscript"/>
          <w:lang w:val="en-GB"/>
        </w:rPr>
        <w:t>9</w:t>
      </w:r>
      <w:r w:rsidRPr="00B039C6">
        <w:rPr>
          <w:rFonts w:ascii="Times New Roman" w:hAnsi="Times New Roman" w:cs="Times New Roman"/>
          <w:sz w:val="24"/>
          <w:szCs w:val="24"/>
          <w:lang w:val="en-GB"/>
        </w:rPr>
        <w:t xml:space="preserve"> particle/mL.</w:t>
      </w:r>
      <w:r w:rsidR="003F3096" w:rsidRPr="00461893">
        <w:rPr>
          <w:rFonts w:ascii="Times New Roman" w:hAnsi="Times New Roman" w:cs="Times New Roman"/>
          <w:sz w:val="24"/>
          <w:szCs w:val="24"/>
          <w:lang w:val="en-GB"/>
        </w:rPr>
        <w:t xml:space="preserve"> The mean particle concentration was 5.08 × 10^9 particles/mL in the High-fit group and 3.46 × 10^9 particles/mL in the Med-Low-fit group. For the High-fit group, the NTA mean sizes (nm) were as follows: X10 values ± SD = 98.0 ± 13.6; X50 values ± SD = 163.2 ± 24.4; and X90 values ± SD = 277.9 ± 51.7. For the Med-Low-fit group, the NTA mean sizes (nm) were: X10 values ± SD = 98.7 ± 14.4; X50 values ± SD = 158.1 ± 21.6 and X90 values ± SD = 265.4 ± 39.6. </w:t>
      </w:r>
    </w:p>
    <w:p w14:paraId="54F04C66" w14:textId="77777777" w:rsidR="006A5633" w:rsidRDefault="00B039C6" w:rsidP="009911AB">
      <w:pPr>
        <w:jc w:val="both"/>
        <w:rPr>
          <w:rFonts w:ascii="Times New Roman" w:hAnsi="Times New Roman" w:cs="Times New Roman"/>
          <w:sz w:val="24"/>
          <w:szCs w:val="24"/>
          <w:lang w:val="en-GB"/>
        </w:rPr>
      </w:pPr>
      <w:r w:rsidRPr="00B039C6">
        <w:rPr>
          <w:rFonts w:ascii="Times New Roman" w:hAnsi="Times New Roman" w:cs="Times New Roman"/>
          <w:sz w:val="24"/>
          <w:szCs w:val="24"/>
          <w:lang w:val="en-GB"/>
        </w:rPr>
        <w:t xml:space="preserve">The protein absorbance was measured at 280 nm using a NanoDrop instrument. The mean protein absorbance ± SD was 0.107 ± 0.068 in the High-fit group and 0.083 ± 0.043 in the Med-Low-fit group. In all cases, the total protein concentration was below the exclusion criterion of 0.75 mg/mL. </w:t>
      </w:r>
      <w:r w:rsidRPr="00461893">
        <w:rPr>
          <w:rFonts w:ascii="Times New Roman" w:hAnsi="Times New Roman" w:cs="Times New Roman"/>
          <w:sz w:val="24"/>
          <w:szCs w:val="24"/>
          <w:lang w:val="en-GB"/>
        </w:rPr>
        <w:t xml:space="preserve">The data are presented in Supplementary Figure </w:t>
      </w:r>
      <w:r>
        <w:rPr>
          <w:rFonts w:ascii="Times New Roman" w:hAnsi="Times New Roman" w:cs="Times New Roman"/>
          <w:sz w:val="24"/>
          <w:szCs w:val="24"/>
          <w:lang w:val="en-GB"/>
        </w:rPr>
        <w:t>S</w:t>
      </w:r>
      <w:r w:rsidRPr="00461893">
        <w:rPr>
          <w:rFonts w:ascii="Times New Roman" w:hAnsi="Times New Roman" w:cs="Times New Roman"/>
          <w:sz w:val="24"/>
          <w:szCs w:val="24"/>
          <w:lang w:val="en-GB"/>
        </w:rPr>
        <w:t>1C.</w:t>
      </w:r>
      <w:r w:rsidRPr="00461893">
        <w:t xml:space="preserve"> </w:t>
      </w:r>
      <w:r w:rsidR="003F3096" w:rsidRPr="00461893">
        <w:rPr>
          <w:rFonts w:ascii="Times New Roman" w:hAnsi="Times New Roman" w:cs="Times New Roman"/>
          <w:sz w:val="24"/>
          <w:szCs w:val="24"/>
          <w:lang w:val="en-GB"/>
        </w:rPr>
        <w:t xml:space="preserve">In all instances, no significant differences were detected between the groups. </w:t>
      </w:r>
    </w:p>
    <w:p w14:paraId="2FC7C1B5" w14:textId="77777777" w:rsidR="00815103" w:rsidRDefault="009911AB" w:rsidP="009911AB">
      <w:pPr>
        <w:jc w:val="both"/>
        <w:rPr>
          <w:rFonts w:ascii="Times New Roman" w:hAnsi="Times New Roman" w:cs="Times New Roman"/>
          <w:sz w:val="24"/>
          <w:szCs w:val="24"/>
          <w:lang w:val="en-GB"/>
        </w:rPr>
      </w:pPr>
      <w:r w:rsidRPr="009911AB">
        <w:rPr>
          <w:rFonts w:ascii="Times New Roman" w:hAnsi="Times New Roman" w:cs="Times New Roman"/>
          <w:sz w:val="24"/>
          <w:szCs w:val="24"/>
          <w:lang w:val="en-GB"/>
        </w:rPr>
        <w:t>MS is widely used in EV studies to detect and characterise EV-associated proteins in different samples. The heatmap figure (Supplementary Figure S1F-G) shows the intensity of vesicle markers (CD9, CD81, Alix) in samples from the High-fit and Med-Low-fit groups, relative to the total protein intensity based on MS data. The presence of CD81 was detected in 39 out of 40 samples. We also detected CD9 (27 out of 40 samples) and Alix (37 out of 40 samples) vesicle markers. Apolipoproteins can co-isolate with vesicles in human plasma samples</w:t>
      </w:r>
      <w:r w:rsidR="00815103">
        <w:rPr>
          <w:rFonts w:ascii="Times New Roman" w:hAnsi="Times New Roman" w:cs="Times New Roman"/>
          <w:sz w:val="24"/>
          <w:szCs w:val="24"/>
          <w:lang w:val="en-GB"/>
        </w:rPr>
        <w:t xml:space="preserve">. </w:t>
      </w:r>
      <w:r w:rsidRPr="009911AB">
        <w:rPr>
          <w:rFonts w:ascii="Times New Roman" w:hAnsi="Times New Roman" w:cs="Times New Roman"/>
          <w:sz w:val="24"/>
          <w:szCs w:val="24"/>
          <w:lang w:val="en-GB"/>
        </w:rPr>
        <w:t xml:space="preserve">This is indicated by the detection of Apolipoprotein A-II (ApoA-II) protein in the samples. The analysis of protein markers was conducted in accordance with the MISEV2023 guidelines. </w:t>
      </w:r>
    </w:p>
    <w:p w14:paraId="2F642966" w14:textId="1E048DFC" w:rsidR="003F3096" w:rsidRPr="00720C86" w:rsidRDefault="00B039C6" w:rsidP="009911AB">
      <w:pPr>
        <w:jc w:val="both"/>
        <w:rPr>
          <w:rFonts w:ascii="Times New Roman" w:hAnsi="Times New Roman" w:cs="Times New Roman"/>
          <w:sz w:val="24"/>
          <w:szCs w:val="24"/>
          <w:lang w:val="en-GB"/>
        </w:rPr>
      </w:pPr>
      <w:r w:rsidRPr="00B039C6">
        <w:rPr>
          <w:rFonts w:ascii="Times New Roman" w:hAnsi="Times New Roman" w:cs="Times New Roman"/>
          <w:sz w:val="24"/>
          <w:szCs w:val="24"/>
          <w:lang w:val="en-GB"/>
        </w:rPr>
        <w:lastRenderedPageBreak/>
        <w:t xml:space="preserve">The GO-term enrichment results (Figure </w:t>
      </w:r>
      <w:r w:rsidRPr="00B039C6">
        <w:rPr>
          <w:rFonts w:ascii="Times New Roman" w:hAnsi="Times New Roman" w:cs="Times New Roman"/>
          <w:sz w:val="24"/>
          <w:szCs w:val="24"/>
          <w:lang w:val="en-GB"/>
        </w:rPr>
        <w:t>1</w:t>
      </w:r>
      <w:r w:rsidRPr="00B039C6">
        <w:rPr>
          <w:rFonts w:ascii="Times New Roman" w:hAnsi="Times New Roman" w:cs="Times New Roman"/>
          <w:sz w:val="24"/>
          <w:szCs w:val="24"/>
          <w:lang w:val="en-GB"/>
        </w:rPr>
        <w:t>B, Figure 4A-B) further validate the vesicle content of the samples by highlighting the enrichment of gene ontology terms associated with vesicle-related biological proc</w:t>
      </w:r>
      <w:r w:rsidRPr="00302402">
        <w:rPr>
          <w:rFonts w:ascii="Times New Roman" w:hAnsi="Times New Roman" w:cs="Times New Roman"/>
          <w:sz w:val="24"/>
          <w:szCs w:val="24"/>
          <w:lang w:val="en-GB"/>
        </w:rPr>
        <w:t>esses, molecular functions, and cellular components.</w:t>
      </w:r>
    </w:p>
    <w:p w14:paraId="47544CDA" w14:textId="77777777" w:rsidR="00B77B0A" w:rsidRDefault="00B77B0A"/>
    <w:p w14:paraId="50CB2121" w14:textId="118DB599" w:rsidR="00863803" w:rsidRDefault="00863803">
      <w:pPr>
        <w:rPr>
          <w:rFonts w:ascii="Times New Roman" w:hAnsi="Times New Roman" w:cs="Times New Roman"/>
          <w:sz w:val="24"/>
          <w:szCs w:val="24"/>
        </w:rPr>
      </w:pPr>
      <w:r w:rsidRPr="00863803">
        <w:rPr>
          <w:rFonts w:ascii="Times New Roman" w:hAnsi="Times New Roman" w:cs="Times New Roman"/>
          <w:sz w:val="24"/>
          <w:szCs w:val="24"/>
        </w:rPr>
        <w:t xml:space="preserve">S3: </w:t>
      </w:r>
      <w:r w:rsidR="00CB40E9">
        <w:rPr>
          <w:rFonts w:ascii="Times New Roman" w:hAnsi="Times New Roman" w:cs="Times New Roman"/>
          <w:sz w:val="24"/>
          <w:szCs w:val="24"/>
          <w:lang w:val="en-GB"/>
        </w:rPr>
        <w:t>HPLC and MS acquisition parameters</w:t>
      </w:r>
    </w:p>
    <w:p w14:paraId="6C0A21AB" w14:textId="77777777" w:rsidR="00863803" w:rsidRDefault="00863803" w:rsidP="00863803">
      <w:pPr>
        <w:spacing w:after="0"/>
        <w:jc w:val="both"/>
        <w:rPr>
          <w:rFonts w:ascii="Times New Roman" w:hAnsi="Times New Roman" w:cs="Times New Roman"/>
          <w:sz w:val="24"/>
          <w:szCs w:val="24"/>
          <w:lang w:val="en-GB"/>
        </w:rPr>
      </w:pPr>
      <w:r w:rsidRPr="00A61D45">
        <w:rPr>
          <w:rFonts w:ascii="Times New Roman" w:hAnsi="Times New Roman" w:cs="Times New Roman"/>
          <w:sz w:val="24"/>
          <w:szCs w:val="24"/>
          <w:lang w:val="en-GB"/>
        </w:rPr>
        <w:t xml:space="preserve">The analytes were pre-concentrated on a PepMap RSLC C18 (0.3 x 5 mm) column using 0.1% FA/1% ACN at a flow rate of 30 </w:t>
      </w:r>
      <w:r w:rsidRPr="007E7619">
        <w:rPr>
          <w:rFonts w:ascii="Times New Roman" w:hAnsi="Times New Roman" w:cs="Times New Roman"/>
          <w:sz w:val="24"/>
          <w:szCs w:val="24"/>
          <w:lang w:val="en-GB"/>
        </w:rPr>
        <w:t>µ</w:t>
      </w:r>
      <w:r>
        <w:rPr>
          <w:rFonts w:ascii="Times New Roman" w:hAnsi="Times New Roman" w:cs="Times New Roman"/>
          <w:sz w:val="24"/>
          <w:szCs w:val="24"/>
          <w:lang w:val="en-GB"/>
        </w:rPr>
        <w:t>L</w:t>
      </w:r>
      <w:r w:rsidRPr="00A61D45">
        <w:rPr>
          <w:rFonts w:ascii="Times New Roman" w:hAnsi="Times New Roman" w:cs="Times New Roman"/>
          <w:sz w:val="24"/>
          <w:szCs w:val="24"/>
          <w:lang w:val="en-GB"/>
        </w:rPr>
        <w:t>/min for 3 minutes and separated on a Thermo Scientific EASY-spray PepMap RSLC C18 (75 µm x 50 cm) analytical column using a linear gradient elution. Eluent A was 0.1% FA/H</w:t>
      </w:r>
      <w:r w:rsidRPr="003A7765">
        <w:rPr>
          <w:rFonts w:ascii="Times New Roman" w:hAnsi="Times New Roman" w:cs="Times New Roman"/>
          <w:sz w:val="24"/>
          <w:szCs w:val="24"/>
          <w:vertAlign w:val="subscript"/>
          <w:lang w:val="en-GB"/>
        </w:rPr>
        <w:t>2</w:t>
      </w:r>
      <w:r w:rsidRPr="00A61D45">
        <w:rPr>
          <w:rFonts w:ascii="Times New Roman" w:hAnsi="Times New Roman" w:cs="Times New Roman"/>
          <w:sz w:val="24"/>
          <w:szCs w:val="24"/>
          <w:lang w:val="en-GB"/>
        </w:rPr>
        <w:t>O and eluent B was 0.1% FA/ACN. Flow rate was 250 n</w:t>
      </w:r>
      <w:r>
        <w:rPr>
          <w:rFonts w:ascii="Times New Roman" w:hAnsi="Times New Roman" w:cs="Times New Roman"/>
          <w:sz w:val="24"/>
          <w:szCs w:val="24"/>
          <w:lang w:val="en-GB"/>
        </w:rPr>
        <w:t>L</w:t>
      </w:r>
      <w:r w:rsidRPr="00A61D45">
        <w:rPr>
          <w:rFonts w:ascii="Times New Roman" w:hAnsi="Times New Roman" w:cs="Times New Roman"/>
          <w:sz w:val="24"/>
          <w:szCs w:val="24"/>
          <w:lang w:val="en-GB"/>
        </w:rPr>
        <w:t>/min, column temperature was set to 40 °C. The initial 3% B was linearly increased to 40% in 120 min. Ionization was carried out using ESI (electrospray ionization) at 2 kV in positive ionization mode. DDA (data-dependent analysis) was used with a full MS precursor scan from 350 to 2000 m/z at a resolution of 60000. Dependent MS/MS scans of the top 20 most intense precursor ions were done using 30% HCD collision energy, isolation window of 1 m/z and a resolution of 15000. Before MS/MS scans, precursor ions were filtered based on intensity (1×10</w:t>
      </w:r>
      <w:r w:rsidRPr="00A61D45">
        <w:rPr>
          <w:rFonts w:ascii="Times New Roman" w:hAnsi="Times New Roman" w:cs="Times New Roman"/>
          <w:sz w:val="24"/>
          <w:szCs w:val="24"/>
          <w:vertAlign w:val="superscript"/>
          <w:lang w:val="en-GB"/>
        </w:rPr>
        <w:t>3</w:t>
      </w:r>
      <w:r w:rsidRPr="00A61D45">
        <w:rPr>
          <w:rFonts w:ascii="Times New Roman" w:hAnsi="Times New Roman" w:cs="Times New Roman"/>
          <w:sz w:val="24"/>
          <w:szCs w:val="24"/>
          <w:lang w:val="en-GB"/>
        </w:rPr>
        <w:t>), charge state (2-4) and a dynamic exclusion was also employed with a duration of 60s.</w:t>
      </w:r>
      <w:r>
        <w:rPr>
          <w:rFonts w:ascii="Times New Roman" w:hAnsi="Times New Roman" w:cs="Times New Roman"/>
          <w:sz w:val="24"/>
          <w:szCs w:val="24"/>
          <w:lang w:val="en-GB"/>
        </w:rPr>
        <w:t xml:space="preserve"> </w:t>
      </w:r>
    </w:p>
    <w:p w14:paraId="0D2553BD" w14:textId="77777777" w:rsidR="00863803" w:rsidRPr="00863803" w:rsidRDefault="00863803">
      <w:pPr>
        <w:rPr>
          <w:rFonts w:ascii="Times New Roman" w:hAnsi="Times New Roman" w:cs="Times New Roman"/>
          <w:sz w:val="24"/>
          <w:szCs w:val="24"/>
        </w:rPr>
      </w:pPr>
    </w:p>
    <w:sectPr w:rsidR="00863803" w:rsidRPr="008638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C63DAA"/>
    <w:multiLevelType w:val="hybridMultilevel"/>
    <w:tmpl w:val="00DAEE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736787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096"/>
    <w:rsid w:val="00186BC1"/>
    <w:rsid w:val="0033328E"/>
    <w:rsid w:val="003F3096"/>
    <w:rsid w:val="006A5633"/>
    <w:rsid w:val="00815103"/>
    <w:rsid w:val="00824B7A"/>
    <w:rsid w:val="00863803"/>
    <w:rsid w:val="00903AD6"/>
    <w:rsid w:val="009911AB"/>
    <w:rsid w:val="00B039C6"/>
    <w:rsid w:val="00B77B0A"/>
    <w:rsid w:val="00C04992"/>
    <w:rsid w:val="00CB40E9"/>
    <w:rsid w:val="00CC7EBF"/>
    <w:rsid w:val="00D44157"/>
    <w:rsid w:val="00FD61F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452CB"/>
  <w15:chartTrackingRefBased/>
  <w15:docId w15:val="{11D46BD2-568D-45D0-82AF-3A5D16E31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F3096"/>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3332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586</Words>
  <Characters>4045</Characters>
  <Application>Microsoft Office Word</Application>
  <DocSecurity>0</DocSecurity>
  <Lines>33</Lines>
  <Paragraphs>9</Paragraphs>
  <ScaleCrop>false</ScaleCrop>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György Bernadett</dc:creator>
  <cp:keywords/>
  <dc:description/>
  <cp:lastModifiedBy>gyorgy.bernadett.tf@gmail.com</cp:lastModifiedBy>
  <cp:revision>12</cp:revision>
  <dcterms:created xsi:type="dcterms:W3CDTF">2024-10-08T09:03:00Z</dcterms:created>
  <dcterms:modified xsi:type="dcterms:W3CDTF">2024-12-08T19:16:00Z</dcterms:modified>
</cp:coreProperties>
</file>