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01EF" w14:textId="77777777" w:rsidR="00952DAB" w:rsidRPr="00952DAB" w:rsidRDefault="00952DAB" w:rsidP="00952DAB">
      <w:pPr>
        <w:ind w:firstLine="0"/>
        <w:rPr>
          <w:rFonts w:eastAsiaTheme="minorEastAsia"/>
          <w:sz w:val="30"/>
          <w:szCs w:val="30"/>
          <w:lang w:eastAsia="zh-CN"/>
        </w:rPr>
      </w:pPr>
      <w:r w:rsidRPr="00952DAB">
        <w:rPr>
          <w:rFonts w:eastAsiaTheme="minorEastAsia"/>
          <w:b/>
          <w:bCs/>
          <w:sz w:val="30"/>
          <w:szCs w:val="30"/>
          <w:lang w:eastAsia="zh-CN"/>
        </w:rPr>
        <w:t>Supplementary Table 1:</w:t>
      </w:r>
      <w:r w:rsidRPr="00952DAB">
        <w:rPr>
          <w:rFonts w:eastAsiaTheme="minorEastAsia"/>
          <w:sz w:val="30"/>
          <w:szCs w:val="30"/>
          <w:lang w:eastAsia="zh-CN"/>
        </w:rPr>
        <w:t xml:space="preserve"> Genes and SNPs without biological Interpretation for the association with the Skin Ageing Phenotype</w:t>
      </w:r>
    </w:p>
    <w:tbl>
      <w:tblPr>
        <w:tblStyle w:val="TableGrid"/>
        <w:tblW w:w="0" w:type="auto"/>
        <w:tblLook w:val="04A0" w:firstRow="1" w:lastRow="0" w:firstColumn="1" w:lastColumn="0" w:noHBand="0" w:noVBand="1"/>
      </w:tblPr>
      <w:tblGrid>
        <w:gridCol w:w="2608"/>
        <w:gridCol w:w="1783"/>
        <w:gridCol w:w="1974"/>
        <w:gridCol w:w="7627"/>
      </w:tblGrid>
      <w:tr w:rsidR="00952DAB" w:rsidRPr="00952DAB" w14:paraId="403A44FE" w14:textId="77777777" w:rsidTr="00703FD2">
        <w:tc>
          <w:tcPr>
            <w:tcW w:w="2675" w:type="dxa"/>
          </w:tcPr>
          <w:p w14:paraId="0A83208B" w14:textId="77777777" w:rsidR="00952DAB" w:rsidRPr="00952DAB" w:rsidRDefault="00952DAB" w:rsidP="00703FD2">
            <w:pPr>
              <w:ind w:firstLine="0"/>
              <w:rPr>
                <w:rFonts w:eastAsiaTheme="minorEastAsia"/>
                <w:b/>
                <w:bCs/>
                <w:sz w:val="30"/>
                <w:szCs w:val="30"/>
              </w:rPr>
            </w:pPr>
            <w:r w:rsidRPr="00952DAB">
              <w:rPr>
                <w:rFonts w:eastAsiaTheme="minorEastAsia"/>
                <w:b/>
                <w:bCs/>
                <w:sz w:val="30"/>
                <w:szCs w:val="30"/>
              </w:rPr>
              <w:t>Gene</w:t>
            </w:r>
          </w:p>
        </w:tc>
        <w:tc>
          <w:tcPr>
            <w:tcW w:w="1365" w:type="dxa"/>
          </w:tcPr>
          <w:p w14:paraId="63842B7E" w14:textId="77777777" w:rsidR="00952DAB" w:rsidRPr="00952DAB" w:rsidRDefault="00952DAB" w:rsidP="00703FD2">
            <w:pPr>
              <w:ind w:firstLine="0"/>
              <w:rPr>
                <w:rFonts w:eastAsiaTheme="minorEastAsia"/>
                <w:b/>
                <w:bCs/>
                <w:sz w:val="30"/>
                <w:szCs w:val="30"/>
              </w:rPr>
            </w:pPr>
            <w:r w:rsidRPr="00952DAB">
              <w:rPr>
                <w:rFonts w:eastAsiaTheme="minorEastAsia"/>
                <w:b/>
                <w:bCs/>
                <w:sz w:val="30"/>
                <w:szCs w:val="30"/>
              </w:rPr>
              <w:t>SNPs</w:t>
            </w:r>
          </w:p>
        </w:tc>
        <w:tc>
          <w:tcPr>
            <w:tcW w:w="1985" w:type="dxa"/>
          </w:tcPr>
          <w:p w14:paraId="6085670D" w14:textId="77777777" w:rsidR="00952DAB" w:rsidRPr="00952DAB" w:rsidRDefault="00952DAB" w:rsidP="00703FD2">
            <w:pPr>
              <w:ind w:firstLine="0"/>
              <w:rPr>
                <w:rFonts w:eastAsiaTheme="minorEastAsia"/>
                <w:b/>
                <w:bCs/>
                <w:sz w:val="30"/>
                <w:szCs w:val="30"/>
              </w:rPr>
            </w:pPr>
            <w:r w:rsidRPr="00952DAB">
              <w:rPr>
                <w:rFonts w:eastAsiaTheme="minorEastAsia"/>
                <w:b/>
                <w:bCs/>
                <w:sz w:val="30"/>
                <w:szCs w:val="30"/>
              </w:rPr>
              <w:t>Skin Ageing Phenotypes</w:t>
            </w:r>
          </w:p>
        </w:tc>
        <w:tc>
          <w:tcPr>
            <w:tcW w:w="7967" w:type="dxa"/>
          </w:tcPr>
          <w:p w14:paraId="78CF353C" w14:textId="77777777" w:rsidR="00952DAB" w:rsidRPr="00952DAB" w:rsidRDefault="00952DAB" w:rsidP="00703FD2">
            <w:pPr>
              <w:ind w:firstLine="0"/>
              <w:rPr>
                <w:rFonts w:eastAsiaTheme="minorEastAsia"/>
                <w:b/>
                <w:bCs/>
                <w:sz w:val="30"/>
                <w:szCs w:val="30"/>
              </w:rPr>
            </w:pPr>
            <w:r w:rsidRPr="00952DAB">
              <w:rPr>
                <w:rFonts w:eastAsiaTheme="minorEastAsia"/>
                <w:b/>
                <w:bCs/>
                <w:sz w:val="30"/>
                <w:szCs w:val="30"/>
              </w:rPr>
              <w:t>Function</w:t>
            </w:r>
          </w:p>
        </w:tc>
      </w:tr>
      <w:tr w:rsidR="00952DAB" w:rsidRPr="00952DAB" w14:paraId="122207E4" w14:textId="77777777" w:rsidTr="00703FD2">
        <w:tc>
          <w:tcPr>
            <w:tcW w:w="2675" w:type="dxa"/>
          </w:tcPr>
          <w:p w14:paraId="1675AA67" w14:textId="77777777" w:rsidR="00952DAB" w:rsidRPr="00952DAB" w:rsidRDefault="00952DAB" w:rsidP="00703FD2">
            <w:pPr>
              <w:ind w:firstLine="0"/>
              <w:rPr>
                <w:rFonts w:eastAsiaTheme="minorEastAsia"/>
                <w:i/>
                <w:iCs/>
                <w:sz w:val="30"/>
                <w:szCs w:val="30"/>
              </w:rPr>
            </w:pPr>
            <w:r w:rsidRPr="00952DAB">
              <w:rPr>
                <w:rFonts w:eastAsiaTheme="minorEastAsia"/>
                <w:i/>
                <w:iCs/>
                <w:sz w:val="30"/>
                <w:szCs w:val="30"/>
              </w:rPr>
              <w:t>ABMP</w:t>
            </w:r>
          </w:p>
        </w:tc>
        <w:tc>
          <w:tcPr>
            <w:tcW w:w="1365" w:type="dxa"/>
          </w:tcPr>
          <w:p w14:paraId="3B16FB00" w14:textId="77777777" w:rsidR="00952DAB" w:rsidRPr="00952DAB" w:rsidRDefault="00952DAB" w:rsidP="00703FD2">
            <w:pPr>
              <w:ind w:firstLine="0"/>
              <w:rPr>
                <w:rFonts w:eastAsiaTheme="minorEastAsia"/>
                <w:sz w:val="30"/>
                <w:szCs w:val="30"/>
                <w:lang w:val="en-US"/>
              </w:rPr>
            </w:pPr>
            <w:r w:rsidRPr="00952DAB">
              <w:rPr>
                <w:rFonts w:eastAsiaTheme="minorEastAsia"/>
                <w:sz w:val="30"/>
                <w:szCs w:val="30"/>
                <w:lang w:val="en-US"/>
              </w:rPr>
              <w:t>rs7034903, rs12377342</w:t>
            </w:r>
          </w:p>
        </w:tc>
        <w:tc>
          <w:tcPr>
            <w:tcW w:w="1985" w:type="dxa"/>
          </w:tcPr>
          <w:p w14:paraId="7BA7F0B5" w14:textId="77777777" w:rsidR="00952DAB" w:rsidRPr="00952DAB" w:rsidRDefault="00952DAB" w:rsidP="00703FD2">
            <w:pPr>
              <w:ind w:firstLine="0"/>
              <w:rPr>
                <w:sz w:val="30"/>
                <w:szCs w:val="30"/>
              </w:rPr>
            </w:pPr>
            <w:r w:rsidRPr="00952DAB">
              <w:rPr>
                <w:sz w:val="30"/>
                <w:szCs w:val="30"/>
              </w:rPr>
              <w:t>Facial solar lentigines</w:t>
            </w:r>
          </w:p>
        </w:tc>
        <w:tc>
          <w:tcPr>
            <w:tcW w:w="7967" w:type="dxa"/>
          </w:tcPr>
          <w:p w14:paraId="74CA5B6B" w14:textId="77777777" w:rsidR="00952DAB" w:rsidRPr="00FF400C" w:rsidRDefault="00952DAB" w:rsidP="00952DAB">
            <w:pPr>
              <w:pStyle w:val="ListParagraph"/>
              <w:numPr>
                <w:ilvl w:val="0"/>
                <w:numId w:val="1"/>
              </w:numPr>
              <w:rPr>
                <w:sz w:val="30"/>
                <w:szCs w:val="30"/>
              </w:rPr>
            </w:pPr>
            <w:r w:rsidRPr="00FF400C">
              <w:rPr>
                <w:sz w:val="30"/>
                <w:szCs w:val="30"/>
              </w:rPr>
              <w:t xml:space="preserve">Promote wound healing by promoting angiogenesis, collagen deposition and remodelling </w:t>
            </w:r>
            <w:r w:rsidRPr="00FF400C">
              <w:rPr>
                <w:sz w:val="30"/>
                <w:szCs w:val="30"/>
              </w:rPr>
              <w:fldChar w:fldCharType="begin"/>
            </w:r>
            <w:r w:rsidRPr="00FF400C">
              <w:rPr>
                <w:sz w:val="30"/>
                <w:szCs w:val="30"/>
              </w:rPr>
              <w:instrText xml:space="preserve"> ADDIN ZOTERO_ITEM CSL_CITATION {"citationID":"QomyY1OB","properties":{"formattedCitation":"(Idrovo et al. 2015)","plainCitation":"(Idrovo et al. 2015)","noteIndex":0},"citationItems":[{"id":3106,"uris":["http://zotero.org/users/14079873/items/4RWTK32Q"],"itemData":{"id":3106,"type":"article-journal","abstract":"Cutaneous wound continues to cause significant morbidity and mortality in the setting of diseases such as diabetes and cardiovascular diseases. Despite advances in wound care management, there is still an unmet medical need exists for efficient therapy for cutaneous wound. Combined treatment of adrenomedullin (AM) and its binding protein-1 (AMBP-1) is protective in various disease conditions. To examine the effect of the combination treatment of AM and AMBP-1 on cutaneous wound healing, full-thickness 2.0-cm diameter circular excision wounds were surgically created on the dorsum of rats, saline (vehicle) or AM/AMBP-1 (96/320 μg kg BW) was topically applied to the wound daily and wound size measured. At days 3, 7, and 14, skin samples were collected from the wound sites. AM/AMBP-1 treated group had significantly smaller wound surface area than the vehicle group over the 14-day time course. At day 3, AM/AMBP-1 promoted neutrophil infiltration (MPO), increased cytokine levels (IL-6 and TNF-α), angiogenesis (CD31, VEGF and TGFβ-1) and cell proliferation (Ki67). By day 7 and 14, AM/AMBP-1 treatment decreased MPO, followed by a rapid resolution of inflammation characterized by a decrease in cytokines. At the matured stage, AM/AMBP-1 treatment increased the alpha smooth muscle actin expression (mature blood vessels) and Masson-Trichrome staining (collagen deposition) along the granulation area, and increased MMP-9 and decreased MMP-2 mRNA expressions. TGFβ-1 mRNA levels in AM/AMBP-1 group were 5.3 times lower than those in the vehicle group. AM/AMBP-1 accelerated wound healing by promoting angiogenesis, collagen deposition and remodeling. Treatment also shortened the days to reach plateau for wound closure. Thus, AM/AMBP-1 may be further developed as a therapeutic for cutaneous wound healing.","container-title":"PLOS ONE","DOI":"10.1371/journal.pone.0120225","ISSN":"1932-6203","issue":"3","journalAbbreviation":"PLOS ONE","language":"en","note":"publisher: Public Library of Science","page":"e0120225","source":"PLoS Journals","title":"Combination of Adrenomedullin with Its Binding Protein Accelerates Cutaneous Wound Healing","volume":"10","author":[{"family":"Idrovo","given":"Juan-Pablo"},{"family":"Yang","given":"Weng-Lang"},{"family":"Jacob","given":"Asha"},{"family":"Ajakaiye","given":"Michael A."},{"family":"Cheyuo","given":"Cletus"},{"family":"Wang","given":"Zhimin"},{"family":"Prince","given":"Jose M."},{"family":"Nicastro","given":"Jeffrey"},{"family":"Coppa","given":"Gene F."},{"family":"Wang","given":"Ping"}],"issued":{"date-parts":[["2015",3,17]]}}}],"schema":"https://github.com/citation-style-language/schema/raw/master/csl-citation.json"} </w:instrText>
            </w:r>
            <w:r w:rsidRPr="00FF400C">
              <w:rPr>
                <w:sz w:val="30"/>
                <w:szCs w:val="30"/>
              </w:rPr>
              <w:fldChar w:fldCharType="separate"/>
            </w:r>
            <w:r w:rsidRPr="00FF400C">
              <w:rPr>
                <w:sz w:val="30"/>
                <w:szCs w:val="30"/>
              </w:rPr>
              <w:t>(Idrovo et al. 2015)</w:t>
            </w:r>
            <w:r w:rsidRPr="00FF400C">
              <w:rPr>
                <w:sz w:val="30"/>
                <w:szCs w:val="30"/>
              </w:rPr>
              <w:fldChar w:fldCharType="end"/>
            </w:r>
            <w:r w:rsidRPr="00FF400C">
              <w:rPr>
                <w:sz w:val="30"/>
                <w:szCs w:val="30"/>
              </w:rPr>
              <w:t>.</w:t>
            </w:r>
          </w:p>
        </w:tc>
      </w:tr>
      <w:tr w:rsidR="00952DAB" w:rsidRPr="00952DAB" w14:paraId="50DC962C" w14:textId="77777777" w:rsidTr="00703FD2">
        <w:tc>
          <w:tcPr>
            <w:tcW w:w="2675" w:type="dxa"/>
          </w:tcPr>
          <w:p w14:paraId="3E957E95" w14:textId="77777777" w:rsidR="00952DAB" w:rsidRPr="00952DAB" w:rsidRDefault="00952DAB" w:rsidP="00703FD2">
            <w:pPr>
              <w:ind w:firstLine="0"/>
              <w:rPr>
                <w:rFonts w:eastAsiaTheme="minorEastAsia"/>
                <w:i/>
                <w:iCs/>
                <w:sz w:val="30"/>
                <w:szCs w:val="30"/>
              </w:rPr>
            </w:pPr>
            <w:r w:rsidRPr="00952DAB">
              <w:rPr>
                <w:i/>
                <w:iCs/>
                <w:sz w:val="30"/>
                <w:szCs w:val="30"/>
              </w:rPr>
              <w:t>ARHGEF7</w:t>
            </w:r>
          </w:p>
        </w:tc>
        <w:tc>
          <w:tcPr>
            <w:tcW w:w="1365" w:type="dxa"/>
          </w:tcPr>
          <w:p w14:paraId="08260248" w14:textId="77777777" w:rsidR="00952DAB" w:rsidRPr="00952DAB" w:rsidRDefault="00952DAB" w:rsidP="00703FD2">
            <w:pPr>
              <w:ind w:firstLine="0"/>
              <w:rPr>
                <w:rFonts w:eastAsiaTheme="minorEastAsia"/>
                <w:sz w:val="30"/>
                <w:szCs w:val="30"/>
              </w:rPr>
            </w:pPr>
            <w:r w:rsidRPr="00952DAB">
              <w:rPr>
                <w:sz w:val="30"/>
                <w:szCs w:val="30"/>
              </w:rPr>
              <w:t xml:space="preserve">rs3825460 </w:t>
            </w:r>
          </w:p>
        </w:tc>
        <w:tc>
          <w:tcPr>
            <w:tcW w:w="1985" w:type="dxa"/>
          </w:tcPr>
          <w:p w14:paraId="35324A11" w14:textId="77777777" w:rsidR="00952DAB" w:rsidRPr="00952DAB" w:rsidRDefault="00952DAB" w:rsidP="00703FD2">
            <w:pPr>
              <w:ind w:firstLine="0"/>
              <w:rPr>
                <w:rFonts w:eastAsiaTheme="minorEastAsia"/>
                <w:sz w:val="30"/>
                <w:szCs w:val="30"/>
              </w:rPr>
            </w:pPr>
            <w:r w:rsidRPr="00952DAB">
              <w:rPr>
                <w:sz w:val="30"/>
                <w:szCs w:val="30"/>
              </w:rPr>
              <w:t>Pigmented spots on the cheek</w:t>
            </w:r>
          </w:p>
        </w:tc>
        <w:tc>
          <w:tcPr>
            <w:tcW w:w="7967" w:type="dxa"/>
          </w:tcPr>
          <w:p w14:paraId="655033B5" w14:textId="77777777" w:rsidR="00952DAB" w:rsidRPr="00FF400C" w:rsidRDefault="00952DAB" w:rsidP="00952DAB">
            <w:pPr>
              <w:pStyle w:val="ListParagraph"/>
              <w:numPr>
                <w:ilvl w:val="0"/>
                <w:numId w:val="1"/>
              </w:numPr>
              <w:rPr>
                <w:sz w:val="30"/>
                <w:szCs w:val="30"/>
              </w:rPr>
            </w:pPr>
            <w:r w:rsidRPr="00FF400C">
              <w:rPr>
                <w:sz w:val="30"/>
                <w:szCs w:val="30"/>
              </w:rPr>
              <w:t>Vital for axon formation and glomerular function</w:t>
            </w:r>
            <w:r w:rsidRPr="00FF400C">
              <w:rPr>
                <w:rFonts w:eastAsiaTheme="minorEastAsia"/>
                <w:sz w:val="30"/>
                <w:szCs w:val="30"/>
              </w:rPr>
              <w:t xml:space="preserve"> </w:t>
            </w:r>
            <w:r w:rsidRPr="00FF400C">
              <w:rPr>
                <w:sz w:val="30"/>
                <w:szCs w:val="30"/>
              </w:rPr>
              <w:fldChar w:fldCharType="begin"/>
            </w:r>
            <w:r w:rsidRPr="00FF400C">
              <w:rPr>
                <w:sz w:val="30"/>
                <w:szCs w:val="30"/>
              </w:rPr>
              <w:instrText xml:space="preserve"> ADDIN ZOTERO_ITEM CSL_CITATION {"citationID":"ZPgB6UJO","properties":{"formattedCitation":"(L\\uc0\\u243{}pez Tob\\uc0\\u243{}n et al. 2018; Matsuda et al. 2020)","plainCitation":"(López Tobón et al. 2018; Matsuda et al. 2020)","noteIndex":0},"citationItems":[{"id":2854,"uris":["http://zotero.org/users/14079873/items/KWTX3CSM"],"itemData":{"id":2854,"type":"article-journal","abstract":"The characteristic six layers of the mammalian neocortex develop sequentially as neurons are generated by neural progenitors and subsequently migrate past older neurons to their final position in the cortical plate. One of the earliest steps of neuronal differentiation is the formation of an axon. Small GTPases play essential roles during this process by regulating cytoskeletal dynamics and intracellular trafficking. While the function of GTPases has been studied extensively in cultured neurons and in vivo much less is known about their upstream regulators. Here we show that Arhgef7 (also called βPix or Cool1) is essential for axon formation during cortical development. The loss of Arhgef7 results in an extensive loss of axons in cultured neurons and in the developing cortex. Arhgef7 is a guanine-nucleotide exchange factor (GEF) for Cdc42, a GTPase that has a central role in directing the formation of axons during brain development. However, active Cdc42 was not able to rescue the knockdown of Arhgef7. We show that Arhgef7 interacts with the GTPase TC10 that is closely related to Cdc42. Expression of active TC10 can restore the ability to extend axons in Arhgef7-deficient neurons. Our results identify an essential role of Arhgef7 during neuronal development that promotes axon formation upstream of TC10.","container-title":"Scientific Reports","DOI":"10.1038/s41598-018-27081-1","ISSN":"2045-2322","issue":"1","journalAbbreviation":"Sci Rep","language":"en","license":"2018 The Author(s)","note":"publisher: Nature Publishing Group","page":"8811","source":"www.nature.com","title":"The guanine nucleotide exchange factor Arhgef7/βPix promotes axon formation upstream of TC10","volume":"8","author":[{"family":"López Tobón","given":"Alejandro"},{"family":"Suresh","given":"Megalakshmi"},{"family":"Jin","given":"Jing"},{"family":"Vitriolo","given":"Alessandro"},{"family":"Pietralla","given":"Thorben"},{"family":"Tedford","given":"Kerry"},{"family":"Bossenz","given":"Michael"},{"family":"Mahnken","given":"Kristina"},{"family":"Kiefer","given":"Friedemann"},{"family":"Testa","given":"Giuseppe"},{"family":"Fischer","given":"Klaus-Dieter"},{"family":"Püschel","given":"Andreas W."}],"issued":{"date-parts":[["2018",6,11]]}}},{"id":2856,"uris":["http://zotero.org/users/14079873/items/W24SVEJE"],"itemData":{"id":2856,"type":"article-journal","abstract":"Dysregulation of Cdc42 and other members of the Rho family of small GTPases in podocytes contributes to the pathogenesis of proteinuria. However, the upstream regulatory mechanisms for Cdc42 activity in podocytes are largely unknown. The authors identified ARHGEF7 (commonly known as β-PIX) as a predominant guanine nucleotide exchange factor and activator of Cdc42 in podocytes. They also demonstrated that β-PIX is required for the maintenance of podocyte architecture and glomerular function via Cdc42 and its downstream effects on Yes-associated protein (YAP) activity. Elucidating the precise details of how numerous regulatory proteins maintain the delicate balance of Rho GTPases in podocytes will be essential in understanding the pathogenesis of proteinuric glomerular diseases and identifying therapeutic targets.,","container-title":"Journal of the American Society of Nephrology : JASN","DOI":"10.1681/ASN.2019090982","ISSN":"1046-6673","issue":"5","journalAbbreviation":"J Am Soc Nephrol","note":"PMID: 32188698\nPMCID: PMC7217415","page":"996-1008","source":"PubMed Central","title":"ARHGEF7 (β-PIX) Is Required for the Maintenance of Podocyte Architecture and Glomerular Function","volume":"31","author":[{"family":"Matsuda","given":"Jun"},{"family":"Maier","given":"Mirela"},{"family":"Aoudjit","given":"Lamine"},{"family":"Baldwin","given":"Cindy"},{"family":"Takano","given":"Tomoko"}],"issued":{"date-parts":[["2020",5]]}}}],"schema":"https://github.com/citation-style-language/schema/raw/master/csl-citation.json"} </w:instrText>
            </w:r>
            <w:r w:rsidRPr="00FF400C">
              <w:rPr>
                <w:sz w:val="30"/>
                <w:szCs w:val="30"/>
              </w:rPr>
              <w:fldChar w:fldCharType="separate"/>
            </w:r>
            <w:r w:rsidRPr="00FF400C">
              <w:rPr>
                <w:sz w:val="30"/>
                <w:szCs w:val="30"/>
              </w:rPr>
              <w:t>(López Tobón et al. 2018; Matsuda et al. 2020)</w:t>
            </w:r>
            <w:r w:rsidRPr="00FF400C">
              <w:rPr>
                <w:sz w:val="30"/>
                <w:szCs w:val="30"/>
              </w:rPr>
              <w:fldChar w:fldCharType="end"/>
            </w:r>
            <w:r w:rsidRPr="00FF400C">
              <w:rPr>
                <w:rFonts w:eastAsiaTheme="minorEastAsia"/>
                <w:sz w:val="30"/>
                <w:szCs w:val="30"/>
              </w:rPr>
              <w:t>.</w:t>
            </w:r>
          </w:p>
        </w:tc>
      </w:tr>
      <w:tr w:rsidR="00952DAB" w:rsidRPr="00952DAB" w14:paraId="1A49E6C9" w14:textId="77777777" w:rsidTr="00703FD2">
        <w:tc>
          <w:tcPr>
            <w:tcW w:w="2675" w:type="dxa"/>
          </w:tcPr>
          <w:p w14:paraId="3979F3A5" w14:textId="77777777" w:rsidR="00952DAB" w:rsidRPr="00952DAB" w:rsidRDefault="00952DAB" w:rsidP="00703FD2">
            <w:pPr>
              <w:ind w:firstLine="0"/>
              <w:rPr>
                <w:i/>
                <w:iCs/>
                <w:sz w:val="30"/>
                <w:szCs w:val="30"/>
              </w:rPr>
            </w:pPr>
            <w:r w:rsidRPr="00952DAB">
              <w:rPr>
                <w:i/>
                <w:iCs/>
                <w:sz w:val="30"/>
                <w:szCs w:val="30"/>
              </w:rPr>
              <w:t>CAB39L</w:t>
            </w:r>
          </w:p>
        </w:tc>
        <w:tc>
          <w:tcPr>
            <w:tcW w:w="1365" w:type="dxa"/>
          </w:tcPr>
          <w:p w14:paraId="1684DCBB" w14:textId="77777777" w:rsidR="00952DAB" w:rsidRPr="00952DAB" w:rsidRDefault="00952DAB" w:rsidP="00703FD2">
            <w:pPr>
              <w:ind w:firstLine="0"/>
              <w:rPr>
                <w:sz w:val="30"/>
                <w:szCs w:val="30"/>
              </w:rPr>
            </w:pPr>
            <w:r w:rsidRPr="00952DAB">
              <w:rPr>
                <w:sz w:val="30"/>
                <w:szCs w:val="30"/>
              </w:rPr>
              <w:t>rs2407616</w:t>
            </w:r>
          </w:p>
        </w:tc>
        <w:tc>
          <w:tcPr>
            <w:tcW w:w="1985" w:type="dxa"/>
          </w:tcPr>
          <w:p w14:paraId="0214B8F8" w14:textId="77777777" w:rsidR="00952DAB" w:rsidRPr="00952DAB" w:rsidRDefault="00952DAB" w:rsidP="00703FD2">
            <w:pPr>
              <w:ind w:firstLine="0"/>
              <w:rPr>
                <w:rFonts w:eastAsiaTheme="minorEastAsia"/>
                <w:sz w:val="30"/>
                <w:szCs w:val="30"/>
              </w:rPr>
            </w:pPr>
            <w:r w:rsidRPr="00952DAB">
              <w:rPr>
                <w:rFonts w:eastAsiaTheme="minorEastAsia"/>
                <w:sz w:val="30"/>
                <w:szCs w:val="30"/>
              </w:rPr>
              <w:t>Sagging</w:t>
            </w:r>
          </w:p>
        </w:tc>
        <w:tc>
          <w:tcPr>
            <w:tcW w:w="7967" w:type="dxa"/>
          </w:tcPr>
          <w:p w14:paraId="7008BD0F" w14:textId="1AFA8E99" w:rsidR="00952DAB" w:rsidRPr="00FF400C" w:rsidRDefault="00952DAB" w:rsidP="00952DAB">
            <w:pPr>
              <w:pStyle w:val="ListParagraph"/>
              <w:numPr>
                <w:ilvl w:val="0"/>
                <w:numId w:val="2"/>
              </w:numPr>
              <w:rPr>
                <w:sz w:val="30"/>
                <w:szCs w:val="30"/>
              </w:rPr>
            </w:pPr>
            <w:r w:rsidRPr="00FF400C">
              <w:rPr>
                <w:rFonts w:eastAsiaTheme="minorEastAsia"/>
                <w:sz w:val="30"/>
                <w:szCs w:val="30"/>
              </w:rPr>
              <w:t xml:space="preserve">Function as </w:t>
            </w:r>
            <w:r w:rsidR="00FF400C">
              <w:rPr>
                <w:rFonts w:eastAsiaTheme="minorEastAsia"/>
                <w:sz w:val="30"/>
                <w:szCs w:val="30"/>
              </w:rPr>
              <w:t xml:space="preserve">a </w:t>
            </w:r>
            <w:r w:rsidRPr="00FF400C">
              <w:rPr>
                <w:rFonts w:eastAsiaTheme="minorEastAsia"/>
                <w:sz w:val="30"/>
                <w:szCs w:val="30"/>
              </w:rPr>
              <w:t xml:space="preserve">novel tumour suppressor in gastric cancer </w:t>
            </w:r>
            <w:r w:rsidRPr="00FF400C">
              <w:rPr>
                <w:rFonts w:eastAsiaTheme="minorEastAsia"/>
                <w:sz w:val="30"/>
                <w:szCs w:val="30"/>
              </w:rPr>
              <w:fldChar w:fldCharType="begin"/>
            </w:r>
            <w:r w:rsidRPr="00FF400C">
              <w:rPr>
                <w:rFonts w:eastAsiaTheme="minorEastAsia"/>
                <w:sz w:val="30"/>
                <w:szCs w:val="30"/>
              </w:rPr>
              <w:instrText xml:space="preserve"> ADDIN ZOTERO_ITEM CSL_CITATION {"citationID":"WpIVAtkP","properties":{"formattedCitation":"(Li et al. 2018)","plainCitation":"(Li et al. 2018)","noteIndex":0},"citationItems":[{"id":3103,"uris":["http://zotero.org/users/14079873/items/ED89NPPN"],"itemData":{"id":3103,"type":"article-journal","abstract":"Metabolic dysfunction is a hallmark of gastric cancer (GC). In this study, we reported the identification of Calcium Binding Protein 39-Like (CAB39L) as a novel regulator of tumor metabolism in GC. CAB39L mRNA was frequently silenced by promoter methylation in GC cell lines and tissues. Functional studies suggested that CAB39L functions as a tumor suppressor, as overexpression of CAB39L elicited suppression of multiple cancer phenotypes both in GC cells and an orthotopic mouse model; whilst its knockdown promoted tumorigenesis. Mechanistically, CAB39L interacted with LKB1-STRAD complex and induced LKB1, leading to the phosphorylation and activation of AMPKα/β. LKB1-AMPK activation in GC cell lines was tumor suppressive, as metformin (an AMPK activator) inhibited GC cell growth in the CAB39L-silenced cells. Moreover, knockdown of LKB1 reversed growth inhibitory effect of CAB39L, indicating that tumor suppression by CAB39L depended on LKB1-AMPK. RNAseq and gene set enrichment analysis revealed that CAB39L was closely correlated with oxidative phosphorylation and mitochondrial biogenesis. Consistently, CAB39L-induced p-AMPK elicited PGC1α phosphorylation and increased the expression of genes involved in mitochondrial respiration complexes. Accordingly, CAB39L reversed the Warburg effect in GC, as evidenced by enhanced oxygen consumption rate and reduced extracellular acidification rate; inversely, CAB39L knockdown promoted a metabolic shift towards the Warburg phenotype. In GC patients, CAB39L promoter hypermethylation was correlated with poor prognosis. Our data demonstrate that CAB39L is a novel tumor suppressor which suppresses tumorigenesis by promoting LKB1-AMPK-PGC1α axis, thereby preventing a metabolic shift that drives carcinogenesis. CAB39L methylation is a potential prognostic biomarker for GC patients.","container-title":"Oncogene","DOI":"10.1038/s41388-018-0402-1","ISSN":"1476-5594","issue":"50","journalAbbreviation":"Oncogene","language":"eng","note":"PMID: 30054562\nPMCID: PMC6296350","page":"6383-6398","source":"PubMed","title":"CAB39L elicited an anti-Warburg effect via a LKB1-AMPK-PGC1α axis to inhibit gastric tumorigenesis","volume":"37","author":[{"family":"Li","given":"Weilin"},{"family":"Wong","given":"Chi Chun"},{"family":"Zhang","given":"Xiaoming"},{"family":"Kang","given":"Wei"},{"family":"Nakatsu","given":"Geicho"},{"family":"Zhao","given":"Qinfu"},{"family":"Chen","given":"Huarong"},{"family":"Go","given":"Minnie Yin Yin"},{"family":"Chiu","given":"Philip Wai Yan"},{"family":"Wang","given":"Xiaohong"},{"family":"Ji","given":"Jiafu"},{"family":"Li","given":"Xiaona"},{"family":"Cai","given":"Zongwei"},{"family":"Ng","given":"Enders Kwok Wai"},{"family":"Yu","given":"Jun"}],"issued":{"date-parts":[["2018",12]]}}}],"schema":"https://github.com/citation-style-language/schema/raw/master/csl-citation.json"} </w:instrText>
            </w:r>
            <w:r w:rsidRPr="00FF400C">
              <w:rPr>
                <w:rFonts w:eastAsiaTheme="minorEastAsia"/>
                <w:sz w:val="30"/>
                <w:szCs w:val="30"/>
              </w:rPr>
              <w:fldChar w:fldCharType="separate"/>
            </w:r>
            <w:r w:rsidRPr="00FF400C">
              <w:rPr>
                <w:rFonts w:eastAsiaTheme="minorEastAsia"/>
                <w:sz w:val="30"/>
                <w:szCs w:val="30"/>
              </w:rPr>
              <w:t>(Li et al. 2018)</w:t>
            </w:r>
            <w:r w:rsidRPr="00FF400C">
              <w:rPr>
                <w:rFonts w:eastAsiaTheme="minorEastAsia"/>
                <w:sz w:val="30"/>
                <w:szCs w:val="30"/>
              </w:rPr>
              <w:fldChar w:fldCharType="end"/>
            </w:r>
            <w:r w:rsidRPr="00FF400C">
              <w:rPr>
                <w:rFonts w:eastAsiaTheme="minorEastAsia"/>
                <w:sz w:val="30"/>
                <w:szCs w:val="30"/>
              </w:rPr>
              <w:t>.</w:t>
            </w:r>
          </w:p>
        </w:tc>
      </w:tr>
      <w:tr w:rsidR="00952DAB" w:rsidRPr="00952DAB" w14:paraId="6AAB9099" w14:textId="77777777" w:rsidTr="00703FD2">
        <w:tc>
          <w:tcPr>
            <w:tcW w:w="2675" w:type="dxa"/>
          </w:tcPr>
          <w:p w14:paraId="20275AA7" w14:textId="77777777" w:rsidR="00952DAB" w:rsidRPr="00952DAB" w:rsidRDefault="00952DAB" w:rsidP="00703FD2">
            <w:pPr>
              <w:ind w:firstLine="0"/>
              <w:rPr>
                <w:i/>
                <w:iCs/>
                <w:sz w:val="30"/>
                <w:szCs w:val="30"/>
              </w:rPr>
            </w:pPr>
            <w:r w:rsidRPr="00952DAB">
              <w:rPr>
                <w:i/>
                <w:iCs/>
                <w:sz w:val="30"/>
                <w:szCs w:val="30"/>
              </w:rPr>
              <w:t xml:space="preserve">CBWD1 </w:t>
            </w:r>
          </w:p>
        </w:tc>
        <w:tc>
          <w:tcPr>
            <w:tcW w:w="1365" w:type="dxa"/>
          </w:tcPr>
          <w:p w14:paraId="20CD83E6" w14:textId="77777777" w:rsidR="00952DAB" w:rsidRPr="00952DAB" w:rsidRDefault="00952DAB" w:rsidP="00703FD2">
            <w:pPr>
              <w:ind w:firstLine="0"/>
              <w:rPr>
                <w:sz w:val="30"/>
                <w:szCs w:val="30"/>
              </w:rPr>
            </w:pPr>
            <w:r w:rsidRPr="00952DAB">
              <w:rPr>
                <w:sz w:val="30"/>
                <w:szCs w:val="30"/>
              </w:rPr>
              <w:t>rs478882</w:t>
            </w:r>
          </w:p>
        </w:tc>
        <w:tc>
          <w:tcPr>
            <w:tcW w:w="1985" w:type="dxa"/>
          </w:tcPr>
          <w:p w14:paraId="0749D01F" w14:textId="77777777" w:rsidR="00952DAB" w:rsidRPr="00952DAB" w:rsidRDefault="00952DAB" w:rsidP="00703FD2">
            <w:pPr>
              <w:ind w:firstLine="0"/>
              <w:rPr>
                <w:rFonts w:eastAsiaTheme="minorEastAsia"/>
                <w:sz w:val="30"/>
                <w:szCs w:val="30"/>
              </w:rPr>
            </w:pPr>
            <w:r w:rsidRPr="00952DAB">
              <w:rPr>
                <w:rFonts w:eastAsiaTheme="minorEastAsia"/>
                <w:sz w:val="30"/>
                <w:szCs w:val="30"/>
              </w:rPr>
              <w:t>Wrinkles</w:t>
            </w:r>
          </w:p>
        </w:tc>
        <w:tc>
          <w:tcPr>
            <w:tcW w:w="7967" w:type="dxa"/>
          </w:tcPr>
          <w:p w14:paraId="35C1E644" w14:textId="77777777" w:rsidR="00952DAB" w:rsidRPr="00FF400C" w:rsidRDefault="00952DAB" w:rsidP="00952DAB">
            <w:pPr>
              <w:pStyle w:val="ListParagraph"/>
              <w:numPr>
                <w:ilvl w:val="0"/>
                <w:numId w:val="2"/>
              </w:numPr>
              <w:rPr>
                <w:rFonts w:eastAsiaTheme="minorEastAsia"/>
                <w:sz w:val="30"/>
                <w:szCs w:val="30"/>
              </w:rPr>
            </w:pPr>
            <w:r w:rsidRPr="00FF400C">
              <w:rPr>
                <w:rFonts w:eastAsiaTheme="minorEastAsia"/>
                <w:sz w:val="30"/>
                <w:szCs w:val="30"/>
              </w:rPr>
              <w:t xml:space="preserve">Associated with melanoma susceptibility </w:t>
            </w:r>
            <w:r w:rsidRPr="00FF400C">
              <w:rPr>
                <w:rFonts w:eastAsiaTheme="minorEastAsia"/>
                <w:sz w:val="30"/>
                <w:szCs w:val="30"/>
              </w:rPr>
              <w:fldChar w:fldCharType="begin"/>
            </w:r>
            <w:r w:rsidRPr="00FF400C">
              <w:rPr>
                <w:rFonts w:eastAsiaTheme="minorEastAsia"/>
                <w:sz w:val="30"/>
                <w:szCs w:val="30"/>
              </w:rPr>
              <w:instrText xml:space="preserve"> ADDIN ZOTERO_ITEM CSL_CITATION {"citationID":"tTnig2nx","properties":{"formattedCitation":"(Zhang et al. 2018)","plainCitation":"(Zhang et al. 2018)","noteIndex":0},"citationItems":[{"id":3133,"uris":["http://zotero.org/users/14079873/items/7TW74R5R"],"itemData":{"id":3133,"type":"article-journal","abstract":"Most expression quantitative trait locus (eQTL) studies to date have been performed in heterogeneous tissues as opposed to specific cell types. To better understand the cell-type–specific regulatory landscape of human melanocytes, which give rise to melanoma but account for &lt;5% of typical human skin biopsies, we performed an eQTL analysis in primary melanocyte cultures from 106 newborn males. We identified 597,335 cis-eQTL SNPs prior to linkage disequilibrium (LD) pruning and 4997 eGenes (FDR &lt; 0.05). Melanocyte eQTLs differed considerably from those identified in the 44 GTEx tissue types, including skin. Over a third of melanocyte eGenes, including key genes in melanin synthesis pathways, were unique to melanocytes compared to those of GTEx skin tissues or TCGA melanomas. The melanocyte data set also identified trans-eQTLs, including those connecting a pigmentation-associated functional SNP with four genes, likely through cis-regulation of IRF4. Melanocyte eQTLs are enriched in cis-regulatory signatures found in melanocytes as well as in melanoma-associated variants identified through genome-wide association studies. Melanocyte eQTLs also colocalized with melanoma GWAS variants in five known loci. Finally, a transcriptome-wide association study using melanocyte eQTLs uncovered four novel susceptibility loci, where imputed expression levels of five genes (ZFP90, HEBP1, MSC, CBWD1, and RP11-383H13.1) were associated with melanoma at genome-wide significant P-values. Our data highlight the utility of lineage-specific eQTL resources for annotating GWAS findings, and present a robust database for genomic research of melanoma risk and melanocyte biology.","container-title":"Genome Research","DOI":"10.1101/gr.233304.117","ISSN":"1088-9051","issue":"11","journalAbbreviation":"Genome Res","note":"PMID: 30333196\nPMCID: PMC6211648","page":"1621-1635","source":"PubMed Central","title":"Cell-type–specific eQTL of primary melanocytes facilitates identification of melanoma susceptibility genes","volume":"28","author":[{"family":"Zhang","given":"Tongwu"},{"family":"Choi","given":"Jiyeon"},{"family":"Kovacs","given":"Michael A."},{"family":"Shi","given":"Jianxin"},{"family":"Xu","given":"Mai"},{"family":"Goldstein","given":"Alisa M."},{"family":"Trower","given":"Adam J."},{"family":"Bishop","given":"D. Timothy"},{"family":"Iles","given":"Mark M."},{"family":"Duffy","given":"David L."},{"family":"MacGregor","given":"Stuart"},{"family":"Amundadottir","given":"Laufey T."},{"family":"Law","given":"Matthew H."},{"family":"Loftus","given":"Stacie K."},{"family":"Pavan","given":"William J."},{"family":"Brown","given":"Kevin M."}],"issued":{"date-parts":[["2018",11]]}}}],"schema":"https://github.com/citation-style-language/schema/raw/master/csl-citation.json"} </w:instrText>
            </w:r>
            <w:r w:rsidRPr="00FF400C">
              <w:rPr>
                <w:rFonts w:eastAsiaTheme="minorEastAsia"/>
                <w:sz w:val="30"/>
                <w:szCs w:val="30"/>
              </w:rPr>
              <w:fldChar w:fldCharType="separate"/>
            </w:r>
            <w:r w:rsidRPr="00FF400C">
              <w:rPr>
                <w:rFonts w:eastAsiaTheme="minorEastAsia"/>
                <w:sz w:val="30"/>
                <w:szCs w:val="30"/>
              </w:rPr>
              <w:t>(Zhang et al. 2018)</w:t>
            </w:r>
            <w:r w:rsidRPr="00FF400C">
              <w:rPr>
                <w:rFonts w:eastAsiaTheme="minorEastAsia"/>
                <w:sz w:val="30"/>
                <w:szCs w:val="30"/>
              </w:rPr>
              <w:fldChar w:fldCharType="end"/>
            </w:r>
            <w:r w:rsidRPr="00FF400C">
              <w:rPr>
                <w:rFonts w:eastAsiaTheme="minorEastAsia"/>
                <w:sz w:val="30"/>
                <w:szCs w:val="30"/>
              </w:rPr>
              <w:t>.</w:t>
            </w:r>
          </w:p>
        </w:tc>
      </w:tr>
      <w:tr w:rsidR="00952DAB" w:rsidRPr="00952DAB" w14:paraId="21608D9C" w14:textId="77777777" w:rsidTr="00703FD2">
        <w:tc>
          <w:tcPr>
            <w:tcW w:w="2675" w:type="dxa"/>
          </w:tcPr>
          <w:p w14:paraId="52D72BE0" w14:textId="77777777" w:rsidR="00952DAB" w:rsidRPr="00952DAB" w:rsidRDefault="00952DAB" w:rsidP="00703FD2">
            <w:pPr>
              <w:ind w:firstLine="0"/>
              <w:rPr>
                <w:rFonts w:eastAsiaTheme="minorEastAsia"/>
                <w:i/>
                <w:iCs/>
                <w:sz w:val="30"/>
                <w:szCs w:val="30"/>
              </w:rPr>
            </w:pPr>
            <w:r w:rsidRPr="00952DAB">
              <w:rPr>
                <w:i/>
                <w:iCs/>
                <w:sz w:val="30"/>
                <w:szCs w:val="30"/>
              </w:rPr>
              <w:t>CDC42BPA</w:t>
            </w:r>
          </w:p>
        </w:tc>
        <w:tc>
          <w:tcPr>
            <w:tcW w:w="1365" w:type="dxa"/>
          </w:tcPr>
          <w:p w14:paraId="23BB189A" w14:textId="77777777" w:rsidR="00952DAB" w:rsidRPr="00952DAB" w:rsidRDefault="00952DAB" w:rsidP="00703FD2">
            <w:pPr>
              <w:ind w:firstLine="0"/>
              <w:rPr>
                <w:rFonts w:eastAsiaTheme="minorEastAsia"/>
                <w:sz w:val="30"/>
                <w:szCs w:val="30"/>
              </w:rPr>
            </w:pPr>
            <w:r w:rsidRPr="00952DAB">
              <w:rPr>
                <w:sz w:val="30"/>
                <w:szCs w:val="30"/>
              </w:rPr>
              <w:t>rs4653497</w:t>
            </w:r>
          </w:p>
        </w:tc>
        <w:tc>
          <w:tcPr>
            <w:tcW w:w="1985" w:type="dxa"/>
          </w:tcPr>
          <w:p w14:paraId="5BAB98D2" w14:textId="77777777" w:rsidR="00952DAB" w:rsidRPr="00952DAB" w:rsidRDefault="00952DAB" w:rsidP="00703FD2">
            <w:pPr>
              <w:ind w:firstLine="0"/>
              <w:rPr>
                <w:rFonts w:eastAsiaTheme="minorEastAsia"/>
                <w:sz w:val="30"/>
                <w:szCs w:val="30"/>
              </w:rPr>
            </w:pPr>
            <w:r w:rsidRPr="00952DAB">
              <w:rPr>
                <w:sz w:val="30"/>
                <w:szCs w:val="30"/>
              </w:rPr>
              <w:t>Pigmentation</w:t>
            </w:r>
          </w:p>
        </w:tc>
        <w:tc>
          <w:tcPr>
            <w:tcW w:w="7967" w:type="dxa"/>
          </w:tcPr>
          <w:p w14:paraId="61129810" w14:textId="77777777" w:rsidR="00952DAB" w:rsidRPr="00FF400C" w:rsidRDefault="00952DAB" w:rsidP="00952DAB">
            <w:pPr>
              <w:pStyle w:val="ListParagraph"/>
              <w:numPr>
                <w:ilvl w:val="0"/>
                <w:numId w:val="2"/>
              </w:numPr>
              <w:rPr>
                <w:sz w:val="30"/>
                <w:szCs w:val="30"/>
              </w:rPr>
            </w:pPr>
            <w:r w:rsidRPr="00FF400C">
              <w:rPr>
                <w:i/>
                <w:iCs/>
                <w:sz w:val="30"/>
                <w:szCs w:val="30"/>
              </w:rPr>
              <w:t>CDC42BPA</w:t>
            </w:r>
            <w:r w:rsidRPr="00FF400C">
              <w:rPr>
                <w:sz w:val="30"/>
                <w:szCs w:val="30"/>
              </w:rPr>
              <w:t xml:space="preserve"> encodes serine/threonine protein kinase MRCK, a downstream effector of CDC42, a protein involved in cell cycle regulation </w:t>
            </w:r>
            <w:r w:rsidRPr="00FF400C">
              <w:rPr>
                <w:sz w:val="30"/>
                <w:szCs w:val="30"/>
              </w:rPr>
              <w:fldChar w:fldCharType="begin"/>
            </w:r>
            <w:r w:rsidRPr="00FF400C">
              <w:rPr>
                <w:sz w:val="30"/>
                <w:szCs w:val="30"/>
              </w:rPr>
              <w:instrText xml:space="preserve"> ADDIN ZOTERO_ITEM CSL_CITATION {"citationID":"YZUgTVxR","properties":{"formattedCitation":"(Perumal et al. 2016)","plainCitation":"(Perumal et al. 2016)","noteIndex":0},"citationItems":[{"id":3040,"uris":["http://zotero.org/users/14079873/items/M2DN2GQ7"],"itemData":{"id":3040,"type":"article-journal","abstract":"Multiple Myeloma (MM) is a genetically complex malignancy arising from bone marrow plasma cells with 30,000 new cases reported every year in the US. It is characterized by heterogeneity in clinical presentation and response to treatment. Next generation sequencing (NGS) technologies have enabled a deeper insight into cancer genomes and transcriptomes at an unprecedented level of detail. MMRF CoMMpass is a longitudinal, prospective observational study that aims to collect and analyze sequencing and clinical data from &gt;1,000 MM patients at initial diagnosis and at relapse. Such effort providesa unique opportunity to improve our knowledge of MM pathogenesis and identify novel mechanisms that drive disease progression as well as genomic aberrations that underlie them. We have developed MMnet, an integrative network model of MM based on 450 RNA-Seq samples from the IA7 release of CoMMpass. By using Weighted Gene Co-expression Network Analysis (WGCNA), we defined 37 modules of co-expressed genes, that were further characterized by functional enrichment analysis and correlation with genetic alterations inferred from Whole-Exome (WXS) and Whole-Genome data (WGS) and with clinical traits. For each module, we calculated intra-module connectivity to identify highly connected \"hub\" genes that represent likely control points for biological processes. The results of our analysis revealed several module hub genes that were not previously associated to MM. Specifically, CDC42BPA and CLEC11A were hub genes of a module strongly up-regulated in patients carrying t(4;14) translocation involving MMSET and FGFR3, and associated to rISS stage III and FGFR3 mutations. The t(4;14) translocation observed in ~15% of newly diagnosed MM patients is associated with very poor prognosis. This translocation was observed in 48/450 patients in the CoMMpass cohort (≈10%). MMSET and FGFR3 are considered oncogenic drivers in t(4;14) myeloma and are currently being investigated as therapeutic targets. Given the prognostic and therapeutic importance of these genes and the unknown role of hub genes in MM pathogenesis, we sought to determine the biological significance of CDC42BPA and CLEC11A and whether they played a regulatory role in t(4;14) myeloma. CDC42BPA encodes serine/threonine protein kinase MRCK, which is a downstream effector of CDC42, a protein involved in cell cycle regulation. CLEC11A is a member of the C-type lectin superfamily, which includes several genes responsible for modulation of specific immune response to pathogens in dendritic cells and is involved in cell adhesion and cell communication. We selected two MM cell lines expressing MMSET and whose profile was concordant with module activation: KMS-11 and KMS-26. KMS-11 also carried t(4;14) and an activating mutation in FGFR3 (Y373C). We depleted CDC42BPA and CLEC11A by transient transfection of siRNA and assayed protein levels as well as cell viability. In both cell lines, western blot confirmed depletion of siRNA target proteins and revealed decreased expression of MMSET and its interactor NFkB as compared to scrambled controls. Cell viability (CellTitre Blue) assay showed a decrease in the number of viable cells by 60% at 72h following depletion of CLEC11A and by 55% at 72h following depletion of CDC42BPA as compared to control cells. As knockdown of MMSET was previously reported to induce apoptosis in MM cells, we next asked whether knockdown of CDC42BPA and CLEC11A had a similar impact. There was a significant increase of about 30-60% in the fraction of Annexin V-positive cells in siRNA-transfected cells compared with controls, consistent with the induction of apoptosis as examined by AnnexinV/PI staining. These results confirmed the central role of CDC42BPA and CLEC11A as potential regulators of MMSET in MM cell survival and regulation. These genes are therefore novel drug targets for treating t(4;14) myeloma. Future investigations will aim at determining the biological mechanisms by which CDC42BPA and CLEC11A regulate MMSET. In summary, our network analysis of the CoMMpass dataset uncovered novel and complex patterns of genomic perturbation, specifically novel key driver genes of myeloma network modules with further implications for identification and targeting of hub genes in gene co-expression networks.\nDisclosures\nChari: Amgen Inc.: Honoraria, Research Funding; Pharmacyclics: Research Funding; Array Biopharma: Consultancy, Research Funding; Takeda: Consultancy, Research Funding; Celgene: Consultancy, Research Funding; Novartis: Consultancy, Research Funding; Janssen: Consultancy, Research Funding. Cho: Genentech Roche: Membership on an entity’s Board of Directors or advisory committees, Research Funding; Agenus, Inc.: Research Funding; Bristol-Myers Squibb: Membership on an entity’s Board of Directors or advisory committees, Research Funding; Ludwig Institute for Cancer Research: Membership on an entity’s Board of Directors or advisory committees; Janssen: Consultancy, Research Funding. Barlogie: Signal Genetics: Patents &amp; Royalties. Jagannath: Novartis: Consultancy; Merck: Consultancy; Celgene: Consultancy; Janssen: Consultancy; Bristol-Myers Squibb: Consultancy. Dudley: Janssen Pharmaceuticals, Inc.: Consultancy; AstraZeneca: Speakers Bureau; NuMedii, Inc.: Equity Ownership; Ayasdi, Inc.: Equity Ownership; Ecoeos, Inc.: Equity Ownership; Ontomics, Inc.: Equity Ownership; NuMedii, Inc.: Patents &amp; Royalties; Personalis: Patents &amp; Royalties; GlaxoSmithKline: Consultancy.","container-title":"Blood","DOI":"10.1182/blood.V128.22.802.802","ISSN":"0006-4971","issue":"22","journalAbbreviation":"Blood","page":"802","source":"ScienceDirect","title":"Network Modeling Reveals &lt;i&gt;CDC42BPA&lt;/i&gt; and &lt;i&gt;CLEC11A&lt;/i&gt; As Novel Driver Genes of t(4; 14) Multiple Myeloma","volume":"128","author":[{"family":"Perumal","given":"Deepak"},{"family":"Lagana'","given":"Alessandro"},{"family":"Melnekoff","given":"David"},{"family":"Readhead","given":"Ben"},{"family":"Kidd","given":"Brian"},{"family":"Leshchenko","given":"Violetta V"},{"family":"Kuo","given":"Pei-Yu"},{"family":"Yesil","given":"Jennifer"},{"family":"Derome","given":"Mary"},{"family":"Auclair","given":"Daniel"},{"family":"Madduri","given":"Deepu"},{"family":"Chari","given":"Ajai"},{"family":"Cho","given":"Hearn Jay"},{"family":"Barlogie","given":"Bart"},{"family":"Jagannath","given":"Sundar"},{"family":"Dudley","given":"Joel"},{"family":"Parekh","given":"Samir"}],"issued":{"date-parts":[["2016",12,2]]}}}],"schema":"https://github.com/citation-style-language/schema/raw/master/csl-citation.json"} </w:instrText>
            </w:r>
            <w:r w:rsidRPr="00FF400C">
              <w:rPr>
                <w:sz w:val="30"/>
                <w:szCs w:val="30"/>
              </w:rPr>
              <w:fldChar w:fldCharType="separate"/>
            </w:r>
            <w:r w:rsidRPr="00FF400C">
              <w:rPr>
                <w:sz w:val="30"/>
                <w:szCs w:val="30"/>
              </w:rPr>
              <w:t>(Perumal et al. 2016)</w:t>
            </w:r>
            <w:r w:rsidRPr="00FF400C">
              <w:rPr>
                <w:sz w:val="30"/>
                <w:szCs w:val="30"/>
              </w:rPr>
              <w:fldChar w:fldCharType="end"/>
            </w:r>
            <w:r w:rsidRPr="00FF400C">
              <w:rPr>
                <w:sz w:val="30"/>
                <w:szCs w:val="30"/>
              </w:rPr>
              <w:t>. </w:t>
            </w:r>
          </w:p>
        </w:tc>
      </w:tr>
      <w:tr w:rsidR="00952DAB" w:rsidRPr="00952DAB" w14:paraId="6F6BCD1B" w14:textId="77777777" w:rsidTr="00703FD2">
        <w:tc>
          <w:tcPr>
            <w:tcW w:w="2675" w:type="dxa"/>
          </w:tcPr>
          <w:p w14:paraId="10254D73" w14:textId="77777777" w:rsidR="00952DAB" w:rsidRPr="00952DAB" w:rsidRDefault="00952DAB" w:rsidP="00703FD2">
            <w:pPr>
              <w:ind w:firstLine="0"/>
              <w:rPr>
                <w:i/>
                <w:iCs/>
                <w:sz w:val="30"/>
                <w:szCs w:val="30"/>
              </w:rPr>
            </w:pPr>
            <w:r w:rsidRPr="00952DAB">
              <w:rPr>
                <w:i/>
                <w:iCs/>
                <w:sz w:val="30"/>
                <w:szCs w:val="30"/>
              </w:rPr>
              <w:t>CENPBD1</w:t>
            </w:r>
          </w:p>
        </w:tc>
        <w:tc>
          <w:tcPr>
            <w:tcW w:w="1365" w:type="dxa"/>
          </w:tcPr>
          <w:p w14:paraId="0218FBF7" w14:textId="77777777" w:rsidR="00952DAB" w:rsidRPr="00952DAB" w:rsidRDefault="00952DAB" w:rsidP="00703FD2">
            <w:pPr>
              <w:ind w:firstLine="0"/>
              <w:rPr>
                <w:sz w:val="30"/>
                <w:szCs w:val="30"/>
              </w:rPr>
            </w:pPr>
            <w:r w:rsidRPr="00952DAB">
              <w:rPr>
                <w:sz w:val="30"/>
                <w:szCs w:val="30"/>
              </w:rPr>
              <w:t>rs139810560</w:t>
            </w:r>
          </w:p>
        </w:tc>
        <w:tc>
          <w:tcPr>
            <w:tcW w:w="1985" w:type="dxa"/>
          </w:tcPr>
          <w:p w14:paraId="1386D547" w14:textId="77777777" w:rsidR="00952DAB" w:rsidRPr="00952DAB" w:rsidRDefault="00952DAB" w:rsidP="00703FD2">
            <w:pPr>
              <w:ind w:firstLine="0"/>
              <w:rPr>
                <w:sz w:val="30"/>
                <w:szCs w:val="30"/>
              </w:rPr>
            </w:pPr>
            <w:r w:rsidRPr="00952DAB">
              <w:rPr>
                <w:sz w:val="30"/>
                <w:szCs w:val="30"/>
              </w:rPr>
              <w:t>Pigmented spots</w:t>
            </w:r>
          </w:p>
        </w:tc>
        <w:tc>
          <w:tcPr>
            <w:tcW w:w="7967" w:type="dxa"/>
          </w:tcPr>
          <w:p w14:paraId="36B0AE28" w14:textId="77777777" w:rsidR="00952DAB" w:rsidRPr="00FF400C" w:rsidRDefault="00952DAB" w:rsidP="00952DAB">
            <w:pPr>
              <w:pStyle w:val="ListParagraph"/>
              <w:numPr>
                <w:ilvl w:val="0"/>
                <w:numId w:val="2"/>
              </w:numPr>
              <w:rPr>
                <w:sz w:val="30"/>
                <w:szCs w:val="30"/>
              </w:rPr>
            </w:pPr>
            <w:r w:rsidRPr="00FF400C">
              <w:rPr>
                <w:sz w:val="30"/>
                <w:szCs w:val="30"/>
              </w:rPr>
              <w:t>No known function for CENBPD1</w:t>
            </w:r>
          </w:p>
          <w:p w14:paraId="33160934" w14:textId="77777777" w:rsidR="00952DAB" w:rsidRPr="00FF400C" w:rsidRDefault="00952DAB" w:rsidP="00952DAB">
            <w:pPr>
              <w:pStyle w:val="ListParagraph"/>
              <w:numPr>
                <w:ilvl w:val="0"/>
                <w:numId w:val="2"/>
              </w:numPr>
              <w:rPr>
                <w:sz w:val="30"/>
                <w:szCs w:val="30"/>
              </w:rPr>
            </w:pPr>
            <w:r w:rsidRPr="00FF400C">
              <w:rPr>
                <w:sz w:val="30"/>
                <w:szCs w:val="30"/>
              </w:rPr>
              <w:t xml:space="preserve">CENP-B stabilizes centromeric chromatin and ensures proper chromosome segregation </w:t>
            </w:r>
            <w:r w:rsidRPr="00FF400C">
              <w:rPr>
                <w:sz w:val="30"/>
                <w:szCs w:val="30"/>
              </w:rPr>
              <w:fldChar w:fldCharType="begin"/>
            </w:r>
            <w:r w:rsidRPr="00FF400C">
              <w:rPr>
                <w:sz w:val="30"/>
                <w:szCs w:val="30"/>
              </w:rPr>
              <w:instrText xml:space="preserve"> ADDIN ZOTERO_ITEM CSL_CITATION {"citationID":"sVIziXoG","properties":{"formattedCitation":"(Fachinetti et al. 2015)","plainCitation":"(Fachinetti et al. 2015)","noteIndex":0},"citationItems":[{"id":3121,"uris":["http://zotero.org/users/14079873/items/A3M8W5L9"],"itemData":{"id":3121,"type":"article-journal","abstract":"Human centromeres are specified by a stably inherited epigenetic mark that maintains centromere position and function through a two-step mechanism relying on self-templating centromeric chromatin assembled with the histone H3 variant CENP-A, followed by CENP-A-dependent nucleation of kinetochore assembly. Nevertheless, natural human centromeres are positioned within specific megabase chromosomal regions containing α-satellite DNA repeats, which contain binding sites for the DNA sequence specific binding protein CENP-B. We now demonstrate that CENP-B directly binds both CENP-A’s amino-terminal tail and CENP-C, a key nucleator of kinetochore assembly. DNA sequence-dependent binding of CENP-B within α-satellite repeats is required to stabilize optimal centromeric levels of CENP-C. Chromosomes bearing centromeres without bound CENP-B, including the human Y chromosome, are shown to missegregate in cells at rates several fold higher than chromosomes with CENP-B containing centromeres. These data demonstrate a DNA sequence-specific enhancement by CENP-B of the fidelity of epigenetically defined human centromere function.","container-title":"Developmental cell","DOI":"10.1016/j.devcel.2015.03.020","ISSN":"1534-5807","issue":"3","journalAbbreviation":"Dev Cell","note":"PMID: 25942623\nPMCID: PMC4421092","page":"314-327","source":"PubMed Central","title":"DNA sequence-specific binding of CENP-B enhances the fidelity of human centromere function","volume":"33","author":[{"family":"Fachinetti","given":"Daniele"},{"family":"Han","given":"Joo Seok"},{"family":"McMahon","given":"Moira A."},{"family":"Ly","given":"Peter"},{"family":"Abdullah","given":"Amira"},{"family":"Wong","given":"Alex J."},{"family":"Cleveland","given":"Don W."}],"issued":{"date-parts":[["2015",5,4]]}}}],"schema":"https://github.com/citation-style-language/schema/raw/master/csl-citation.json"} </w:instrText>
            </w:r>
            <w:r w:rsidRPr="00FF400C">
              <w:rPr>
                <w:sz w:val="30"/>
                <w:szCs w:val="30"/>
              </w:rPr>
              <w:fldChar w:fldCharType="separate"/>
            </w:r>
            <w:r w:rsidRPr="00FF400C">
              <w:rPr>
                <w:sz w:val="30"/>
                <w:szCs w:val="30"/>
              </w:rPr>
              <w:t>(Fachinetti et al. 2015)</w:t>
            </w:r>
            <w:r w:rsidRPr="00FF400C">
              <w:rPr>
                <w:sz w:val="30"/>
                <w:szCs w:val="30"/>
              </w:rPr>
              <w:fldChar w:fldCharType="end"/>
            </w:r>
            <w:r w:rsidRPr="00FF400C">
              <w:rPr>
                <w:sz w:val="30"/>
                <w:szCs w:val="30"/>
              </w:rPr>
              <w:t>.</w:t>
            </w:r>
          </w:p>
        </w:tc>
      </w:tr>
      <w:tr w:rsidR="00952DAB" w:rsidRPr="00952DAB" w14:paraId="1370949C" w14:textId="77777777" w:rsidTr="00703FD2">
        <w:tc>
          <w:tcPr>
            <w:tcW w:w="2675" w:type="dxa"/>
          </w:tcPr>
          <w:p w14:paraId="15A86E03" w14:textId="77777777" w:rsidR="00952DAB" w:rsidRPr="00952DAB" w:rsidRDefault="00952DAB" w:rsidP="00703FD2">
            <w:pPr>
              <w:ind w:firstLine="0"/>
              <w:rPr>
                <w:rFonts w:eastAsiaTheme="minorEastAsia"/>
                <w:i/>
                <w:iCs/>
                <w:sz w:val="30"/>
                <w:szCs w:val="30"/>
              </w:rPr>
            </w:pPr>
            <w:r w:rsidRPr="00952DAB">
              <w:rPr>
                <w:rFonts w:eastAsiaTheme="minorEastAsia"/>
                <w:i/>
                <w:iCs/>
                <w:sz w:val="30"/>
                <w:szCs w:val="30"/>
              </w:rPr>
              <w:t>CNTLN</w:t>
            </w:r>
          </w:p>
        </w:tc>
        <w:tc>
          <w:tcPr>
            <w:tcW w:w="1365" w:type="dxa"/>
          </w:tcPr>
          <w:p w14:paraId="79911D76" w14:textId="77777777" w:rsidR="00952DAB" w:rsidRPr="00952DAB" w:rsidRDefault="00952DAB" w:rsidP="00703FD2">
            <w:pPr>
              <w:ind w:firstLine="0"/>
              <w:rPr>
                <w:sz w:val="30"/>
                <w:szCs w:val="30"/>
              </w:rPr>
            </w:pPr>
            <w:r w:rsidRPr="00952DAB">
              <w:rPr>
                <w:sz w:val="30"/>
                <w:szCs w:val="30"/>
              </w:rPr>
              <w:t>rs12350739</w:t>
            </w:r>
          </w:p>
        </w:tc>
        <w:tc>
          <w:tcPr>
            <w:tcW w:w="1985" w:type="dxa"/>
          </w:tcPr>
          <w:p w14:paraId="4F2436CC" w14:textId="77777777" w:rsidR="00952DAB" w:rsidRPr="00952DAB" w:rsidRDefault="00952DAB" w:rsidP="00703FD2">
            <w:pPr>
              <w:ind w:firstLine="0"/>
              <w:rPr>
                <w:rFonts w:eastAsiaTheme="minorEastAsia"/>
                <w:sz w:val="30"/>
                <w:szCs w:val="30"/>
              </w:rPr>
            </w:pPr>
            <w:r w:rsidRPr="00952DAB">
              <w:rPr>
                <w:rFonts w:eastAsiaTheme="minorEastAsia"/>
                <w:sz w:val="30"/>
                <w:szCs w:val="30"/>
              </w:rPr>
              <w:t>Pigmented spots</w:t>
            </w:r>
          </w:p>
        </w:tc>
        <w:tc>
          <w:tcPr>
            <w:tcW w:w="7967" w:type="dxa"/>
          </w:tcPr>
          <w:p w14:paraId="3B56FE8F" w14:textId="77777777" w:rsidR="00952DAB" w:rsidRPr="00FF400C" w:rsidRDefault="00952DAB" w:rsidP="00952DAB">
            <w:pPr>
              <w:pStyle w:val="ListParagraph"/>
              <w:numPr>
                <w:ilvl w:val="0"/>
                <w:numId w:val="2"/>
              </w:numPr>
              <w:rPr>
                <w:sz w:val="30"/>
                <w:szCs w:val="30"/>
              </w:rPr>
            </w:pPr>
            <w:r w:rsidRPr="00FF400C">
              <w:rPr>
                <w:rFonts w:eastAsiaTheme="minorEastAsia"/>
                <w:sz w:val="30"/>
                <w:szCs w:val="30"/>
              </w:rPr>
              <w:t xml:space="preserve">Maintain centrosome cohesion during interphase in mitosis </w:t>
            </w:r>
            <w:r w:rsidRPr="00FF400C">
              <w:rPr>
                <w:rFonts w:eastAsiaTheme="minorEastAsia"/>
                <w:sz w:val="30"/>
                <w:szCs w:val="30"/>
              </w:rPr>
              <w:fldChar w:fldCharType="begin"/>
            </w:r>
            <w:r w:rsidRPr="00FF400C">
              <w:rPr>
                <w:rFonts w:eastAsiaTheme="minorEastAsia"/>
                <w:sz w:val="30"/>
                <w:szCs w:val="30"/>
              </w:rPr>
              <w:instrText xml:space="preserve"> ADDIN ZOTERO_ITEM CSL_CITATION {"citationID":"rsBH5HXj","properties":{"formattedCitation":"(Jing et al. 2016)","plainCitation":"(Jing et al. 2016)","noteIndex":0},"citationItems":[{"id":3101,"uris":["http://zotero.org/users/14079873/items/XMEYTPVE"],"itemData":{"id":3101,"type":"article-journal","abstract":"We have previously reported that the centriolar protein centlein functions as a molecular link between C-Nap1 and Cep68 to maintain centrosome cohesion [1]. In this study, we identified centlein as a novel microtubule-associated protein (MAP), directly binding to purified microtubules (MTs) via its longest coiled-coil domain. Overexpression of centlein caused profound nocodazole- and cold-resistant MT bundles, which also relied on its MT-binding domain. siRNA-mediated centlein depletion resulted in a significant reduction in tubulin acetylation level and overall fluorescence intensity of cytoplasmic MT acetylation. Centlein was further characterized in neurons. We found that centlein overexpression inhibited neurite formation in retinoic acid (RA)-induced SH-SY5Y and N2a cells. Taken together, we propose that centlein is involved in MT stability and neuritogenesis in vivo.","container-title":"Biochemical and Biophysical Research Communications","DOI":"10.1016/j.bbrc.2016.02.079","ISSN":"0006-291X","issue":"2","journalAbbreviation":"Biochemical and Biophysical Research Communications","page":"360-365","source":"ScienceDirect","title":"Centlein, a novel microtubule-associated protein stabilizing microtubules and involved in neurite formation","volume":"472","author":[{"family":"Jing","given":"Zhenli"},{"family":"Yin","given":"Huilong"},{"family":"Wang","given":"Pan"},{"family":"Gao","given":"Juntao"},{"family":"Yuan","given":"Li"}],"issued":{"date-parts":[["2016",4,1]]}}}],"schema":"https://github.com/citation-style-language/schema/raw/master/csl-citation.json"} </w:instrText>
            </w:r>
            <w:r w:rsidRPr="00FF400C">
              <w:rPr>
                <w:rFonts w:eastAsiaTheme="minorEastAsia"/>
                <w:sz w:val="30"/>
                <w:szCs w:val="30"/>
              </w:rPr>
              <w:fldChar w:fldCharType="separate"/>
            </w:r>
            <w:r w:rsidRPr="00FF400C">
              <w:rPr>
                <w:rFonts w:eastAsiaTheme="minorEastAsia"/>
                <w:sz w:val="30"/>
                <w:szCs w:val="30"/>
              </w:rPr>
              <w:t>(Jing et al. 2016)</w:t>
            </w:r>
            <w:r w:rsidRPr="00FF400C">
              <w:rPr>
                <w:rFonts w:eastAsiaTheme="minorEastAsia"/>
                <w:sz w:val="30"/>
                <w:szCs w:val="30"/>
              </w:rPr>
              <w:fldChar w:fldCharType="end"/>
            </w:r>
            <w:r w:rsidRPr="00FF400C">
              <w:rPr>
                <w:rFonts w:eastAsiaTheme="minorEastAsia"/>
                <w:sz w:val="30"/>
                <w:szCs w:val="30"/>
              </w:rPr>
              <w:t xml:space="preserve">. </w:t>
            </w:r>
          </w:p>
        </w:tc>
      </w:tr>
      <w:tr w:rsidR="00952DAB" w:rsidRPr="00952DAB" w14:paraId="6A55597F" w14:textId="77777777" w:rsidTr="00703FD2">
        <w:tc>
          <w:tcPr>
            <w:tcW w:w="2675" w:type="dxa"/>
          </w:tcPr>
          <w:p w14:paraId="6101E449" w14:textId="77777777" w:rsidR="00952DAB" w:rsidRPr="00952DAB" w:rsidRDefault="00952DAB" w:rsidP="00703FD2">
            <w:pPr>
              <w:ind w:firstLine="0"/>
              <w:rPr>
                <w:rFonts w:eastAsiaTheme="minorEastAsia"/>
                <w:i/>
                <w:iCs/>
                <w:sz w:val="30"/>
                <w:szCs w:val="30"/>
              </w:rPr>
            </w:pPr>
            <w:r w:rsidRPr="00952DAB">
              <w:rPr>
                <w:rFonts w:eastAsiaTheme="minorEastAsia"/>
                <w:i/>
                <w:iCs/>
                <w:sz w:val="30"/>
                <w:szCs w:val="30"/>
              </w:rPr>
              <w:t>CTB-12O2.1, LINC01470</w:t>
            </w:r>
          </w:p>
        </w:tc>
        <w:tc>
          <w:tcPr>
            <w:tcW w:w="1365" w:type="dxa"/>
          </w:tcPr>
          <w:p w14:paraId="209FA687" w14:textId="77777777" w:rsidR="00952DAB" w:rsidRPr="00952DAB" w:rsidRDefault="00952DAB" w:rsidP="00703FD2">
            <w:pPr>
              <w:ind w:firstLine="0"/>
              <w:rPr>
                <w:sz w:val="30"/>
                <w:szCs w:val="30"/>
              </w:rPr>
            </w:pPr>
            <w:r w:rsidRPr="00952DAB">
              <w:rPr>
                <w:sz w:val="30"/>
                <w:szCs w:val="30"/>
              </w:rPr>
              <w:t>rs10476781</w:t>
            </w:r>
          </w:p>
        </w:tc>
        <w:tc>
          <w:tcPr>
            <w:tcW w:w="1985" w:type="dxa"/>
          </w:tcPr>
          <w:p w14:paraId="27C45300" w14:textId="77777777" w:rsidR="00952DAB" w:rsidRPr="00952DAB" w:rsidRDefault="00952DAB" w:rsidP="00703FD2">
            <w:pPr>
              <w:ind w:firstLine="0"/>
              <w:rPr>
                <w:rFonts w:eastAsiaTheme="minorEastAsia"/>
                <w:sz w:val="30"/>
                <w:szCs w:val="30"/>
              </w:rPr>
            </w:pPr>
            <w:r w:rsidRPr="00952DAB">
              <w:rPr>
                <w:rFonts w:eastAsiaTheme="minorEastAsia"/>
                <w:sz w:val="30"/>
                <w:szCs w:val="30"/>
              </w:rPr>
              <w:t>Wrinkles</w:t>
            </w:r>
          </w:p>
        </w:tc>
        <w:tc>
          <w:tcPr>
            <w:tcW w:w="7967" w:type="dxa"/>
          </w:tcPr>
          <w:p w14:paraId="31B0E531" w14:textId="77777777" w:rsidR="00952DAB" w:rsidRPr="00FF400C" w:rsidRDefault="00952DAB" w:rsidP="00952DAB">
            <w:pPr>
              <w:pStyle w:val="ListParagraph"/>
              <w:numPr>
                <w:ilvl w:val="0"/>
                <w:numId w:val="2"/>
              </w:numPr>
              <w:rPr>
                <w:rFonts w:eastAsiaTheme="minorEastAsia"/>
                <w:sz w:val="30"/>
                <w:szCs w:val="30"/>
              </w:rPr>
            </w:pPr>
            <w:r w:rsidRPr="00FF400C">
              <w:rPr>
                <w:rFonts w:eastAsiaTheme="minorEastAsia"/>
                <w:sz w:val="30"/>
                <w:szCs w:val="30"/>
              </w:rPr>
              <w:t>No known function</w:t>
            </w:r>
          </w:p>
        </w:tc>
      </w:tr>
      <w:tr w:rsidR="00952DAB" w:rsidRPr="00952DAB" w14:paraId="3194D440" w14:textId="77777777" w:rsidTr="00703FD2">
        <w:tc>
          <w:tcPr>
            <w:tcW w:w="2675" w:type="dxa"/>
          </w:tcPr>
          <w:p w14:paraId="67574F07" w14:textId="77777777" w:rsidR="00952DAB" w:rsidRPr="00952DAB" w:rsidRDefault="00952DAB" w:rsidP="00703FD2">
            <w:pPr>
              <w:ind w:firstLine="0"/>
              <w:rPr>
                <w:rFonts w:eastAsiaTheme="minorEastAsia"/>
                <w:i/>
                <w:iCs/>
                <w:sz w:val="30"/>
                <w:szCs w:val="30"/>
              </w:rPr>
            </w:pPr>
            <w:r w:rsidRPr="00952DAB">
              <w:rPr>
                <w:rFonts w:eastAsiaTheme="minorEastAsia"/>
                <w:i/>
                <w:iCs/>
                <w:sz w:val="30"/>
                <w:szCs w:val="30"/>
              </w:rPr>
              <w:lastRenderedPageBreak/>
              <w:t xml:space="preserve">DEF8 </w:t>
            </w:r>
          </w:p>
        </w:tc>
        <w:tc>
          <w:tcPr>
            <w:tcW w:w="1365" w:type="dxa"/>
          </w:tcPr>
          <w:p w14:paraId="1B7F9CFB" w14:textId="77777777" w:rsidR="00952DAB" w:rsidRPr="00952DAB" w:rsidRDefault="00952DAB" w:rsidP="00703FD2">
            <w:pPr>
              <w:ind w:firstLine="0"/>
              <w:rPr>
                <w:sz w:val="30"/>
                <w:szCs w:val="30"/>
              </w:rPr>
            </w:pPr>
            <w:r w:rsidRPr="00952DAB">
              <w:rPr>
                <w:sz w:val="30"/>
                <w:szCs w:val="30"/>
              </w:rPr>
              <w:t xml:space="preserve">rs139810560 </w:t>
            </w:r>
          </w:p>
        </w:tc>
        <w:tc>
          <w:tcPr>
            <w:tcW w:w="1985" w:type="dxa"/>
          </w:tcPr>
          <w:p w14:paraId="09B61012" w14:textId="77777777" w:rsidR="00952DAB" w:rsidRPr="00952DAB" w:rsidRDefault="00952DAB" w:rsidP="00703FD2">
            <w:pPr>
              <w:ind w:firstLine="0"/>
              <w:rPr>
                <w:rFonts w:eastAsiaTheme="minorEastAsia"/>
                <w:sz w:val="30"/>
                <w:szCs w:val="30"/>
              </w:rPr>
            </w:pPr>
            <w:r w:rsidRPr="00952DAB">
              <w:rPr>
                <w:rFonts w:eastAsiaTheme="minorEastAsia"/>
                <w:sz w:val="30"/>
                <w:szCs w:val="30"/>
              </w:rPr>
              <w:t>Pigmented spots</w:t>
            </w:r>
          </w:p>
        </w:tc>
        <w:tc>
          <w:tcPr>
            <w:tcW w:w="7967" w:type="dxa"/>
          </w:tcPr>
          <w:p w14:paraId="28932F93" w14:textId="77777777" w:rsidR="00952DAB" w:rsidRPr="00FF400C" w:rsidRDefault="00952DAB" w:rsidP="00952DAB">
            <w:pPr>
              <w:pStyle w:val="ListParagraph"/>
              <w:numPr>
                <w:ilvl w:val="0"/>
                <w:numId w:val="2"/>
              </w:numPr>
              <w:rPr>
                <w:rFonts w:eastAsiaTheme="minorEastAsia"/>
                <w:sz w:val="30"/>
                <w:szCs w:val="30"/>
              </w:rPr>
            </w:pPr>
            <w:r w:rsidRPr="00FF400C">
              <w:rPr>
                <w:rFonts w:eastAsiaTheme="minorEastAsia"/>
                <w:sz w:val="30"/>
                <w:szCs w:val="30"/>
              </w:rPr>
              <w:t>Regulates cellular homeostasis in the nervous system (</w:t>
            </w:r>
            <w:proofErr w:type="spellStart"/>
            <w:r w:rsidRPr="00FF400C">
              <w:rPr>
                <w:rFonts w:eastAsiaTheme="minorEastAsia"/>
                <w:sz w:val="30"/>
                <w:szCs w:val="30"/>
              </w:rPr>
              <w:t>Oyarce</w:t>
            </w:r>
            <w:proofErr w:type="spellEnd"/>
            <w:r w:rsidRPr="00FF400C">
              <w:rPr>
                <w:rFonts w:eastAsiaTheme="minorEastAsia"/>
                <w:sz w:val="30"/>
                <w:szCs w:val="30"/>
              </w:rPr>
              <w:t xml:space="preserve">-Pezoa et al., 2023) and is associated with actinic keratosis </w:t>
            </w:r>
            <w:r w:rsidRPr="00FF400C">
              <w:rPr>
                <w:rFonts w:eastAsiaTheme="minorEastAsia"/>
                <w:sz w:val="30"/>
                <w:szCs w:val="30"/>
              </w:rPr>
              <w:fldChar w:fldCharType="begin"/>
            </w:r>
            <w:r w:rsidRPr="00FF400C">
              <w:rPr>
                <w:rFonts w:eastAsiaTheme="minorEastAsia"/>
                <w:sz w:val="30"/>
                <w:szCs w:val="30"/>
              </w:rPr>
              <w:instrText xml:space="preserve"> ADDIN ZOTERO_ITEM CSL_CITATION {"citationID":"S9liFY8i","properties":{"formattedCitation":"(Kim et al. 2022)","plainCitation":"(Kim et al. 2022)","noteIndex":0},"citationItems":[{"id":3116,"uris":["http://zotero.org/users/14079873/items/PPJ7BLYS"],"itemData":{"id":3116,"type":"article-journal","abstract":"Actinic keratosis (AK) is a common precancerous cutaneous neoplasm that arises on chronically sun-exposed skin. AK susceptibility has a moderate genetic component, and although a few susceptibility loci have been identified, including IRF4, TYR, and MC1R, additional loci have yet to be discovered. We conducted a genome-wide association study of AK in non-Hispanic white participants of the Genetic Epidemiology Research on Adult Health and Aging (GERA) cohort (n = 63,110, discovery cohort), with validation in the Mass-General Brigham (MGB) Biobank cohort (n = 29,130). We identified eleven loci (P &lt; 5 × 10−8), including seven novel loci, of which four novel loci were validated. In a meta-analysis (GERA + MGB), one additional novel locus, TRPS1, was identified. Genes within the identified loci are implicated in pigmentation (SLC45A2, IRF4, BNC2, TYR, DEF8, RALY, HERC2, and TRPS1), immune regulation (FOXP1 and HLA-DQA1), and cell signaling and tissue remodeling (MMP24) pathways. Our findings provide novel insight into the genetics and pathogenesis of AK susceptibility.","container-title":"Communications Biology","DOI":"10.1038/s42003-022-03301-3","ISSN":"2399-3642","issue":"1","journalAbbreviation":"Commun Biol","language":"en","license":"2022 The Author(s)","note":"publisher: Nature Publishing Group","page":"1-9","source":"www.nature.com","title":"Genome-wide association study of actinic keratosis identifies new susceptibility loci implicated in pigmentation and immune regulation pathways","volume":"5","author":[{"family":"Kim","given":"Yuhree"},{"family":"Yin","given":"Jie"},{"family":"Huang","given":"Hailiang"},{"family":"Jorgenson","given":"Eric"},{"family":"Choquet","given":"Hélène"},{"family":"Asgari","given":"Maryam M."}],"issued":{"date-parts":[["2022",4,21]]}}}],"schema":"https://github.com/citation-style-language/schema/raw/master/csl-citation.json"} </w:instrText>
            </w:r>
            <w:r w:rsidRPr="00FF400C">
              <w:rPr>
                <w:rFonts w:eastAsiaTheme="minorEastAsia"/>
                <w:sz w:val="30"/>
                <w:szCs w:val="30"/>
              </w:rPr>
              <w:fldChar w:fldCharType="separate"/>
            </w:r>
            <w:r w:rsidRPr="00FF400C">
              <w:rPr>
                <w:rFonts w:eastAsiaTheme="minorEastAsia"/>
                <w:sz w:val="30"/>
                <w:szCs w:val="30"/>
              </w:rPr>
              <w:t>(Kim et al. 2022)</w:t>
            </w:r>
            <w:r w:rsidRPr="00FF400C">
              <w:rPr>
                <w:rFonts w:eastAsiaTheme="minorEastAsia"/>
                <w:sz w:val="30"/>
                <w:szCs w:val="30"/>
              </w:rPr>
              <w:fldChar w:fldCharType="end"/>
            </w:r>
            <w:r w:rsidRPr="00FF400C">
              <w:rPr>
                <w:rFonts w:eastAsiaTheme="minorEastAsia"/>
                <w:sz w:val="30"/>
                <w:szCs w:val="30"/>
              </w:rPr>
              <w:t xml:space="preserve">. </w:t>
            </w:r>
          </w:p>
        </w:tc>
      </w:tr>
      <w:tr w:rsidR="00952DAB" w:rsidRPr="00952DAB" w14:paraId="3C64CA33" w14:textId="77777777" w:rsidTr="00703FD2">
        <w:tc>
          <w:tcPr>
            <w:tcW w:w="2675" w:type="dxa"/>
          </w:tcPr>
          <w:p w14:paraId="359F576B" w14:textId="77777777" w:rsidR="00952DAB" w:rsidRPr="00952DAB" w:rsidRDefault="00952DAB" w:rsidP="00703FD2">
            <w:pPr>
              <w:ind w:firstLine="0"/>
              <w:rPr>
                <w:rFonts w:eastAsiaTheme="minorEastAsia"/>
                <w:i/>
                <w:iCs/>
                <w:sz w:val="30"/>
                <w:szCs w:val="30"/>
              </w:rPr>
            </w:pPr>
            <w:r w:rsidRPr="00952DAB">
              <w:rPr>
                <w:i/>
                <w:iCs/>
                <w:sz w:val="30"/>
                <w:szCs w:val="30"/>
              </w:rPr>
              <w:t>DLGAP1</w:t>
            </w:r>
          </w:p>
        </w:tc>
        <w:tc>
          <w:tcPr>
            <w:tcW w:w="1365" w:type="dxa"/>
          </w:tcPr>
          <w:p w14:paraId="3CE9783E" w14:textId="77777777" w:rsidR="00952DAB" w:rsidRPr="00952DAB" w:rsidRDefault="00952DAB" w:rsidP="00703FD2">
            <w:pPr>
              <w:ind w:firstLine="0"/>
              <w:rPr>
                <w:sz w:val="30"/>
                <w:szCs w:val="30"/>
              </w:rPr>
            </w:pPr>
            <w:r w:rsidRPr="00952DAB">
              <w:rPr>
                <w:sz w:val="30"/>
                <w:szCs w:val="30"/>
              </w:rPr>
              <w:t>rs4076011</w:t>
            </w:r>
          </w:p>
          <w:p w14:paraId="63B6AA3A" w14:textId="77777777" w:rsidR="00952DAB" w:rsidRPr="00952DAB" w:rsidRDefault="00952DAB" w:rsidP="00703FD2">
            <w:pPr>
              <w:ind w:firstLine="0"/>
              <w:rPr>
                <w:sz w:val="30"/>
                <w:szCs w:val="30"/>
              </w:rPr>
            </w:pPr>
            <w:r w:rsidRPr="00952DAB">
              <w:rPr>
                <w:sz w:val="30"/>
                <w:szCs w:val="30"/>
              </w:rPr>
              <w:t>rs8096287</w:t>
            </w:r>
          </w:p>
          <w:p w14:paraId="71AD6CC0" w14:textId="77777777" w:rsidR="00952DAB" w:rsidRPr="00952DAB" w:rsidRDefault="00952DAB" w:rsidP="00703FD2">
            <w:pPr>
              <w:ind w:firstLine="0"/>
              <w:rPr>
                <w:rFonts w:eastAsiaTheme="minorEastAsia"/>
                <w:sz w:val="30"/>
                <w:szCs w:val="30"/>
              </w:rPr>
            </w:pPr>
            <w:r w:rsidRPr="00952DAB">
              <w:rPr>
                <w:sz w:val="30"/>
                <w:szCs w:val="30"/>
              </w:rPr>
              <w:t>rs11876749</w:t>
            </w:r>
          </w:p>
        </w:tc>
        <w:tc>
          <w:tcPr>
            <w:tcW w:w="1985" w:type="dxa"/>
          </w:tcPr>
          <w:p w14:paraId="2532015B" w14:textId="77777777" w:rsidR="00952DAB" w:rsidRPr="00952DAB" w:rsidRDefault="00952DAB" w:rsidP="00703FD2">
            <w:pPr>
              <w:ind w:firstLine="0"/>
              <w:rPr>
                <w:rFonts w:eastAsiaTheme="minorEastAsia"/>
                <w:sz w:val="30"/>
                <w:szCs w:val="30"/>
              </w:rPr>
            </w:pPr>
            <w:r w:rsidRPr="00952DAB">
              <w:rPr>
                <w:sz w:val="30"/>
                <w:szCs w:val="30"/>
              </w:rPr>
              <w:t>Eyelid sagging</w:t>
            </w:r>
          </w:p>
        </w:tc>
        <w:tc>
          <w:tcPr>
            <w:tcW w:w="7967" w:type="dxa"/>
          </w:tcPr>
          <w:p w14:paraId="0A6AC06D" w14:textId="77777777" w:rsidR="00952DAB" w:rsidRPr="00FF400C" w:rsidRDefault="00952DAB" w:rsidP="00952DAB">
            <w:pPr>
              <w:pStyle w:val="ListParagraph"/>
              <w:numPr>
                <w:ilvl w:val="0"/>
                <w:numId w:val="3"/>
              </w:numPr>
              <w:rPr>
                <w:sz w:val="30"/>
                <w:szCs w:val="30"/>
              </w:rPr>
            </w:pPr>
            <w:r w:rsidRPr="00FF400C">
              <w:rPr>
                <w:sz w:val="30"/>
                <w:szCs w:val="30"/>
              </w:rPr>
              <w:t xml:space="preserve">Related to brain disorders such as schizophrenia </w:t>
            </w:r>
            <w:r w:rsidRPr="00FF400C">
              <w:rPr>
                <w:sz w:val="30"/>
                <w:szCs w:val="30"/>
              </w:rPr>
              <w:fldChar w:fldCharType="begin"/>
            </w:r>
            <w:r w:rsidRPr="00FF400C">
              <w:rPr>
                <w:sz w:val="30"/>
                <w:szCs w:val="30"/>
              </w:rPr>
              <w:instrText xml:space="preserve"> ADDIN ZOTERO_ITEM CSL_CITATION {"citationID":"xFdnXfRz","properties":{"formattedCitation":"(Rasmussen et al. 2017)","plainCitation":"(Rasmussen et al. 2017)","noteIndex":0},"citationItems":[{"id":2999,"uris":["http://zotero.org/users/14079873/items/ET7WHCCE"],"itemData":{"id":2999,"type":"article-journal","abstract":"The neurotransmitter glutamate facilitates neuronal signalling at excitatory synapses. Glutamate is released from the presynaptic membrane into the synaptic cleft. Across the synaptic cleft glutamate binds to both ion channels and metabotropic glutamate receptors at the postsynapse, which expedite downstream signalling in the neuron. The postsynaptic density, a highly specialized matrix, which is attached to the postsynaptic membrane, controls this downstream signalling. The postsynaptic density also resets the synapse after each synaptic firing. It is composed of numerous proteins including a family of Discs large associated protein 1, 2, 3 and 4 (DLGAP1-4) that act as scaffold proteins in the postsynaptic density. They link the glutamate receptors in the postsynaptic membrane to other glutamate receptors, to signalling proteins and to components of the cytoskeleton. With the central localisation in the postsynapse, the DLGAP family seems to play a vital role in synaptic scaling by regulating the turnover of both ionotropic and metabotropic glutamate receptors in response to synaptic activity. DLGAP family has been directly linked to a variety of psychological and neurological disorders. In this review we focus on the direct and indirect role of DLGAP family on schizophrenia as well as other brain diseases.","container-title":"Molecular Brain","DOI":"10.1186/s13041-017-0324-9","journalAbbreviation":"Molecular Brain","source":"ResearchGate","title":"The DLGAP family: Neuronal expression, function and role in brain disorders","title-short":"The DLGAP family","volume":"10","author":[{"family":"Rasmussen","given":"Andreas"},{"family":"Rasmussen","given":"Hanne"},{"family":"Silahtaroglu","given":"Asli"}],"issued":{"date-parts":[["2017",12,1]]}}}],"schema":"https://github.com/citation-style-language/schema/raw/master/csl-citation.json"} </w:instrText>
            </w:r>
            <w:r w:rsidRPr="00FF400C">
              <w:rPr>
                <w:sz w:val="30"/>
                <w:szCs w:val="30"/>
              </w:rPr>
              <w:fldChar w:fldCharType="separate"/>
            </w:r>
            <w:r w:rsidRPr="00FF400C">
              <w:rPr>
                <w:sz w:val="30"/>
                <w:szCs w:val="30"/>
              </w:rPr>
              <w:t>(Rasmussen et al. 2017)</w:t>
            </w:r>
            <w:r w:rsidRPr="00FF400C">
              <w:rPr>
                <w:sz w:val="30"/>
                <w:szCs w:val="30"/>
              </w:rPr>
              <w:fldChar w:fldCharType="end"/>
            </w:r>
            <w:r w:rsidRPr="00FF400C">
              <w:rPr>
                <w:rFonts w:eastAsiaTheme="minorEastAsia"/>
                <w:sz w:val="30"/>
                <w:szCs w:val="30"/>
              </w:rPr>
              <w:t>.</w:t>
            </w:r>
          </w:p>
        </w:tc>
      </w:tr>
      <w:tr w:rsidR="00952DAB" w:rsidRPr="00952DAB" w14:paraId="14918C36" w14:textId="77777777" w:rsidTr="00703FD2">
        <w:tc>
          <w:tcPr>
            <w:tcW w:w="2675" w:type="dxa"/>
          </w:tcPr>
          <w:p w14:paraId="01ADCDA3" w14:textId="77777777" w:rsidR="00952DAB" w:rsidRPr="00952DAB" w:rsidRDefault="00952DAB" w:rsidP="00703FD2">
            <w:pPr>
              <w:ind w:firstLine="0"/>
              <w:rPr>
                <w:i/>
                <w:iCs/>
                <w:sz w:val="30"/>
                <w:szCs w:val="30"/>
              </w:rPr>
            </w:pPr>
            <w:r w:rsidRPr="00952DAB">
              <w:rPr>
                <w:i/>
                <w:iCs/>
                <w:sz w:val="30"/>
                <w:szCs w:val="30"/>
              </w:rPr>
              <w:t xml:space="preserve">DOCK8, DOCK8- AS1 </w:t>
            </w:r>
          </w:p>
        </w:tc>
        <w:tc>
          <w:tcPr>
            <w:tcW w:w="1365" w:type="dxa"/>
          </w:tcPr>
          <w:p w14:paraId="03B6A828" w14:textId="77777777" w:rsidR="00952DAB" w:rsidRPr="00952DAB" w:rsidRDefault="00952DAB" w:rsidP="00703FD2">
            <w:pPr>
              <w:ind w:firstLine="0"/>
              <w:rPr>
                <w:sz w:val="30"/>
                <w:szCs w:val="30"/>
              </w:rPr>
            </w:pPr>
            <w:r w:rsidRPr="00952DAB">
              <w:rPr>
                <w:sz w:val="30"/>
                <w:szCs w:val="30"/>
              </w:rPr>
              <w:t>rs478882</w:t>
            </w:r>
          </w:p>
          <w:p w14:paraId="115DB405" w14:textId="77777777" w:rsidR="00952DAB" w:rsidRPr="00952DAB" w:rsidRDefault="00952DAB" w:rsidP="00703FD2">
            <w:pPr>
              <w:rPr>
                <w:sz w:val="30"/>
                <w:szCs w:val="30"/>
              </w:rPr>
            </w:pPr>
          </w:p>
        </w:tc>
        <w:tc>
          <w:tcPr>
            <w:tcW w:w="1985" w:type="dxa"/>
          </w:tcPr>
          <w:p w14:paraId="52CFD1BD" w14:textId="77777777" w:rsidR="00952DAB" w:rsidRPr="00952DAB" w:rsidRDefault="00952DAB" w:rsidP="00703FD2">
            <w:pPr>
              <w:ind w:firstLine="0"/>
              <w:rPr>
                <w:sz w:val="30"/>
                <w:szCs w:val="30"/>
              </w:rPr>
            </w:pPr>
            <w:r w:rsidRPr="00952DAB">
              <w:rPr>
                <w:sz w:val="30"/>
                <w:szCs w:val="30"/>
              </w:rPr>
              <w:t>Wrinkles</w:t>
            </w:r>
          </w:p>
        </w:tc>
        <w:tc>
          <w:tcPr>
            <w:tcW w:w="7967" w:type="dxa"/>
          </w:tcPr>
          <w:p w14:paraId="09AE1784" w14:textId="77777777" w:rsidR="00952DAB" w:rsidRPr="00FF400C" w:rsidRDefault="00952DAB" w:rsidP="00952DAB">
            <w:pPr>
              <w:pStyle w:val="ListParagraph"/>
              <w:numPr>
                <w:ilvl w:val="0"/>
                <w:numId w:val="3"/>
              </w:numPr>
              <w:rPr>
                <w:sz w:val="30"/>
                <w:szCs w:val="30"/>
              </w:rPr>
            </w:pPr>
            <w:r w:rsidRPr="00FF400C">
              <w:rPr>
                <w:i/>
                <w:iCs/>
                <w:sz w:val="30"/>
                <w:szCs w:val="30"/>
              </w:rPr>
              <w:t>DOCK8</w:t>
            </w:r>
            <w:r w:rsidRPr="00FF400C">
              <w:rPr>
                <w:sz w:val="30"/>
                <w:szCs w:val="30"/>
              </w:rPr>
              <w:t xml:space="preserve"> is critical for dendritic cell migration and plays a significant role in the survival and function of B cells, T cells and NK cells </w:t>
            </w:r>
            <w:r w:rsidRPr="00FF400C">
              <w:rPr>
                <w:sz w:val="30"/>
                <w:szCs w:val="30"/>
              </w:rPr>
              <w:fldChar w:fldCharType="begin"/>
            </w:r>
            <w:r w:rsidRPr="00FF400C">
              <w:rPr>
                <w:sz w:val="30"/>
                <w:szCs w:val="30"/>
              </w:rPr>
              <w:instrText xml:space="preserve"> ADDIN ZOTERO_ITEM CSL_CITATION {"citationID":"e7i8WBg0","properties":{"formattedCitation":"(Biggs et al. 2017)","plainCitation":"(Biggs et al. 2017)","noteIndex":0},"citationItems":[{"id":3130,"uris":["http://zotero.org/users/14079873/items/84UYKJB7"],"itemData":{"id":3130,"type":"article-journal","abstract":"Dedicator of Cytokinesis 8 (DOCK8) deficiency is a combined immunodeficiency that exemplifies the broad clinical features of primary immunodeficiencies (PIDs), extending beyond recurrent infections to include atopy, autoimmunity and cancer. It is caused by loss of function mutations in DOCK8, encoding a guanine nucleotide exchange factor highly expressed in lymphocytes that regulates the actin cytoskeleton. Additional roles of DOCK8 have also emerged, including regulating MyD88-dependent Toll-like receptor signaling and the activation of the transcription factor STAT3. DOCK8 deficiency impairs immune cell migration, function and survival, and it impacts both innate and adaptive immune responses. Clinically, DOCK8 deficiency is characterized by allergic inflammation as well as susceptibility towards infections, autoimmunity and malignancy. This review details the pathophysiology, clinical features and management of DOCK8 deficiency. It also surveys the recently discovered combined immunodeficiency due to DOCK2 deficiency, highlighting in the process the emerging spectrum of PIDs resulting from DOCK protein family abnormalities.","container-title":"Clinical immunology (Orlando, Fla.)","DOI":"10.1016/j.clim.2017.06.003","ISSN":"1521-6616","journalAbbreviation":"Clin Immunol","note":"PMID: 28625885\nPMCID: PMC5555255","page":"75-82","source":"PubMed Central","title":"DOCK8 Deficiency: Insights into Pathophysiology, Clinical Features and Management","title-short":"DOCK8 Deficiency","volume":"181","author":[{"family":"Biggs","given":"Catherine M."},{"family":"Keles","given":"Sevgi"},{"family":"Chatila","given":"Talal A."}],"issued":{"date-parts":[["2017",8]]}}}],"schema":"https://github.com/citation-style-language/schema/raw/master/csl-citation.json"} </w:instrText>
            </w:r>
            <w:r w:rsidRPr="00FF400C">
              <w:rPr>
                <w:sz w:val="30"/>
                <w:szCs w:val="30"/>
              </w:rPr>
              <w:fldChar w:fldCharType="separate"/>
            </w:r>
            <w:r w:rsidRPr="00FF400C">
              <w:rPr>
                <w:sz w:val="30"/>
                <w:szCs w:val="30"/>
              </w:rPr>
              <w:t>(Biggs et al. 2017)</w:t>
            </w:r>
            <w:r w:rsidRPr="00FF400C">
              <w:rPr>
                <w:sz w:val="30"/>
                <w:szCs w:val="30"/>
              </w:rPr>
              <w:fldChar w:fldCharType="end"/>
            </w:r>
            <w:r w:rsidRPr="00FF400C">
              <w:rPr>
                <w:sz w:val="30"/>
                <w:szCs w:val="30"/>
              </w:rPr>
              <w:t>.</w:t>
            </w:r>
          </w:p>
          <w:p w14:paraId="76C8E8A2" w14:textId="77777777" w:rsidR="00952DAB" w:rsidRPr="00FF400C" w:rsidRDefault="00952DAB" w:rsidP="00952DAB">
            <w:pPr>
              <w:pStyle w:val="ListParagraph"/>
              <w:numPr>
                <w:ilvl w:val="0"/>
                <w:numId w:val="3"/>
              </w:numPr>
              <w:rPr>
                <w:sz w:val="30"/>
                <w:szCs w:val="30"/>
              </w:rPr>
            </w:pPr>
            <w:r w:rsidRPr="00FF400C">
              <w:rPr>
                <w:sz w:val="30"/>
                <w:szCs w:val="30"/>
              </w:rPr>
              <w:t>No known function for DOCK8-AS1</w:t>
            </w:r>
          </w:p>
        </w:tc>
      </w:tr>
      <w:tr w:rsidR="00952DAB" w:rsidRPr="00952DAB" w14:paraId="5E22960A" w14:textId="77777777" w:rsidTr="00703FD2">
        <w:tc>
          <w:tcPr>
            <w:tcW w:w="2675" w:type="dxa"/>
          </w:tcPr>
          <w:p w14:paraId="2EBCA2C0" w14:textId="77777777" w:rsidR="00952DAB" w:rsidRPr="00952DAB" w:rsidRDefault="00952DAB" w:rsidP="00703FD2">
            <w:pPr>
              <w:ind w:firstLine="0"/>
              <w:rPr>
                <w:i/>
                <w:iCs/>
                <w:sz w:val="30"/>
                <w:szCs w:val="30"/>
              </w:rPr>
            </w:pPr>
            <w:r w:rsidRPr="00952DAB">
              <w:rPr>
                <w:i/>
                <w:iCs/>
                <w:sz w:val="30"/>
                <w:szCs w:val="30"/>
              </w:rPr>
              <w:t>FABP7</w:t>
            </w:r>
          </w:p>
        </w:tc>
        <w:tc>
          <w:tcPr>
            <w:tcW w:w="1365" w:type="dxa"/>
          </w:tcPr>
          <w:p w14:paraId="15BC5CE5" w14:textId="77777777" w:rsidR="00952DAB" w:rsidRPr="00952DAB" w:rsidRDefault="00952DAB" w:rsidP="00703FD2">
            <w:pPr>
              <w:ind w:firstLine="0"/>
              <w:rPr>
                <w:sz w:val="30"/>
                <w:szCs w:val="30"/>
              </w:rPr>
            </w:pPr>
            <w:r w:rsidRPr="00952DAB">
              <w:rPr>
                <w:sz w:val="30"/>
                <w:szCs w:val="30"/>
              </w:rPr>
              <w:t>rs6904500</w:t>
            </w:r>
          </w:p>
        </w:tc>
        <w:tc>
          <w:tcPr>
            <w:tcW w:w="1985" w:type="dxa"/>
          </w:tcPr>
          <w:p w14:paraId="7644790E" w14:textId="77777777" w:rsidR="00952DAB" w:rsidRPr="00952DAB" w:rsidRDefault="00952DAB" w:rsidP="00703FD2">
            <w:pPr>
              <w:ind w:firstLine="0"/>
              <w:rPr>
                <w:sz w:val="30"/>
                <w:szCs w:val="30"/>
              </w:rPr>
            </w:pPr>
            <w:r w:rsidRPr="00952DAB">
              <w:rPr>
                <w:sz w:val="30"/>
                <w:szCs w:val="30"/>
              </w:rPr>
              <w:t>Facial solar lentigines</w:t>
            </w:r>
          </w:p>
        </w:tc>
        <w:tc>
          <w:tcPr>
            <w:tcW w:w="7967" w:type="dxa"/>
          </w:tcPr>
          <w:p w14:paraId="3BE5134F" w14:textId="7F574AD2" w:rsidR="00952DAB" w:rsidRPr="00FF400C" w:rsidRDefault="00952DAB" w:rsidP="00952DAB">
            <w:pPr>
              <w:pStyle w:val="ListParagraph"/>
              <w:numPr>
                <w:ilvl w:val="0"/>
                <w:numId w:val="6"/>
              </w:numPr>
              <w:rPr>
                <w:sz w:val="30"/>
                <w:szCs w:val="30"/>
              </w:rPr>
            </w:pPr>
            <w:r w:rsidRPr="00FF400C">
              <w:rPr>
                <w:sz w:val="30"/>
                <w:szCs w:val="30"/>
              </w:rPr>
              <w:t xml:space="preserve">Implicated in melanoma cell proliferation </w:t>
            </w:r>
            <w:r w:rsidRPr="00FF400C">
              <w:rPr>
                <w:sz w:val="30"/>
                <w:szCs w:val="30"/>
              </w:rPr>
              <w:fldChar w:fldCharType="begin"/>
            </w:r>
            <w:r w:rsidRPr="00FF400C">
              <w:rPr>
                <w:sz w:val="30"/>
                <w:szCs w:val="30"/>
              </w:rPr>
              <w:instrText xml:space="preserve"> ADDIN ZOTERO_ITEM CSL_CITATION {"citationID":"1523ux7M","properties":{"formattedCitation":"(Slipicevic et al. 2008)","plainCitation":"(Slipicevic et al. 2008)","noteIndex":0},"citationItems":[{"id":3023,"uris":["http://zotero.org/users/14079873/items/LIR89BXV"],"itemData":{"id":3023,"type":"article-journal","abstract":"The molecular mechanisms underlying melanoma tumor development and progression are still not completely understood. One of the new candidates that emerged from a recent gene expression profiling study is fatty acid-binding protein 7 (FABP7), involved in lipid metabolism, gene regulation, cell growth and differentiation.","container-title":"BMC Cancer","DOI":"10.1186/1471-2407-8-276","ISSN":"1471-2407","issue":"1","journalAbbreviation":"BMC Cancer","page":"276","source":"BioMed Central","title":"The fatty acid binding protein 7 (FABP7) is involved in proliferation and invasion of melanoma cells","volume":"8","author":[{"family":"Slipicevic","given":"Ana"},{"family":"Jørgensen","given":"Kjersti"},{"family":"Skrede","given":"Martina"},{"family":"Rosnes","given":"Anne Katrine Ree"},{"family":"Trøen","given":"Gunhild"},{"family":"Davidson","given":"Ben"},{"family":"Flørenes","given":"Vivi Ann"}],"issued":{"date-parts":[["2008",9,30]]}}}],"schema":"https://github.com/citation-style-language/schema/raw/master/csl-citation.json"} </w:instrText>
            </w:r>
            <w:r w:rsidRPr="00FF400C">
              <w:rPr>
                <w:sz w:val="30"/>
                <w:szCs w:val="30"/>
              </w:rPr>
              <w:fldChar w:fldCharType="separate"/>
            </w:r>
            <w:r w:rsidRPr="00FF400C">
              <w:rPr>
                <w:sz w:val="30"/>
                <w:szCs w:val="30"/>
              </w:rPr>
              <w:t>(</w:t>
            </w:r>
            <w:proofErr w:type="spellStart"/>
            <w:r w:rsidRPr="00FF400C">
              <w:rPr>
                <w:sz w:val="30"/>
                <w:szCs w:val="30"/>
              </w:rPr>
              <w:t>Slipicevic</w:t>
            </w:r>
            <w:proofErr w:type="spellEnd"/>
            <w:r w:rsidRPr="00FF400C">
              <w:rPr>
                <w:sz w:val="30"/>
                <w:szCs w:val="30"/>
              </w:rPr>
              <w:t xml:space="preserve"> et al. 2008)</w:t>
            </w:r>
            <w:r w:rsidRPr="00FF400C">
              <w:rPr>
                <w:sz w:val="30"/>
                <w:szCs w:val="30"/>
              </w:rPr>
              <w:fldChar w:fldCharType="end"/>
            </w:r>
            <w:r w:rsidRPr="00FF400C">
              <w:rPr>
                <w:rFonts w:eastAsiaTheme="minorEastAsia"/>
                <w:sz w:val="30"/>
                <w:szCs w:val="30"/>
              </w:rPr>
              <w:t>.</w:t>
            </w:r>
          </w:p>
        </w:tc>
      </w:tr>
      <w:tr w:rsidR="00952DAB" w:rsidRPr="00952DAB" w14:paraId="3AC3A765" w14:textId="77777777" w:rsidTr="00703FD2">
        <w:tc>
          <w:tcPr>
            <w:tcW w:w="2675" w:type="dxa"/>
          </w:tcPr>
          <w:p w14:paraId="6FE2DD63" w14:textId="77777777" w:rsidR="00952DAB" w:rsidRPr="00952DAB" w:rsidRDefault="00952DAB" w:rsidP="00703FD2">
            <w:pPr>
              <w:ind w:firstLine="0"/>
              <w:rPr>
                <w:i/>
                <w:iCs/>
                <w:sz w:val="30"/>
                <w:szCs w:val="30"/>
              </w:rPr>
            </w:pPr>
            <w:r w:rsidRPr="00952DAB">
              <w:rPr>
                <w:i/>
                <w:iCs/>
                <w:sz w:val="30"/>
                <w:szCs w:val="30"/>
              </w:rPr>
              <w:t>FCRL5</w:t>
            </w:r>
          </w:p>
        </w:tc>
        <w:tc>
          <w:tcPr>
            <w:tcW w:w="1365" w:type="dxa"/>
          </w:tcPr>
          <w:p w14:paraId="6D542469" w14:textId="77777777" w:rsidR="00952DAB" w:rsidRPr="00952DAB" w:rsidRDefault="00952DAB" w:rsidP="00703FD2">
            <w:pPr>
              <w:ind w:firstLine="0"/>
              <w:rPr>
                <w:sz w:val="30"/>
                <w:szCs w:val="30"/>
              </w:rPr>
            </w:pPr>
            <w:r w:rsidRPr="00952DAB">
              <w:rPr>
                <w:sz w:val="30"/>
                <w:szCs w:val="30"/>
              </w:rPr>
              <w:t xml:space="preserve">rs117381658 </w:t>
            </w:r>
          </w:p>
        </w:tc>
        <w:tc>
          <w:tcPr>
            <w:tcW w:w="1985" w:type="dxa"/>
          </w:tcPr>
          <w:p w14:paraId="5005BD50" w14:textId="77777777" w:rsidR="00952DAB" w:rsidRPr="00952DAB" w:rsidRDefault="00952DAB" w:rsidP="00703FD2">
            <w:pPr>
              <w:ind w:firstLine="0"/>
              <w:rPr>
                <w:sz w:val="30"/>
                <w:szCs w:val="30"/>
              </w:rPr>
            </w:pPr>
            <w:r w:rsidRPr="00952DAB">
              <w:rPr>
                <w:sz w:val="30"/>
                <w:szCs w:val="30"/>
              </w:rPr>
              <w:t>Wrinkle</w:t>
            </w:r>
          </w:p>
        </w:tc>
        <w:tc>
          <w:tcPr>
            <w:tcW w:w="7967" w:type="dxa"/>
          </w:tcPr>
          <w:p w14:paraId="073C98EE" w14:textId="52DE5CE3" w:rsidR="00952DAB" w:rsidRPr="00FF400C" w:rsidRDefault="00952DAB" w:rsidP="00952DAB">
            <w:pPr>
              <w:pStyle w:val="ListParagraph"/>
              <w:numPr>
                <w:ilvl w:val="0"/>
                <w:numId w:val="7"/>
              </w:numPr>
              <w:rPr>
                <w:sz w:val="30"/>
                <w:szCs w:val="30"/>
              </w:rPr>
            </w:pPr>
            <w:r w:rsidRPr="00FF400C">
              <w:rPr>
                <w:sz w:val="30"/>
                <w:szCs w:val="30"/>
              </w:rPr>
              <w:t xml:space="preserve">Involved in B-cell immune regulation </w:t>
            </w:r>
            <w:r w:rsidRPr="00FF400C">
              <w:rPr>
                <w:sz w:val="30"/>
                <w:szCs w:val="30"/>
              </w:rPr>
              <w:fldChar w:fldCharType="begin"/>
            </w:r>
            <w:r w:rsidRPr="00FF400C">
              <w:rPr>
                <w:sz w:val="30"/>
                <w:szCs w:val="30"/>
              </w:rPr>
              <w:instrText xml:space="preserve"> ADDIN ZOTERO_ITEM CSL_CITATION {"citationID":"8s6ZN3OC","properties":{"formattedCitation":"(Damdinsuren et al. 2016)","plainCitation":"(Damdinsuren et al. 2016)","noteIndex":0},"citationItems":[{"id":2593,"uris":["http://zotero.org/users/14079873/items/UF49CJG2"],"itemData":{"id":2593,"type":"article-journal","abstract":"Fc receptor-like (FCRL) proteins are novel regulators of the B cell response to antigen. Human FCRL5 binds intact IgG and modifies the strength of antigen receptor (BCR) signaling. Altering FCRL5 expression could therefore regulate the B cell response to antigen. In this study, we found that FCRL5 expression is induced specifically upon BCR stimulation and dissected the molecular mechanism. FCRL5 mRNA and cell surface protein expression required prolonged BCR stimulation and de novo protein synthesis. Using chemical inhibitors and activators, we identified roles for several signaling pathways, indicating a complex mechanism. Specifically, the PI3K/AKT, JNK, PKC and IKK2-dependent classical NF-κB pathways were involved in induced FCRL5 expression. Furthermore, induced FCRL5 expression required elevation of intracellular Ca++ and was partially blocked by cyclosporine A, a calcineurin inhibitor. The importance of the transcription factors NF-κB, NFAT and CREB-binding protein was revealed based on sensitivity to inhibitors. Using reporter gene assays, we showed that the core FCRL5 promoter was sufficient to drive induced gene expression. Mutations of two predicted NF-κB sites or an NFAT site in the core promoter abrogated induced gene expression, suggesting direct regulation of the FCRL5 gene by NF-κB and NFAT. In support, we detected binding of NF-κB and NFAT family proteins to oligonucleotides corresponding to the predicted sites. We propose that the identified intricate mechanism serves to ensure that FCRL5 is expressed on B cells at a precise time following antigen encounter, with potential implications regarding regulation of the B cell response.","container-title":"Molecular Immunology","DOI":"10.1016/j.molimm.2016.04.001","ISSN":"0161-5890","journalAbbreviation":"Molecular Immunology","page":"112-121","source":"ScienceDirect","title":"B cell receptor induced Fc receptor-like 5 expression is mediated by multiple signaling pathways converging on NF-κB and NFAT","volume":"73","author":[{"family":"Damdinsuren","given":"Bazarragchaa"},{"family":"Dement-Brown","given":"Jessica"},{"family":"Li","given":"Huifang"},{"family":"Tolnay","given":"Mate"}],"issued":{"date-parts":[["2016",5,1]]}}}],"schema":"https://github.com/citation-style-language/schema/raw/master/csl-citation.json"} </w:instrText>
            </w:r>
            <w:r w:rsidRPr="00FF400C">
              <w:rPr>
                <w:sz w:val="30"/>
                <w:szCs w:val="30"/>
              </w:rPr>
              <w:fldChar w:fldCharType="separate"/>
            </w:r>
            <w:r w:rsidRPr="00FF400C">
              <w:rPr>
                <w:sz w:val="30"/>
                <w:szCs w:val="30"/>
              </w:rPr>
              <w:t>(</w:t>
            </w:r>
            <w:proofErr w:type="spellStart"/>
            <w:r w:rsidRPr="00FF400C">
              <w:rPr>
                <w:sz w:val="30"/>
                <w:szCs w:val="30"/>
              </w:rPr>
              <w:t>Damdinsuren</w:t>
            </w:r>
            <w:proofErr w:type="spellEnd"/>
            <w:r w:rsidRPr="00FF400C">
              <w:rPr>
                <w:sz w:val="30"/>
                <w:szCs w:val="30"/>
              </w:rPr>
              <w:t xml:space="preserve"> et al. 2016)</w:t>
            </w:r>
            <w:r w:rsidRPr="00FF400C">
              <w:rPr>
                <w:sz w:val="30"/>
                <w:szCs w:val="30"/>
              </w:rPr>
              <w:fldChar w:fldCharType="end"/>
            </w:r>
            <w:r w:rsidRPr="00FF400C">
              <w:rPr>
                <w:rFonts w:eastAsiaTheme="minorEastAsia"/>
                <w:sz w:val="30"/>
                <w:szCs w:val="30"/>
              </w:rPr>
              <w:t>.</w:t>
            </w:r>
            <w:r w:rsidRPr="00FF400C">
              <w:rPr>
                <w:sz w:val="30"/>
                <w:szCs w:val="30"/>
              </w:rPr>
              <w:t xml:space="preserve"> </w:t>
            </w:r>
          </w:p>
        </w:tc>
      </w:tr>
      <w:tr w:rsidR="00952DAB" w:rsidRPr="00952DAB" w14:paraId="10DEF41D" w14:textId="77777777" w:rsidTr="00703FD2">
        <w:tc>
          <w:tcPr>
            <w:tcW w:w="2675" w:type="dxa"/>
          </w:tcPr>
          <w:p w14:paraId="7EF9ABB9" w14:textId="77777777" w:rsidR="00952DAB" w:rsidRPr="00952DAB" w:rsidRDefault="00952DAB" w:rsidP="00703FD2">
            <w:pPr>
              <w:ind w:firstLine="0"/>
              <w:rPr>
                <w:rFonts w:eastAsiaTheme="minorEastAsia"/>
                <w:i/>
                <w:iCs/>
                <w:sz w:val="30"/>
                <w:szCs w:val="30"/>
              </w:rPr>
            </w:pPr>
            <w:r w:rsidRPr="00952DAB">
              <w:rPr>
                <w:i/>
                <w:iCs/>
                <w:sz w:val="30"/>
                <w:szCs w:val="30"/>
              </w:rPr>
              <w:t>H2AFY2</w:t>
            </w:r>
          </w:p>
        </w:tc>
        <w:tc>
          <w:tcPr>
            <w:tcW w:w="1365" w:type="dxa"/>
          </w:tcPr>
          <w:p w14:paraId="4B3DD6D6" w14:textId="77777777" w:rsidR="00952DAB" w:rsidRPr="00952DAB" w:rsidRDefault="00952DAB" w:rsidP="00703FD2">
            <w:pPr>
              <w:ind w:firstLine="0"/>
              <w:rPr>
                <w:sz w:val="30"/>
                <w:szCs w:val="30"/>
              </w:rPr>
            </w:pPr>
            <w:r w:rsidRPr="00952DAB">
              <w:rPr>
                <w:sz w:val="30"/>
                <w:szCs w:val="30"/>
              </w:rPr>
              <w:t>rs16927253</w:t>
            </w:r>
          </w:p>
          <w:p w14:paraId="1E67A8AF" w14:textId="77777777" w:rsidR="00952DAB" w:rsidRPr="00952DAB" w:rsidRDefault="00952DAB" w:rsidP="00703FD2">
            <w:pPr>
              <w:ind w:firstLine="0"/>
              <w:rPr>
                <w:sz w:val="30"/>
                <w:szCs w:val="30"/>
              </w:rPr>
            </w:pPr>
            <w:r w:rsidRPr="00952DAB">
              <w:rPr>
                <w:sz w:val="30"/>
                <w:szCs w:val="30"/>
              </w:rPr>
              <w:t>rs4746957</w:t>
            </w:r>
          </w:p>
          <w:p w14:paraId="09BF0C5B" w14:textId="77777777" w:rsidR="00952DAB" w:rsidRPr="00952DAB" w:rsidRDefault="00952DAB" w:rsidP="00703FD2">
            <w:pPr>
              <w:ind w:firstLine="0"/>
              <w:rPr>
                <w:sz w:val="30"/>
                <w:szCs w:val="30"/>
              </w:rPr>
            </w:pPr>
            <w:r w:rsidRPr="00952DAB">
              <w:rPr>
                <w:sz w:val="30"/>
                <w:szCs w:val="30"/>
              </w:rPr>
              <w:t>rs2271699</w:t>
            </w:r>
          </w:p>
          <w:p w14:paraId="0149BD2E" w14:textId="77777777" w:rsidR="00952DAB" w:rsidRPr="00952DAB" w:rsidRDefault="00952DAB" w:rsidP="00703FD2">
            <w:pPr>
              <w:ind w:firstLine="0"/>
              <w:rPr>
                <w:sz w:val="30"/>
                <w:szCs w:val="30"/>
              </w:rPr>
            </w:pPr>
            <w:r w:rsidRPr="00952DAB">
              <w:rPr>
                <w:sz w:val="30"/>
                <w:szCs w:val="30"/>
              </w:rPr>
              <w:t>rs2394654</w:t>
            </w:r>
          </w:p>
          <w:p w14:paraId="04EB3115" w14:textId="77777777" w:rsidR="00952DAB" w:rsidRPr="00952DAB" w:rsidRDefault="00952DAB" w:rsidP="00703FD2">
            <w:pPr>
              <w:ind w:firstLine="0"/>
              <w:rPr>
                <w:rFonts w:eastAsiaTheme="minorEastAsia"/>
                <w:sz w:val="30"/>
                <w:szCs w:val="30"/>
              </w:rPr>
            </w:pPr>
            <w:r w:rsidRPr="00952DAB">
              <w:rPr>
                <w:sz w:val="30"/>
                <w:szCs w:val="30"/>
              </w:rPr>
              <w:t>rs3750770</w:t>
            </w:r>
          </w:p>
        </w:tc>
        <w:tc>
          <w:tcPr>
            <w:tcW w:w="1985" w:type="dxa"/>
          </w:tcPr>
          <w:p w14:paraId="4DC69BEA" w14:textId="77777777" w:rsidR="00952DAB" w:rsidRPr="00952DAB" w:rsidRDefault="00952DAB" w:rsidP="00703FD2">
            <w:pPr>
              <w:ind w:firstLine="0"/>
              <w:rPr>
                <w:rFonts w:eastAsiaTheme="minorEastAsia"/>
                <w:sz w:val="30"/>
                <w:szCs w:val="30"/>
              </w:rPr>
            </w:pPr>
            <w:r w:rsidRPr="00952DAB">
              <w:rPr>
                <w:sz w:val="30"/>
                <w:szCs w:val="30"/>
              </w:rPr>
              <w:t>Eyelid sagging</w:t>
            </w:r>
          </w:p>
        </w:tc>
        <w:tc>
          <w:tcPr>
            <w:tcW w:w="7967" w:type="dxa"/>
          </w:tcPr>
          <w:p w14:paraId="57584891" w14:textId="77777777" w:rsidR="00952DAB" w:rsidRPr="00FF400C" w:rsidRDefault="00952DAB" w:rsidP="00952DAB">
            <w:pPr>
              <w:pStyle w:val="ListParagraph"/>
              <w:numPr>
                <w:ilvl w:val="0"/>
                <w:numId w:val="4"/>
              </w:numPr>
              <w:rPr>
                <w:sz w:val="30"/>
                <w:szCs w:val="30"/>
              </w:rPr>
            </w:pPr>
            <w:r w:rsidRPr="00FF400C">
              <w:rPr>
                <w:sz w:val="30"/>
                <w:szCs w:val="30"/>
              </w:rPr>
              <w:t xml:space="preserve">Associated with chromatin remodelling and cellular stability </w:t>
            </w:r>
            <w:r w:rsidRPr="00FF400C">
              <w:rPr>
                <w:sz w:val="30"/>
                <w:szCs w:val="30"/>
                <w:lang w:eastAsia="zh-TW"/>
              </w:rPr>
              <w:fldChar w:fldCharType="begin"/>
            </w:r>
            <w:r w:rsidRPr="00FF400C">
              <w:rPr>
                <w:sz w:val="30"/>
                <w:szCs w:val="30"/>
                <w:lang w:eastAsia="zh-TW"/>
              </w:rPr>
              <w:instrText xml:space="preserve"> ADDIN ZOTERO_ITEM CSL_CITATION {"citationID":"VQNhFgfs","properties":{"formattedCitation":"(Mohammed Ismail et al. 2023)","plainCitation":"(Mohammed Ismail et al. 2023)","noteIndex":0},"citationItems":[{"id":2733,"uris":["http://zotero.org/users/14079873/items/385ABVSL"],"itemData":{"id":2733,"type":"article-journal","abstract":"Considerable efforts have been made to characterize active enhancer elements, which can be annotated by accessible chromatin and H3 lysine 27 acetylation (H3K27ac). However, apart from poised enhancers that are observed in early stages of development and putative silencers, the functional significance of cis-regulatory elements lacking H3K27ac is poorly understood. Here we show that macroH2A histone variants mark a subset of enhancers in normal and cancer cells, which we coined ‘macro-Bound Enhancers’, that modulate enhancer activity. We find macroH2A variants localized at enhancer elements that are devoid of H3K27ac in a cell type-specific manner, indicating a role for macroH2A at inactive enhancers to maintain cell identity. In following, reactivation of macro-bound enhancers is associated with oncogenic programs in breast cancer and their repressive role is correlated with the activity of macroH2A2 as a negative regulator of BRD4 chromatin occupancy. Finally, through single cell epigenomic profiling of normal mammary stem cells derived from mice, we show that macroH2A deficiency facilitates increased activity of transcription factors associated with stem cell activity.","container-title":"Communications Biology","DOI":"10.1038/s42003-023-04571-1","ISSN":"2399-3642","issue":"1","journalAbbreviation":"Commun Biol","language":"en","license":"2023 The Author(s)","note":"publisher: Nature Publishing Group","page":"1-19","source":"www.nature.com","title":"MacroH2A histone variants modulate enhancer activity to repress oncogenic programs and cellular reprogramming","volume":"6","author":[{"family":"Mohammed Ismail","given":"Wazim"},{"family":"Mazzone","given":"Amelia"},{"family":"Ghiraldini","given":"Flavia G."},{"family":"Kaur","given":"Jagneet"},{"family":"Bains","given":"Manvir"},{"family":"Munankarmy","given":"Amik"},{"family":"Bagwell","given":"Monique S."},{"family":"Safgren","given":"Stephanie L."},{"family":"Moore-Weiss","given":"John"},{"family":"Buciuc","given":"Marina"},{"family":"Shimp","given":"Lynzie"},{"family":"Leach","given":"Kelsey A."},{"family":"Duarte","given":"Luis F."},{"family":"Nagi","given":"Chandandeep S."},{"family":"Carcamo","given":"Saul"},{"family":"Chung","given":"Chi-Yeh"},{"family":"Hasson","given":"Dan"},{"family":"Dadgar","given":"Neda"},{"family":"Zhong","given":"Jian"},{"family":"Lee","given":"Jeong-Heon"},{"family":"Couch","given":"Fergus J."},{"family":"Revzin","given":"Alexander"},{"family":"Ordog","given":"Tamas"},{"family":"Bernstein","given":"Emily"},{"family":"Gaspar-Maia","given":"Alexandre"}],"issued":{"date-parts":[["2023",2,23]]}}}],"schema":"https://github.com/citation-style-language/schema/raw/master/csl-citation.json"} </w:instrText>
            </w:r>
            <w:r w:rsidRPr="00FF400C">
              <w:rPr>
                <w:sz w:val="30"/>
                <w:szCs w:val="30"/>
                <w:lang w:eastAsia="zh-TW"/>
              </w:rPr>
              <w:fldChar w:fldCharType="separate"/>
            </w:r>
            <w:r w:rsidRPr="00FF400C">
              <w:rPr>
                <w:sz w:val="30"/>
                <w:szCs w:val="30"/>
              </w:rPr>
              <w:t>(Mohammed Ismail et al. 2023)</w:t>
            </w:r>
            <w:r w:rsidRPr="00FF400C">
              <w:rPr>
                <w:sz w:val="30"/>
                <w:szCs w:val="30"/>
                <w:lang w:eastAsia="zh-TW"/>
              </w:rPr>
              <w:fldChar w:fldCharType="end"/>
            </w:r>
            <w:r w:rsidRPr="00FF400C">
              <w:rPr>
                <w:rFonts w:eastAsiaTheme="minorEastAsia"/>
                <w:sz w:val="30"/>
                <w:szCs w:val="30"/>
              </w:rPr>
              <w:t>.</w:t>
            </w:r>
          </w:p>
          <w:p w14:paraId="70E4B41F" w14:textId="77777777" w:rsidR="00952DAB" w:rsidRPr="00FF400C" w:rsidRDefault="00952DAB" w:rsidP="00703FD2">
            <w:pPr>
              <w:rPr>
                <w:rFonts w:eastAsiaTheme="minorEastAsia"/>
                <w:sz w:val="30"/>
                <w:szCs w:val="30"/>
              </w:rPr>
            </w:pPr>
          </w:p>
        </w:tc>
      </w:tr>
      <w:tr w:rsidR="00952DAB" w:rsidRPr="00952DAB" w14:paraId="60164E93" w14:textId="77777777" w:rsidTr="00703FD2">
        <w:tc>
          <w:tcPr>
            <w:tcW w:w="2675" w:type="dxa"/>
          </w:tcPr>
          <w:p w14:paraId="5447B0E9" w14:textId="77777777" w:rsidR="00952DAB" w:rsidRPr="00952DAB" w:rsidRDefault="00952DAB" w:rsidP="00703FD2">
            <w:pPr>
              <w:ind w:firstLine="0"/>
              <w:rPr>
                <w:i/>
                <w:iCs/>
                <w:sz w:val="30"/>
                <w:szCs w:val="30"/>
              </w:rPr>
            </w:pPr>
            <w:r w:rsidRPr="00952DAB">
              <w:rPr>
                <w:i/>
                <w:iCs/>
                <w:sz w:val="30"/>
                <w:szCs w:val="30"/>
              </w:rPr>
              <w:t>HLA-C</w:t>
            </w:r>
          </w:p>
        </w:tc>
        <w:tc>
          <w:tcPr>
            <w:tcW w:w="1365" w:type="dxa"/>
          </w:tcPr>
          <w:p w14:paraId="5D5AB335" w14:textId="77777777" w:rsidR="00952DAB" w:rsidRPr="00952DAB" w:rsidRDefault="00952DAB" w:rsidP="00703FD2">
            <w:pPr>
              <w:ind w:firstLine="0"/>
              <w:rPr>
                <w:sz w:val="30"/>
                <w:szCs w:val="30"/>
              </w:rPr>
            </w:pPr>
            <w:r w:rsidRPr="00952DAB">
              <w:rPr>
                <w:sz w:val="30"/>
                <w:szCs w:val="30"/>
              </w:rPr>
              <w:t>rs2853949</w:t>
            </w:r>
          </w:p>
        </w:tc>
        <w:tc>
          <w:tcPr>
            <w:tcW w:w="1985" w:type="dxa"/>
          </w:tcPr>
          <w:p w14:paraId="7B99ECEA" w14:textId="77777777" w:rsidR="00952DAB" w:rsidRPr="00952DAB" w:rsidRDefault="00952DAB" w:rsidP="00703FD2">
            <w:pPr>
              <w:ind w:firstLine="0"/>
              <w:rPr>
                <w:sz w:val="30"/>
                <w:szCs w:val="30"/>
              </w:rPr>
            </w:pPr>
            <w:r w:rsidRPr="00952DAB">
              <w:rPr>
                <w:sz w:val="30"/>
                <w:szCs w:val="30"/>
              </w:rPr>
              <w:t>Facial solar lentigines</w:t>
            </w:r>
          </w:p>
        </w:tc>
        <w:tc>
          <w:tcPr>
            <w:tcW w:w="7967" w:type="dxa"/>
          </w:tcPr>
          <w:p w14:paraId="5B22C617" w14:textId="77777777" w:rsidR="00952DAB" w:rsidRPr="00FF400C" w:rsidRDefault="00952DAB" w:rsidP="00952DAB">
            <w:pPr>
              <w:pStyle w:val="ListParagraph"/>
              <w:numPr>
                <w:ilvl w:val="0"/>
                <w:numId w:val="4"/>
              </w:numPr>
              <w:rPr>
                <w:sz w:val="30"/>
                <w:szCs w:val="30"/>
              </w:rPr>
            </w:pPr>
            <w:r w:rsidRPr="00FF400C">
              <w:rPr>
                <w:sz w:val="30"/>
                <w:szCs w:val="30"/>
              </w:rPr>
              <w:t xml:space="preserve">Involved in immune recognition </w:t>
            </w:r>
            <w:r w:rsidRPr="00FF400C">
              <w:rPr>
                <w:sz w:val="30"/>
                <w:szCs w:val="30"/>
              </w:rPr>
              <w:fldChar w:fldCharType="begin"/>
            </w:r>
            <w:r w:rsidRPr="00FF400C">
              <w:rPr>
                <w:sz w:val="30"/>
                <w:szCs w:val="30"/>
              </w:rPr>
              <w:instrText xml:space="preserve"> ADDIN ZOTERO_ITEM CSL_CITATION {"citationID":"X7IREU5M","properties":{"formattedCitation":"(Blais et al. 2011)","plainCitation":"(Blais et al. 2011)","noteIndex":0},"citationItems":[{"id":2963,"uris":["http://zotero.org/users/14079873/items/3V729TDQ"],"itemData":{"id":2963,"type":"article-journal","abstract":"The biochemical properties of the HLA-C antigen differ substantially from those of HLA-A and -B molecules. For this reason, HLA-C diversity and expression at the cell surface are much lower than its counterparts and in consequence HLA-C-restricted responses have been infrequently detected and described. In this review we summarise the key differences between HLA-C and other class I molecules and provide an update on natural killer and T-cell responses restricted by HLA-C. We also discuss the different clinical settings associated with HLA-C alleles which mainly consist of autoimmune disorders, cancers and chronic infections.","container-title":"Immunology","DOI":"10.1111/j.1365-2567.2011.03422.x","ISSN":"0019-2805","issue":"1","journalAbbreviation":"Immunology","note":"PMID: 21355865\nPMCID: PMC3088962","page":"1-7","source":"PubMed Central","title":"HLA-C as a mediator of natural killer and T-cell activation: spectator or key player?","title-short":"HLA-C as a mediator of natural killer and T-cell activation","volume":"133","author":[{"family":"Blais","given":"Marie-Eve"},{"family":"Dong","given":"Tao"},{"family":"Rowland-Jones","given":"Sarah"}],"issued":{"date-parts":[["2011",5]]}}}],"schema":"https://github.com/citation-style-language/schema/raw/master/csl-citation.json"} </w:instrText>
            </w:r>
            <w:r w:rsidRPr="00FF400C">
              <w:rPr>
                <w:sz w:val="30"/>
                <w:szCs w:val="30"/>
              </w:rPr>
              <w:fldChar w:fldCharType="separate"/>
            </w:r>
            <w:r w:rsidRPr="00FF400C">
              <w:rPr>
                <w:sz w:val="30"/>
                <w:szCs w:val="30"/>
              </w:rPr>
              <w:t>(Blais et al. 2011)</w:t>
            </w:r>
            <w:r w:rsidRPr="00FF400C">
              <w:rPr>
                <w:sz w:val="30"/>
                <w:szCs w:val="30"/>
              </w:rPr>
              <w:fldChar w:fldCharType="end"/>
            </w:r>
            <w:r w:rsidRPr="00FF400C">
              <w:rPr>
                <w:sz w:val="30"/>
                <w:szCs w:val="30"/>
              </w:rPr>
              <w:t xml:space="preserve"> and</w:t>
            </w:r>
            <w:r w:rsidRPr="00FF400C">
              <w:rPr>
                <w:rFonts w:eastAsiaTheme="minorEastAsia"/>
                <w:sz w:val="30"/>
                <w:szCs w:val="30"/>
              </w:rPr>
              <w:t xml:space="preserve"> thought to</w:t>
            </w:r>
            <w:r w:rsidRPr="00FF400C">
              <w:rPr>
                <w:sz w:val="30"/>
                <w:szCs w:val="30"/>
              </w:rPr>
              <w:t xml:space="preserve"> regulate melanogenesis by eliminating aberrant melanocytes </w:t>
            </w:r>
            <w:r w:rsidRPr="00FF400C">
              <w:rPr>
                <w:sz w:val="30"/>
                <w:szCs w:val="30"/>
              </w:rPr>
              <w:fldChar w:fldCharType="begin"/>
            </w:r>
            <w:r w:rsidRPr="00FF400C">
              <w:rPr>
                <w:sz w:val="30"/>
                <w:szCs w:val="30"/>
              </w:rPr>
              <w:instrText xml:space="preserve"> ADDIN ZOTERO_ITEM CSL_CITATION {"citationID":"Y84WMzwr","properties":{"formattedCitation":"(Laville et al. 2019)","plainCitation":"(Laville et al. 2019)","noteIndex":0},"citationItems":[{"id":1784,"uris":["http://zotero.org/users/14079873/items/WIMU5BTF"],"itemData":{"id":1784,"type":"article-journal","abstract":"Sagging eyelid is considered as an outward of skin ageing and may cause medical issues. However, little is known about the factors involved in sagging eyelid. The study, which aims at determining genetic risk factors for eyelid sagging, was conducted in a cohort of 502 unrelated Caucasian women living in the Paris region. All included participants were aged between 44 and 70 years old (mean age, 57.6 years old). The severity of sagging eyelid was graded in 6 categories by a dermatologist using standardized photographs of the face. A genome wide association study adjusted on potential risk factors (including age and smoking habits) was conducted to identify genetic associations. Two single nucleotide polymorphisms in total linkage disequilibrium on chromosome 10, rs16927253 (P = 7.07 x 10(-10)) and rs4746957 (P = 1.06 x 10(-8)), were significantly associated with eyelid sagging severity. The rs16927253-T and rs4746957-A alleles showed a dominant protective effect towards eyelid sagging. These polymorphisms are located in intronic parts of the H2AFY2 gene which encodes a member of the H2A histone family and very close to the AIFM2 gene that induces apoptosis. Additionally, single nucleotide polymorphisms with a false discovery rate below 0.25 were located nearby the type XIII collagen COL13A1 gene on chromosome 10 and in the ADAMTS18 gene on chromosome 16. Several relevant genes were identified by the genome wide association study for their potential role in the sagging eyelid severity.","container-title":"EXPERIMENTAL DERMATOLOGY","DOI":"10.1111/exd.13559","ISSN":"0906-6705, 1600-0625","issue":"8","journalAbbreviation":"Exp. Dermatol.","language":"English","note":"number-of-pages: 7\npublisher-place: Hoboken\npublisher: Wiley\nWeb of Science ID: WOS:000477746200003","page":"892-898","source":"Clarivate Analytics Web of Science","title":"A genome wide association study identifies new genes potentially associated with eyelid sagging","volume":"28","author":[{"family":"Laville","given":"Vincent"},{"family":"Le Clerc","given":"Sigrid"},{"family":"Ezzedine","given":"Khaled"},{"family":"Jdid","given":"Randa"},{"family":"Taing","given":"Lieng"},{"family":"Labib","given":"Toufik"},{"family":"Coulonges","given":"Cedric"},{"family":"Ulveling","given":"Damien"},{"family":"Galan","given":"Pilar"},{"family":"Guinot","given":"Christiane"},{"family":"Fezeu","given":"Leopold"},{"family":"Morizot","given":"Frederique"},{"family":"Latreille","given":"Julie"},{"family":"Malvy","given":"Denis"},{"family":"Tschachler","given":"Erwin"},{"family":"Zagury","given":"Jean-Francois"}],"issued":{"date-parts":[["2019",8]]}}}],"schema":"https://github.com/citation-style-language/schema/raw/master/csl-citation.json"} </w:instrText>
            </w:r>
            <w:r w:rsidRPr="00FF400C">
              <w:rPr>
                <w:sz w:val="30"/>
                <w:szCs w:val="30"/>
              </w:rPr>
              <w:fldChar w:fldCharType="separate"/>
            </w:r>
            <w:r w:rsidRPr="00FF400C">
              <w:rPr>
                <w:sz w:val="30"/>
                <w:szCs w:val="30"/>
              </w:rPr>
              <w:t>(Laville et al. 2019)</w:t>
            </w:r>
            <w:r w:rsidRPr="00FF400C">
              <w:rPr>
                <w:sz w:val="30"/>
                <w:szCs w:val="30"/>
              </w:rPr>
              <w:fldChar w:fldCharType="end"/>
            </w:r>
            <w:r w:rsidRPr="00FF400C">
              <w:rPr>
                <w:rFonts w:eastAsiaTheme="minorEastAsia"/>
                <w:sz w:val="30"/>
                <w:szCs w:val="30"/>
              </w:rPr>
              <w:t>.</w:t>
            </w:r>
          </w:p>
        </w:tc>
      </w:tr>
      <w:tr w:rsidR="00952DAB" w:rsidRPr="00952DAB" w14:paraId="514FA3D8" w14:textId="77777777" w:rsidTr="00703FD2">
        <w:tc>
          <w:tcPr>
            <w:tcW w:w="2675" w:type="dxa"/>
          </w:tcPr>
          <w:p w14:paraId="52D13EA9" w14:textId="77777777" w:rsidR="00952DAB" w:rsidRPr="00952DAB" w:rsidRDefault="00952DAB" w:rsidP="00703FD2">
            <w:pPr>
              <w:ind w:firstLine="0"/>
              <w:rPr>
                <w:rFonts w:eastAsiaTheme="minorEastAsia"/>
                <w:i/>
                <w:iCs/>
                <w:sz w:val="30"/>
                <w:szCs w:val="30"/>
              </w:rPr>
            </w:pPr>
            <w:r w:rsidRPr="00952DAB">
              <w:rPr>
                <w:i/>
                <w:iCs/>
                <w:sz w:val="30"/>
                <w:szCs w:val="30"/>
              </w:rPr>
              <w:lastRenderedPageBreak/>
              <w:t>HS3ST4</w:t>
            </w:r>
          </w:p>
        </w:tc>
        <w:tc>
          <w:tcPr>
            <w:tcW w:w="1365" w:type="dxa"/>
          </w:tcPr>
          <w:p w14:paraId="405DAA64" w14:textId="77777777" w:rsidR="00952DAB" w:rsidRPr="00952DAB" w:rsidRDefault="00952DAB" w:rsidP="00703FD2">
            <w:pPr>
              <w:ind w:firstLine="0"/>
              <w:rPr>
                <w:rFonts w:eastAsiaTheme="minorEastAsia"/>
                <w:sz w:val="30"/>
                <w:szCs w:val="30"/>
              </w:rPr>
            </w:pPr>
            <w:r w:rsidRPr="00952DAB">
              <w:rPr>
                <w:sz w:val="30"/>
                <w:szCs w:val="30"/>
              </w:rPr>
              <w:t>rs59784607</w:t>
            </w:r>
          </w:p>
        </w:tc>
        <w:tc>
          <w:tcPr>
            <w:tcW w:w="1985" w:type="dxa"/>
          </w:tcPr>
          <w:p w14:paraId="645EA5BA" w14:textId="77777777" w:rsidR="00952DAB" w:rsidRPr="00952DAB" w:rsidRDefault="00952DAB" w:rsidP="00703FD2">
            <w:pPr>
              <w:ind w:firstLine="0"/>
              <w:rPr>
                <w:rFonts w:eastAsiaTheme="minorEastAsia"/>
                <w:sz w:val="30"/>
                <w:szCs w:val="30"/>
              </w:rPr>
            </w:pPr>
            <w:r w:rsidRPr="00952DAB">
              <w:rPr>
                <w:sz w:val="30"/>
                <w:szCs w:val="30"/>
              </w:rPr>
              <w:t>Pigmentation</w:t>
            </w:r>
          </w:p>
        </w:tc>
        <w:tc>
          <w:tcPr>
            <w:tcW w:w="7967" w:type="dxa"/>
          </w:tcPr>
          <w:p w14:paraId="1E08C3E3" w14:textId="379E6162" w:rsidR="00952DAB" w:rsidRPr="00FF400C" w:rsidRDefault="00952DAB" w:rsidP="00952DAB">
            <w:pPr>
              <w:pStyle w:val="ListParagraph"/>
              <w:numPr>
                <w:ilvl w:val="0"/>
                <w:numId w:val="4"/>
              </w:numPr>
              <w:rPr>
                <w:sz w:val="30"/>
                <w:szCs w:val="30"/>
              </w:rPr>
            </w:pPr>
            <w:r w:rsidRPr="00FF400C">
              <w:rPr>
                <w:sz w:val="30"/>
                <w:szCs w:val="30"/>
              </w:rPr>
              <w:t xml:space="preserve">Involved in glycosaminoglycan biosynthesis </w:t>
            </w:r>
            <w:r w:rsidRPr="00FF400C">
              <w:rPr>
                <w:sz w:val="30"/>
                <w:szCs w:val="30"/>
              </w:rPr>
              <w:fldChar w:fldCharType="begin"/>
            </w:r>
            <w:r w:rsidRPr="00FF400C">
              <w:rPr>
                <w:sz w:val="30"/>
                <w:szCs w:val="30"/>
              </w:rPr>
              <w:instrText xml:space="preserve"> ADDIN ZOTERO_ITEM CSL_CITATION {"citationID":"wUdH4B9e","properties":{"formattedCitation":"(Lehri-Boufala et al. 2015)","plainCitation":"(Lehri-Boufala et al. 2015)","noteIndex":0},"citationItems":[{"id":3041,"uris":["http://zotero.org/users/14079873/items/ER88R3LC"],"itemData":{"id":3041,"type":"article-journal","abstract":"The causes of Parkinson disease (PD) remain mysterious, although some evidence supports mitochondrial dysfunctions and α-synuclein accumulation in Lewy bodies as major events. The abnormal accumulation of α-synuclein has been associated with a deficiency in the ubiquitin-proteasome system and the autophagy-lysosomal pathway. Cathepsin D (cathD), the major lysosomal protease responsible of α-synuclein degradation was described to be up-regulated in PD model. As glycosaminoglycans (GAGs) regulate cathD activity, and have been recently suggested to participate in PD physiopathology, we investigated their role in α-synuclein accumulation by their intracellular regulation of cathD activity. In a classical neuroblastoma cell model of PD induced by MPP+, the genetic expression of GAGs-biosynthetic enzymes was modified, leading to an increase of GAGs amounts whereas intracellular level of α-synuclein increased. The absence of sulfated GAGs increased intracellular cathD activity and limited α-synuclein accumulation. GAGs effects on cathD further suggested that specific sequences or sulfation patterns could be responsible for this regulation. The present study identifies, for the first time, GAGs as new regulators of the lysosome degradation pathway, regulating cathD activity and affecting two main biological processes, α-synuclein aggregation and apoptosis. Finally, this opens new insights into intracellular GAGs functions and new fields of investigation for glycobiological approaches in PD and neurobiology.","container-title":"PLoS ONE","DOI":"10.1371/journal.pone.0116641","ISSN":"1932-6203","issue":"1","journalAbbreviation":"PLoS One","note":"PMID: 25617759\nPMCID: PMC4305359","page":"e0116641","source":"PubMed Central","title":"New Roles of Glycosaminoglycans in α-Synuclein Aggregation in a Cellular Model of Parkinson Disease","volume":"10","author":[{"family":"Lehri-Boufala","given":"Sonia"},{"family":"Ouidja","given":"Mohand-Ouidir"},{"family":"Barbier-Chassefière","given":"Véronique"},{"family":"Hénault","given":"Emilie"},{"family":"Raisman-Vozari","given":"Rita"},{"family":"Garrigue-Antar","given":"Laure"},{"family":"Papy-Garcia","given":"Dulce"},{"family":"Morin","given":"Christophe"}],"issued":{"date-parts":[["2015",1,24]]}}}],"schema":"https://github.com/citation-style-language/schema/raw/master/csl-citation.json"} </w:instrText>
            </w:r>
            <w:r w:rsidRPr="00FF400C">
              <w:rPr>
                <w:sz w:val="30"/>
                <w:szCs w:val="30"/>
              </w:rPr>
              <w:fldChar w:fldCharType="separate"/>
            </w:r>
            <w:r w:rsidRPr="00FF400C">
              <w:rPr>
                <w:sz w:val="30"/>
                <w:szCs w:val="30"/>
              </w:rPr>
              <w:t>(Lehri-</w:t>
            </w:r>
            <w:proofErr w:type="spellStart"/>
            <w:r w:rsidRPr="00FF400C">
              <w:rPr>
                <w:sz w:val="30"/>
                <w:szCs w:val="30"/>
              </w:rPr>
              <w:t>Boufala</w:t>
            </w:r>
            <w:proofErr w:type="spellEnd"/>
            <w:r w:rsidRPr="00FF400C">
              <w:rPr>
                <w:sz w:val="30"/>
                <w:szCs w:val="30"/>
              </w:rPr>
              <w:t xml:space="preserve"> et al. 2015)</w:t>
            </w:r>
            <w:r w:rsidRPr="00FF400C">
              <w:rPr>
                <w:sz w:val="30"/>
                <w:szCs w:val="30"/>
              </w:rPr>
              <w:fldChar w:fldCharType="end"/>
            </w:r>
            <w:r w:rsidRPr="00FF400C">
              <w:rPr>
                <w:rFonts w:eastAsiaTheme="minorEastAsia"/>
                <w:sz w:val="30"/>
                <w:szCs w:val="30"/>
              </w:rPr>
              <w:t>.</w:t>
            </w:r>
          </w:p>
        </w:tc>
      </w:tr>
      <w:tr w:rsidR="00952DAB" w:rsidRPr="00952DAB" w14:paraId="514010E3" w14:textId="77777777" w:rsidTr="00703FD2">
        <w:tc>
          <w:tcPr>
            <w:tcW w:w="2675" w:type="dxa"/>
          </w:tcPr>
          <w:p w14:paraId="774D8123" w14:textId="77777777" w:rsidR="00952DAB" w:rsidRPr="00952DAB" w:rsidRDefault="00952DAB" w:rsidP="00703FD2">
            <w:pPr>
              <w:ind w:firstLine="0"/>
              <w:rPr>
                <w:i/>
                <w:iCs/>
                <w:sz w:val="30"/>
                <w:szCs w:val="30"/>
              </w:rPr>
            </w:pPr>
            <w:r w:rsidRPr="00952DAB">
              <w:rPr>
                <w:i/>
                <w:iCs/>
                <w:sz w:val="30"/>
                <w:szCs w:val="30"/>
              </w:rPr>
              <w:t>HSPA12A</w:t>
            </w:r>
          </w:p>
        </w:tc>
        <w:tc>
          <w:tcPr>
            <w:tcW w:w="1365" w:type="dxa"/>
          </w:tcPr>
          <w:p w14:paraId="73601C97" w14:textId="77777777" w:rsidR="00952DAB" w:rsidRPr="00952DAB" w:rsidRDefault="00952DAB" w:rsidP="00703FD2">
            <w:pPr>
              <w:ind w:firstLine="0"/>
              <w:rPr>
                <w:sz w:val="30"/>
                <w:szCs w:val="30"/>
              </w:rPr>
            </w:pPr>
            <w:r w:rsidRPr="00952DAB">
              <w:rPr>
                <w:rFonts w:eastAsia="DengXian"/>
                <w:kern w:val="2"/>
                <w:sz w:val="30"/>
                <w:szCs w:val="30"/>
                <w:lang w:val="en-US"/>
                <w14:ligatures w14:val="standardContextual"/>
              </w:rPr>
              <w:t>rs12259842</w:t>
            </w:r>
          </w:p>
        </w:tc>
        <w:tc>
          <w:tcPr>
            <w:tcW w:w="1985" w:type="dxa"/>
          </w:tcPr>
          <w:p w14:paraId="4935B6E1" w14:textId="77777777" w:rsidR="00952DAB" w:rsidRPr="00952DAB" w:rsidRDefault="00952DAB" w:rsidP="00703FD2">
            <w:pPr>
              <w:ind w:firstLine="0"/>
              <w:rPr>
                <w:sz w:val="30"/>
                <w:szCs w:val="30"/>
              </w:rPr>
            </w:pPr>
            <w:r w:rsidRPr="00952DAB">
              <w:rPr>
                <w:sz w:val="30"/>
                <w:szCs w:val="30"/>
              </w:rPr>
              <w:t>Facial solar lentigines</w:t>
            </w:r>
          </w:p>
        </w:tc>
        <w:tc>
          <w:tcPr>
            <w:tcW w:w="7967" w:type="dxa"/>
          </w:tcPr>
          <w:p w14:paraId="2CB5B07A" w14:textId="77777777" w:rsidR="00952DAB" w:rsidRPr="00FF400C" w:rsidRDefault="00952DAB" w:rsidP="00952DAB">
            <w:pPr>
              <w:pStyle w:val="ListParagraph"/>
              <w:numPr>
                <w:ilvl w:val="0"/>
                <w:numId w:val="8"/>
              </w:numPr>
              <w:rPr>
                <w:sz w:val="30"/>
                <w:szCs w:val="30"/>
                <w:lang w:eastAsia="zh-TW"/>
              </w:rPr>
            </w:pPr>
            <w:r w:rsidRPr="00FF400C">
              <w:rPr>
                <w:sz w:val="30"/>
                <w:szCs w:val="30"/>
                <w:lang w:eastAsia="zh-TW"/>
              </w:rPr>
              <w:t xml:space="preserve">Member of the </w:t>
            </w:r>
            <w:r w:rsidRPr="00FF400C">
              <w:rPr>
                <w:rFonts w:eastAsia="DengXian"/>
                <w:kern w:val="2"/>
                <w:sz w:val="30"/>
                <w:szCs w:val="30"/>
                <w:lang w:val="en-US"/>
                <w14:ligatures w14:val="standardContextual"/>
              </w:rPr>
              <w:t xml:space="preserve">highly conserved 70-kDa heat shock protein (HSP70) family, which plays a crucial role in </w:t>
            </w:r>
            <w:proofErr w:type="spellStart"/>
            <w:r w:rsidRPr="00FF400C">
              <w:rPr>
                <w:rFonts w:eastAsia="DengXian"/>
                <w:kern w:val="2"/>
                <w:sz w:val="30"/>
                <w:szCs w:val="30"/>
                <w:lang w:val="en-US"/>
                <w14:ligatures w14:val="standardContextual"/>
              </w:rPr>
              <w:t>proteostasis</w:t>
            </w:r>
            <w:proofErr w:type="spellEnd"/>
            <w:r w:rsidRPr="00FF400C">
              <w:rPr>
                <w:rFonts w:eastAsia="DengXian"/>
                <w:kern w:val="2"/>
                <w:sz w:val="30"/>
                <w:szCs w:val="30"/>
                <w:lang w:val="en-US"/>
                <w14:ligatures w14:val="standardContextual"/>
              </w:rPr>
              <w:t xml:space="preserve"> by facilitating protein folding, multi-protein complex assembly, and transport </w:t>
            </w:r>
            <w:r w:rsidRPr="00FF400C">
              <w:rPr>
                <w:rFonts w:eastAsia="DengXian"/>
                <w:kern w:val="2"/>
                <w:sz w:val="30"/>
                <w:szCs w:val="30"/>
                <w:lang w:val="en-US"/>
                <w14:ligatures w14:val="standardContextual"/>
              </w:rPr>
              <w:fldChar w:fldCharType="begin"/>
            </w:r>
            <w:r w:rsidRPr="00FF400C">
              <w:rPr>
                <w:rFonts w:eastAsia="DengXian"/>
                <w:kern w:val="2"/>
                <w:sz w:val="30"/>
                <w:szCs w:val="30"/>
                <w:lang w:val="en-US"/>
                <w14:ligatures w14:val="standardContextual"/>
              </w:rPr>
              <w:instrText xml:space="preserve"> ADDIN ZOTERO_ITEM CSL_CITATION {"citationID":"NhEcQTir","properties":{"formattedCitation":"(Radons 2016)","plainCitation":"(Radons 2016)","noteIndex":0},"citationItems":[{"id":2833,"uris":["http://zotero.org/users/14079873/items/KLBMCPHW"],"itemData":{"id":2833,"type":"article-journal","abstract":"The 70-kDa heat shock protein (HSP70) family of molecular chaperones represents one of the most ubiquitous classes of chaperones and is highly conserved in all organisms. Members of the HSP70 family control all aspects of cellular proteostasis such as nascent protein chain folding, protein import into organelles, recovering of proteins from aggregation, and assembly of multi-protein complexes. These chaperones augment organismal survival and longevity in the face of proteotoxic stress by enhancing cell viability and facilitating protein damage repair. Extracellular HSP70s have a number of cytoprotective and immunomodulatory functions, the latter either in the context of facilitating the cross-presentation of immunogenic peptides via major histocompatibility complex (MHC) antigens or in the context of acting as “chaperokines” or stimulators of innate immune responses. Studies have linked the expression of HSP70s to several types of carcinoma, with Hsp70 expression being associated with therapeutic resistance, metastasis, and poor clinical outcome. In malignantly transformed cells, HSP70s protect cells from the proteotoxic stress associated with abnormally rapid proliferation, suppress cellular senescence, and confer resistance to stress-induced apoptosis including protection against cytostatic drugs and radiation therapy. All of the cellular activities of HSP70s depend on their adenosine-5′-triphosphate (ATP)-regulated ability to interact with exposed hydrophobic surfaces of proteins. ATP hydrolysis and adenosine diphosphate (ADP)/ATP exchange are key events for substrate binding and Hsp70 release during folding of nascent polypeptides. Several proteins that bind to distinct subdomains of Hsp70 and consequently modulate the activity of the chaperone have been identified as HSP70 co-chaperones. This review focuses on the regulation, function, and relevance of the molecular Hsp70 chaperone machinery to disease and its potential as a therapeutic target.","container-title":"Cell Stress and Chaperones","DOI":"10.1007/s12192-016-0676-6","ISSN":"1466-1268","issue":"3","journalAbbreviation":"Cell Stress and Chaperones","language":"en","page":"379-404","source":"Springer Link","title":"The human HSP70 family of chaperones: where do we stand?","title-short":"The human HSP70 family of chaperones","volume":"21","author":[{"family":"Radons","given":"Jürgen"}],"issued":{"date-parts":[["2016",5,1]]}}}],"schema":"https://github.com/citation-style-language/schema/raw/master/csl-citation.json"} </w:instrText>
            </w:r>
            <w:r w:rsidRPr="00FF400C">
              <w:rPr>
                <w:rFonts w:eastAsia="DengXian"/>
                <w:kern w:val="2"/>
                <w:sz w:val="30"/>
                <w:szCs w:val="30"/>
                <w:lang w:val="en-US"/>
                <w14:ligatures w14:val="standardContextual"/>
              </w:rPr>
              <w:fldChar w:fldCharType="separate"/>
            </w:r>
            <w:r w:rsidRPr="00FF400C">
              <w:rPr>
                <w:rFonts w:eastAsia="DengXian"/>
                <w:sz w:val="30"/>
                <w:szCs w:val="30"/>
              </w:rPr>
              <w:t>(Radons 2016)</w:t>
            </w:r>
            <w:r w:rsidRPr="00FF400C">
              <w:rPr>
                <w:rFonts w:eastAsia="DengXian"/>
                <w:kern w:val="2"/>
                <w:sz w:val="30"/>
                <w:szCs w:val="30"/>
                <w:lang w:val="en-US"/>
                <w14:ligatures w14:val="standardContextual"/>
              </w:rPr>
              <w:fldChar w:fldCharType="end"/>
            </w:r>
            <w:r w:rsidRPr="00FF400C">
              <w:rPr>
                <w:rFonts w:eastAsia="DengXian"/>
                <w:kern w:val="2"/>
                <w:sz w:val="30"/>
                <w:szCs w:val="30"/>
                <w:lang w:val="en-US"/>
                <w14:ligatures w14:val="standardContextual"/>
              </w:rPr>
              <w:t>.</w:t>
            </w:r>
          </w:p>
        </w:tc>
      </w:tr>
      <w:tr w:rsidR="00952DAB" w:rsidRPr="00952DAB" w14:paraId="15194F6D" w14:textId="77777777" w:rsidTr="00703FD2">
        <w:tc>
          <w:tcPr>
            <w:tcW w:w="2675" w:type="dxa"/>
          </w:tcPr>
          <w:p w14:paraId="21D4A2C4" w14:textId="77777777" w:rsidR="00952DAB" w:rsidRPr="00952DAB" w:rsidRDefault="00952DAB" w:rsidP="00703FD2">
            <w:pPr>
              <w:ind w:firstLine="0"/>
              <w:rPr>
                <w:i/>
                <w:iCs/>
                <w:sz w:val="30"/>
                <w:szCs w:val="30"/>
              </w:rPr>
            </w:pPr>
            <w:r w:rsidRPr="00952DAB">
              <w:rPr>
                <w:i/>
                <w:iCs/>
                <w:sz w:val="30"/>
                <w:szCs w:val="30"/>
              </w:rPr>
              <w:t>RPS27P18, MRPS21P6</w:t>
            </w:r>
          </w:p>
        </w:tc>
        <w:tc>
          <w:tcPr>
            <w:tcW w:w="1365" w:type="dxa"/>
          </w:tcPr>
          <w:p w14:paraId="75750BEC" w14:textId="77777777" w:rsidR="00952DAB" w:rsidRPr="00952DAB" w:rsidRDefault="00952DAB" w:rsidP="00703FD2">
            <w:pPr>
              <w:ind w:firstLine="0"/>
              <w:rPr>
                <w:sz w:val="30"/>
                <w:szCs w:val="30"/>
              </w:rPr>
            </w:pPr>
            <w:r w:rsidRPr="00952DAB">
              <w:rPr>
                <w:sz w:val="30"/>
                <w:szCs w:val="30"/>
              </w:rPr>
              <w:t>rs4962295</w:t>
            </w:r>
          </w:p>
        </w:tc>
        <w:tc>
          <w:tcPr>
            <w:tcW w:w="1985" w:type="dxa"/>
          </w:tcPr>
          <w:p w14:paraId="26574AF5" w14:textId="77777777" w:rsidR="00952DAB" w:rsidRPr="00952DAB" w:rsidRDefault="00952DAB" w:rsidP="00703FD2">
            <w:pPr>
              <w:ind w:firstLine="0"/>
              <w:rPr>
                <w:sz w:val="30"/>
                <w:szCs w:val="30"/>
              </w:rPr>
            </w:pPr>
            <w:r w:rsidRPr="00952DAB">
              <w:rPr>
                <w:sz w:val="30"/>
                <w:szCs w:val="30"/>
              </w:rPr>
              <w:t>Wrinkle</w:t>
            </w:r>
          </w:p>
        </w:tc>
        <w:tc>
          <w:tcPr>
            <w:tcW w:w="7967" w:type="dxa"/>
          </w:tcPr>
          <w:p w14:paraId="7DE353F8" w14:textId="77777777" w:rsidR="00952DAB" w:rsidRPr="00FF400C" w:rsidRDefault="00952DAB" w:rsidP="00952DAB">
            <w:pPr>
              <w:pStyle w:val="ListParagraph"/>
              <w:numPr>
                <w:ilvl w:val="0"/>
                <w:numId w:val="5"/>
              </w:numPr>
              <w:rPr>
                <w:sz w:val="30"/>
                <w:szCs w:val="30"/>
              </w:rPr>
            </w:pPr>
            <w:r w:rsidRPr="00FF400C">
              <w:rPr>
                <w:sz w:val="30"/>
                <w:szCs w:val="30"/>
              </w:rPr>
              <w:t>No known function</w:t>
            </w:r>
          </w:p>
        </w:tc>
      </w:tr>
      <w:tr w:rsidR="00952DAB" w:rsidRPr="00952DAB" w14:paraId="06700E51" w14:textId="77777777" w:rsidTr="00703FD2">
        <w:tc>
          <w:tcPr>
            <w:tcW w:w="2675" w:type="dxa"/>
          </w:tcPr>
          <w:p w14:paraId="0708C5AB" w14:textId="77777777" w:rsidR="00952DAB" w:rsidRPr="00952DAB" w:rsidRDefault="00952DAB" w:rsidP="00703FD2">
            <w:pPr>
              <w:ind w:firstLine="0"/>
              <w:rPr>
                <w:i/>
                <w:iCs/>
                <w:sz w:val="30"/>
                <w:szCs w:val="30"/>
              </w:rPr>
            </w:pPr>
            <w:r w:rsidRPr="00952DAB">
              <w:rPr>
                <w:i/>
                <w:iCs/>
                <w:sz w:val="30"/>
                <w:szCs w:val="30"/>
              </w:rPr>
              <w:t>MYH11</w:t>
            </w:r>
          </w:p>
        </w:tc>
        <w:tc>
          <w:tcPr>
            <w:tcW w:w="1365" w:type="dxa"/>
          </w:tcPr>
          <w:p w14:paraId="7693E604" w14:textId="77777777" w:rsidR="00952DAB" w:rsidRPr="00952DAB" w:rsidRDefault="00952DAB" w:rsidP="00703FD2">
            <w:pPr>
              <w:ind w:firstLine="0"/>
              <w:rPr>
                <w:sz w:val="30"/>
                <w:szCs w:val="30"/>
              </w:rPr>
            </w:pPr>
            <w:r w:rsidRPr="00952DAB">
              <w:rPr>
                <w:sz w:val="30"/>
                <w:szCs w:val="30"/>
              </w:rPr>
              <w:t>rs76053540</w:t>
            </w:r>
          </w:p>
        </w:tc>
        <w:tc>
          <w:tcPr>
            <w:tcW w:w="1985" w:type="dxa"/>
          </w:tcPr>
          <w:p w14:paraId="22EC30CC" w14:textId="77777777" w:rsidR="00952DAB" w:rsidRPr="00952DAB" w:rsidRDefault="00952DAB" w:rsidP="00703FD2">
            <w:pPr>
              <w:ind w:firstLine="0"/>
              <w:rPr>
                <w:sz w:val="30"/>
                <w:szCs w:val="30"/>
              </w:rPr>
            </w:pPr>
            <w:r w:rsidRPr="00952DAB">
              <w:rPr>
                <w:sz w:val="30"/>
                <w:szCs w:val="30"/>
              </w:rPr>
              <w:t>Nasolabial fold</w:t>
            </w:r>
          </w:p>
        </w:tc>
        <w:tc>
          <w:tcPr>
            <w:tcW w:w="7967" w:type="dxa"/>
          </w:tcPr>
          <w:p w14:paraId="5A18DA00" w14:textId="77777777" w:rsidR="00952DAB" w:rsidRPr="00FF400C" w:rsidRDefault="00952DAB" w:rsidP="00952DAB">
            <w:pPr>
              <w:pStyle w:val="ListParagraph"/>
              <w:numPr>
                <w:ilvl w:val="0"/>
                <w:numId w:val="5"/>
              </w:numPr>
              <w:rPr>
                <w:sz w:val="30"/>
                <w:szCs w:val="30"/>
              </w:rPr>
            </w:pPr>
            <w:r w:rsidRPr="00FF400C">
              <w:rPr>
                <w:sz w:val="30"/>
                <w:szCs w:val="30"/>
              </w:rPr>
              <w:t xml:space="preserve">Components of the contractile apparatus in smooth muscle </w:t>
            </w:r>
            <w:r w:rsidRPr="00FF400C">
              <w:rPr>
                <w:sz w:val="30"/>
                <w:szCs w:val="30"/>
              </w:rPr>
              <w:fldChar w:fldCharType="begin"/>
            </w:r>
            <w:r w:rsidRPr="00FF400C">
              <w:rPr>
                <w:sz w:val="30"/>
                <w:szCs w:val="30"/>
              </w:rPr>
              <w:instrText xml:space="preserve"> ADDIN ZOTERO_ITEM CSL_CITATION {"citationID":"PHUmKYaM","properties":{"formattedCitation":"(Ruan et al. 2021)","plainCitation":"(Ruan et al. 2021)","noteIndex":0},"citationItems":[{"id":3052,"uris":["http://zotero.org/users/14079873/items/GWWBNAFK"],"itemData":{"id":3052,"type":"article-journal","abstract":"Objective:\nMyh11 encodes a myosin heavy chain protein that is specifically expressed in smooth muscle cells (SMCs) and is important for maintaining vascular wall stability. The goal of this study is to generate a Myh11 dual reporter mouse line for definitive visualization of MYH11+ SMCs in vivo.\nApproach and Results:\nWe generated a Myh11 knock-in mouse model by inserting LoxP-nlacZ-4XpolyA-LoxP-H2B-GFP-polyA-FRT-Neo-FRT reporter cassette into the Myh11 gene locus. The nuclear (n) lacZ-4XpolyA cassette is flanked by 2 LoxP sites followed by H2B-GFP (histone 2B fused green fluorescent protein). Upon Cre-mediated recombination, nlacZ-stop cassette is removed thereby permitting nucleus localized H2B-GFP expression. Expression of the nuclear localized lacZ or H2B-GFP is under control of the endogenous Myh11 promoter. Nuclear lacZ was expressed specifically in SMCs at embryonic and adult stages. Following germline Cre-mediated deletion of nuclear lacZ, H2B-GFP was specifically expressed in the nuclei of SMCs. Comparison of nuclear lacZ expression with Wnt1Cre and Mef2cCre mediated-H2B-GFP expression revealed heterogenous origins of SMCs from neural crest and second heart field in the great arteries and coronary vessels adjacent to aortic root.\nConclusions:\nThe Myh11 knock-in dual reporter mouse model offers an exceptional genetic tool to visualize and trace the origins of SMCs in mice.","container-title":"Arteriosclerosis, Thrombosis, and Vascular Biology","DOI":"10.1161/ATVBAHA.120.315107","issue":"2","note":"publisher: American Heart Association","page":"815-821","source":"ahajournals.org (Atypon)","title":"Novel Myh11 Dual Reporter Mouse Model Provides Definitive Labeling and Identification of Smooth Muscle Cells—Brief Report","volume":"41","author":[{"family":"Ruan","given":"Jian"},{"family":"Zhang","given":"Lu"},{"family":"Hu","given":"Donghua"},{"family":"Qu","given":"Xianghu"},{"family":"Yang","given":"Fan"},{"family":"Chen","given":"Fuxue"},{"family":"He","given":"Xiangqin"},{"family":"Shen","given":"Jian"},{"family":"Dong","given":"Kunzhe"},{"family":"Sweet","given":"Megan"},{"family":"Sanchez","given":"Christina"},{"family":"Li","given":"Deqiang"},{"family":"Shou","given":"Weinian"},{"family":"Zhou","given":"Jiliang"},{"family":"Cai","given":"Chen-Leng"}],"issued":{"date-parts":[["2021",2]]}}}],"schema":"https://github.com/citation-style-language/schema/raw/master/csl-citation.json"} </w:instrText>
            </w:r>
            <w:r w:rsidRPr="00FF400C">
              <w:rPr>
                <w:sz w:val="30"/>
                <w:szCs w:val="30"/>
              </w:rPr>
              <w:fldChar w:fldCharType="separate"/>
            </w:r>
            <w:r w:rsidRPr="00FF400C">
              <w:rPr>
                <w:sz w:val="30"/>
                <w:szCs w:val="30"/>
              </w:rPr>
              <w:t>(Ruan et al. 2021)</w:t>
            </w:r>
            <w:r w:rsidRPr="00FF400C">
              <w:rPr>
                <w:sz w:val="30"/>
                <w:szCs w:val="30"/>
              </w:rPr>
              <w:fldChar w:fldCharType="end"/>
            </w:r>
            <w:r w:rsidRPr="00FF400C">
              <w:rPr>
                <w:sz w:val="30"/>
                <w:szCs w:val="30"/>
              </w:rPr>
              <w:t>.</w:t>
            </w:r>
          </w:p>
        </w:tc>
      </w:tr>
      <w:tr w:rsidR="00952DAB" w:rsidRPr="00952DAB" w14:paraId="14196EF7" w14:textId="77777777" w:rsidTr="00703FD2">
        <w:tc>
          <w:tcPr>
            <w:tcW w:w="2675" w:type="dxa"/>
          </w:tcPr>
          <w:p w14:paraId="13E1E483" w14:textId="77777777" w:rsidR="00952DAB" w:rsidRPr="00952DAB" w:rsidRDefault="00952DAB" w:rsidP="00703FD2">
            <w:pPr>
              <w:ind w:firstLine="0"/>
              <w:rPr>
                <w:i/>
                <w:iCs/>
                <w:sz w:val="30"/>
                <w:szCs w:val="30"/>
              </w:rPr>
            </w:pPr>
            <w:r w:rsidRPr="00952DAB">
              <w:rPr>
                <w:i/>
                <w:iCs/>
                <w:sz w:val="30"/>
                <w:szCs w:val="30"/>
                <w:lang w:eastAsia="zh-TW"/>
              </w:rPr>
              <w:t>NCLN</w:t>
            </w:r>
          </w:p>
        </w:tc>
        <w:tc>
          <w:tcPr>
            <w:tcW w:w="1365" w:type="dxa"/>
          </w:tcPr>
          <w:p w14:paraId="5C083A13" w14:textId="77777777" w:rsidR="00952DAB" w:rsidRPr="00952DAB" w:rsidRDefault="00952DAB" w:rsidP="00703FD2">
            <w:pPr>
              <w:ind w:firstLine="0"/>
              <w:rPr>
                <w:sz w:val="30"/>
                <w:szCs w:val="30"/>
              </w:rPr>
            </w:pPr>
            <w:r w:rsidRPr="00952DAB">
              <w:rPr>
                <w:sz w:val="30"/>
                <w:szCs w:val="30"/>
                <w:lang w:eastAsia="zh-TW"/>
              </w:rPr>
              <w:t>rs34466224</w:t>
            </w:r>
          </w:p>
        </w:tc>
        <w:tc>
          <w:tcPr>
            <w:tcW w:w="1985" w:type="dxa"/>
          </w:tcPr>
          <w:p w14:paraId="42A8C57E" w14:textId="77777777" w:rsidR="00952DAB" w:rsidRPr="00952DAB" w:rsidRDefault="00952DAB" w:rsidP="00703FD2">
            <w:pPr>
              <w:ind w:firstLine="0"/>
              <w:rPr>
                <w:sz w:val="30"/>
                <w:szCs w:val="30"/>
              </w:rPr>
            </w:pPr>
            <w:r w:rsidRPr="00952DAB">
              <w:rPr>
                <w:sz w:val="30"/>
                <w:szCs w:val="30"/>
                <w:lang w:eastAsia="zh-TW"/>
              </w:rPr>
              <w:t>Pigmentation</w:t>
            </w:r>
          </w:p>
        </w:tc>
        <w:tc>
          <w:tcPr>
            <w:tcW w:w="7967" w:type="dxa"/>
          </w:tcPr>
          <w:p w14:paraId="5FAD3D67" w14:textId="77777777" w:rsidR="00952DAB" w:rsidRPr="00FF400C" w:rsidRDefault="00952DAB" w:rsidP="00952DAB">
            <w:pPr>
              <w:pStyle w:val="ListParagraph"/>
              <w:numPr>
                <w:ilvl w:val="0"/>
                <w:numId w:val="5"/>
              </w:numPr>
              <w:rPr>
                <w:sz w:val="30"/>
                <w:szCs w:val="30"/>
              </w:rPr>
            </w:pPr>
            <w:r w:rsidRPr="00FF400C">
              <w:rPr>
                <w:sz w:val="30"/>
                <w:szCs w:val="30"/>
                <w:lang w:eastAsia="zh-TW"/>
              </w:rPr>
              <w:t>Function as an antagonist of Nodal Signalli</w:t>
            </w:r>
            <w:r w:rsidRPr="00FF400C">
              <w:rPr>
                <w:rFonts w:eastAsiaTheme="minorEastAsia"/>
                <w:sz w:val="30"/>
                <w:szCs w:val="30"/>
                <w:lang w:eastAsia="zh-TW"/>
              </w:rPr>
              <w:t xml:space="preserve">ng </w:t>
            </w:r>
            <w:r w:rsidRPr="00FF400C">
              <w:rPr>
                <w:sz w:val="30"/>
                <w:szCs w:val="30"/>
              </w:rPr>
              <w:fldChar w:fldCharType="begin"/>
            </w:r>
            <w:r w:rsidRPr="00FF400C">
              <w:rPr>
                <w:sz w:val="30"/>
                <w:szCs w:val="30"/>
                <w:lang w:eastAsia="zh-TW"/>
              </w:rPr>
              <w:instrText xml:space="preserve"> ADDIN ZOTERO_ITEM CSL_CITATION {"citationID":"h39Q1Qmf","properties":{"formattedCitation":"(Haffner et al. 2004)","plainCitation":"(Haffner et al. 2004)","noteIndex":0},"citationItems":[{"id":3047,"uris":["http://zotero.org/users/14079873/items/T5HHTP3I"],"itemData":{"id":3047,"type":"article-journal","abstract":"Nodals are signaling factors of the transforming growth factor-β (TGFβ) superfamily with a key role in vertebrate development. They control a variety of cell fate decisions required for the establishment of the embryonic body plan. We have identified two highly conserved transmembrane proteins, Nicalin and Nomo (Nodal modulator, previously known as pM5), as novel antagonists of Nodal signaling. Nicalin is distantly related to Nicastrin, a component of the Alzheimer's disease-associated γ-secretase, and forms a complex with Nomo. Ectopic expression of both proteins in zebrafish embryos causes cyclopia, a phenotype that can arise from a defect in mesendoderm patterning mediated by the Nodal signaling pathway. Accordingly, downregulation of Nomo resulted in an increase in anterior axial mesendoderm and the development of an enlarged hatching gland. Inhibition of Nodal signaling by ectopic expression of Lefty was rescued by reducing Nomo levels. Furthermore, Nodal- as well as Activin-induced signaling was inhibited by Nicalin and Nomo in a cell-based reporter assay. Our data demonstrate that the Nicalin/Nomo complex antagonizes Nodal signaling during mesendodermal patterning in zebrafish.","container-title":"The EMBO Journal","DOI":"10.1038/sj.emboj.7600307","ISSN":"0261-4189","issue":"15","journalAbbreviation":"EMBO J","note":"PMID: 15257293\nPMCID: PMC514924","page":"3041-3050","source":"PubMed Central","title":"Nicalin and its binding partner Nomo are novel Nodal signaling antagonists","volume":"23","author":[{"family":"Haffner","given":"Christof"},{"family":"Frauli","given":"Mélanie"},{"family":"Topp","given":"Stephanie"},{"family":"Irmler","given":"Martin"},{"family":"Hofmann","given":"Kay"},{"family":"Regula","given":"Jörg T"},{"family":"Bally-Cuif","given":"Laure"},{"family":"Haass","given":"Christian"}],"issued":{"date-parts":[["2004",8,4]]}}}],"schema":"https://github.com/citation-style-language/schema/raw/master/csl-citation.json"} </w:instrText>
            </w:r>
            <w:r w:rsidRPr="00FF400C">
              <w:rPr>
                <w:sz w:val="30"/>
                <w:szCs w:val="30"/>
              </w:rPr>
              <w:fldChar w:fldCharType="separate"/>
            </w:r>
            <w:r w:rsidRPr="00FF400C">
              <w:rPr>
                <w:sz w:val="30"/>
                <w:szCs w:val="30"/>
              </w:rPr>
              <w:t>(Haffner et al. 2004)</w:t>
            </w:r>
            <w:r w:rsidRPr="00FF400C">
              <w:rPr>
                <w:sz w:val="30"/>
                <w:szCs w:val="30"/>
              </w:rPr>
              <w:fldChar w:fldCharType="end"/>
            </w:r>
            <w:r w:rsidRPr="00FF400C">
              <w:rPr>
                <w:rFonts w:eastAsiaTheme="minorEastAsia"/>
                <w:sz w:val="30"/>
                <w:szCs w:val="30"/>
              </w:rPr>
              <w:t>.</w:t>
            </w:r>
          </w:p>
        </w:tc>
      </w:tr>
      <w:tr w:rsidR="00952DAB" w:rsidRPr="00952DAB" w14:paraId="221BB43A" w14:textId="77777777" w:rsidTr="00703FD2">
        <w:tc>
          <w:tcPr>
            <w:tcW w:w="2675" w:type="dxa"/>
          </w:tcPr>
          <w:p w14:paraId="2EC2A557" w14:textId="77777777" w:rsidR="00952DAB" w:rsidRPr="00952DAB" w:rsidRDefault="00952DAB" w:rsidP="00703FD2">
            <w:pPr>
              <w:ind w:firstLine="0"/>
              <w:rPr>
                <w:i/>
                <w:iCs/>
                <w:sz w:val="30"/>
                <w:szCs w:val="30"/>
                <w:lang w:eastAsia="zh-TW"/>
              </w:rPr>
            </w:pPr>
            <w:r w:rsidRPr="00952DAB">
              <w:rPr>
                <w:i/>
                <w:iCs/>
                <w:sz w:val="30"/>
                <w:szCs w:val="30"/>
                <w:lang w:eastAsia="zh-TW"/>
              </w:rPr>
              <w:t xml:space="preserve">NMUR2 </w:t>
            </w:r>
          </w:p>
        </w:tc>
        <w:tc>
          <w:tcPr>
            <w:tcW w:w="1365" w:type="dxa"/>
          </w:tcPr>
          <w:p w14:paraId="7C4DC980" w14:textId="77777777" w:rsidR="00952DAB" w:rsidRPr="00952DAB" w:rsidRDefault="00952DAB" w:rsidP="00703FD2">
            <w:pPr>
              <w:ind w:firstLine="0"/>
              <w:rPr>
                <w:sz w:val="30"/>
                <w:szCs w:val="30"/>
                <w:lang w:eastAsia="zh-TW"/>
              </w:rPr>
            </w:pPr>
            <w:r w:rsidRPr="00952DAB">
              <w:rPr>
                <w:sz w:val="30"/>
                <w:szCs w:val="30"/>
                <w:lang w:eastAsia="zh-TW"/>
              </w:rPr>
              <w:t>rs10476781</w:t>
            </w:r>
          </w:p>
        </w:tc>
        <w:tc>
          <w:tcPr>
            <w:tcW w:w="1985" w:type="dxa"/>
          </w:tcPr>
          <w:p w14:paraId="4F383DF8" w14:textId="77777777" w:rsidR="00952DAB" w:rsidRPr="00952DAB" w:rsidRDefault="00952DAB" w:rsidP="00703FD2">
            <w:pPr>
              <w:ind w:firstLine="0"/>
              <w:rPr>
                <w:sz w:val="30"/>
                <w:szCs w:val="30"/>
                <w:lang w:eastAsia="zh-TW"/>
              </w:rPr>
            </w:pPr>
            <w:r w:rsidRPr="00952DAB">
              <w:rPr>
                <w:sz w:val="30"/>
                <w:szCs w:val="30"/>
                <w:lang w:eastAsia="zh-TW"/>
              </w:rPr>
              <w:t>Pigmentation</w:t>
            </w:r>
          </w:p>
        </w:tc>
        <w:tc>
          <w:tcPr>
            <w:tcW w:w="7967" w:type="dxa"/>
          </w:tcPr>
          <w:p w14:paraId="3BAE2058" w14:textId="77777777" w:rsidR="00952DAB" w:rsidRPr="00FF400C" w:rsidRDefault="00952DAB" w:rsidP="00952DAB">
            <w:pPr>
              <w:pStyle w:val="ListParagraph"/>
              <w:numPr>
                <w:ilvl w:val="0"/>
                <w:numId w:val="5"/>
              </w:numPr>
              <w:rPr>
                <w:sz w:val="30"/>
                <w:szCs w:val="30"/>
                <w:lang w:eastAsia="zh-TW"/>
              </w:rPr>
            </w:pPr>
            <w:r w:rsidRPr="00FF400C">
              <w:rPr>
                <w:sz w:val="30"/>
                <w:szCs w:val="30"/>
                <w:lang w:eastAsia="zh-TW"/>
              </w:rPr>
              <w:t xml:space="preserve">Promote cancer progression by enhancing the motility and invasiveness of cancer cells </w:t>
            </w:r>
            <w:r w:rsidRPr="00FF400C">
              <w:rPr>
                <w:sz w:val="30"/>
                <w:szCs w:val="30"/>
                <w:lang w:eastAsia="zh-TW"/>
              </w:rPr>
              <w:fldChar w:fldCharType="begin"/>
            </w:r>
            <w:r w:rsidRPr="00FF400C">
              <w:rPr>
                <w:sz w:val="30"/>
                <w:szCs w:val="30"/>
                <w:lang w:eastAsia="zh-TW"/>
              </w:rPr>
              <w:instrText xml:space="preserve"> ADDIN ZOTERO_ITEM CSL_CITATION {"citationID":"HhPmeXQm","properties":{"formattedCitation":"(Garczyk et al. 2017)","plainCitation":"(Garczyk et al. 2017)","noteIndex":0},"citationItems":[{"id":3124,"uris":["http://zotero.org/users/14079873/items/5AXAVAGR"],"itemData":{"id":3124,"type":"article-journal","abstract":"Neuromedin U (NMU) has been shown driving the progression of various tumor entities, including breast cancer. However, the expression pattern of NMU and its receptors in breast cancer tissues as well as systematic insight into mechanisms and downstream targets of the NMU-driven signaling pathways are still elusive. Here, NMU expression was found up-regulated in all breast cancer subtypes when compared to healthy breast tissue. Using an in silico dataset comprising 1,195 samples, high NMU expression was identified as an indicator of poor outcome in breast tumors showing strong NMUR2 expression. Next, the biological impact of NMU on breast cancer cells in relation to NMUR2 expression was analyzed. Ectopic NMU expression reduced colony growth while promoting a motile phenotype in NMUR2-positive SKBR3 but not NMUR2-negative Hs578T cells. To uncover signaling pathways and key molecules affected by NMU in SKBR3 cells, Affymetrix microarray analysis was applied. Forced NMU expression affected molecules involved in WNT receptor signaling among others. As such we demonstrated enhanced activation of the WNT/planar cell polarity (PCP) effector RAC1 and down-regulation of canonical WNT targets such as MYC. In summary, NMU might contribute to progression of NMUR2-positive breast cancer representing a potential druggable target for future personalized strategies.","container-title":"Oncotarget","DOI":"10.18632/oncotarget.16121","ISSN":"1949-2553","issue":"22","journalAbbreviation":"Oncotarget","note":"PMID: 28423716\nPMCID: PMC5482652","page":"36246-36265","source":"PubMed Central","title":"Oncogenic features of neuromedin U in breast cancer are associated with NMUR2 expression involving crosstalk with members of the WNT signaling pathway","volume":"8","author":[{"family":"Garczyk","given":"Stefan"},{"family":"Klotz","given":"Natalie"},{"family":"Szczepanski","given":"Sabrina"},{"family":"Denecke","given":"Bernd"},{"family":"Antonopoulos","given":"Wiebke"},{"family":"Stillfried","given":"Saskia","non-dropping-particle":"von"},{"family":"Knüchel","given":"Ruth"},{"family":"Rose","given":"Michael"},{"family":"Dahl","given":"Edgar"}],"issued":{"date-parts":[["2017",3,11]]}}}],"schema":"https://github.com/citation-style-language/schema/raw/master/csl-citation.json"} </w:instrText>
            </w:r>
            <w:r w:rsidRPr="00FF400C">
              <w:rPr>
                <w:sz w:val="30"/>
                <w:szCs w:val="30"/>
                <w:lang w:eastAsia="zh-TW"/>
              </w:rPr>
              <w:fldChar w:fldCharType="separate"/>
            </w:r>
            <w:r w:rsidRPr="00FF400C">
              <w:rPr>
                <w:sz w:val="30"/>
                <w:szCs w:val="30"/>
              </w:rPr>
              <w:t>(Garczyk et al. 2017)</w:t>
            </w:r>
            <w:r w:rsidRPr="00FF400C">
              <w:rPr>
                <w:sz w:val="30"/>
                <w:szCs w:val="30"/>
                <w:lang w:eastAsia="zh-TW"/>
              </w:rPr>
              <w:fldChar w:fldCharType="end"/>
            </w:r>
            <w:r w:rsidRPr="00FF400C">
              <w:rPr>
                <w:sz w:val="30"/>
                <w:szCs w:val="30"/>
                <w:lang w:eastAsia="zh-TW"/>
              </w:rPr>
              <w:t>.</w:t>
            </w:r>
          </w:p>
        </w:tc>
      </w:tr>
      <w:tr w:rsidR="00952DAB" w:rsidRPr="00952DAB" w14:paraId="0AE481A4" w14:textId="77777777" w:rsidTr="00703FD2">
        <w:tc>
          <w:tcPr>
            <w:tcW w:w="2675" w:type="dxa"/>
          </w:tcPr>
          <w:p w14:paraId="1BDDC9E6" w14:textId="77777777" w:rsidR="00952DAB" w:rsidRPr="00952DAB" w:rsidRDefault="00952DAB" w:rsidP="00703FD2">
            <w:pPr>
              <w:ind w:firstLine="0"/>
              <w:rPr>
                <w:i/>
                <w:iCs/>
                <w:sz w:val="30"/>
                <w:szCs w:val="30"/>
              </w:rPr>
            </w:pPr>
            <w:r w:rsidRPr="00952DAB">
              <w:rPr>
                <w:i/>
                <w:iCs/>
                <w:sz w:val="30"/>
                <w:szCs w:val="30"/>
              </w:rPr>
              <w:t>SCEL</w:t>
            </w:r>
          </w:p>
        </w:tc>
        <w:tc>
          <w:tcPr>
            <w:tcW w:w="1365" w:type="dxa"/>
          </w:tcPr>
          <w:p w14:paraId="26973235" w14:textId="77777777" w:rsidR="00952DAB" w:rsidRPr="00952DAB" w:rsidRDefault="00952DAB" w:rsidP="00703FD2">
            <w:pPr>
              <w:ind w:firstLine="0"/>
              <w:rPr>
                <w:sz w:val="30"/>
                <w:szCs w:val="30"/>
              </w:rPr>
            </w:pPr>
            <w:r w:rsidRPr="00952DAB">
              <w:rPr>
                <w:sz w:val="30"/>
                <w:szCs w:val="30"/>
                <w:lang w:eastAsia="zh-TW"/>
              </w:rPr>
              <w:t>rs912292</w:t>
            </w:r>
          </w:p>
        </w:tc>
        <w:tc>
          <w:tcPr>
            <w:tcW w:w="1985" w:type="dxa"/>
          </w:tcPr>
          <w:p w14:paraId="116DD0D5" w14:textId="77777777" w:rsidR="00952DAB" w:rsidRPr="00952DAB" w:rsidRDefault="00952DAB" w:rsidP="00703FD2">
            <w:pPr>
              <w:ind w:firstLine="0"/>
              <w:rPr>
                <w:sz w:val="30"/>
                <w:szCs w:val="30"/>
              </w:rPr>
            </w:pPr>
            <w:r w:rsidRPr="00952DAB">
              <w:rPr>
                <w:sz w:val="30"/>
                <w:szCs w:val="30"/>
              </w:rPr>
              <w:t>Facial solar lentigines</w:t>
            </w:r>
          </w:p>
        </w:tc>
        <w:tc>
          <w:tcPr>
            <w:tcW w:w="7967" w:type="dxa"/>
          </w:tcPr>
          <w:p w14:paraId="3CF129FC" w14:textId="77777777" w:rsidR="00952DAB" w:rsidRPr="00FF400C" w:rsidRDefault="00952DAB" w:rsidP="00952DAB">
            <w:pPr>
              <w:pStyle w:val="ListParagraph"/>
              <w:numPr>
                <w:ilvl w:val="0"/>
                <w:numId w:val="1"/>
              </w:numPr>
              <w:rPr>
                <w:sz w:val="30"/>
                <w:szCs w:val="30"/>
              </w:rPr>
            </w:pPr>
            <w:r w:rsidRPr="00FF400C">
              <w:rPr>
                <w:sz w:val="30"/>
                <w:szCs w:val="30"/>
              </w:rPr>
              <w:t xml:space="preserve">Involved in cornified envelope formation of keratinocytes </w:t>
            </w:r>
            <w:r w:rsidRPr="00FF400C">
              <w:rPr>
                <w:sz w:val="30"/>
                <w:szCs w:val="30"/>
              </w:rPr>
              <w:fldChar w:fldCharType="begin"/>
            </w:r>
            <w:r w:rsidRPr="00FF400C">
              <w:rPr>
                <w:sz w:val="30"/>
                <w:szCs w:val="30"/>
              </w:rPr>
              <w:instrText xml:space="preserve"> ADDIN ZOTERO_ITEM CSL_CITATION {"citationID":"OeVrBrZI","properties":{"formattedCitation":"(Baden et al. 2005)","plainCitation":"(Baden et al. 2005)","noteIndex":0},"citationItems":[{"id":3017,"uris":["http://zotero.org/users/14079873/items/EJUXD3DU"],"itemData":{"id":3017,"type":"article-journal","abstract":"Sciellin, together with other precursor proteins, was cross-linked by transglutaminase 1 to form the cornified envelope, an essential component of the physical barrier of the epidermis and stratified squamous epithelia. To more fully understand the function of sciellin in cornified envelope formation, we generated sciellin null mice. The mice appeared normal in their development and maturation and there were no structural features that distinguished them from littermate controls. Isolated cornified envelopes appeared normal in structure and were not more fragile to mechanical stress. There was no evidence of decreased barrier function or altered expression of other cornified envelope components. Transgenic mice expressing the repeat domain appeared to have a normal phenotype, like the null, and did not alter endogenous sciellin expression. We conclude that sciellin null mice had no structural anomalies and the transgenic mice did not act as a dominant-negative mutation. genesis 42:219–228, 2005. © 2005 Wiley-Liss, Inc.","container-title":"genesis","DOI":"10.1002/gene.20133","ISSN":"1526-968X","issue":"4","language":"en","note":"_eprint: https://onlinelibrary.wiley.com/doi/pdf/10.1002/gene.20133","page":"219-228","source":"Wiley Online Library","title":"Targeted deletion of the sciellin gene resulted in normal development and maturation","volume":"42","author":[{"family":"Baden","given":"Howard P."},{"family":"Champliaud","given":"Marie-France"},{"family":"Sundberg","given":"John P."},{"family":"Viel","given":"Alain"}],"issued":{"date-parts":[["2005"]]}}}],"schema":"https://github.com/citation-style-language/schema/raw/master/csl-citation.json"} </w:instrText>
            </w:r>
            <w:r w:rsidRPr="00FF400C">
              <w:rPr>
                <w:sz w:val="30"/>
                <w:szCs w:val="30"/>
              </w:rPr>
              <w:fldChar w:fldCharType="separate"/>
            </w:r>
            <w:r w:rsidRPr="00FF400C">
              <w:rPr>
                <w:sz w:val="30"/>
                <w:szCs w:val="30"/>
              </w:rPr>
              <w:t>(Baden et al. 2005)</w:t>
            </w:r>
            <w:r w:rsidRPr="00FF400C">
              <w:rPr>
                <w:sz w:val="30"/>
                <w:szCs w:val="30"/>
              </w:rPr>
              <w:fldChar w:fldCharType="end"/>
            </w:r>
            <w:r w:rsidRPr="00FF400C">
              <w:rPr>
                <w:sz w:val="30"/>
                <w:szCs w:val="30"/>
              </w:rPr>
              <w:t>.</w:t>
            </w:r>
          </w:p>
        </w:tc>
      </w:tr>
      <w:tr w:rsidR="00952DAB" w:rsidRPr="00952DAB" w14:paraId="2A466C9D" w14:textId="77777777" w:rsidTr="00703FD2">
        <w:tc>
          <w:tcPr>
            <w:tcW w:w="2675" w:type="dxa"/>
          </w:tcPr>
          <w:p w14:paraId="7B4E22ED" w14:textId="77777777" w:rsidR="00952DAB" w:rsidRPr="00952DAB" w:rsidRDefault="00952DAB" w:rsidP="00703FD2">
            <w:pPr>
              <w:ind w:firstLine="0"/>
              <w:rPr>
                <w:i/>
                <w:iCs/>
                <w:sz w:val="30"/>
                <w:szCs w:val="30"/>
              </w:rPr>
            </w:pPr>
            <w:r w:rsidRPr="00952DAB">
              <w:rPr>
                <w:i/>
                <w:iCs/>
                <w:sz w:val="30"/>
                <w:szCs w:val="30"/>
              </w:rPr>
              <w:t>TERT</w:t>
            </w:r>
          </w:p>
        </w:tc>
        <w:tc>
          <w:tcPr>
            <w:tcW w:w="1365" w:type="dxa"/>
          </w:tcPr>
          <w:p w14:paraId="7F9EE0B2" w14:textId="77777777" w:rsidR="00952DAB" w:rsidRPr="00952DAB" w:rsidRDefault="00952DAB" w:rsidP="00703FD2">
            <w:pPr>
              <w:ind w:firstLine="0"/>
              <w:rPr>
                <w:sz w:val="30"/>
                <w:szCs w:val="30"/>
              </w:rPr>
            </w:pPr>
            <w:r w:rsidRPr="00952DAB">
              <w:rPr>
                <w:sz w:val="30"/>
                <w:szCs w:val="30"/>
              </w:rPr>
              <w:t>rs2736098</w:t>
            </w:r>
          </w:p>
          <w:p w14:paraId="0D1EFD96" w14:textId="77777777" w:rsidR="00952DAB" w:rsidRPr="00952DAB" w:rsidRDefault="00952DAB" w:rsidP="00703FD2">
            <w:pPr>
              <w:ind w:firstLine="0"/>
              <w:rPr>
                <w:sz w:val="30"/>
                <w:szCs w:val="30"/>
              </w:rPr>
            </w:pPr>
            <w:r w:rsidRPr="00952DAB">
              <w:rPr>
                <w:sz w:val="30"/>
                <w:szCs w:val="30"/>
              </w:rPr>
              <w:t>rs2853672</w:t>
            </w:r>
          </w:p>
        </w:tc>
        <w:tc>
          <w:tcPr>
            <w:tcW w:w="1985" w:type="dxa"/>
          </w:tcPr>
          <w:p w14:paraId="78F30CC6" w14:textId="77777777" w:rsidR="00952DAB" w:rsidRPr="00952DAB" w:rsidRDefault="00952DAB" w:rsidP="00703FD2">
            <w:pPr>
              <w:ind w:firstLine="0"/>
              <w:rPr>
                <w:sz w:val="30"/>
                <w:szCs w:val="30"/>
              </w:rPr>
            </w:pPr>
            <w:r w:rsidRPr="00952DAB">
              <w:rPr>
                <w:sz w:val="30"/>
                <w:szCs w:val="30"/>
              </w:rPr>
              <w:t>Non-facial solar lentigines</w:t>
            </w:r>
          </w:p>
        </w:tc>
        <w:tc>
          <w:tcPr>
            <w:tcW w:w="7967" w:type="dxa"/>
          </w:tcPr>
          <w:p w14:paraId="1F3E0B5B" w14:textId="77777777" w:rsidR="00952DAB" w:rsidRPr="00FF400C" w:rsidRDefault="00952DAB" w:rsidP="00952DAB">
            <w:pPr>
              <w:pStyle w:val="ListParagraph"/>
              <w:numPr>
                <w:ilvl w:val="0"/>
                <w:numId w:val="5"/>
              </w:numPr>
              <w:rPr>
                <w:sz w:val="30"/>
                <w:szCs w:val="30"/>
              </w:rPr>
            </w:pPr>
            <w:r w:rsidRPr="00FF400C">
              <w:rPr>
                <w:sz w:val="30"/>
                <w:szCs w:val="30"/>
              </w:rPr>
              <w:t>Maintain telomere length</w:t>
            </w:r>
            <w:r w:rsidRPr="00FF400C">
              <w:rPr>
                <w:rFonts w:eastAsiaTheme="minorEastAsia"/>
                <w:sz w:val="30"/>
                <w:szCs w:val="30"/>
              </w:rPr>
              <w:t xml:space="preserve"> to ensure chromosomal stability </w:t>
            </w:r>
            <w:r w:rsidRPr="00FF400C">
              <w:rPr>
                <w:rFonts w:eastAsiaTheme="minorEastAsia"/>
                <w:sz w:val="30"/>
                <w:szCs w:val="30"/>
              </w:rPr>
              <w:fldChar w:fldCharType="begin"/>
            </w:r>
            <w:r w:rsidRPr="00FF400C">
              <w:rPr>
                <w:rFonts w:eastAsiaTheme="minorEastAsia"/>
                <w:sz w:val="30"/>
                <w:szCs w:val="30"/>
              </w:rPr>
              <w:instrText xml:space="preserve"> ADDIN ZOTERO_ITEM CSL_CITATION {"citationID":"KVMtbKgP","properties":{"formattedCitation":"(Dratwa et al. 2020)","plainCitation":"(Dratwa et al. 2020)","noteIndex":0},"citationItems":[{"id":3149,"uris":["http://zotero.org/users/14079873/items/XG8D6EXJ"],"itemData":{"id":3149,"type":"article-journal","abstract":"Telomerase reverse transcriptase (TERT) is a catalytic subunit of telomerase. Telomerase complex plays a key role in cancer formation by telomere dependent or independent mechanisms. Telomere maintenance mechanisms include complex TERT changes such as gene amplifications, TERT structural variants, TERT promoter germline and somatic mutations, TERT epigenetic changes, and alternative lengthening of telomere. All of them are cancer specific at tissue histotype and at single cell level. TERT expression is regulated in tumors via multiple genetic and epigenetic alterations which affect telomerase activity. Telomerase activity via TERT expression has an impact on telomere length and can be a useful marker in diagnosis and prognosis of various cancers and a new therapy approach. In this review we want to highlight the main roles of TERT in different mechanisms of cancer development and regulation.","container-title":"Frontiers in Immunology","DOI":"10.3389/fimmu.2020.589929","ISSN":"1664-3224","journalAbbreviation":"Front Immunol","note":"PMID: 33329574\nPMCID: PMC7717964","page":"589929","source":"PubMed Central","title":"TERT—Regulation and Roles in Cancer Formation","volume":"11","author":[{"family":"Dratwa","given":"Marta"},{"family":"Wysoczańska","given":"Barbara"},{"family":"Łacina","given":"Piotr"},{"family":"Kubik","given":"Tomasz"},{"family":"Bogunia-Kubik","given":"Katarzyna"}],"issued":{"date-parts":[["2020",11,19]]}}}],"schema":"https://github.com/citation-style-language/schema/raw/master/csl-citation.json"} </w:instrText>
            </w:r>
            <w:r w:rsidRPr="00FF400C">
              <w:rPr>
                <w:rFonts w:eastAsiaTheme="minorEastAsia"/>
                <w:sz w:val="30"/>
                <w:szCs w:val="30"/>
              </w:rPr>
              <w:fldChar w:fldCharType="separate"/>
            </w:r>
            <w:r w:rsidRPr="00FF400C">
              <w:rPr>
                <w:rFonts w:eastAsiaTheme="minorEastAsia"/>
                <w:sz w:val="30"/>
                <w:szCs w:val="30"/>
              </w:rPr>
              <w:t>(Dratwa et al. 2020)</w:t>
            </w:r>
            <w:r w:rsidRPr="00FF400C">
              <w:rPr>
                <w:rFonts w:eastAsiaTheme="minorEastAsia"/>
                <w:sz w:val="30"/>
                <w:szCs w:val="30"/>
              </w:rPr>
              <w:fldChar w:fldCharType="end"/>
            </w:r>
            <w:r w:rsidRPr="00FF400C">
              <w:rPr>
                <w:rFonts w:eastAsiaTheme="minorEastAsia"/>
                <w:sz w:val="30"/>
                <w:szCs w:val="30"/>
              </w:rPr>
              <w:t>.</w:t>
            </w:r>
          </w:p>
        </w:tc>
      </w:tr>
      <w:tr w:rsidR="00952DAB" w:rsidRPr="00952DAB" w14:paraId="2E704006" w14:textId="77777777" w:rsidTr="00703FD2">
        <w:tc>
          <w:tcPr>
            <w:tcW w:w="2675" w:type="dxa"/>
          </w:tcPr>
          <w:p w14:paraId="6AC1929B" w14:textId="77777777" w:rsidR="00952DAB" w:rsidRPr="00952DAB" w:rsidRDefault="00952DAB" w:rsidP="00703FD2">
            <w:pPr>
              <w:ind w:firstLine="0"/>
              <w:rPr>
                <w:i/>
                <w:iCs/>
                <w:sz w:val="30"/>
                <w:szCs w:val="30"/>
              </w:rPr>
            </w:pPr>
            <w:r w:rsidRPr="00952DAB">
              <w:rPr>
                <w:i/>
                <w:iCs/>
                <w:sz w:val="30"/>
                <w:szCs w:val="30"/>
              </w:rPr>
              <w:t>TNFRSF6B</w:t>
            </w:r>
          </w:p>
        </w:tc>
        <w:tc>
          <w:tcPr>
            <w:tcW w:w="1365" w:type="dxa"/>
          </w:tcPr>
          <w:p w14:paraId="1F2240C4" w14:textId="77777777" w:rsidR="00952DAB" w:rsidRPr="00952DAB" w:rsidRDefault="00952DAB" w:rsidP="00703FD2">
            <w:pPr>
              <w:ind w:firstLine="0"/>
              <w:rPr>
                <w:sz w:val="30"/>
                <w:szCs w:val="30"/>
              </w:rPr>
            </w:pPr>
            <w:r w:rsidRPr="00952DAB">
              <w:rPr>
                <w:sz w:val="30"/>
                <w:szCs w:val="30"/>
              </w:rPr>
              <w:t>rs1291206</w:t>
            </w:r>
          </w:p>
        </w:tc>
        <w:tc>
          <w:tcPr>
            <w:tcW w:w="1985" w:type="dxa"/>
          </w:tcPr>
          <w:p w14:paraId="001B6DBB" w14:textId="77777777" w:rsidR="00952DAB" w:rsidRPr="00952DAB" w:rsidRDefault="00952DAB" w:rsidP="00703FD2">
            <w:pPr>
              <w:ind w:firstLine="0"/>
              <w:rPr>
                <w:sz w:val="30"/>
                <w:szCs w:val="30"/>
              </w:rPr>
            </w:pPr>
            <w:r w:rsidRPr="00952DAB">
              <w:rPr>
                <w:sz w:val="30"/>
                <w:szCs w:val="30"/>
              </w:rPr>
              <w:t>Wrinkle risk</w:t>
            </w:r>
          </w:p>
        </w:tc>
        <w:tc>
          <w:tcPr>
            <w:tcW w:w="7967" w:type="dxa"/>
          </w:tcPr>
          <w:p w14:paraId="374D6032" w14:textId="77777777" w:rsidR="00952DAB" w:rsidRPr="00FF400C" w:rsidRDefault="00952DAB" w:rsidP="00952DAB">
            <w:pPr>
              <w:pStyle w:val="ListParagraph"/>
              <w:numPr>
                <w:ilvl w:val="0"/>
                <w:numId w:val="9"/>
              </w:numPr>
              <w:rPr>
                <w:sz w:val="30"/>
                <w:szCs w:val="30"/>
              </w:rPr>
            </w:pPr>
            <w:r w:rsidRPr="00FF400C">
              <w:rPr>
                <w:sz w:val="30"/>
                <w:szCs w:val="30"/>
              </w:rPr>
              <w:t>Promotes tumour progression by inhibiting apoptosis and immune surveillance</w:t>
            </w:r>
            <w:r w:rsidRPr="00FF400C">
              <w:rPr>
                <w:rFonts w:eastAsiaTheme="minorEastAsia"/>
                <w:sz w:val="30"/>
                <w:szCs w:val="30"/>
              </w:rPr>
              <w:t xml:space="preserve"> </w:t>
            </w:r>
            <w:r w:rsidRPr="00FF400C">
              <w:rPr>
                <w:sz w:val="30"/>
                <w:szCs w:val="30"/>
              </w:rPr>
              <w:fldChar w:fldCharType="begin"/>
            </w:r>
            <w:r w:rsidRPr="00FF400C">
              <w:rPr>
                <w:sz w:val="30"/>
                <w:szCs w:val="30"/>
              </w:rPr>
              <w:instrText xml:space="preserve"> ADDIN ZOTERO_ITEM CSL_CITATION {"citationID":"EO26jI6T","properties":{"formattedCitation":"(Zhang et al. 2021)","plainCitation":"(Zhang et al. 2021)","noteIndex":0},"citationItems":[{"id":2997,"uris":["http://zotero.org/users/14079873/items/VCBRTHZF"],"itemData":{"id":2997,"type":"article-journal","abstract":"Integrative analysis of TNFRSF6B as a potential therapeutic target for pancreatic cancer","container-title":"Journal of Gastrointestinal Oncology","DOI":"10.21037/jgo-21-303","ISSN":"2219-679X, 2078-6891","issue":"4","language":"en","note":"publisher: AME Publishing Company","source":"jgo.amegroups.org","title":"Integrative analysis of TNFRSF6B as a potential therapeutic target for pancreatic cancer","URL":"https://jgo.amegroups.org/article/view/54052","volume":"12","author":[{"family":"Zhang","given":"Chen"},{"family":"Li","given":"Haoran"},{"family":"Huang","given":"Yujie"},{"family":"Tang","given":"Yuchen"},{"family":"Wang","given":"Jie"},{"family":"Cheng","given":"Yinxiang"},{"family":"Wei","given":"Yijun"},{"family":"Zhu","given":"Dongming"},{"family":"Cao","given":"Zhifei"},{"family":"Zhou","given":"Jian"}],"accessed":{"date-parts":[["2025",1,2]]},"issued":{"date-parts":[["2021",8]]}}}],"schema":"https://github.com/citation-style-language/schema/raw/master/csl-citation.json"} </w:instrText>
            </w:r>
            <w:r w:rsidRPr="00FF400C">
              <w:rPr>
                <w:sz w:val="30"/>
                <w:szCs w:val="30"/>
              </w:rPr>
              <w:fldChar w:fldCharType="separate"/>
            </w:r>
            <w:r w:rsidRPr="00FF400C">
              <w:rPr>
                <w:sz w:val="30"/>
                <w:szCs w:val="30"/>
              </w:rPr>
              <w:t>(Zhang et al. 2021)</w:t>
            </w:r>
            <w:r w:rsidRPr="00FF400C">
              <w:rPr>
                <w:sz w:val="30"/>
                <w:szCs w:val="30"/>
              </w:rPr>
              <w:fldChar w:fldCharType="end"/>
            </w:r>
            <w:r w:rsidRPr="00FF400C">
              <w:rPr>
                <w:rFonts w:eastAsiaTheme="minorEastAsia"/>
                <w:sz w:val="30"/>
                <w:szCs w:val="30"/>
              </w:rPr>
              <w:t>.</w:t>
            </w:r>
          </w:p>
        </w:tc>
      </w:tr>
      <w:tr w:rsidR="00952DAB" w:rsidRPr="00952DAB" w14:paraId="516E07C4" w14:textId="77777777" w:rsidTr="00703FD2">
        <w:tc>
          <w:tcPr>
            <w:tcW w:w="2675" w:type="dxa"/>
          </w:tcPr>
          <w:p w14:paraId="2354F096" w14:textId="77777777" w:rsidR="00952DAB" w:rsidRPr="00952DAB" w:rsidRDefault="00952DAB" w:rsidP="00703FD2">
            <w:pPr>
              <w:ind w:firstLine="0"/>
              <w:rPr>
                <w:i/>
                <w:iCs/>
                <w:sz w:val="30"/>
                <w:szCs w:val="30"/>
              </w:rPr>
            </w:pPr>
            <w:r w:rsidRPr="00952DAB">
              <w:rPr>
                <w:i/>
                <w:iCs/>
                <w:sz w:val="30"/>
                <w:szCs w:val="30"/>
              </w:rPr>
              <w:lastRenderedPageBreak/>
              <w:t>TNFRSF8</w:t>
            </w:r>
          </w:p>
        </w:tc>
        <w:tc>
          <w:tcPr>
            <w:tcW w:w="1365" w:type="dxa"/>
          </w:tcPr>
          <w:p w14:paraId="0C9E6C22" w14:textId="77777777" w:rsidR="00952DAB" w:rsidRPr="00952DAB" w:rsidRDefault="00952DAB" w:rsidP="00703FD2">
            <w:pPr>
              <w:ind w:firstLine="0"/>
              <w:rPr>
                <w:sz w:val="30"/>
                <w:szCs w:val="30"/>
              </w:rPr>
            </w:pPr>
            <w:r w:rsidRPr="00952DAB">
              <w:rPr>
                <w:sz w:val="30"/>
                <w:szCs w:val="30"/>
              </w:rPr>
              <w:t>rs6690493</w:t>
            </w:r>
          </w:p>
        </w:tc>
        <w:tc>
          <w:tcPr>
            <w:tcW w:w="1985" w:type="dxa"/>
          </w:tcPr>
          <w:p w14:paraId="34A70C53" w14:textId="77777777" w:rsidR="00952DAB" w:rsidRPr="00952DAB" w:rsidRDefault="00952DAB" w:rsidP="00703FD2">
            <w:pPr>
              <w:ind w:firstLine="0"/>
              <w:rPr>
                <w:sz w:val="30"/>
                <w:szCs w:val="30"/>
              </w:rPr>
            </w:pPr>
            <w:r w:rsidRPr="00952DAB">
              <w:rPr>
                <w:sz w:val="30"/>
                <w:szCs w:val="30"/>
              </w:rPr>
              <w:t>Wrinkle risk</w:t>
            </w:r>
          </w:p>
        </w:tc>
        <w:tc>
          <w:tcPr>
            <w:tcW w:w="7967" w:type="dxa"/>
          </w:tcPr>
          <w:p w14:paraId="079099EF" w14:textId="77777777" w:rsidR="00952DAB" w:rsidRPr="00B00A67" w:rsidRDefault="00952DAB" w:rsidP="00952DAB">
            <w:pPr>
              <w:pStyle w:val="ListParagraph"/>
              <w:numPr>
                <w:ilvl w:val="0"/>
                <w:numId w:val="10"/>
              </w:numPr>
              <w:rPr>
                <w:sz w:val="30"/>
                <w:szCs w:val="30"/>
              </w:rPr>
            </w:pPr>
            <w:r w:rsidRPr="00B00A67">
              <w:rPr>
                <w:sz w:val="30"/>
                <w:szCs w:val="30"/>
              </w:rPr>
              <w:t xml:space="preserve">Involved in lymphocyte activation and survival, immune response modulation, and tumour progression </w:t>
            </w:r>
            <w:r w:rsidRPr="00B00A67">
              <w:rPr>
                <w:sz w:val="30"/>
                <w:szCs w:val="30"/>
              </w:rPr>
              <w:fldChar w:fldCharType="begin"/>
            </w:r>
            <w:r w:rsidRPr="00B00A67">
              <w:rPr>
                <w:sz w:val="30"/>
                <w:szCs w:val="30"/>
              </w:rPr>
              <w:instrText xml:space="preserve"> ADDIN ZOTERO_ITEM CSL_CITATION {"citationID":"olxTvPiA","properties":{"formattedCitation":"(Dumitru et al. 2023)","plainCitation":"(Dumitru et al. 2023)","noteIndex":0},"citationItems":[{"id":2995,"uris":["http://zotero.org/users/14079873/items/YYDPXPFJ"],"itemData":{"id":2995,"type":"article-journal","abstract":"CD30, also known as TNFRSF8 (tumor necrosis factor receptor superfamily member 8), is a protein receptor that is heavily glycosylated inside the Golgi apparatus, as well as a tumor marker that is found on the surface of specific cells in the body, including certain immune cells and cancer ones. This review aims to shed light on the critical importance of CD30, from its emergence in the cell to its position in diagnosing various diseases, including Hodgkin lymphoma, where it is expressed on Hodgkin and Reed–Sternberg cells, as well as embryonal carcinoma, anaplastic large cell lymphoma (ALCL), and cutaneous T-cell lymphoma (CTCL). In addition to its role in positive diagnosis, targeting CD30 has been a promising approach treating CD30-positive lymphomas, and there is ongoing research into the potential use of CD30-targeted therapies for autoimmune disorders. We aim to elaborate on CD30’s roles as a tumor marker, supporting thus the hypothesis that this receptor might be the aim of cytostatic treatment.","container-title":"Cells","DOI":"10.3390/cells12131783","ISSN":"2073-4409","issue":"13","language":"en","license":"http://creativecommons.org/licenses/by/3.0/","note":"number: 13\npublisher: Multidisciplinary Digital Publishing Institute","page":"1783","source":"www.mdpi.com","title":"The Polyvalent Role of CD30 for Cancer Diagnosis and Treatment","volume":"12","author":[{"family":"Dumitru","given":"Adrian Vasile"},{"family":"Țăpoi","given":"Dana Antonia"},{"family":"Halcu","given":"Georgian"},{"family":"Munteanu","given":"Octavian"},{"family":"Dumitrascu","given":"David-Ioan"},{"family":"Ceaușu","given":"Mihail Constantin"},{"family":"Gheorghișan-Gălățeanu","given":"Ancuța-Augustina"}],"issued":{"date-parts":[["2023",1]]}}}],"schema":"https://github.com/citation-style-language/schema/raw/master/csl-citation.json"} </w:instrText>
            </w:r>
            <w:r w:rsidRPr="00B00A67">
              <w:rPr>
                <w:sz w:val="30"/>
                <w:szCs w:val="30"/>
              </w:rPr>
              <w:fldChar w:fldCharType="separate"/>
            </w:r>
            <w:r w:rsidRPr="00B00A67">
              <w:rPr>
                <w:sz w:val="30"/>
                <w:szCs w:val="30"/>
              </w:rPr>
              <w:t>(Dumitru et al. 2023)</w:t>
            </w:r>
            <w:r w:rsidRPr="00B00A67">
              <w:rPr>
                <w:sz w:val="30"/>
                <w:szCs w:val="30"/>
              </w:rPr>
              <w:fldChar w:fldCharType="end"/>
            </w:r>
            <w:r w:rsidRPr="00B00A67">
              <w:rPr>
                <w:rFonts w:eastAsiaTheme="minorEastAsia"/>
                <w:sz w:val="30"/>
                <w:szCs w:val="30"/>
              </w:rPr>
              <w:t>.</w:t>
            </w:r>
          </w:p>
        </w:tc>
      </w:tr>
      <w:tr w:rsidR="00952DAB" w:rsidRPr="00952DAB" w14:paraId="2CBAC52F" w14:textId="77777777" w:rsidTr="00703FD2">
        <w:tc>
          <w:tcPr>
            <w:tcW w:w="2675" w:type="dxa"/>
          </w:tcPr>
          <w:p w14:paraId="052CCEE9" w14:textId="77777777" w:rsidR="00952DAB" w:rsidRPr="00952DAB" w:rsidRDefault="00952DAB" w:rsidP="00703FD2">
            <w:pPr>
              <w:ind w:firstLine="0"/>
              <w:rPr>
                <w:i/>
                <w:iCs/>
                <w:sz w:val="30"/>
                <w:szCs w:val="30"/>
              </w:rPr>
            </w:pPr>
            <w:r w:rsidRPr="00952DAB">
              <w:rPr>
                <w:i/>
                <w:iCs/>
                <w:sz w:val="30"/>
                <w:szCs w:val="30"/>
              </w:rPr>
              <w:t>TNS1</w:t>
            </w:r>
          </w:p>
        </w:tc>
        <w:tc>
          <w:tcPr>
            <w:tcW w:w="1365" w:type="dxa"/>
          </w:tcPr>
          <w:p w14:paraId="230A78EB" w14:textId="77777777" w:rsidR="00952DAB" w:rsidRPr="00952DAB" w:rsidRDefault="00952DAB" w:rsidP="00703FD2">
            <w:pPr>
              <w:ind w:firstLine="0"/>
              <w:rPr>
                <w:sz w:val="30"/>
                <w:szCs w:val="30"/>
              </w:rPr>
            </w:pPr>
            <w:r w:rsidRPr="00952DAB">
              <w:rPr>
                <w:sz w:val="30"/>
                <w:szCs w:val="30"/>
              </w:rPr>
              <w:t>rs11685354</w:t>
            </w:r>
          </w:p>
        </w:tc>
        <w:tc>
          <w:tcPr>
            <w:tcW w:w="1985" w:type="dxa"/>
          </w:tcPr>
          <w:p w14:paraId="63CD92A8" w14:textId="77777777" w:rsidR="00952DAB" w:rsidRPr="00952DAB" w:rsidRDefault="00952DAB" w:rsidP="00703FD2">
            <w:pPr>
              <w:ind w:firstLine="0"/>
              <w:rPr>
                <w:sz w:val="30"/>
                <w:szCs w:val="30"/>
              </w:rPr>
            </w:pPr>
            <w:r w:rsidRPr="00952DAB">
              <w:rPr>
                <w:sz w:val="30"/>
                <w:szCs w:val="30"/>
              </w:rPr>
              <w:t>Pigmentation</w:t>
            </w:r>
          </w:p>
        </w:tc>
        <w:tc>
          <w:tcPr>
            <w:tcW w:w="7967" w:type="dxa"/>
          </w:tcPr>
          <w:p w14:paraId="60801537" w14:textId="77777777" w:rsidR="00952DAB" w:rsidRPr="00B00A67" w:rsidRDefault="00952DAB" w:rsidP="00952DAB">
            <w:pPr>
              <w:pStyle w:val="ListParagraph"/>
              <w:numPr>
                <w:ilvl w:val="0"/>
                <w:numId w:val="5"/>
              </w:numPr>
              <w:rPr>
                <w:sz w:val="30"/>
                <w:szCs w:val="30"/>
              </w:rPr>
            </w:pPr>
            <w:r w:rsidRPr="00B00A67">
              <w:rPr>
                <w:sz w:val="30"/>
                <w:szCs w:val="30"/>
              </w:rPr>
              <w:t xml:space="preserve">Regulates key cellular processes such as adhesion, migration, polarization, proliferation, and apoptosis </w:t>
            </w:r>
            <w:r w:rsidRPr="00B00A67">
              <w:rPr>
                <w:sz w:val="30"/>
                <w:szCs w:val="30"/>
              </w:rPr>
              <w:fldChar w:fldCharType="begin"/>
            </w:r>
            <w:r w:rsidRPr="00B00A67">
              <w:rPr>
                <w:sz w:val="30"/>
                <w:szCs w:val="30"/>
              </w:rPr>
              <w:instrText xml:space="preserve"> ADDIN ZOTERO_ITEM CSL_CITATION {"citationID":"SlTbcLkv","properties":{"formattedCitation":"(Wang et al. 2022)","plainCitation":"(Wang et al. 2022)","noteIndex":0},"citationItems":[{"id":2975,"uris":["http://zotero.org/users/14079873/items/RR6JH33S"],"itemData":{"id":2975,"type":"article-journal","abstract":"Simple Summary\nTensin1 is a member of the tensin family, and tensins are adherent spot components. We summarize the role of tensin1 in various biological processes, such as cell adhesion, polarization, migration, invasion, proliferation, apoptosis, and mechano-transduction, through the available literature. Tensin1 is expressed in a variety of tissues, and the abnormal expression of tensin1 has been found in a variety of diseases; interestingly, we find that tensin1 plays a dual role in different types of tumors. We believe that these findings are important for future studies on the role of tensin1 in tumors.\n\nAbstract\nTensins are a family of cellular-adhesion constituents that have been extensively studied. They have instrumental roles in the pathogenesis of numerous diseases. The mammalian tensin family comprises four members: tensin1 (TNS1), tensin2, tensin3, and tensin4. Among them, TNS1 has recently received attention from researchers because of its structural properties. TNS1 engages in various biological processes, such as cell adhesion, polarization, migration, invasion, proliferation, apoptosis, and mechano-transduction, by interacting with various partner proteins. Moreover, the abnormal expression of TNS1 in vivo is associated with the development of various diseases, especially tumors. Interestingly, the role of TNS1 in different tumors is still controversial. Here, we systematically summarize three aspects of TNS1: the gene structure, the biological processes underlying its action, and the dual regulatory role of TNS1 in different tumors through different mechanisms, of which we provide the first overview.","container-title":"Biology","DOI":"10.3390/biology11111571","ISSN":"2079-7737","issue":"11","journalAbbreviation":"Biology (Basel)","note":"PMID: 36358270\nPMCID: PMC9687257","page":"1571","source":"PubMed Central","title":"TNS1: Emerging Insights into Its Domain Function, Biological Roles, and Tumors","title-short":"TNS1","volume":"11","author":[{"family":"Wang","given":"Zhihui"},{"family":"Ye","given":"Jingxue"},{"family":"Dong","given":"Fengrui"},{"family":"Cao","given":"Li"},{"family":"Wang","given":"Min"},{"family":"Sun","given":"Guibo"}],"issued":{"date-parts":[["2022",10,26]]}}}],"schema":"https://github.com/citation-style-language/schema/raw/master/csl-citation.json"} </w:instrText>
            </w:r>
            <w:r w:rsidRPr="00B00A67">
              <w:rPr>
                <w:sz w:val="30"/>
                <w:szCs w:val="30"/>
              </w:rPr>
              <w:fldChar w:fldCharType="separate"/>
            </w:r>
            <w:r w:rsidRPr="00B00A67">
              <w:rPr>
                <w:sz w:val="30"/>
                <w:szCs w:val="30"/>
              </w:rPr>
              <w:t>(Wang et al. 2022)</w:t>
            </w:r>
            <w:r w:rsidRPr="00B00A67">
              <w:rPr>
                <w:sz w:val="30"/>
                <w:szCs w:val="30"/>
              </w:rPr>
              <w:fldChar w:fldCharType="end"/>
            </w:r>
            <w:r w:rsidRPr="00B00A67">
              <w:rPr>
                <w:rFonts w:eastAsiaTheme="minorEastAsia"/>
                <w:sz w:val="30"/>
                <w:szCs w:val="30"/>
              </w:rPr>
              <w:t>.</w:t>
            </w:r>
          </w:p>
        </w:tc>
      </w:tr>
      <w:tr w:rsidR="00952DAB" w:rsidRPr="00952DAB" w14:paraId="009866FC" w14:textId="77777777" w:rsidTr="00703FD2">
        <w:tc>
          <w:tcPr>
            <w:tcW w:w="2675" w:type="dxa"/>
          </w:tcPr>
          <w:p w14:paraId="142B6CA0" w14:textId="77777777" w:rsidR="00952DAB" w:rsidRPr="00952DAB" w:rsidRDefault="00952DAB" w:rsidP="00703FD2">
            <w:pPr>
              <w:ind w:firstLine="0"/>
              <w:rPr>
                <w:i/>
                <w:iCs/>
                <w:sz w:val="30"/>
                <w:szCs w:val="30"/>
              </w:rPr>
            </w:pPr>
            <w:r w:rsidRPr="00952DAB">
              <w:rPr>
                <w:i/>
                <w:iCs/>
                <w:sz w:val="30"/>
                <w:szCs w:val="30"/>
              </w:rPr>
              <w:t>UNCX</w:t>
            </w:r>
          </w:p>
        </w:tc>
        <w:tc>
          <w:tcPr>
            <w:tcW w:w="1365" w:type="dxa"/>
          </w:tcPr>
          <w:p w14:paraId="60F2F3B7" w14:textId="77777777" w:rsidR="00952DAB" w:rsidRPr="00952DAB" w:rsidRDefault="00952DAB" w:rsidP="00703FD2">
            <w:pPr>
              <w:ind w:firstLine="0"/>
              <w:rPr>
                <w:sz w:val="30"/>
                <w:szCs w:val="30"/>
              </w:rPr>
            </w:pPr>
            <w:r w:rsidRPr="00952DAB">
              <w:rPr>
                <w:sz w:val="30"/>
                <w:szCs w:val="30"/>
              </w:rPr>
              <w:t>rs76548385</w:t>
            </w:r>
          </w:p>
        </w:tc>
        <w:tc>
          <w:tcPr>
            <w:tcW w:w="1985" w:type="dxa"/>
          </w:tcPr>
          <w:p w14:paraId="637C9928" w14:textId="77777777" w:rsidR="00952DAB" w:rsidRPr="00952DAB" w:rsidRDefault="00952DAB" w:rsidP="00703FD2">
            <w:pPr>
              <w:ind w:firstLine="0"/>
              <w:rPr>
                <w:sz w:val="30"/>
                <w:szCs w:val="30"/>
              </w:rPr>
            </w:pPr>
            <w:r w:rsidRPr="00952DAB">
              <w:rPr>
                <w:sz w:val="30"/>
                <w:szCs w:val="30"/>
              </w:rPr>
              <w:t>Pigmentation</w:t>
            </w:r>
          </w:p>
        </w:tc>
        <w:tc>
          <w:tcPr>
            <w:tcW w:w="7967" w:type="dxa"/>
          </w:tcPr>
          <w:p w14:paraId="3E0C8007" w14:textId="77777777" w:rsidR="00952DAB" w:rsidRPr="00B00A67" w:rsidRDefault="00952DAB" w:rsidP="00952DAB">
            <w:pPr>
              <w:pStyle w:val="ListParagraph"/>
              <w:numPr>
                <w:ilvl w:val="0"/>
                <w:numId w:val="5"/>
              </w:numPr>
              <w:rPr>
                <w:sz w:val="30"/>
                <w:szCs w:val="30"/>
              </w:rPr>
            </w:pPr>
            <w:r w:rsidRPr="00B00A67">
              <w:rPr>
                <w:sz w:val="30"/>
                <w:szCs w:val="30"/>
              </w:rPr>
              <w:t xml:space="preserve">Promotes the proliferation of basal progenitor cells in the olfactory sensory neuron </w:t>
            </w:r>
            <w:r w:rsidRPr="00B00A67">
              <w:rPr>
                <w:sz w:val="30"/>
                <w:szCs w:val="30"/>
              </w:rPr>
              <w:fldChar w:fldCharType="begin"/>
            </w:r>
            <w:r w:rsidRPr="00B00A67">
              <w:rPr>
                <w:sz w:val="30"/>
                <w:szCs w:val="30"/>
              </w:rPr>
              <w:instrText xml:space="preserve"> ADDIN ZOTERO_ITEM CSL_CITATION {"citationID":"ZAN86Nlz","properties":{"formattedCitation":"(Sammeta et al. 2010)","plainCitation":"(Sammeta et al. 2010)","noteIndex":0},"citationItems":[{"id":3054,"uris":["http://zotero.org/users/14079873/items/35L4WBH6"],"itemData":{"id":3054,"type":"article-journal","abstract":"Uncx (Phd1, Chx4) is a paired homeobox transcription factor gene. It and its probable functional partners, Tle co-repressors, were expressed by neurally-fated basal progenitor cells and olfactory sensory neurons of the olfactory epithelium. Uncx expression was rare in olfactory epithelia of Ascl1−/− mice, but common in Neurog1−/− mice. In Uncx−/− mice olfactory progenitor cell proliferation, progenitor cell number, olfactory sensory neuron survival, and Umodl1 and Kcnc4 mRNAs were reduced. Evidence of sensory neuron activity and functional connections to the olfactory bulb argue that decreased neuronal survival was not due to loss of trophic support or activity-dependent mechanisms. These data suggest that UNCX acts downstream of neural determination factors to broadly control transcriptional mechanisms used by neural progenitor cells to specify neural phenotypes.","container-title":"Molecular and Cellular Neuroscience","DOI":"10.1016/j.mcn.2010.07.013","ISSN":"1044-7431","issue":"4","journalAbbreviation":"Molecular and Cellular Neuroscience","page":"398-407","source":"ScienceDirect","title":"Uncx regulates proliferation of neural progenitor cells and neuronal survival in the olfactory epithelium","volume":"45","author":[{"family":"Sammeta","given":"Neeraja"},{"family":"Hardin","given":"Debra L."},{"family":"McClintock","given":"Timothy S."}],"issued":{"date-parts":[["2010",12,1]]}}}],"schema":"https://github.com/citation-style-language/schema/raw/master/csl-citation.json"} </w:instrText>
            </w:r>
            <w:r w:rsidRPr="00B00A67">
              <w:rPr>
                <w:sz w:val="30"/>
                <w:szCs w:val="30"/>
              </w:rPr>
              <w:fldChar w:fldCharType="separate"/>
            </w:r>
            <w:r w:rsidRPr="00B00A67">
              <w:rPr>
                <w:sz w:val="30"/>
                <w:szCs w:val="30"/>
              </w:rPr>
              <w:t>(Sammeta et al. 2010)</w:t>
            </w:r>
            <w:r w:rsidRPr="00B00A67">
              <w:rPr>
                <w:sz w:val="30"/>
                <w:szCs w:val="30"/>
              </w:rPr>
              <w:fldChar w:fldCharType="end"/>
            </w:r>
            <w:r w:rsidRPr="00B00A67">
              <w:rPr>
                <w:sz w:val="30"/>
                <w:szCs w:val="30"/>
              </w:rPr>
              <w:t>.</w:t>
            </w:r>
          </w:p>
        </w:tc>
      </w:tr>
      <w:tr w:rsidR="00952DAB" w:rsidRPr="00952DAB" w14:paraId="2EAEF839" w14:textId="77777777" w:rsidTr="00703FD2">
        <w:tc>
          <w:tcPr>
            <w:tcW w:w="2675" w:type="dxa"/>
          </w:tcPr>
          <w:p w14:paraId="71B38E3C" w14:textId="77777777" w:rsidR="00952DAB" w:rsidRPr="00952DAB" w:rsidRDefault="00952DAB" w:rsidP="00703FD2">
            <w:pPr>
              <w:ind w:firstLine="0"/>
              <w:rPr>
                <w:i/>
                <w:iCs/>
                <w:sz w:val="30"/>
                <w:szCs w:val="30"/>
              </w:rPr>
            </w:pPr>
            <w:r w:rsidRPr="00952DAB">
              <w:rPr>
                <w:i/>
                <w:iCs/>
                <w:sz w:val="30"/>
                <w:szCs w:val="30"/>
              </w:rPr>
              <w:t xml:space="preserve">ZNF276 </w:t>
            </w:r>
          </w:p>
        </w:tc>
        <w:tc>
          <w:tcPr>
            <w:tcW w:w="1365" w:type="dxa"/>
          </w:tcPr>
          <w:p w14:paraId="106498F3" w14:textId="77777777" w:rsidR="00952DAB" w:rsidRPr="00952DAB" w:rsidRDefault="00952DAB" w:rsidP="00703FD2">
            <w:pPr>
              <w:ind w:firstLine="0"/>
              <w:rPr>
                <w:sz w:val="30"/>
                <w:szCs w:val="30"/>
              </w:rPr>
            </w:pPr>
            <w:r w:rsidRPr="00952DAB">
              <w:rPr>
                <w:sz w:val="30"/>
                <w:szCs w:val="30"/>
              </w:rPr>
              <w:t>rs35096708</w:t>
            </w:r>
          </w:p>
        </w:tc>
        <w:tc>
          <w:tcPr>
            <w:tcW w:w="1985" w:type="dxa"/>
          </w:tcPr>
          <w:p w14:paraId="7E4C58BF" w14:textId="77777777" w:rsidR="00952DAB" w:rsidRPr="00952DAB" w:rsidRDefault="00952DAB" w:rsidP="00703FD2">
            <w:pPr>
              <w:ind w:firstLine="0"/>
              <w:rPr>
                <w:sz w:val="30"/>
                <w:szCs w:val="30"/>
              </w:rPr>
            </w:pPr>
            <w:r w:rsidRPr="00952DAB">
              <w:rPr>
                <w:sz w:val="30"/>
                <w:szCs w:val="30"/>
              </w:rPr>
              <w:t>Pigmented spots</w:t>
            </w:r>
          </w:p>
        </w:tc>
        <w:tc>
          <w:tcPr>
            <w:tcW w:w="7967" w:type="dxa"/>
          </w:tcPr>
          <w:p w14:paraId="51F5999D" w14:textId="77777777" w:rsidR="00952DAB" w:rsidRPr="00B00A67" w:rsidRDefault="00952DAB" w:rsidP="00952DAB">
            <w:pPr>
              <w:pStyle w:val="ListParagraph"/>
              <w:numPr>
                <w:ilvl w:val="0"/>
                <w:numId w:val="5"/>
              </w:numPr>
              <w:rPr>
                <w:sz w:val="30"/>
                <w:szCs w:val="30"/>
              </w:rPr>
            </w:pPr>
            <w:r w:rsidRPr="00B00A67">
              <w:rPr>
                <w:rFonts w:eastAsia="DengXian"/>
                <w:kern w:val="2"/>
                <w:sz w:val="30"/>
                <w:szCs w:val="30"/>
                <w:lang w:val="en-US"/>
                <w14:ligatures w14:val="standardContextual"/>
              </w:rPr>
              <w:t xml:space="preserve">Encodes zinc finger protein 276 which is highly expressed in breast cancer tissues and cell lines </w:t>
            </w:r>
            <w:r w:rsidRPr="00B00A67">
              <w:rPr>
                <w:rFonts w:eastAsia="DengXian"/>
                <w:kern w:val="2"/>
                <w:sz w:val="30"/>
                <w:szCs w:val="30"/>
                <w:lang w:val="en-US"/>
                <w14:ligatures w14:val="standardContextual"/>
              </w:rPr>
              <w:fldChar w:fldCharType="begin"/>
            </w:r>
            <w:r w:rsidRPr="00B00A67">
              <w:rPr>
                <w:rFonts w:eastAsia="DengXian"/>
                <w:kern w:val="2"/>
                <w:sz w:val="30"/>
                <w:szCs w:val="30"/>
                <w:lang w:val="en-US"/>
                <w14:ligatures w14:val="standardContextual"/>
              </w:rPr>
              <w:instrText xml:space="preserve"> ADDIN ZOTERO_ITEM CSL_CITATION {"citationID":"jf0bu2wG","properties":{"formattedCitation":"(Lei et al. 2022)","plainCitation":"(Lei et al. 2022)","noteIndex":0},"citationItems":[{"id":2903,"uris":["http://zotero.org/users/14079873/items/CWXTEXHN"],"itemData":{"id":2903,"type":"article-journal","abstract":"Zinc finger proteins (ZNFs) have been demonstrated to participate extensively in breast cancer progression by functioning as transcription factors, but there are still a variety of ZNFs whose biological mechanisms remain unknown. Here, we show that zinc finger protein 276 (ZNF276) is highly expressed in breast cancer tissues and cell lines. Higher level of ZNF276 correlated with poor prognosis. Gain-of and loss-of function suggested that ZNF276 is essential for the proliferation, migration and invasion of breast cancer cells in vitro and metastasis in vivo. RNA-sequencing and CUT&amp;Tag assay revealed that ZNF276 controlled a variety of growth and metastasis-related genes expression. ZNF276 transcriptionally promoted the expression of CYP1B1 by directly binds to the promoter region of the CYP1B1 through its C2H2 domain. ZNF276 facilitated the translocation of β-catenin from cytoplasm to nucleus through CYP1B1, leading to the upregulation of cyclin D1 and c-Myc, and the activation of the Wnt/β-catenin pathway. Knockdown of CYP1B1 significantly blocked the ZNF276-mediated effects on cell proliferation, migration and invasion. Lastly, ZNF276 interacted with MAGEB2 which enhanced the binding of ZNF276 at the CYP1B1 promoter, promoted CYP1B1 expression and Wnt signaling activation. Collectively, these findings highlight the oncogenic role of ZNF276 on breast cancer cell proliferation and metastasis. Targeting ZNF276/MAGEB2 axis may serve as a potential therapeutic strategy for breast cancer patients.","container-title":"Cell Death &amp; Disease","DOI":"10.1038/s41419-022-05223-8","ISSN":"2041-4889","issue":"9","journalAbbreviation":"Cell Death Dis","note":"PMID: 36085146\nPMCID: PMC9463175","page":"781","source":"PubMed Central","title":"ZNF276 promotes the malignant phenotype of breast carcinoma by activating the CYP1B1-mediated Wnt/β-catenin pathway","volume":"13","author":[{"family":"Lei","given":"Ting"},{"family":"Zhang","given":"Wenwu"},{"family":"He","given":"Yongyin"},{"family":"Wei","given":"Shi"},{"family":"Song","given":"Xiaoyu"},{"family":"Zhu","given":"Yi"},{"family":"Luo","given":"Guoqing"},{"family":"Kuang","given":"Zhenzhan"},{"family":"Li","given":"Guanjie"},{"family":"Zhou","given":"Quan"},{"family":"Sun","given":"Zhaohui"},{"family":"Xiao","given":"Bin"},{"family":"Li","given":"Linhai"}],"issued":{"date-parts":[["2022",9,10]]}}}],"schema":"https://github.com/citation-style-language/schema/raw/master/csl-citation.json"} </w:instrText>
            </w:r>
            <w:r w:rsidRPr="00B00A67">
              <w:rPr>
                <w:rFonts w:eastAsia="DengXian"/>
                <w:kern w:val="2"/>
                <w:sz w:val="30"/>
                <w:szCs w:val="30"/>
                <w:lang w:val="en-US"/>
                <w14:ligatures w14:val="standardContextual"/>
              </w:rPr>
              <w:fldChar w:fldCharType="separate"/>
            </w:r>
            <w:r w:rsidRPr="00B00A67">
              <w:rPr>
                <w:rFonts w:eastAsia="DengXian"/>
                <w:sz w:val="30"/>
                <w:szCs w:val="30"/>
              </w:rPr>
              <w:t>(Lei et al. 2022)</w:t>
            </w:r>
            <w:r w:rsidRPr="00B00A67">
              <w:rPr>
                <w:rFonts w:eastAsia="DengXian"/>
                <w:kern w:val="2"/>
                <w:sz w:val="30"/>
                <w:szCs w:val="30"/>
                <w:lang w:val="en-US"/>
                <w14:ligatures w14:val="standardContextual"/>
              </w:rPr>
              <w:fldChar w:fldCharType="end"/>
            </w:r>
            <w:r w:rsidRPr="00B00A67">
              <w:rPr>
                <w:rFonts w:eastAsia="DengXian"/>
                <w:kern w:val="2"/>
                <w:sz w:val="30"/>
                <w:szCs w:val="30"/>
                <w:lang w:val="en-US"/>
                <w14:ligatures w14:val="standardContextual"/>
              </w:rPr>
              <w:t>.</w:t>
            </w:r>
          </w:p>
          <w:p w14:paraId="5612EA2F" w14:textId="77777777" w:rsidR="00952DAB" w:rsidRPr="00B00A67" w:rsidRDefault="00952DAB" w:rsidP="00952DAB">
            <w:pPr>
              <w:pStyle w:val="ListParagraph"/>
              <w:numPr>
                <w:ilvl w:val="0"/>
                <w:numId w:val="5"/>
              </w:numPr>
              <w:rPr>
                <w:sz w:val="30"/>
                <w:szCs w:val="30"/>
              </w:rPr>
            </w:pPr>
            <w:r w:rsidRPr="00B00A67">
              <w:rPr>
                <w:rFonts w:eastAsia="DengXian"/>
                <w:kern w:val="2"/>
                <w:sz w:val="30"/>
                <w:szCs w:val="30"/>
                <w:lang w:val="en-US"/>
                <w14:ligatures w14:val="standardContextual"/>
              </w:rPr>
              <w:t xml:space="preserve">Associated with red hair trait </w:t>
            </w:r>
            <w:r w:rsidRPr="00B00A67">
              <w:rPr>
                <w:rFonts w:eastAsia="DengXian"/>
                <w:kern w:val="2"/>
                <w:sz w:val="30"/>
                <w:szCs w:val="30"/>
                <w:lang w:val="en-US"/>
                <w14:ligatures w14:val="standardContextual"/>
              </w:rPr>
              <w:fldChar w:fldCharType="begin"/>
            </w:r>
            <w:r w:rsidRPr="00B00A67">
              <w:rPr>
                <w:rFonts w:eastAsia="DengXian"/>
                <w:kern w:val="2"/>
                <w:sz w:val="30"/>
                <w:szCs w:val="30"/>
                <w:lang w:val="en-US"/>
                <w14:ligatures w14:val="standardContextual"/>
              </w:rPr>
              <w:instrText xml:space="preserve"> ADDIN ZOTERO_ITEM CSL_CITATION {"citationID":"CX9L0taJ","properties":{"formattedCitation":"(Farr\\uc0\\u233{} et al. 2023)","plainCitation":"(Farré et al. 2023)","noteIndex":0},"citationItems":[{"id":2906,"uris":["http://zotero.org/users/14079873/items/PC6WIE3K"],"itemData":{"id":2906,"type":"article-journal","abstract":"Human pigmentation has largely been associated with different disease prevalence among populations, but most of these studies are observational and inconclusive. Known to be genetically determined, pigmentary traits have largely been studied by Genome-Wide Association Study (GWAS), mostly in Caucasian ancestry cohorts from North Europe, identifying robustly, several loci involved in many of the pigmentary traits. Here, we conduct a detailed analysis by GWAS and Polygenic Risk Score (PRS) of 13 pigmentary-related traits in a South European cohort of Caucasian ancestry (n = 20,000). We observed fair phototype strongly associated with non-melanoma skin cancer and other dermatoses and confirmed by PRS-approach the shared genetic basis with skin and eye diseases, such as melanoma (OR = 0.95), non-melanoma skin cancer (OR = 0.93), basal cell carcinoma (OR = 0.97) and darker phototype with vitiligo (OR = 1.02), cataracts (OR = 1.04). Detailed genetic analyses revealed 37 risk loci associated with 10 out of 13 analyzed traits, and 16 genes significantly associated with at least two pigmentary traits. Some of them have been widely reported, such as MC1R, HERC2, OCA2, TYR, TYRP1, SLC45A2, and some novel candidate genes C1QTNF3, LINC02876, and C1QTNF3-AMACR have not been reported in the GWAS Catalog, with regulatory potential. These results highlight the importance of the assess phototype as a genetic proxy of skin functionality and disease when evaluating open mixed populations.","container-title":"Genes","DOI":"10.3390/genes14010149","ISSN":"2073-4425","issue":"1","language":"en","license":"http://creativecommons.org/licenses/by/3.0/","note":"number: 1\npublisher: Multidisciplinary Digital Publishing Institute","page":"149","source":"www.mdpi.com","title":"Skin Phototype and Disease: A Comprehensive Genetic Approach to Pigmentary Traits Pleiotropy Using PRS in the GCAT Cohort","title-short":"Skin Phototype and Disease","volume":"14","author":[{"family":"Farré","given":"Xavier"},{"family":"Blay","given":"Natalia"},{"family":"Cortés","given":"Beatriz"},{"family":"Carreras","given":"Anna"},{"family":"Iraola-Guzmán","given":"Susana"},{"family":"Cid","given":"Rafael","non-dropping-particle":"de"}],"issued":{"date-parts":[["2023",1]]}}}],"schema":"https://github.com/citation-style-language/schema/raw/master/csl-citation.json"} </w:instrText>
            </w:r>
            <w:r w:rsidRPr="00B00A67">
              <w:rPr>
                <w:rFonts w:eastAsia="DengXian"/>
                <w:kern w:val="2"/>
                <w:sz w:val="30"/>
                <w:szCs w:val="30"/>
                <w:lang w:val="en-US"/>
                <w14:ligatures w14:val="standardContextual"/>
              </w:rPr>
              <w:fldChar w:fldCharType="separate"/>
            </w:r>
            <w:r w:rsidRPr="00B00A67">
              <w:rPr>
                <w:sz w:val="30"/>
                <w:szCs w:val="30"/>
              </w:rPr>
              <w:t>(Farré et al. 2023)</w:t>
            </w:r>
            <w:r w:rsidRPr="00B00A67">
              <w:rPr>
                <w:rFonts w:eastAsia="DengXian"/>
                <w:kern w:val="2"/>
                <w:sz w:val="30"/>
                <w:szCs w:val="30"/>
                <w:lang w:val="en-US"/>
                <w14:ligatures w14:val="standardContextual"/>
              </w:rPr>
              <w:fldChar w:fldCharType="end"/>
            </w:r>
            <w:r w:rsidRPr="00B00A67">
              <w:rPr>
                <w:rFonts w:eastAsia="DengXian"/>
                <w:kern w:val="2"/>
                <w:sz w:val="30"/>
                <w:szCs w:val="30"/>
                <w:lang w:val="en-US"/>
                <w14:ligatures w14:val="standardContextual"/>
              </w:rPr>
              <w:t>.</w:t>
            </w:r>
          </w:p>
        </w:tc>
      </w:tr>
    </w:tbl>
    <w:p w14:paraId="097572CF" w14:textId="77777777" w:rsidR="00952DAB" w:rsidRPr="00952DAB" w:rsidRDefault="00952DAB" w:rsidP="00952DAB">
      <w:pPr>
        <w:ind w:firstLine="0"/>
        <w:rPr>
          <w:rFonts w:eastAsiaTheme="minorEastAsia"/>
          <w:sz w:val="30"/>
          <w:szCs w:val="30"/>
          <w:lang w:eastAsia="zh-CN"/>
        </w:rPr>
      </w:pPr>
    </w:p>
    <w:p w14:paraId="79C22957" w14:textId="77777777" w:rsidR="00B76946" w:rsidRDefault="00B76946">
      <w:pPr>
        <w:rPr>
          <w:sz w:val="30"/>
          <w:szCs w:val="30"/>
        </w:rPr>
      </w:pPr>
    </w:p>
    <w:p w14:paraId="7A9DAB57" w14:textId="77777777" w:rsidR="00B00A67" w:rsidRDefault="00B00A67">
      <w:pPr>
        <w:rPr>
          <w:sz w:val="30"/>
          <w:szCs w:val="30"/>
        </w:rPr>
      </w:pPr>
    </w:p>
    <w:p w14:paraId="13CF0156" w14:textId="77777777" w:rsidR="00B00A67" w:rsidRPr="00A55F61" w:rsidRDefault="00B00A67" w:rsidP="00B00A67">
      <w:pPr>
        <w:ind w:firstLine="0"/>
        <w:rPr>
          <w:rFonts w:eastAsiaTheme="minorEastAsia"/>
          <w:b/>
          <w:bCs/>
          <w:lang w:eastAsia="zh-CN"/>
        </w:rPr>
      </w:pPr>
      <w:r w:rsidRPr="00A55F61">
        <w:rPr>
          <w:rFonts w:eastAsiaTheme="minorEastAsia"/>
          <w:b/>
          <w:bCs/>
          <w:sz w:val="24"/>
          <w:szCs w:val="24"/>
          <w:lang w:eastAsia="zh-CN"/>
        </w:rPr>
        <w:t xml:space="preserve">References for supplementary data: </w:t>
      </w:r>
    </w:p>
    <w:p w14:paraId="077306D4" w14:textId="77777777" w:rsidR="00B00A67" w:rsidRDefault="00B00A67" w:rsidP="00B00A67">
      <w:pPr>
        <w:ind w:firstLine="0"/>
        <w:rPr>
          <w:rFonts w:eastAsiaTheme="minorEastAsia"/>
          <w:lang w:eastAsia="zh-CN"/>
        </w:rPr>
      </w:pPr>
    </w:p>
    <w:p w14:paraId="62D9AA89" w14:textId="77777777" w:rsidR="00B00A67" w:rsidRPr="00B00A67" w:rsidRDefault="00B00A67" w:rsidP="00B00A67">
      <w:pPr>
        <w:pStyle w:val="Bibliography"/>
        <w:ind w:left="720" w:hanging="720"/>
        <w:jc w:val="both"/>
        <w:rPr>
          <w:sz w:val="24"/>
          <w:szCs w:val="24"/>
        </w:rPr>
      </w:pPr>
      <w:r w:rsidRPr="00B00A67">
        <w:rPr>
          <w:sz w:val="24"/>
          <w:szCs w:val="24"/>
        </w:rPr>
        <w:t xml:space="preserve">Baden HP, </w:t>
      </w:r>
      <w:proofErr w:type="spellStart"/>
      <w:r w:rsidRPr="00B00A67">
        <w:rPr>
          <w:sz w:val="24"/>
          <w:szCs w:val="24"/>
        </w:rPr>
        <w:t>Champliaud</w:t>
      </w:r>
      <w:proofErr w:type="spellEnd"/>
      <w:r w:rsidRPr="00B00A67">
        <w:rPr>
          <w:sz w:val="24"/>
          <w:szCs w:val="24"/>
        </w:rPr>
        <w:t xml:space="preserve"> M-F, Sundberg JP, Viel A (2005) Targeted deletion of the </w:t>
      </w:r>
      <w:proofErr w:type="spellStart"/>
      <w:r w:rsidRPr="00B00A67">
        <w:rPr>
          <w:sz w:val="24"/>
          <w:szCs w:val="24"/>
        </w:rPr>
        <w:t>sciellin</w:t>
      </w:r>
      <w:proofErr w:type="spellEnd"/>
      <w:r w:rsidRPr="00B00A67">
        <w:rPr>
          <w:sz w:val="24"/>
          <w:szCs w:val="24"/>
        </w:rPr>
        <w:t xml:space="preserve"> gene resulted in normal development and maturation. genesis 42:219–228. </w:t>
      </w:r>
      <w:hyperlink r:id="rId5" w:history="1">
        <w:r w:rsidRPr="00B00A67">
          <w:rPr>
            <w:rStyle w:val="Hyperlink"/>
            <w:sz w:val="24"/>
            <w:szCs w:val="24"/>
          </w:rPr>
          <w:t>https://doi.org/10.1002/gene.20133</w:t>
        </w:r>
      </w:hyperlink>
    </w:p>
    <w:p w14:paraId="5E97918B" w14:textId="77777777" w:rsidR="00B00A67" w:rsidRDefault="00B00A67" w:rsidP="00B00A67">
      <w:pPr>
        <w:pStyle w:val="Bibliography"/>
        <w:ind w:left="720" w:hanging="720"/>
        <w:jc w:val="both"/>
        <w:rPr>
          <w:sz w:val="24"/>
          <w:szCs w:val="24"/>
        </w:rPr>
      </w:pPr>
    </w:p>
    <w:p w14:paraId="53703A76" w14:textId="7E961459" w:rsidR="00B00A67" w:rsidRPr="00B00A67" w:rsidRDefault="00B00A67" w:rsidP="00B00A67">
      <w:pPr>
        <w:pStyle w:val="Bibliography"/>
        <w:ind w:left="720" w:hanging="720"/>
        <w:jc w:val="both"/>
        <w:rPr>
          <w:sz w:val="24"/>
          <w:szCs w:val="24"/>
        </w:rPr>
      </w:pPr>
      <w:r w:rsidRPr="00B00A67">
        <w:rPr>
          <w:sz w:val="24"/>
          <w:szCs w:val="24"/>
        </w:rPr>
        <w:t xml:space="preserve">Biggs CM, Keles S, Chatila TA (2017) DOCK8 Deficiency: Insights into Pathophysiology, Clinical Features and Management. Clin Immunol Orlando Fla 181:75–82. </w:t>
      </w:r>
      <w:hyperlink r:id="rId6" w:history="1">
        <w:r w:rsidRPr="00B00A67">
          <w:rPr>
            <w:rStyle w:val="Hyperlink"/>
            <w:sz w:val="24"/>
            <w:szCs w:val="24"/>
          </w:rPr>
          <w:t>https://doi.org/10.1016/j.clim.2017.06.003</w:t>
        </w:r>
      </w:hyperlink>
    </w:p>
    <w:p w14:paraId="502C446E" w14:textId="77777777" w:rsidR="00B00A67" w:rsidRDefault="00B00A67" w:rsidP="00B00A67">
      <w:pPr>
        <w:pStyle w:val="Bibliography"/>
        <w:ind w:left="720" w:hanging="720"/>
        <w:jc w:val="both"/>
        <w:rPr>
          <w:sz w:val="24"/>
          <w:szCs w:val="24"/>
        </w:rPr>
      </w:pPr>
    </w:p>
    <w:p w14:paraId="137FA1E7" w14:textId="77B75B08" w:rsidR="00B00A67" w:rsidRPr="00B00A67" w:rsidRDefault="00B00A67" w:rsidP="00B00A67">
      <w:pPr>
        <w:pStyle w:val="Bibliography"/>
        <w:ind w:left="720" w:hanging="720"/>
        <w:jc w:val="both"/>
        <w:rPr>
          <w:sz w:val="24"/>
          <w:szCs w:val="24"/>
        </w:rPr>
      </w:pPr>
      <w:r w:rsidRPr="00B00A67">
        <w:rPr>
          <w:sz w:val="24"/>
          <w:szCs w:val="24"/>
        </w:rPr>
        <w:t xml:space="preserve">Blais M-E, Dong T, Rowland-Jones S (2011) HLA-C as a mediator of natural killer and T-cell activation: spectator or key player? Immunology 133:1–7. </w:t>
      </w:r>
      <w:hyperlink r:id="rId7" w:history="1">
        <w:r w:rsidRPr="00B00A67">
          <w:rPr>
            <w:rStyle w:val="Hyperlink"/>
            <w:sz w:val="24"/>
            <w:szCs w:val="24"/>
          </w:rPr>
          <w:t>https://doi.org/10.1111/j.1365-2567.2011.03422.x</w:t>
        </w:r>
      </w:hyperlink>
    </w:p>
    <w:p w14:paraId="2ED3B336" w14:textId="77777777" w:rsidR="00B00A67" w:rsidRDefault="00B00A67" w:rsidP="00B00A67">
      <w:pPr>
        <w:pStyle w:val="Bibliography"/>
        <w:ind w:left="720" w:hanging="720"/>
        <w:jc w:val="both"/>
        <w:rPr>
          <w:sz w:val="24"/>
          <w:szCs w:val="24"/>
        </w:rPr>
      </w:pPr>
    </w:p>
    <w:p w14:paraId="2272D703" w14:textId="4D4A19FC" w:rsidR="00B00A67" w:rsidRPr="00B00A67" w:rsidRDefault="00B00A67" w:rsidP="00B00A67">
      <w:pPr>
        <w:pStyle w:val="Bibliography"/>
        <w:ind w:left="720" w:hanging="720"/>
        <w:jc w:val="both"/>
        <w:rPr>
          <w:sz w:val="24"/>
          <w:szCs w:val="24"/>
        </w:rPr>
      </w:pPr>
      <w:proofErr w:type="spellStart"/>
      <w:r w:rsidRPr="00B00A67">
        <w:rPr>
          <w:sz w:val="24"/>
          <w:szCs w:val="24"/>
        </w:rPr>
        <w:lastRenderedPageBreak/>
        <w:t>Damdinsuren</w:t>
      </w:r>
      <w:proofErr w:type="spellEnd"/>
      <w:r w:rsidRPr="00B00A67">
        <w:rPr>
          <w:sz w:val="24"/>
          <w:szCs w:val="24"/>
        </w:rPr>
        <w:t xml:space="preserve"> B, Dement-Brown J, Li H, Tolnay M (2016) B cell receptor induced Fc receptor-like 5 expression is mediated by multiple </w:t>
      </w:r>
      <w:proofErr w:type="spellStart"/>
      <w:r w:rsidRPr="00B00A67">
        <w:rPr>
          <w:sz w:val="24"/>
          <w:szCs w:val="24"/>
        </w:rPr>
        <w:t>signaling</w:t>
      </w:r>
      <w:proofErr w:type="spellEnd"/>
      <w:r w:rsidRPr="00B00A67">
        <w:rPr>
          <w:sz w:val="24"/>
          <w:szCs w:val="24"/>
        </w:rPr>
        <w:t xml:space="preserve"> pathways converging on NF-</w:t>
      </w:r>
      <w:proofErr w:type="spellStart"/>
      <w:r w:rsidRPr="00B00A67">
        <w:rPr>
          <w:sz w:val="24"/>
          <w:szCs w:val="24"/>
        </w:rPr>
        <w:t>κB</w:t>
      </w:r>
      <w:proofErr w:type="spellEnd"/>
      <w:r w:rsidRPr="00B00A67">
        <w:rPr>
          <w:sz w:val="24"/>
          <w:szCs w:val="24"/>
        </w:rPr>
        <w:t xml:space="preserve"> and NFAT. Mol Immunol 73:112–121. </w:t>
      </w:r>
      <w:hyperlink r:id="rId8" w:history="1">
        <w:r w:rsidRPr="00B00A67">
          <w:rPr>
            <w:rStyle w:val="Hyperlink"/>
            <w:sz w:val="24"/>
            <w:szCs w:val="24"/>
          </w:rPr>
          <w:t>https://doi.org/10.1016/j.molimm.2016.04.001</w:t>
        </w:r>
      </w:hyperlink>
    </w:p>
    <w:p w14:paraId="28A24067" w14:textId="77777777" w:rsidR="00B00A67" w:rsidRDefault="00B00A67" w:rsidP="00B00A67">
      <w:pPr>
        <w:pStyle w:val="Bibliography"/>
        <w:ind w:left="720" w:hanging="720"/>
        <w:jc w:val="both"/>
        <w:rPr>
          <w:sz w:val="24"/>
          <w:szCs w:val="24"/>
        </w:rPr>
      </w:pPr>
    </w:p>
    <w:p w14:paraId="2AAF5B7E" w14:textId="0A8EF038" w:rsidR="00B00A67" w:rsidRPr="00B00A67" w:rsidRDefault="00B00A67" w:rsidP="00B00A67">
      <w:pPr>
        <w:pStyle w:val="Bibliography"/>
        <w:ind w:left="720" w:hanging="720"/>
        <w:jc w:val="both"/>
        <w:rPr>
          <w:sz w:val="24"/>
          <w:szCs w:val="24"/>
        </w:rPr>
      </w:pPr>
      <w:r w:rsidRPr="00B00A67">
        <w:rPr>
          <w:sz w:val="24"/>
          <w:szCs w:val="24"/>
        </w:rPr>
        <w:t xml:space="preserve">Dratwa M, </w:t>
      </w:r>
      <w:proofErr w:type="spellStart"/>
      <w:r w:rsidRPr="00B00A67">
        <w:rPr>
          <w:sz w:val="24"/>
          <w:szCs w:val="24"/>
        </w:rPr>
        <w:t>Wysoczańska</w:t>
      </w:r>
      <w:proofErr w:type="spellEnd"/>
      <w:r w:rsidRPr="00B00A67">
        <w:rPr>
          <w:sz w:val="24"/>
          <w:szCs w:val="24"/>
        </w:rPr>
        <w:t xml:space="preserve"> B, </w:t>
      </w:r>
      <w:proofErr w:type="spellStart"/>
      <w:r w:rsidRPr="00B00A67">
        <w:rPr>
          <w:sz w:val="24"/>
          <w:szCs w:val="24"/>
        </w:rPr>
        <w:t>Łacina</w:t>
      </w:r>
      <w:proofErr w:type="spellEnd"/>
      <w:r w:rsidRPr="00B00A67">
        <w:rPr>
          <w:sz w:val="24"/>
          <w:szCs w:val="24"/>
        </w:rPr>
        <w:t xml:space="preserve"> P, et al (2020) TERT—Regulation and Roles in Cancer Formation. Front Immunol 11:589929. </w:t>
      </w:r>
      <w:hyperlink r:id="rId9" w:history="1">
        <w:r w:rsidRPr="00B00A67">
          <w:rPr>
            <w:rStyle w:val="Hyperlink"/>
            <w:sz w:val="24"/>
            <w:szCs w:val="24"/>
          </w:rPr>
          <w:t>https://doi.org/10.3389/fimmu.2020.589929</w:t>
        </w:r>
      </w:hyperlink>
    </w:p>
    <w:p w14:paraId="16B80795" w14:textId="77777777" w:rsidR="00B00A67" w:rsidRDefault="00B00A67" w:rsidP="00B00A67">
      <w:pPr>
        <w:pStyle w:val="Bibliography"/>
        <w:ind w:left="810" w:hanging="810"/>
        <w:jc w:val="both"/>
        <w:rPr>
          <w:sz w:val="24"/>
          <w:szCs w:val="24"/>
        </w:rPr>
      </w:pPr>
    </w:p>
    <w:p w14:paraId="2455BC9A" w14:textId="738D81C3" w:rsidR="00B00A67" w:rsidRPr="00B00A67" w:rsidRDefault="00B00A67" w:rsidP="00B00A67">
      <w:pPr>
        <w:pStyle w:val="Bibliography"/>
        <w:ind w:left="810" w:hanging="810"/>
        <w:jc w:val="both"/>
        <w:rPr>
          <w:sz w:val="24"/>
          <w:szCs w:val="24"/>
        </w:rPr>
      </w:pPr>
      <w:r w:rsidRPr="00B00A67">
        <w:rPr>
          <w:sz w:val="24"/>
          <w:szCs w:val="24"/>
        </w:rPr>
        <w:t xml:space="preserve">Dumitru AV, </w:t>
      </w:r>
      <w:proofErr w:type="spellStart"/>
      <w:r w:rsidRPr="00B00A67">
        <w:rPr>
          <w:sz w:val="24"/>
          <w:szCs w:val="24"/>
        </w:rPr>
        <w:t>Țăpoi</w:t>
      </w:r>
      <w:proofErr w:type="spellEnd"/>
      <w:r w:rsidRPr="00B00A67">
        <w:rPr>
          <w:sz w:val="24"/>
          <w:szCs w:val="24"/>
        </w:rPr>
        <w:t xml:space="preserve"> DA, </w:t>
      </w:r>
      <w:proofErr w:type="spellStart"/>
      <w:r w:rsidRPr="00B00A67">
        <w:rPr>
          <w:sz w:val="24"/>
          <w:szCs w:val="24"/>
        </w:rPr>
        <w:t>Halcu</w:t>
      </w:r>
      <w:proofErr w:type="spellEnd"/>
      <w:r w:rsidRPr="00B00A67">
        <w:rPr>
          <w:sz w:val="24"/>
          <w:szCs w:val="24"/>
        </w:rPr>
        <w:t xml:space="preserve"> G, et al (2023) The Polyvalent Role of CD30 for Cancer Diagnosis and Treatment. Cells 12:1783. </w:t>
      </w:r>
      <w:hyperlink r:id="rId10" w:history="1">
        <w:r w:rsidRPr="00B00A67">
          <w:rPr>
            <w:rStyle w:val="Hyperlink"/>
            <w:sz w:val="24"/>
            <w:szCs w:val="24"/>
          </w:rPr>
          <w:t>https://doi.org/10.3390/cells12131783</w:t>
        </w:r>
      </w:hyperlink>
    </w:p>
    <w:p w14:paraId="1AC8E55B" w14:textId="77777777" w:rsidR="00B00A67" w:rsidRDefault="00B00A67" w:rsidP="00B00A67">
      <w:pPr>
        <w:pStyle w:val="Bibliography"/>
        <w:ind w:left="720" w:hanging="720"/>
        <w:jc w:val="both"/>
        <w:rPr>
          <w:sz w:val="24"/>
          <w:szCs w:val="24"/>
        </w:rPr>
      </w:pPr>
    </w:p>
    <w:p w14:paraId="083132E5" w14:textId="2D07AEC7" w:rsidR="00B00A67" w:rsidRPr="00B00A67" w:rsidRDefault="00B00A67" w:rsidP="00B00A67">
      <w:pPr>
        <w:pStyle w:val="Bibliography"/>
        <w:ind w:left="720" w:hanging="720"/>
        <w:jc w:val="both"/>
        <w:rPr>
          <w:sz w:val="24"/>
          <w:szCs w:val="24"/>
        </w:rPr>
      </w:pPr>
      <w:proofErr w:type="spellStart"/>
      <w:r w:rsidRPr="00B00A67">
        <w:rPr>
          <w:sz w:val="24"/>
          <w:szCs w:val="24"/>
        </w:rPr>
        <w:t>Fachinetti</w:t>
      </w:r>
      <w:proofErr w:type="spellEnd"/>
      <w:r w:rsidRPr="00B00A67">
        <w:rPr>
          <w:sz w:val="24"/>
          <w:szCs w:val="24"/>
        </w:rPr>
        <w:t xml:space="preserve"> D, Han JS, McMahon MA, et al (2015) DNA sequence-specific binding of CENP-B enhances the fidelity of human centromere function. Dev Cell 33:314–327. </w:t>
      </w:r>
      <w:hyperlink r:id="rId11" w:history="1">
        <w:r w:rsidRPr="00B00A67">
          <w:rPr>
            <w:rStyle w:val="Hyperlink"/>
            <w:sz w:val="24"/>
            <w:szCs w:val="24"/>
          </w:rPr>
          <w:t>https://doi.org/10.1016/j.devcel.2015.03.020</w:t>
        </w:r>
      </w:hyperlink>
    </w:p>
    <w:p w14:paraId="13B2FCDF" w14:textId="77777777" w:rsidR="00B00A67" w:rsidRDefault="00B00A67" w:rsidP="00B00A67">
      <w:pPr>
        <w:pStyle w:val="Bibliography"/>
        <w:ind w:left="720" w:hanging="720"/>
        <w:jc w:val="both"/>
        <w:rPr>
          <w:sz w:val="24"/>
          <w:szCs w:val="24"/>
        </w:rPr>
      </w:pPr>
    </w:p>
    <w:p w14:paraId="627A3196" w14:textId="28139E77" w:rsidR="00B00A67" w:rsidRPr="00B00A67" w:rsidRDefault="00B00A67" w:rsidP="00B00A67">
      <w:pPr>
        <w:pStyle w:val="Bibliography"/>
        <w:ind w:left="720" w:hanging="720"/>
        <w:jc w:val="both"/>
        <w:rPr>
          <w:sz w:val="24"/>
          <w:szCs w:val="24"/>
        </w:rPr>
      </w:pPr>
      <w:proofErr w:type="spellStart"/>
      <w:r w:rsidRPr="00B00A67">
        <w:rPr>
          <w:sz w:val="24"/>
          <w:szCs w:val="24"/>
        </w:rPr>
        <w:t>Farré</w:t>
      </w:r>
      <w:proofErr w:type="spellEnd"/>
      <w:r w:rsidRPr="00B00A67">
        <w:rPr>
          <w:sz w:val="24"/>
          <w:szCs w:val="24"/>
        </w:rPr>
        <w:t xml:space="preserve"> X, Blay N, Cortés B, et al (2023) Skin Phototype and Disease: A Comprehensive Genetic Approach to Pigmentary Traits Pleiotropy Using PRS in the GCAT Cohort. Genes 14:149. </w:t>
      </w:r>
      <w:hyperlink r:id="rId12" w:history="1">
        <w:r w:rsidRPr="00B00A67">
          <w:rPr>
            <w:rStyle w:val="Hyperlink"/>
            <w:sz w:val="24"/>
            <w:szCs w:val="24"/>
          </w:rPr>
          <w:t>https://doi.org/10.3390/genes14010149</w:t>
        </w:r>
      </w:hyperlink>
    </w:p>
    <w:p w14:paraId="7394C752" w14:textId="77777777" w:rsidR="00B00A67" w:rsidRDefault="00B00A67" w:rsidP="00B00A67">
      <w:pPr>
        <w:ind w:left="720" w:hanging="720"/>
        <w:jc w:val="both"/>
        <w:rPr>
          <w:sz w:val="24"/>
          <w:szCs w:val="24"/>
        </w:rPr>
      </w:pPr>
    </w:p>
    <w:p w14:paraId="518691DF" w14:textId="549BAEFB" w:rsidR="00B00A67" w:rsidRPr="00B00A67" w:rsidRDefault="00B00A67" w:rsidP="00B00A67">
      <w:pPr>
        <w:ind w:left="720" w:hanging="720"/>
        <w:jc w:val="both"/>
        <w:rPr>
          <w:sz w:val="24"/>
          <w:szCs w:val="24"/>
        </w:rPr>
      </w:pPr>
      <w:proofErr w:type="spellStart"/>
      <w:r w:rsidRPr="00B00A67">
        <w:rPr>
          <w:sz w:val="24"/>
          <w:szCs w:val="24"/>
        </w:rPr>
        <w:t>Garczyk</w:t>
      </w:r>
      <w:proofErr w:type="spellEnd"/>
      <w:r w:rsidRPr="00B00A67">
        <w:rPr>
          <w:sz w:val="24"/>
          <w:szCs w:val="24"/>
        </w:rPr>
        <w:t xml:space="preserve"> S, Klotz N, Szczepanski S, et al (2017) Oncogenic features of </w:t>
      </w:r>
      <w:proofErr w:type="spellStart"/>
      <w:r w:rsidRPr="00B00A67">
        <w:rPr>
          <w:sz w:val="24"/>
          <w:szCs w:val="24"/>
        </w:rPr>
        <w:t>neuromedin</w:t>
      </w:r>
      <w:proofErr w:type="spellEnd"/>
      <w:r w:rsidRPr="00B00A67">
        <w:rPr>
          <w:sz w:val="24"/>
          <w:szCs w:val="24"/>
        </w:rPr>
        <w:t xml:space="preserve"> U in breast cancer are associated with NMUR2 expression involving crosstalk with members of the WNT </w:t>
      </w:r>
      <w:proofErr w:type="spellStart"/>
      <w:r w:rsidRPr="00B00A67">
        <w:rPr>
          <w:sz w:val="24"/>
          <w:szCs w:val="24"/>
        </w:rPr>
        <w:t>signaling</w:t>
      </w:r>
      <w:proofErr w:type="spellEnd"/>
      <w:r w:rsidRPr="00B00A67">
        <w:rPr>
          <w:sz w:val="24"/>
          <w:szCs w:val="24"/>
        </w:rPr>
        <w:t xml:space="preserve"> pathway. </w:t>
      </w:r>
      <w:proofErr w:type="spellStart"/>
      <w:r w:rsidRPr="00B00A67">
        <w:rPr>
          <w:sz w:val="24"/>
          <w:szCs w:val="24"/>
        </w:rPr>
        <w:t>Oncotarget</w:t>
      </w:r>
      <w:proofErr w:type="spellEnd"/>
      <w:r w:rsidRPr="00B00A67">
        <w:rPr>
          <w:sz w:val="24"/>
          <w:szCs w:val="24"/>
        </w:rPr>
        <w:t xml:space="preserve"> 8:36246–36265. </w:t>
      </w:r>
      <w:hyperlink r:id="rId13" w:history="1">
        <w:r w:rsidRPr="00B00A67">
          <w:rPr>
            <w:rStyle w:val="Hyperlink"/>
            <w:sz w:val="24"/>
            <w:szCs w:val="24"/>
          </w:rPr>
          <w:t>https://doi.org/10.18632/oncotarget.16121</w:t>
        </w:r>
      </w:hyperlink>
    </w:p>
    <w:p w14:paraId="41530448" w14:textId="77777777" w:rsidR="00B00A67" w:rsidRDefault="00B00A67" w:rsidP="00B00A67">
      <w:pPr>
        <w:pStyle w:val="Bibliography"/>
        <w:ind w:left="720" w:hanging="720"/>
        <w:jc w:val="both"/>
        <w:rPr>
          <w:sz w:val="24"/>
          <w:szCs w:val="24"/>
        </w:rPr>
      </w:pPr>
    </w:p>
    <w:p w14:paraId="3296F4D9" w14:textId="2DAF8376" w:rsidR="00B00A67" w:rsidRPr="00B00A67" w:rsidRDefault="00B00A67" w:rsidP="00B00A67">
      <w:pPr>
        <w:pStyle w:val="Bibliography"/>
        <w:ind w:left="720" w:hanging="720"/>
        <w:jc w:val="both"/>
        <w:rPr>
          <w:sz w:val="24"/>
          <w:szCs w:val="24"/>
        </w:rPr>
      </w:pPr>
      <w:r w:rsidRPr="00B00A67">
        <w:rPr>
          <w:sz w:val="24"/>
          <w:szCs w:val="24"/>
        </w:rPr>
        <w:t xml:space="preserve">Haffner C, </w:t>
      </w:r>
      <w:proofErr w:type="spellStart"/>
      <w:r w:rsidRPr="00B00A67">
        <w:rPr>
          <w:sz w:val="24"/>
          <w:szCs w:val="24"/>
        </w:rPr>
        <w:t>Frauli</w:t>
      </w:r>
      <w:proofErr w:type="spellEnd"/>
      <w:r w:rsidRPr="00B00A67">
        <w:rPr>
          <w:sz w:val="24"/>
          <w:szCs w:val="24"/>
        </w:rPr>
        <w:t xml:space="preserve"> M, Topp S, et al (2004) </w:t>
      </w:r>
      <w:proofErr w:type="spellStart"/>
      <w:r w:rsidRPr="00B00A67">
        <w:rPr>
          <w:sz w:val="24"/>
          <w:szCs w:val="24"/>
        </w:rPr>
        <w:t>Nicalin</w:t>
      </w:r>
      <w:proofErr w:type="spellEnd"/>
      <w:r w:rsidRPr="00B00A67">
        <w:rPr>
          <w:sz w:val="24"/>
          <w:szCs w:val="24"/>
        </w:rPr>
        <w:t xml:space="preserve"> and its binding partner Nomo are novel Nodal </w:t>
      </w:r>
      <w:proofErr w:type="spellStart"/>
      <w:r w:rsidRPr="00B00A67">
        <w:rPr>
          <w:sz w:val="24"/>
          <w:szCs w:val="24"/>
        </w:rPr>
        <w:t>signaling</w:t>
      </w:r>
      <w:proofErr w:type="spellEnd"/>
      <w:r w:rsidRPr="00B00A67">
        <w:rPr>
          <w:sz w:val="24"/>
          <w:szCs w:val="24"/>
        </w:rPr>
        <w:t xml:space="preserve"> antagonists. EMBO J 23:3041–3050. </w:t>
      </w:r>
      <w:hyperlink r:id="rId14" w:history="1">
        <w:r w:rsidRPr="00B00A67">
          <w:rPr>
            <w:rStyle w:val="Hyperlink"/>
            <w:sz w:val="24"/>
            <w:szCs w:val="24"/>
          </w:rPr>
          <w:t>https://doi.org/10.1038/sj.emboj.7600307</w:t>
        </w:r>
      </w:hyperlink>
    </w:p>
    <w:p w14:paraId="06E0AF02" w14:textId="77777777" w:rsidR="00B00A67" w:rsidRDefault="00B00A67" w:rsidP="00B00A67">
      <w:pPr>
        <w:pStyle w:val="Bibliography"/>
        <w:tabs>
          <w:tab w:val="left" w:pos="810"/>
        </w:tabs>
        <w:ind w:left="720" w:hanging="720"/>
        <w:jc w:val="both"/>
        <w:rPr>
          <w:sz w:val="24"/>
          <w:szCs w:val="24"/>
        </w:rPr>
      </w:pPr>
    </w:p>
    <w:p w14:paraId="643C04B1" w14:textId="28D823C3" w:rsidR="00B00A67" w:rsidRPr="00B00A67" w:rsidRDefault="00B00A67" w:rsidP="00B00A67">
      <w:pPr>
        <w:pStyle w:val="Bibliography"/>
        <w:tabs>
          <w:tab w:val="left" w:pos="810"/>
        </w:tabs>
        <w:ind w:left="720" w:hanging="720"/>
        <w:jc w:val="both"/>
        <w:rPr>
          <w:sz w:val="24"/>
          <w:szCs w:val="24"/>
        </w:rPr>
      </w:pPr>
      <w:r w:rsidRPr="00B00A67">
        <w:rPr>
          <w:sz w:val="24"/>
          <w:szCs w:val="24"/>
        </w:rPr>
        <w:t xml:space="preserve">Idrovo J-P, Yang W-L, Jacob A, et al (2015) Combination of Adrenomedullin with Its Binding Protein Accelerates Cutaneous Wound Healing. PLOS ONE </w:t>
      </w:r>
      <w:proofErr w:type="gramStart"/>
      <w:r w:rsidRPr="00B00A67">
        <w:rPr>
          <w:sz w:val="24"/>
          <w:szCs w:val="24"/>
        </w:rPr>
        <w:t>10:e</w:t>
      </w:r>
      <w:proofErr w:type="gramEnd"/>
      <w:r w:rsidRPr="00B00A67">
        <w:rPr>
          <w:sz w:val="24"/>
          <w:szCs w:val="24"/>
        </w:rPr>
        <w:t xml:space="preserve">0120225. </w:t>
      </w:r>
      <w:hyperlink r:id="rId15" w:history="1">
        <w:r w:rsidRPr="00B00A67">
          <w:rPr>
            <w:rStyle w:val="Hyperlink"/>
            <w:sz w:val="24"/>
            <w:szCs w:val="24"/>
          </w:rPr>
          <w:t>https://doi.org/10.1371/journal.pone.0120225</w:t>
        </w:r>
      </w:hyperlink>
    </w:p>
    <w:p w14:paraId="361F1B6A" w14:textId="77777777" w:rsidR="00B00A67" w:rsidRDefault="00B00A67" w:rsidP="00B00A67">
      <w:pPr>
        <w:pStyle w:val="Bibliography"/>
        <w:ind w:left="720" w:hanging="720"/>
        <w:jc w:val="both"/>
        <w:rPr>
          <w:sz w:val="24"/>
          <w:szCs w:val="24"/>
        </w:rPr>
      </w:pPr>
    </w:p>
    <w:p w14:paraId="6D8CEEA9" w14:textId="74A697EB" w:rsidR="00B00A67" w:rsidRPr="00B00A67" w:rsidRDefault="00B00A67" w:rsidP="00B00A67">
      <w:pPr>
        <w:pStyle w:val="Bibliography"/>
        <w:ind w:left="720" w:hanging="720"/>
        <w:jc w:val="both"/>
        <w:rPr>
          <w:sz w:val="24"/>
          <w:szCs w:val="24"/>
        </w:rPr>
      </w:pPr>
      <w:r w:rsidRPr="00B00A67">
        <w:rPr>
          <w:sz w:val="24"/>
          <w:szCs w:val="24"/>
        </w:rPr>
        <w:t xml:space="preserve">Jing Z, Yin H, Wang P, et al (2016) </w:t>
      </w:r>
      <w:proofErr w:type="spellStart"/>
      <w:r w:rsidRPr="00B00A67">
        <w:rPr>
          <w:sz w:val="24"/>
          <w:szCs w:val="24"/>
        </w:rPr>
        <w:t>Centlein</w:t>
      </w:r>
      <w:proofErr w:type="spellEnd"/>
      <w:r w:rsidRPr="00B00A67">
        <w:rPr>
          <w:sz w:val="24"/>
          <w:szCs w:val="24"/>
        </w:rPr>
        <w:t xml:space="preserve">, a novel microtubule-associated protein stabilizing microtubules and involved in neurite formation. </w:t>
      </w:r>
      <w:proofErr w:type="spellStart"/>
      <w:r w:rsidRPr="00B00A67">
        <w:rPr>
          <w:sz w:val="24"/>
          <w:szCs w:val="24"/>
        </w:rPr>
        <w:t>Biochem</w:t>
      </w:r>
      <w:proofErr w:type="spellEnd"/>
      <w:r w:rsidRPr="00B00A67">
        <w:rPr>
          <w:sz w:val="24"/>
          <w:szCs w:val="24"/>
        </w:rPr>
        <w:t xml:space="preserve"> </w:t>
      </w:r>
      <w:proofErr w:type="spellStart"/>
      <w:r w:rsidRPr="00B00A67">
        <w:rPr>
          <w:sz w:val="24"/>
          <w:szCs w:val="24"/>
        </w:rPr>
        <w:t>Biophys</w:t>
      </w:r>
      <w:proofErr w:type="spellEnd"/>
      <w:r w:rsidRPr="00B00A67">
        <w:rPr>
          <w:sz w:val="24"/>
          <w:szCs w:val="24"/>
        </w:rPr>
        <w:t xml:space="preserve"> Res Commun 472:360–365. </w:t>
      </w:r>
      <w:hyperlink r:id="rId16" w:history="1">
        <w:r w:rsidRPr="00B00A67">
          <w:rPr>
            <w:rStyle w:val="Hyperlink"/>
            <w:sz w:val="24"/>
            <w:szCs w:val="24"/>
          </w:rPr>
          <w:t>https://doi.org/10.1016/j.bbrc.2016.02.079</w:t>
        </w:r>
      </w:hyperlink>
    </w:p>
    <w:p w14:paraId="54155843" w14:textId="77777777" w:rsidR="00B00A67" w:rsidRDefault="00B00A67" w:rsidP="00B00A67">
      <w:pPr>
        <w:ind w:left="720" w:hanging="720"/>
        <w:jc w:val="both"/>
        <w:rPr>
          <w:sz w:val="24"/>
          <w:szCs w:val="24"/>
        </w:rPr>
      </w:pPr>
    </w:p>
    <w:p w14:paraId="4A401E6F" w14:textId="626B93E3" w:rsidR="00B00A67" w:rsidRPr="00B00A67" w:rsidRDefault="00B00A67" w:rsidP="00B00A67">
      <w:pPr>
        <w:ind w:left="720" w:hanging="720"/>
        <w:jc w:val="both"/>
        <w:rPr>
          <w:sz w:val="24"/>
          <w:szCs w:val="24"/>
        </w:rPr>
      </w:pPr>
      <w:r w:rsidRPr="00B00A67">
        <w:rPr>
          <w:sz w:val="24"/>
          <w:szCs w:val="24"/>
        </w:rPr>
        <w:t xml:space="preserve">Kim Y, Yin J, Huang H, et al (2022) Genome-wide association study of actinic keratosis identifies new susceptibility loci implicated in pigmentation and immune regulation pathways. Commun </w:t>
      </w:r>
      <w:proofErr w:type="spellStart"/>
      <w:r w:rsidRPr="00B00A67">
        <w:rPr>
          <w:sz w:val="24"/>
          <w:szCs w:val="24"/>
        </w:rPr>
        <w:t>Biol</w:t>
      </w:r>
      <w:proofErr w:type="spellEnd"/>
      <w:r w:rsidRPr="00B00A67">
        <w:rPr>
          <w:sz w:val="24"/>
          <w:szCs w:val="24"/>
        </w:rPr>
        <w:t xml:space="preserve"> 5:1–9. </w:t>
      </w:r>
      <w:hyperlink r:id="rId17" w:history="1">
        <w:r w:rsidRPr="00B00A67">
          <w:rPr>
            <w:rStyle w:val="Hyperlink"/>
            <w:sz w:val="24"/>
            <w:szCs w:val="24"/>
          </w:rPr>
          <w:t>https://doi.org/10.1038/s42003-022-03301-3</w:t>
        </w:r>
      </w:hyperlink>
    </w:p>
    <w:p w14:paraId="18DC6816" w14:textId="77777777" w:rsidR="00B00A67" w:rsidRPr="00B00A67" w:rsidRDefault="00B00A67" w:rsidP="00B00A67">
      <w:pPr>
        <w:pStyle w:val="Bibliography"/>
        <w:ind w:left="720" w:hanging="720"/>
        <w:jc w:val="both"/>
        <w:rPr>
          <w:sz w:val="24"/>
          <w:szCs w:val="24"/>
        </w:rPr>
      </w:pPr>
      <w:r w:rsidRPr="00B00A67">
        <w:rPr>
          <w:sz w:val="24"/>
          <w:szCs w:val="24"/>
        </w:rPr>
        <w:lastRenderedPageBreak/>
        <w:t xml:space="preserve">Laville V, Le Clerc S, Ezzedine K, et al (2019) A genome wide association study identifies new genes potentially associated with eyelid sagging. Exp Dermatol 28:892–898. </w:t>
      </w:r>
      <w:hyperlink r:id="rId18" w:history="1">
        <w:r w:rsidRPr="00B00A67">
          <w:rPr>
            <w:rStyle w:val="Hyperlink"/>
            <w:sz w:val="24"/>
            <w:szCs w:val="24"/>
          </w:rPr>
          <w:t>https://doi.org/10.1111/exd.13559</w:t>
        </w:r>
      </w:hyperlink>
    </w:p>
    <w:p w14:paraId="457B3374" w14:textId="77777777" w:rsidR="00B00A67" w:rsidRDefault="00B00A67" w:rsidP="00B00A67">
      <w:pPr>
        <w:pStyle w:val="Bibliography"/>
        <w:ind w:left="720" w:hanging="720"/>
        <w:jc w:val="both"/>
        <w:rPr>
          <w:sz w:val="24"/>
          <w:szCs w:val="24"/>
        </w:rPr>
      </w:pPr>
    </w:p>
    <w:p w14:paraId="5A91CCB6" w14:textId="51E7D24A" w:rsidR="00B00A67" w:rsidRPr="00B00A67" w:rsidRDefault="00B00A67" w:rsidP="00B00A67">
      <w:pPr>
        <w:pStyle w:val="Bibliography"/>
        <w:ind w:left="720" w:hanging="720"/>
        <w:jc w:val="both"/>
        <w:rPr>
          <w:sz w:val="24"/>
          <w:szCs w:val="24"/>
        </w:rPr>
      </w:pPr>
      <w:r w:rsidRPr="00B00A67">
        <w:rPr>
          <w:sz w:val="24"/>
          <w:szCs w:val="24"/>
        </w:rPr>
        <w:t>Lehri-</w:t>
      </w:r>
      <w:proofErr w:type="spellStart"/>
      <w:r w:rsidRPr="00B00A67">
        <w:rPr>
          <w:sz w:val="24"/>
          <w:szCs w:val="24"/>
        </w:rPr>
        <w:t>Boufala</w:t>
      </w:r>
      <w:proofErr w:type="spellEnd"/>
      <w:r w:rsidRPr="00B00A67">
        <w:rPr>
          <w:sz w:val="24"/>
          <w:szCs w:val="24"/>
        </w:rPr>
        <w:t xml:space="preserve"> S, </w:t>
      </w:r>
      <w:proofErr w:type="spellStart"/>
      <w:r w:rsidRPr="00B00A67">
        <w:rPr>
          <w:sz w:val="24"/>
          <w:szCs w:val="24"/>
        </w:rPr>
        <w:t>Ouidja</w:t>
      </w:r>
      <w:proofErr w:type="spellEnd"/>
      <w:r w:rsidRPr="00B00A67">
        <w:rPr>
          <w:sz w:val="24"/>
          <w:szCs w:val="24"/>
        </w:rPr>
        <w:t xml:space="preserve"> M-O, Barbier-</w:t>
      </w:r>
      <w:proofErr w:type="spellStart"/>
      <w:r w:rsidRPr="00B00A67">
        <w:rPr>
          <w:sz w:val="24"/>
          <w:szCs w:val="24"/>
        </w:rPr>
        <w:t>Chassefière</w:t>
      </w:r>
      <w:proofErr w:type="spellEnd"/>
      <w:r w:rsidRPr="00B00A67">
        <w:rPr>
          <w:sz w:val="24"/>
          <w:szCs w:val="24"/>
        </w:rPr>
        <w:t xml:space="preserve"> V, et al (2015) New Roles of Glycosaminoglycans in α-Synuclein Aggregation in a Cellular Model of Parkinson Disease. </w:t>
      </w:r>
      <w:proofErr w:type="spellStart"/>
      <w:r w:rsidRPr="00B00A67">
        <w:rPr>
          <w:sz w:val="24"/>
          <w:szCs w:val="24"/>
        </w:rPr>
        <w:t>PLoS</w:t>
      </w:r>
      <w:proofErr w:type="spellEnd"/>
      <w:r w:rsidRPr="00B00A67">
        <w:rPr>
          <w:sz w:val="24"/>
          <w:szCs w:val="24"/>
        </w:rPr>
        <w:t xml:space="preserve"> ONE </w:t>
      </w:r>
      <w:proofErr w:type="gramStart"/>
      <w:r w:rsidRPr="00B00A67">
        <w:rPr>
          <w:sz w:val="24"/>
          <w:szCs w:val="24"/>
        </w:rPr>
        <w:t>10:e</w:t>
      </w:r>
      <w:proofErr w:type="gramEnd"/>
      <w:r w:rsidRPr="00B00A67">
        <w:rPr>
          <w:sz w:val="24"/>
          <w:szCs w:val="24"/>
        </w:rPr>
        <w:t xml:space="preserve">0116641. </w:t>
      </w:r>
      <w:hyperlink r:id="rId19" w:history="1">
        <w:r w:rsidRPr="00B00A67">
          <w:rPr>
            <w:rStyle w:val="Hyperlink"/>
            <w:sz w:val="24"/>
            <w:szCs w:val="24"/>
          </w:rPr>
          <w:t>https://doi.org/10.1371/journal.pone.0116641</w:t>
        </w:r>
      </w:hyperlink>
    </w:p>
    <w:p w14:paraId="02491DBD" w14:textId="77777777" w:rsidR="00B00A67" w:rsidRDefault="00B00A67" w:rsidP="00B00A67">
      <w:pPr>
        <w:pStyle w:val="Bibliography"/>
        <w:ind w:left="720" w:hanging="720"/>
        <w:jc w:val="both"/>
        <w:rPr>
          <w:sz w:val="24"/>
          <w:szCs w:val="24"/>
        </w:rPr>
      </w:pPr>
    </w:p>
    <w:p w14:paraId="26674F37" w14:textId="2271C96D" w:rsidR="00B00A67" w:rsidRPr="00B00A67" w:rsidRDefault="00B00A67" w:rsidP="00B00A67">
      <w:pPr>
        <w:pStyle w:val="Bibliography"/>
        <w:ind w:left="720" w:hanging="720"/>
        <w:jc w:val="both"/>
        <w:rPr>
          <w:sz w:val="24"/>
          <w:szCs w:val="24"/>
        </w:rPr>
      </w:pPr>
      <w:r w:rsidRPr="00B00A67">
        <w:rPr>
          <w:sz w:val="24"/>
          <w:szCs w:val="24"/>
        </w:rPr>
        <w:t xml:space="preserve">Lei T, Zhang W, He Y, et al (2022) ZNF276 promotes the malignant phenotype of breast carcinoma by activating the CYP1B1-mediated </w:t>
      </w:r>
      <w:proofErr w:type="spellStart"/>
      <w:r w:rsidRPr="00B00A67">
        <w:rPr>
          <w:sz w:val="24"/>
          <w:szCs w:val="24"/>
        </w:rPr>
        <w:t>Wnt</w:t>
      </w:r>
      <w:proofErr w:type="spellEnd"/>
      <w:r w:rsidRPr="00B00A67">
        <w:rPr>
          <w:sz w:val="24"/>
          <w:szCs w:val="24"/>
        </w:rPr>
        <w:t xml:space="preserve">/β-catenin pathway. Cell Death Dis 13:781. </w:t>
      </w:r>
      <w:hyperlink r:id="rId20" w:history="1">
        <w:r w:rsidRPr="00B00A67">
          <w:rPr>
            <w:rStyle w:val="Hyperlink"/>
            <w:sz w:val="24"/>
            <w:szCs w:val="24"/>
          </w:rPr>
          <w:t>https://doi.org/10.1038/s41419-022-05223-8</w:t>
        </w:r>
      </w:hyperlink>
    </w:p>
    <w:p w14:paraId="773E13F1" w14:textId="77777777" w:rsidR="00B00A67" w:rsidRDefault="00B00A67" w:rsidP="00B00A67">
      <w:pPr>
        <w:pStyle w:val="Bibliography"/>
        <w:ind w:left="720" w:hanging="720"/>
        <w:jc w:val="both"/>
        <w:rPr>
          <w:sz w:val="24"/>
          <w:szCs w:val="24"/>
        </w:rPr>
      </w:pPr>
    </w:p>
    <w:p w14:paraId="6456B670" w14:textId="4A06858B" w:rsidR="00B00A67" w:rsidRPr="00B00A67" w:rsidRDefault="00B00A67" w:rsidP="00B00A67">
      <w:pPr>
        <w:pStyle w:val="Bibliography"/>
        <w:ind w:left="720" w:hanging="720"/>
        <w:jc w:val="both"/>
        <w:rPr>
          <w:sz w:val="24"/>
          <w:szCs w:val="24"/>
        </w:rPr>
      </w:pPr>
      <w:r w:rsidRPr="00B00A67">
        <w:rPr>
          <w:sz w:val="24"/>
          <w:szCs w:val="24"/>
        </w:rPr>
        <w:t xml:space="preserve">Li W, Wong CC, Zhang X, et al (2018) CAB39L elicited an anti-Warburg effect via a LKB1-AMPK-PGC1α axis to inhibit gastric tumorigenesis. Oncogene 37:6383–6398. </w:t>
      </w:r>
      <w:hyperlink r:id="rId21" w:history="1">
        <w:r w:rsidRPr="00B00A67">
          <w:rPr>
            <w:rStyle w:val="Hyperlink"/>
            <w:sz w:val="24"/>
            <w:szCs w:val="24"/>
          </w:rPr>
          <w:t>https://doi.org/10.1038/s41388-018-0402-1</w:t>
        </w:r>
      </w:hyperlink>
    </w:p>
    <w:p w14:paraId="6344BDA0" w14:textId="77777777" w:rsidR="00B00A67" w:rsidRDefault="00B00A67" w:rsidP="00B00A67">
      <w:pPr>
        <w:pStyle w:val="Bibliography"/>
        <w:ind w:left="720" w:hanging="720"/>
        <w:jc w:val="both"/>
        <w:rPr>
          <w:sz w:val="24"/>
          <w:szCs w:val="24"/>
        </w:rPr>
      </w:pPr>
    </w:p>
    <w:p w14:paraId="6DA1CF23" w14:textId="238FEB5B" w:rsidR="00B00A67" w:rsidRPr="00B00A67" w:rsidRDefault="00B00A67" w:rsidP="00B00A67">
      <w:pPr>
        <w:pStyle w:val="Bibliography"/>
        <w:ind w:left="720" w:hanging="720"/>
        <w:jc w:val="both"/>
        <w:rPr>
          <w:sz w:val="24"/>
          <w:szCs w:val="24"/>
        </w:rPr>
      </w:pPr>
      <w:r w:rsidRPr="00B00A67">
        <w:rPr>
          <w:sz w:val="24"/>
          <w:szCs w:val="24"/>
        </w:rPr>
        <w:t>López Tobón A, Suresh M, Jin J, et al (2018) The guanine nucleotide exchange factor Arhgef7/β</w:t>
      </w:r>
      <w:proofErr w:type="spellStart"/>
      <w:r w:rsidRPr="00B00A67">
        <w:rPr>
          <w:sz w:val="24"/>
          <w:szCs w:val="24"/>
        </w:rPr>
        <w:t>Pix</w:t>
      </w:r>
      <w:proofErr w:type="spellEnd"/>
      <w:r w:rsidRPr="00B00A67">
        <w:rPr>
          <w:sz w:val="24"/>
          <w:szCs w:val="24"/>
        </w:rPr>
        <w:t xml:space="preserve"> promotes axon formation upstream of TC10. Sci Rep 8:8811. </w:t>
      </w:r>
      <w:hyperlink r:id="rId22" w:history="1">
        <w:r w:rsidRPr="00B00A67">
          <w:rPr>
            <w:rStyle w:val="Hyperlink"/>
            <w:sz w:val="24"/>
            <w:szCs w:val="24"/>
          </w:rPr>
          <w:t>https://doi.org/10.1038/s41598-018-27081-1</w:t>
        </w:r>
      </w:hyperlink>
    </w:p>
    <w:p w14:paraId="24B8E6A2" w14:textId="77777777" w:rsidR="00B00A67" w:rsidRDefault="00B00A67" w:rsidP="00B00A67">
      <w:pPr>
        <w:pStyle w:val="Bibliography"/>
        <w:ind w:left="720" w:hanging="720"/>
        <w:jc w:val="both"/>
        <w:rPr>
          <w:sz w:val="24"/>
          <w:szCs w:val="24"/>
        </w:rPr>
      </w:pPr>
    </w:p>
    <w:p w14:paraId="7394537E" w14:textId="5F2B8C79" w:rsidR="00B00A67" w:rsidRPr="00B00A67" w:rsidRDefault="00B00A67" w:rsidP="00B00A67">
      <w:pPr>
        <w:pStyle w:val="Bibliography"/>
        <w:ind w:left="720" w:hanging="720"/>
        <w:jc w:val="both"/>
        <w:rPr>
          <w:sz w:val="24"/>
          <w:szCs w:val="24"/>
        </w:rPr>
      </w:pPr>
      <w:r w:rsidRPr="00B00A67">
        <w:rPr>
          <w:sz w:val="24"/>
          <w:szCs w:val="24"/>
        </w:rPr>
        <w:t xml:space="preserve">Matsuda J, Maier M, </w:t>
      </w:r>
      <w:proofErr w:type="spellStart"/>
      <w:r w:rsidRPr="00B00A67">
        <w:rPr>
          <w:sz w:val="24"/>
          <w:szCs w:val="24"/>
        </w:rPr>
        <w:t>Aoudjit</w:t>
      </w:r>
      <w:proofErr w:type="spellEnd"/>
      <w:r w:rsidRPr="00B00A67">
        <w:rPr>
          <w:sz w:val="24"/>
          <w:szCs w:val="24"/>
        </w:rPr>
        <w:t xml:space="preserve"> L, et al (2020) ARHGEF7 (β-PIX) Is Required for the Maintenance of Podocyte Architecture and Glomerular Function. J Am Soc Nephrol JASN 31:996–1008. </w:t>
      </w:r>
      <w:hyperlink r:id="rId23" w:history="1">
        <w:r w:rsidRPr="00B00A67">
          <w:rPr>
            <w:rStyle w:val="Hyperlink"/>
            <w:sz w:val="24"/>
            <w:szCs w:val="24"/>
          </w:rPr>
          <w:t>https://doi.org/10.1681/ASN.2019090982</w:t>
        </w:r>
      </w:hyperlink>
    </w:p>
    <w:p w14:paraId="69F17E65" w14:textId="77777777" w:rsidR="00B00A67" w:rsidRDefault="00B00A67" w:rsidP="00B00A67">
      <w:pPr>
        <w:pStyle w:val="Bibliography"/>
        <w:ind w:left="720" w:hanging="720"/>
        <w:jc w:val="both"/>
        <w:rPr>
          <w:sz w:val="24"/>
          <w:szCs w:val="24"/>
        </w:rPr>
      </w:pPr>
    </w:p>
    <w:p w14:paraId="1C540AA0" w14:textId="6474A52C" w:rsidR="00B00A67" w:rsidRPr="00B00A67" w:rsidRDefault="00B00A67" w:rsidP="00B00A67">
      <w:pPr>
        <w:pStyle w:val="Bibliography"/>
        <w:ind w:left="720" w:hanging="720"/>
        <w:jc w:val="both"/>
        <w:rPr>
          <w:sz w:val="24"/>
          <w:szCs w:val="24"/>
        </w:rPr>
      </w:pPr>
      <w:r w:rsidRPr="00B00A67">
        <w:rPr>
          <w:sz w:val="24"/>
          <w:szCs w:val="24"/>
        </w:rPr>
        <w:t xml:space="preserve">Mohammed Ismail W, Mazzone A, </w:t>
      </w:r>
      <w:proofErr w:type="spellStart"/>
      <w:r w:rsidRPr="00B00A67">
        <w:rPr>
          <w:sz w:val="24"/>
          <w:szCs w:val="24"/>
        </w:rPr>
        <w:t>Ghiraldini</w:t>
      </w:r>
      <w:proofErr w:type="spellEnd"/>
      <w:r w:rsidRPr="00B00A67">
        <w:rPr>
          <w:sz w:val="24"/>
          <w:szCs w:val="24"/>
        </w:rPr>
        <w:t xml:space="preserve"> FG, et al (2023) MacroH2A histone variants modulate enhancer activity to repress oncogenic programs and cellular reprogramming. Commun </w:t>
      </w:r>
      <w:proofErr w:type="spellStart"/>
      <w:r w:rsidRPr="00B00A67">
        <w:rPr>
          <w:sz w:val="24"/>
          <w:szCs w:val="24"/>
        </w:rPr>
        <w:t>Biol</w:t>
      </w:r>
      <w:proofErr w:type="spellEnd"/>
      <w:r w:rsidRPr="00B00A67">
        <w:rPr>
          <w:sz w:val="24"/>
          <w:szCs w:val="24"/>
        </w:rPr>
        <w:t xml:space="preserve"> 6:1–19. </w:t>
      </w:r>
      <w:hyperlink r:id="rId24" w:history="1">
        <w:r w:rsidRPr="00B00A67">
          <w:rPr>
            <w:rStyle w:val="Hyperlink"/>
            <w:sz w:val="24"/>
            <w:szCs w:val="24"/>
          </w:rPr>
          <w:t>https://doi.org/10.1038/s42003-023-04571-1</w:t>
        </w:r>
      </w:hyperlink>
    </w:p>
    <w:p w14:paraId="19F6234F" w14:textId="77777777" w:rsidR="00B00A67" w:rsidRDefault="00B00A67" w:rsidP="00B00A67">
      <w:pPr>
        <w:pStyle w:val="Bibliography"/>
        <w:ind w:left="720" w:hanging="720"/>
        <w:jc w:val="both"/>
        <w:rPr>
          <w:sz w:val="24"/>
          <w:szCs w:val="24"/>
        </w:rPr>
      </w:pPr>
    </w:p>
    <w:p w14:paraId="3DE17B65" w14:textId="696395B5" w:rsidR="00FF400C" w:rsidRPr="00FF400C" w:rsidRDefault="00FF400C" w:rsidP="00FF400C">
      <w:pPr>
        <w:ind w:left="720" w:hanging="720"/>
        <w:jc w:val="both"/>
        <w:rPr>
          <w:sz w:val="24"/>
          <w:szCs w:val="24"/>
        </w:rPr>
      </w:pPr>
      <w:proofErr w:type="spellStart"/>
      <w:r w:rsidRPr="00FF400C">
        <w:rPr>
          <w:sz w:val="24"/>
          <w:szCs w:val="24"/>
        </w:rPr>
        <w:t>Oyarce</w:t>
      </w:r>
      <w:proofErr w:type="spellEnd"/>
      <w:r w:rsidRPr="00FF400C">
        <w:rPr>
          <w:sz w:val="24"/>
          <w:szCs w:val="24"/>
        </w:rPr>
        <w:t xml:space="preserve">-Pezoa S, </w:t>
      </w:r>
      <w:proofErr w:type="spellStart"/>
      <w:r w:rsidRPr="00FF400C">
        <w:rPr>
          <w:sz w:val="24"/>
          <w:szCs w:val="24"/>
        </w:rPr>
        <w:t>Rucatti</w:t>
      </w:r>
      <w:proofErr w:type="spellEnd"/>
      <w:r w:rsidRPr="00FF400C">
        <w:rPr>
          <w:sz w:val="24"/>
          <w:szCs w:val="24"/>
        </w:rPr>
        <w:t xml:space="preserve"> GG, Muñoz-Carvajal F, et al (2023) The autophagy protein Def8 is altered in Alzheimer’s disease and Aβ42-expressing Drosophila brains. Sci Rep 13:17137. </w:t>
      </w:r>
      <w:hyperlink r:id="rId25" w:history="1">
        <w:r w:rsidRPr="00FF400C">
          <w:rPr>
            <w:rStyle w:val="Hyperlink"/>
            <w:sz w:val="24"/>
            <w:szCs w:val="24"/>
          </w:rPr>
          <w:t>https://doi.org/10.1038/s41598-023-44203-6</w:t>
        </w:r>
      </w:hyperlink>
    </w:p>
    <w:p w14:paraId="4522DC8E" w14:textId="77777777" w:rsidR="00FF400C" w:rsidRPr="00FF400C" w:rsidRDefault="00FF400C" w:rsidP="00FF400C"/>
    <w:p w14:paraId="5F286DB8" w14:textId="708ADABB" w:rsidR="00B00A67" w:rsidRPr="00B00A67" w:rsidRDefault="00B00A67" w:rsidP="00B00A67">
      <w:pPr>
        <w:pStyle w:val="Bibliography"/>
        <w:ind w:left="720" w:hanging="720"/>
        <w:jc w:val="both"/>
        <w:rPr>
          <w:sz w:val="24"/>
          <w:szCs w:val="24"/>
        </w:rPr>
      </w:pPr>
      <w:r w:rsidRPr="00B00A67">
        <w:rPr>
          <w:sz w:val="24"/>
          <w:szCs w:val="24"/>
        </w:rPr>
        <w:t xml:space="preserve">Perumal D, Lagana’ A, </w:t>
      </w:r>
      <w:proofErr w:type="spellStart"/>
      <w:r w:rsidRPr="00B00A67">
        <w:rPr>
          <w:sz w:val="24"/>
          <w:szCs w:val="24"/>
        </w:rPr>
        <w:t>Melnekoff</w:t>
      </w:r>
      <w:proofErr w:type="spellEnd"/>
      <w:r w:rsidRPr="00B00A67">
        <w:rPr>
          <w:sz w:val="24"/>
          <w:szCs w:val="24"/>
        </w:rPr>
        <w:t xml:space="preserve"> D, et al (2016) Network </w:t>
      </w:r>
      <w:proofErr w:type="spellStart"/>
      <w:r w:rsidRPr="00B00A67">
        <w:rPr>
          <w:sz w:val="24"/>
          <w:szCs w:val="24"/>
        </w:rPr>
        <w:t>Modeling</w:t>
      </w:r>
      <w:proofErr w:type="spellEnd"/>
      <w:r w:rsidRPr="00B00A67">
        <w:rPr>
          <w:sz w:val="24"/>
          <w:szCs w:val="24"/>
        </w:rPr>
        <w:t xml:space="preserve"> Reveals </w:t>
      </w:r>
      <w:r w:rsidRPr="00B00A67">
        <w:rPr>
          <w:i/>
          <w:iCs/>
          <w:sz w:val="24"/>
          <w:szCs w:val="24"/>
        </w:rPr>
        <w:t>CDC42BPA</w:t>
      </w:r>
      <w:r w:rsidRPr="00B00A67">
        <w:rPr>
          <w:sz w:val="24"/>
          <w:szCs w:val="24"/>
        </w:rPr>
        <w:t xml:space="preserve"> and </w:t>
      </w:r>
      <w:r w:rsidRPr="00B00A67">
        <w:rPr>
          <w:i/>
          <w:iCs/>
          <w:sz w:val="24"/>
          <w:szCs w:val="24"/>
        </w:rPr>
        <w:t>CLEC11A</w:t>
      </w:r>
      <w:r w:rsidRPr="00B00A67">
        <w:rPr>
          <w:sz w:val="24"/>
          <w:szCs w:val="24"/>
        </w:rPr>
        <w:t xml:space="preserve"> As Novel Driver Genes of </w:t>
      </w:r>
      <w:proofErr w:type="gramStart"/>
      <w:r w:rsidRPr="00B00A67">
        <w:rPr>
          <w:sz w:val="24"/>
          <w:szCs w:val="24"/>
        </w:rPr>
        <w:t>t(</w:t>
      </w:r>
      <w:proofErr w:type="gramEnd"/>
      <w:r w:rsidRPr="00B00A67">
        <w:rPr>
          <w:sz w:val="24"/>
          <w:szCs w:val="24"/>
        </w:rPr>
        <w:t xml:space="preserve">4; 14) Multiple Myeloma. Blood 128:802. </w:t>
      </w:r>
      <w:hyperlink r:id="rId26" w:history="1">
        <w:r w:rsidRPr="00B00A67">
          <w:rPr>
            <w:rStyle w:val="Hyperlink"/>
            <w:sz w:val="24"/>
            <w:szCs w:val="24"/>
          </w:rPr>
          <w:t>https://doi.org/10.1182/blood.V128.22.802.802</w:t>
        </w:r>
      </w:hyperlink>
    </w:p>
    <w:p w14:paraId="5041599F" w14:textId="77777777" w:rsidR="00B00A67" w:rsidRDefault="00B00A67" w:rsidP="00B00A67">
      <w:pPr>
        <w:pStyle w:val="Bibliography"/>
        <w:ind w:left="720" w:hanging="720"/>
        <w:jc w:val="both"/>
        <w:rPr>
          <w:sz w:val="24"/>
          <w:szCs w:val="24"/>
        </w:rPr>
      </w:pPr>
    </w:p>
    <w:p w14:paraId="2D0624A1" w14:textId="12B54C6B" w:rsidR="00B00A67" w:rsidRPr="00B00A67" w:rsidRDefault="00B00A67" w:rsidP="00B00A67">
      <w:pPr>
        <w:pStyle w:val="Bibliography"/>
        <w:ind w:left="720" w:hanging="720"/>
        <w:jc w:val="both"/>
        <w:rPr>
          <w:sz w:val="24"/>
          <w:szCs w:val="24"/>
        </w:rPr>
      </w:pPr>
      <w:proofErr w:type="spellStart"/>
      <w:r w:rsidRPr="00B00A67">
        <w:rPr>
          <w:sz w:val="24"/>
          <w:szCs w:val="24"/>
        </w:rPr>
        <w:t>Radons</w:t>
      </w:r>
      <w:proofErr w:type="spellEnd"/>
      <w:r w:rsidRPr="00B00A67">
        <w:rPr>
          <w:sz w:val="24"/>
          <w:szCs w:val="24"/>
        </w:rPr>
        <w:t xml:space="preserve"> J (2016) The human HSP70 family of chaperones: where do we stand? Cell Stress Chaperones 21:379–404. </w:t>
      </w:r>
      <w:hyperlink r:id="rId27" w:history="1">
        <w:r w:rsidRPr="00B00A67">
          <w:rPr>
            <w:rStyle w:val="Hyperlink"/>
            <w:sz w:val="24"/>
            <w:szCs w:val="24"/>
          </w:rPr>
          <w:t>https://doi.org/10.1007/s12192-016-0676-6</w:t>
        </w:r>
      </w:hyperlink>
    </w:p>
    <w:p w14:paraId="1170A7E6" w14:textId="77777777" w:rsidR="00B00A67" w:rsidRDefault="00B00A67" w:rsidP="00B00A67">
      <w:pPr>
        <w:pStyle w:val="Bibliography"/>
        <w:ind w:left="720" w:hanging="720"/>
        <w:jc w:val="both"/>
        <w:rPr>
          <w:sz w:val="24"/>
          <w:szCs w:val="24"/>
        </w:rPr>
      </w:pPr>
    </w:p>
    <w:p w14:paraId="5FB806D5" w14:textId="7617FDCD" w:rsidR="00B00A67" w:rsidRPr="00B00A67" w:rsidRDefault="00B00A67" w:rsidP="00B00A67">
      <w:pPr>
        <w:pStyle w:val="Bibliography"/>
        <w:ind w:left="720" w:hanging="720"/>
        <w:jc w:val="both"/>
        <w:rPr>
          <w:sz w:val="24"/>
          <w:szCs w:val="24"/>
        </w:rPr>
      </w:pPr>
      <w:r w:rsidRPr="00B00A67">
        <w:rPr>
          <w:sz w:val="24"/>
          <w:szCs w:val="24"/>
        </w:rPr>
        <w:lastRenderedPageBreak/>
        <w:t xml:space="preserve">Rasmussen A, Rasmussen H, </w:t>
      </w:r>
      <w:proofErr w:type="spellStart"/>
      <w:r w:rsidRPr="00B00A67">
        <w:rPr>
          <w:sz w:val="24"/>
          <w:szCs w:val="24"/>
        </w:rPr>
        <w:t>Silahtaroglu</w:t>
      </w:r>
      <w:proofErr w:type="spellEnd"/>
      <w:r w:rsidRPr="00B00A67">
        <w:rPr>
          <w:sz w:val="24"/>
          <w:szCs w:val="24"/>
        </w:rPr>
        <w:t xml:space="preserve"> A (2017) The DLGAP family: Neuronal expression, function and role in brain disorders. Mol Brain </w:t>
      </w:r>
      <w:proofErr w:type="gramStart"/>
      <w:r w:rsidRPr="00B00A67">
        <w:rPr>
          <w:sz w:val="24"/>
          <w:szCs w:val="24"/>
        </w:rPr>
        <w:t>10:.</w:t>
      </w:r>
      <w:proofErr w:type="gramEnd"/>
      <w:r w:rsidRPr="00B00A67">
        <w:rPr>
          <w:sz w:val="24"/>
          <w:szCs w:val="24"/>
        </w:rPr>
        <w:t xml:space="preserve"> </w:t>
      </w:r>
      <w:hyperlink r:id="rId28" w:history="1">
        <w:r w:rsidRPr="00B00A67">
          <w:rPr>
            <w:rStyle w:val="Hyperlink"/>
            <w:sz w:val="24"/>
            <w:szCs w:val="24"/>
          </w:rPr>
          <w:t>https://doi.org/10.1186/s13041-017-0324-9</w:t>
        </w:r>
      </w:hyperlink>
    </w:p>
    <w:p w14:paraId="31EB0B1F" w14:textId="77777777" w:rsidR="00B00A67" w:rsidRPr="00B00A67" w:rsidRDefault="00B00A67" w:rsidP="00B00A67">
      <w:pPr>
        <w:pStyle w:val="Bibliography"/>
        <w:ind w:left="720" w:hanging="720"/>
        <w:jc w:val="both"/>
        <w:rPr>
          <w:sz w:val="24"/>
          <w:szCs w:val="24"/>
        </w:rPr>
      </w:pPr>
      <w:r w:rsidRPr="00B00A67">
        <w:rPr>
          <w:sz w:val="24"/>
          <w:szCs w:val="24"/>
        </w:rPr>
        <w:t xml:space="preserve">Ruan J, Zhang L, Hu D, et al (2021) Novel Myh11 Dual Reporter Mouse Model Provides Definitive </w:t>
      </w:r>
      <w:proofErr w:type="spellStart"/>
      <w:r w:rsidRPr="00B00A67">
        <w:rPr>
          <w:sz w:val="24"/>
          <w:szCs w:val="24"/>
        </w:rPr>
        <w:t>Labeling</w:t>
      </w:r>
      <w:proofErr w:type="spellEnd"/>
      <w:r w:rsidRPr="00B00A67">
        <w:rPr>
          <w:sz w:val="24"/>
          <w:szCs w:val="24"/>
        </w:rPr>
        <w:t xml:space="preserve"> and Identification of Smooth Muscle Cells—Brief Report. </w:t>
      </w:r>
      <w:proofErr w:type="spellStart"/>
      <w:r w:rsidRPr="00B00A67">
        <w:rPr>
          <w:sz w:val="24"/>
          <w:szCs w:val="24"/>
        </w:rPr>
        <w:t>Arterioscler</w:t>
      </w:r>
      <w:proofErr w:type="spellEnd"/>
      <w:r w:rsidRPr="00B00A67">
        <w:rPr>
          <w:sz w:val="24"/>
          <w:szCs w:val="24"/>
        </w:rPr>
        <w:t xml:space="preserve"> Thromb </w:t>
      </w:r>
      <w:proofErr w:type="spellStart"/>
      <w:r w:rsidRPr="00B00A67">
        <w:rPr>
          <w:sz w:val="24"/>
          <w:szCs w:val="24"/>
        </w:rPr>
        <w:t>Vasc</w:t>
      </w:r>
      <w:proofErr w:type="spellEnd"/>
      <w:r w:rsidRPr="00B00A67">
        <w:rPr>
          <w:sz w:val="24"/>
          <w:szCs w:val="24"/>
        </w:rPr>
        <w:t xml:space="preserve"> </w:t>
      </w:r>
      <w:proofErr w:type="spellStart"/>
      <w:r w:rsidRPr="00B00A67">
        <w:rPr>
          <w:sz w:val="24"/>
          <w:szCs w:val="24"/>
        </w:rPr>
        <w:t>Biol</w:t>
      </w:r>
      <w:proofErr w:type="spellEnd"/>
      <w:r w:rsidRPr="00B00A67">
        <w:rPr>
          <w:sz w:val="24"/>
          <w:szCs w:val="24"/>
        </w:rPr>
        <w:t xml:space="preserve"> 41:815–821. </w:t>
      </w:r>
      <w:hyperlink r:id="rId29" w:history="1">
        <w:r w:rsidRPr="00B00A67">
          <w:rPr>
            <w:rStyle w:val="Hyperlink"/>
            <w:sz w:val="24"/>
            <w:szCs w:val="24"/>
          </w:rPr>
          <w:t>https://doi.org/10.1161/ATVBAHA.120.315107</w:t>
        </w:r>
      </w:hyperlink>
    </w:p>
    <w:p w14:paraId="708D4B5F" w14:textId="77777777" w:rsidR="00B00A67" w:rsidRDefault="00B00A67" w:rsidP="00B00A67">
      <w:pPr>
        <w:pStyle w:val="Bibliography"/>
        <w:ind w:left="720" w:hanging="720"/>
        <w:jc w:val="both"/>
        <w:rPr>
          <w:sz w:val="24"/>
          <w:szCs w:val="24"/>
        </w:rPr>
      </w:pPr>
    </w:p>
    <w:p w14:paraId="211673C3" w14:textId="29E5D0F0" w:rsidR="00B00A67" w:rsidRPr="00B00A67" w:rsidRDefault="00B00A67" w:rsidP="00B00A67">
      <w:pPr>
        <w:pStyle w:val="Bibliography"/>
        <w:ind w:left="720" w:hanging="720"/>
        <w:jc w:val="both"/>
        <w:rPr>
          <w:sz w:val="24"/>
          <w:szCs w:val="24"/>
        </w:rPr>
      </w:pPr>
      <w:r w:rsidRPr="00B00A67">
        <w:rPr>
          <w:sz w:val="24"/>
          <w:szCs w:val="24"/>
        </w:rPr>
        <w:t xml:space="preserve">Sammeta N, Hardin DL, McClintock TS (2010) </w:t>
      </w:r>
      <w:proofErr w:type="spellStart"/>
      <w:r w:rsidRPr="00B00A67">
        <w:rPr>
          <w:sz w:val="24"/>
          <w:szCs w:val="24"/>
        </w:rPr>
        <w:t>Uncx</w:t>
      </w:r>
      <w:proofErr w:type="spellEnd"/>
      <w:r w:rsidRPr="00B00A67">
        <w:rPr>
          <w:sz w:val="24"/>
          <w:szCs w:val="24"/>
        </w:rPr>
        <w:t xml:space="preserve"> regulates proliferation of neural progenitor cells and neuronal survival in the olfactory epithelium. Mol Cell </w:t>
      </w:r>
      <w:proofErr w:type="spellStart"/>
      <w:r w:rsidRPr="00B00A67">
        <w:rPr>
          <w:sz w:val="24"/>
          <w:szCs w:val="24"/>
        </w:rPr>
        <w:t>Neurosci</w:t>
      </w:r>
      <w:proofErr w:type="spellEnd"/>
      <w:r w:rsidRPr="00B00A67">
        <w:rPr>
          <w:sz w:val="24"/>
          <w:szCs w:val="24"/>
        </w:rPr>
        <w:t xml:space="preserve"> 45:398–407. </w:t>
      </w:r>
      <w:hyperlink r:id="rId30" w:history="1">
        <w:r w:rsidRPr="00B00A67">
          <w:rPr>
            <w:rStyle w:val="Hyperlink"/>
            <w:sz w:val="24"/>
            <w:szCs w:val="24"/>
          </w:rPr>
          <w:t>https://doi.org/10.1016/j.mcn.2010.07.013</w:t>
        </w:r>
      </w:hyperlink>
    </w:p>
    <w:p w14:paraId="1F335C0C" w14:textId="77777777" w:rsidR="00B00A67" w:rsidRDefault="00B00A67" w:rsidP="00B00A67">
      <w:pPr>
        <w:pStyle w:val="Bibliography"/>
        <w:ind w:left="720" w:hanging="720"/>
        <w:jc w:val="both"/>
        <w:rPr>
          <w:sz w:val="24"/>
          <w:szCs w:val="24"/>
        </w:rPr>
      </w:pPr>
    </w:p>
    <w:p w14:paraId="7563CEF6" w14:textId="77916096" w:rsidR="00B00A67" w:rsidRPr="00B00A67" w:rsidRDefault="00B00A67" w:rsidP="00B00A67">
      <w:pPr>
        <w:pStyle w:val="Bibliography"/>
        <w:ind w:left="720" w:hanging="720"/>
        <w:jc w:val="both"/>
        <w:rPr>
          <w:sz w:val="24"/>
          <w:szCs w:val="24"/>
        </w:rPr>
      </w:pPr>
      <w:r w:rsidRPr="00B00A67">
        <w:rPr>
          <w:sz w:val="24"/>
          <w:szCs w:val="24"/>
        </w:rPr>
        <w:t xml:space="preserve">Slipicevic A, Jørgensen K, Skrede M, et al (2008) The fatty acid binding protein 7 (FABP7) is involved in proliferation and invasion of melanoma cells. BMC Cancer 8:276. </w:t>
      </w:r>
      <w:hyperlink r:id="rId31" w:history="1">
        <w:r w:rsidRPr="00B00A67">
          <w:rPr>
            <w:rStyle w:val="Hyperlink"/>
            <w:sz w:val="24"/>
            <w:szCs w:val="24"/>
          </w:rPr>
          <w:t>https://doi.org/10.1186/1471-2407-8-276</w:t>
        </w:r>
      </w:hyperlink>
    </w:p>
    <w:p w14:paraId="24E07E89" w14:textId="77777777" w:rsidR="00B00A67" w:rsidRDefault="00B00A67" w:rsidP="00B00A67">
      <w:pPr>
        <w:pStyle w:val="Bibliography"/>
        <w:ind w:left="720" w:hanging="720"/>
        <w:jc w:val="both"/>
        <w:rPr>
          <w:sz w:val="24"/>
          <w:szCs w:val="24"/>
        </w:rPr>
      </w:pPr>
    </w:p>
    <w:p w14:paraId="1107AC61" w14:textId="105EEE16" w:rsidR="00B00A67" w:rsidRPr="00B00A67" w:rsidRDefault="00B00A67" w:rsidP="00B00A67">
      <w:pPr>
        <w:pStyle w:val="Bibliography"/>
        <w:ind w:left="720" w:hanging="720"/>
        <w:jc w:val="both"/>
        <w:rPr>
          <w:sz w:val="24"/>
          <w:szCs w:val="24"/>
        </w:rPr>
      </w:pPr>
      <w:r w:rsidRPr="00B00A67">
        <w:rPr>
          <w:sz w:val="24"/>
          <w:szCs w:val="24"/>
        </w:rPr>
        <w:t xml:space="preserve">Wang Z, Ye J, Dong F, et al (2022) TNS1: Emerging Insights into Its Domain Function, Biological Roles, and </w:t>
      </w:r>
      <w:proofErr w:type="spellStart"/>
      <w:r w:rsidRPr="00B00A67">
        <w:rPr>
          <w:sz w:val="24"/>
          <w:szCs w:val="24"/>
        </w:rPr>
        <w:t>Tumors</w:t>
      </w:r>
      <w:proofErr w:type="spellEnd"/>
      <w:r w:rsidRPr="00B00A67">
        <w:rPr>
          <w:sz w:val="24"/>
          <w:szCs w:val="24"/>
        </w:rPr>
        <w:t xml:space="preserve">. Biology 11:1571. </w:t>
      </w:r>
      <w:hyperlink r:id="rId32" w:history="1">
        <w:r w:rsidRPr="00B00A67">
          <w:rPr>
            <w:rStyle w:val="Hyperlink"/>
            <w:sz w:val="24"/>
            <w:szCs w:val="24"/>
          </w:rPr>
          <w:t>https://doi.org/10.3390/biology11111571</w:t>
        </w:r>
      </w:hyperlink>
    </w:p>
    <w:p w14:paraId="1C9A6CDE" w14:textId="77777777" w:rsidR="00B00A67" w:rsidRDefault="00B00A67" w:rsidP="00B00A67">
      <w:pPr>
        <w:pStyle w:val="Bibliography"/>
        <w:ind w:left="720" w:hanging="720"/>
        <w:jc w:val="both"/>
        <w:rPr>
          <w:sz w:val="24"/>
          <w:szCs w:val="24"/>
        </w:rPr>
      </w:pPr>
    </w:p>
    <w:p w14:paraId="6E6CC633" w14:textId="53631E9E" w:rsidR="00B00A67" w:rsidRPr="00B00A67" w:rsidRDefault="00B00A67" w:rsidP="00B00A67">
      <w:pPr>
        <w:pStyle w:val="Bibliography"/>
        <w:ind w:left="720" w:hanging="720"/>
        <w:jc w:val="both"/>
        <w:rPr>
          <w:sz w:val="24"/>
          <w:szCs w:val="24"/>
        </w:rPr>
      </w:pPr>
      <w:r w:rsidRPr="00B00A67">
        <w:rPr>
          <w:sz w:val="24"/>
          <w:szCs w:val="24"/>
        </w:rPr>
        <w:t xml:space="preserve">Zhang C, Li H, Huang Y, et al (2021) Integrative analysis of TNFRSF6B as a potential therapeutic target for pancreatic cancer. J </w:t>
      </w:r>
      <w:proofErr w:type="spellStart"/>
      <w:r w:rsidRPr="00B00A67">
        <w:rPr>
          <w:sz w:val="24"/>
          <w:szCs w:val="24"/>
        </w:rPr>
        <w:t>Gastrointest</w:t>
      </w:r>
      <w:proofErr w:type="spellEnd"/>
      <w:r w:rsidRPr="00B00A67">
        <w:rPr>
          <w:sz w:val="24"/>
          <w:szCs w:val="24"/>
        </w:rPr>
        <w:t xml:space="preserve"> Oncol </w:t>
      </w:r>
      <w:proofErr w:type="gramStart"/>
      <w:r w:rsidRPr="00B00A67">
        <w:rPr>
          <w:sz w:val="24"/>
          <w:szCs w:val="24"/>
        </w:rPr>
        <w:t>12:.</w:t>
      </w:r>
      <w:proofErr w:type="gramEnd"/>
      <w:r w:rsidRPr="00B00A67">
        <w:rPr>
          <w:sz w:val="24"/>
          <w:szCs w:val="24"/>
        </w:rPr>
        <w:t xml:space="preserve"> </w:t>
      </w:r>
      <w:hyperlink r:id="rId33" w:history="1">
        <w:r w:rsidRPr="00B00A67">
          <w:rPr>
            <w:rStyle w:val="Hyperlink"/>
            <w:sz w:val="24"/>
            <w:szCs w:val="24"/>
          </w:rPr>
          <w:t>https://doi.org/10.21037/jgo-21-303</w:t>
        </w:r>
      </w:hyperlink>
    </w:p>
    <w:p w14:paraId="57DD4950" w14:textId="77777777" w:rsidR="00B00A67" w:rsidRDefault="00B00A67" w:rsidP="00B00A67">
      <w:pPr>
        <w:pStyle w:val="Bibliography"/>
        <w:ind w:left="720" w:hanging="720"/>
        <w:jc w:val="both"/>
        <w:rPr>
          <w:sz w:val="24"/>
          <w:szCs w:val="24"/>
        </w:rPr>
      </w:pPr>
    </w:p>
    <w:p w14:paraId="5DFC7EDF" w14:textId="6B4F2F7A" w:rsidR="00B00A67" w:rsidRPr="00B00A67" w:rsidRDefault="00B00A67" w:rsidP="00B00A67">
      <w:pPr>
        <w:pStyle w:val="Bibliography"/>
        <w:ind w:left="720" w:hanging="720"/>
        <w:jc w:val="both"/>
        <w:rPr>
          <w:sz w:val="24"/>
          <w:szCs w:val="24"/>
        </w:rPr>
      </w:pPr>
      <w:r w:rsidRPr="00B00A67">
        <w:rPr>
          <w:sz w:val="24"/>
          <w:szCs w:val="24"/>
        </w:rPr>
        <w:t xml:space="preserve">Zhang T, Choi J, Kovacs MA, et al (2018) Cell-type–specific </w:t>
      </w:r>
      <w:proofErr w:type="spellStart"/>
      <w:r w:rsidRPr="00B00A67">
        <w:rPr>
          <w:sz w:val="24"/>
          <w:szCs w:val="24"/>
        </w:rPr>
        <w:t>eQTL</w:t>
      </w:r>
      <w:proofErr w:type="spellEnd"/>
      <w:r w:rsidRPr="00B00A67">
        <w:rPr>
          <w:sz w:val="24"/>
          <w:szCs w:val="24"/>
        </w:rPr>
        <w:t xml:space="preserve"> of primary melanocytes facilitates identification of melanoma susceptibility genes. Genome Res 28:1621–1635. </w:t>
      </w:r>
      <w:hyperlink r:id="rId34" w:history="1">
        <w:r w:rsidRPr="00B00A67">
          <w:rPr>
            <w:rStyle w:val="Hyperlink"/>
            <w:sz w:val="24"/>
            <w:szCs w:val="24"/>
          </w:rPr>
          <w:t>https://doi.org/10.1101/gr.233304.117</w:t>
        </w:r>
      </w:hyperlink>
    </w:p>
    <w:p w14:paraId="6C03B045" w14:textId="1645630C" w:rsidR="00360EC8" w:rsidRPr="00952DAB" w:rsidRDefault="00360EC8">
      <w:pPr>
        <w:rPr>
          <w:sz w:val="30"/>
          <w:szCs w:val="30"/>
        </w:rPr>
      </w:pPr>
    </w:p>
    <w:sectPr w:rsidR="00360EC8" w:rsidRPr="00952DAB" w:rsidSect="00952DAB">
      <w:pgSz w:w="16838" w:h="11906" w:orient="landscape"/>
      <w:pgMar w:top="1418" w:right="1418" w:bottom="215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16E1"/>
    <w:multiLevelType w:val="hybridMultilevel"/>
    <w:tmpl w:val="FB2C7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451B3A"/>
    <w:multiLevelType w:val="hybridMultilevel"/>
    <w:tmpl w:val="DC1CB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253FD2"/>
    <w:multiLevelType w:val="hybridMultilevel"/>
    <w:tmpl w:val="3A4E2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9391B"/>
    <w:multiLevelType w:val="hybridMultilevel"/>
    <w:tmpl w:val="036A5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360F69"/>
    <w:multiLevelType w:val="hybridMultilevel"/>
    <w:tmpl w:val="E4E83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5C78ED"/>
    <w:multiLevelType w:val="hybridMultilevel"/>
    <w:tmpl w:val="B9267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2053792"/>
    <w:multiLevelType w:val="hybridMultilevel"/>
    <w:tmpl w:val="FF8E8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EA4B00"/>
    <w:multiLevelType w:val="hybridMultilevel"/>
    <w:tmpl w:val="18525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A26E12"/>
    <w:multiLevelType w:val="hybridMultilevel"/>
    <w:tmpl w:val="EB968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98A7332"/>
    <w:multiLevelType w:val="hybridMultilevel"/>
    <w:tmpl w:val="164CD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34444969">
    <w:abstractNumId w:val="1"/>
  </w:num>
  <w:num w:numId="2" w16cid:durableId="395931923">
    <w:abstractNumId w:val="9"/>
  </w:num>
  <w:num w:numId="3" w16cid:durableId="1666474539">
    <w:abstractNumId w:val="0"/>
  </w:num>
  <w:num w:numId="4" w16cid:durableId="1437485751">
    <w:abstractNumId w:val="6"/>
  </w:num>
  <w:num w:numId="5" w16cid:durableId="223415483">
    <w:abstractNumId w:val="8"/>
  </w:num>
  <w:num w:numId="6" w16cid:durableId="1382292513">
    <w:abstractNumId w:val="4"/>
  </w:num>
  <w:num w:numId="7" w16cid:durableId="1958902737">
    <w:abstractNumId w:val="7"/>
  </w:num>
  <w:num w:numId="8" w16cid:durableId="829753127">
    <w:abstractNumId w:val="3"/>
  </w:num>
  <w:num w:numId="9" w16cid:durableId="1856461879">
    <w:abstractNumId w:val="2"/>
  </w:num>
  <w:num w:numId="10" w16cid:durableId="294604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DAB"/>
    <w:rsid w:val="000233BF"/>
    <w:rsid w:val="000944F9"/>
    <w:rsid w:val="000C58F0"/>
    <w:rsid w:val="000E640B"/>
    <w:rsid w:val="0012271C"/>
    <w:rsid w:val="001A2128"/>
    <w:rsid w:val="001D534B"/>
    <w:rsid w:val="00207D26"/>
    <w:rsid w:val="00207D32"/>
    <w:rsid w:val="002412C5"/>
    <w:rsid w:val="00271992"/>
    <w:rsid w:val="0027430D"/>
    <w:rsid w:val="002D104F"/>
    <w:rsid w:val="0032393E"/>
    <w:rsid w:val="00360EC8"/>
    <w:rsid w:val="003646AB"/>
    <w:rsid w:val="00394C96"/>
    <w:rsid w:val="003B08EF"/>
    <w:rsid w:val="003B1A9C"/>
    <w:rsid w:val="00407B36"/>
    <w:rsid w:val="00421DFF"/>
    <w:rsid w:val="00473F84"/>
    <w:rsid w:val="00475961"/>
    <w:rsid w:val="005314BC"/>
    <w:rsid w:val="0056050E"/>
    <w:rsid w:val="005822D7"/>
    <w:rsid w:val="006B58DA"/>
    <w:rsid w:val="006C2955"/>
    <w:rsid w:val="006C48B7"/>
    <w:rsid w:val="00720D0B"/>
    <w:rsid w:val="00760DC5"/>
    <w:rsid w:val="00774AE4"/>
    <w:rsid w:val="008174E9"/>
    <w:rsid w:val="008A3B7C"/>
    <w:rsid w:val="008B642A"/>
    <w:rsid w:val="008C310A"/>
    <w:rsid w:val="008C53AB"/>
    <w:rsid w:val="00952DAB"/>
    <w:rsid w:val="00965EEA"/>
    <w:rsid w:val="00984926"/>
    <w:rsid w:val="009903DA"/>
    <w:rsid w:val="009C26FE"/>
    <w:rsid w:val="00A1639A"/>
    <w:rsid w:val="00A66F4B"/>
    <w:rsid w:val="00AF544F"/>
    <w:rsid w:val="00B001D5"/>
    <w:rsid w:val="00B00A67"/>
    <w:rsid w:val="00B76946"/>
    <w:rsid w:val="00B76E83"/>
    <w:rsid w:val="00BF0D4E"/>
    <w:rsid w:val="00C03174"/>
    <w:rsid w:val="00C25298"/>
    <w:rsid w:val="00C47A01"/>
    <w:rsid w:val="00CE6057"/>
    <w:rsid w:val="00D03A33"/>
    <w:rsid w:val="00DE5811"/>
    <w:rsid w:val="00E03D92"/>
    <w:rsid w:val="00EA2582"/>
    <w:rsid w:val="00EF122C"/>
    <w:rsid w:val="00FC426D"/>
    <w:rsid w:val="00FF400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782AB"/>
  <w15:chartTrackingRefBased/>
  <w15:docId w15:val="{0C7810BA-CD27-48AC-8F8D-B6AEB5B2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DAB"/>
    <w:pPr>
      <w:spacing w:after="0" w:line="240" w:lineRule="auto"/>
      <w:ind w:firstLine="709"/>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DAB"/>
    <w:pPr>
      <w:ind w:left="720"/>
      <w:contextualSpacing/>
    </w:pPr>
  </w:style>
  <w:style w:type="table" w:styleId="TableGrid">
    <w:name w:val="Table Grid"/>
    <w:basedOn w:val="TableNormal"/>
    <w:uiPriority w:val="39"/>
    <w:rsid w:val="00952DAB"/>
    <w:pPr>
      <w:spacing w:after="0" w:line="240" w:lineRule="auto"/>
    </w:pPr>
    <w:rPr>
      <w:rFonts w:ascii="Calibri" w:eastAsia="DengXian" w:hAnsi="Calibri"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B00A67"/>
  </w:style>
  <w:style w:type="character" w:styleId="Hyperlink">
    <w:name w:val="Hyperlink"/>
    <w:basedOn w:val="DefaultParagraphFont"/>
    <w:uiPriority w:val="99"/>
    <w:unhideWhenUsed/>
    <w:rsid w:val="00B00A67"/>
    <w:rPr>
      <w:color w:val="0563C1" w:themeColor="hyperlink"/>
      <w:u w:val="single"/>
    </w:rPr>
  </w:style>
  <w:style w:type="character" w:styleId="UnresolvedMention">
    <w:name w:val="Unresolved Mention"/>
    <w:basedOn w:val="DefaultParagraphFont"/>
    <w:uiPriority w:val="99"/>
    <w:semiHidden/>
    <w:unhideWhenUsed/>
    <w:rsid w:val="00FF4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632/oncotarget.16121" TargetMode="External"/><Relationship Id="rId18" Type="http://schemas.openxmlformats.org/officeDocument/2006/relationships/hyperlink" Target="https://doi.org/10.1111/exd.13559" TargetMode="External"/><Relationship Id="rId26" Type="http://schemas.openxmlformats.org/officeDocument/2006/relationships/hyperlink" Target="https://doi.org/10.1182/blood.V128.22.802.802" TargetMode="External"/><Relationship Id="rId3" Type="http://schemas.openxmlformats.org/officeDocument/2006/relationships/settings" Target="settings.xml"/><Relationship Id="rId21" Type="http://schemas.openxmlformats.org/officeDocument/2006/relationships/hyperlink" Target="https://doi.org/10.1038/s41388-018-0402-1" TargetMode="External"/><Relationship Id="rId34" Type="http://schemas.openxmlformats.org/officeDocument/2006/relationships/hyperlink" Target="https://doi.org/10.1101/gr.233304.117" TargetMode="External"/><Relationship Id="rId7" Type="http://schemas.openxmlformats.org/officeDocument/2006/relationships/hyperlink" Target="https://doi.org/10.1111/j.1365-2567.2011.03422.x" TargetMode="External"/><Relationship Id="rId12" Type="http://schemas.openxmlformats.org/officeDocument/2006/relationships/hyperlink" Target="https://doi.org/10.3390/genes14010149" TargetMode="External"/><Relationship Id="rId17" Type="http://schemas.openxmlformats.org/officeDocument/2006/relationships/hyperlink" Target="https://doi.org/10.1038/s42003-022-03301-3" TargetMode="External"/><Relationship Id="rId25" Type="http://schemas.openxmlformats.org/officeDocument/2006/relationships/hyperlink" Target="https://doi.org/10.1038/s41598-023-44203-6" TargetMode="External"/><Relationship Id="rId33" Type="http://schemas.openxmlformats.org/officeDocument/2006/relationships/hyperlink" Target="https://doi.org/10.21037/jgo-21-303" TargetMode="External"/><Relationship Id="rId2" Type="http://schemas.openxmlformats.org/officeDocument/2006/relationships/styles" Target="styles.xml"/><Relationship Id="rId16" Type="http://schemas.openxmlformats.org/officeDocument/2006/relationships/hyperlink" Target="https://doi.org/10.1016/j.bbrc.2016.02.079" TargetMode="External"/><Relationship Id="rId20" Type="http://schemas.openxmlformats.org/officeDocument/2006/relationships/hyperlink" Target="https://doi.org/10.1038/s41419-022-05223-8" TargetMode="External"/><Relationship Id="rId29" Type="http://schemas.openxmlformats.org/officeDocument/2006/relationships/hyperlink" Target="https://doi.org/10.1161/ATVBAHA.120.315107" TargetMode="External"/><Relationship Id="rId1" Type="http://schemas.openxmlformats.org/officeDocument/2006/relationships/numbering" Target="numbering.xml"/><Relationship Id="rId6" Type="http://schemas.openxmlformats.org/officeDocument/2006/relationships/hyperlink" Target="https://doi.org/10.1016/j.clim.2017.06.003" TargetMode="External"/><Relationship Id="rId11" Type="http://schemas.openxmlformats.org/officeDocument/2006/relationships/hyperlink" Target="https://doi.org/10.1016/j.devcel.2015.03.020" TargetMode="External"/><Relationship Id="rId24" Type="http://schemas.openxmlformats.org/officeDocument/2006/relationships/hyperlink" Target="https://doi.org/10.1038/s42003-023-04571-1" TargetMode="External"/><Relationship Id="rId32" Type="http://schemas.openxmlformats.org/officeDocument/2006/relationships/hyperlink" Target="https://doi.org/10.3390/biology11111571" TargetMode="External"/><Relationship Id="rId5" Type="http://schemas.openxmlformats.org/officeDocument/2006/relationships/hyperlink" Target="https://doi.org/10.1002/gene.20133" TargetMode="External"/><Relationship Id="rId15" Type="http://schemas.openxmlformats.org/officeDocument/2006/relationships/hyperlink" Target="https://doi.org/10.1371/journal.pone.0120225" TargetMode="External"/><Relationship Id="rId23" Type="http://schemas.openxmlformats.org/officeDocument/2006/relationships/hyperlink" Target="https://doi.org/10.1681/ASN.2019090982" TargetMode="External"/><Relationship Id="rId28" Type="http://schemas.openxmlformats.org/officeDocument/2006/relationships/hyperlink" Target="https://doi.org/10.1186/s13041-017-0324-9" TargetMode="External"/><Relationship Id="rId36" Type="http://schemas.openxmlformats.org/officeDocument/2006/relationships/theme" Target="theme/theme1.xml"/><Relationship Id="rId10" Type="http://schemas.openxmlformats.org/officeDocument/2006/relationships/hyperlink" Target="https://doi.org/10.3390/cells12131783" TargetMode="External"/><Relationship Id="rId19" Type="http://schemas.openxmlformats.org/officeDocument/2006/relationships/hyperlink" Target="https://doi.org/10.1371/journal.pone.0116641" TargetMode="External"/><Relationship Id="rId31" Type="http://schemas.openxmlformats.org/officeDocument/2006/relationships/hyperlink" Target="https://doi.org/10.1186/1471-2407-8-276" TargetMode="External"/><Relationship Id="rId4" Type="http://schemas.openxmlformats.org/officeDocument/2006/relationships/webSettings" Target="webSettings.xml"/><Relationship Id="rId9" Type="http://schemas.openxmlformats.org/officeDocument/2006/relationships/hyperlink" Target="https://doi.org/10.3389/fimmu.2020.589929" TargetMode="External"/><Relationship Id="rId14" Type="http://schemas.openxmlformats.org/officeDocument/2006/relationships/hyperlink" Target="https://doi.org/10.1038/sj.emboj.7600307" TargetMode="External"/><Relationship Id="rId22" Type="http://schemas.openxmlformats.org/officeDocument/2006/relationships/hyperlink" Target="https://doi.org/10.1038/s41598-018-27081-1" TargetMode="External"/><Relationship Id="rId27" Type="http://schemas.openxmlformats.org/officeDocument/2006/relationships/hyperlink" Target="https://doi.org/10.1007/s12192-016-0676-6" TargetMode="External"/><Relationship Id="rId30" Type="http://schemas.openxmlformats.org/officeDocument/2006/relationships/hyperlink" Target="https://doi.org/10.1016/j.mcn.2010.07.013" TargetMode="External"/><Relationship Id="rId35" Type="http://schemas.openxmlformats.org/officeDocument/2006/relationships/fontTable" Target="fontTable.xml"/><Relationship Id="rId8" Type="http://schemas.openxmlformats.org/officeDocument/2006/relationships/hyperlink" Target="https://doi.org/10.1016/j.molimm.2016.04.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11220</Words>
  <Characters>74052</Characters>
  <Application>Microsoft Office Word</Application>
  <DocSecurity>0</DocSecurity>
  <Lines>2314</Lines>
  <Paragraphs>1495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Boomika  Sellamuthu</dc:creator>
  <cp:keywords/>
  <dc:description/>
  <cp:lastModifiedBy>SIM MAW SHIN</cp:lastModifiedBy>
  <cp:revision>2</cp:revision>
  <dcterms:created xsi:type="dcterms:W3CDTF">2025-07-24T10:43:00Z</dcterms:created>
  <dcterms:modified xsi:type="dcterms:W3CDTF">2025-07-30T06:30:00Z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39e6b13f-eb0b-4767-a06d-ba59850e0255</vt:lpwstr>
  </property>
</Properties>
</file>