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90E5C"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 xml:space="preserve">SUPPLEMENTARY TABLE 1 </w:t>
      </w:r>
      <w:r w:rsidRPr="001A3F8F">
        <w:rPr>
          <w:rFonts w:ascii="Times New Roman" w:hAnsi="Times New Roman" w:cs="Times New Roman"/>
          <w:sz w:val="20"/>
          <w:szCs w:val="20"/>
        </w:rPr>
        <w:t>Search Strategy</w:t>
      </w:r>
    </w:p>
    <w:tbl>
      <w:tblPr>
        <w:tblStyle w:val="Tabelacomgrade"/>
        <w:tblW w:w="0" w:type="auto"/>
        <w:jc w:val="center"/>
        <w:tblLook w:val="04A0" w:firstRow="1" w:lastRow="0" w:firstColumn="1" w:lastColumn="0" w:noHBand="0" w:noVBand="1"/>
      </w:tblPr>
      <w:tblGrid>
        <w:gridCol w:w="3251"/>
        <w:gridCol w:w="3732"/>
        <w:gridCol w:w="1942"/>
      </w:tblGrid>
      <w:tr w:rsidR="0052204D" w:rsidRPr="001A3F8F" w14:paraId="01442392" w14:textId="77777777" w:rsidTr="00572FAC">
        <w:trPr>
          <w:jc w:val="center"/>
        </w:trPr>
        <w:tc>
          <w:tcPr>
            <w:tcW w:w="3251" w:type="dxa"/>
            <w:vAlign w:val="center"/>
          </w:tcPr>
          <w:p w14:paraId="3E051CDD"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SEARCH</w:t>
            </w:r>
          </w:p>
        </w:tc>
        <w:tc>
          <w:tcPr>
            <w:tcW w:w="3732" w:type="dxa"/>
            <w:vAlign w:val="center"/>
          </w:tcPr>
          <w:p w14:paraId="65312E03"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QUERY</w:t>
            </w:r>
          </w:p>
        </w:tc>
        <w:tc>
          <w:tcPr>
            <w:tcW w:w="1942" w:type="dxa"/>
            <w:vAlign w:val="center"/>
          </w:tcPr>
          <w:p w14:paraId="2ABF203A"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ITEMS FOUND</w:t>
            </w:r>
          </w:p>
        </w:tc>
      </w:tr>
      <w:tr w:rsidR="0052204D" w:rsidRPr="001A3F8F" w14:paraId="546BC319" w14:textId="77777777" w:rsidTr="00572FAC">
        <w:trPr>
          <w:jc w:val="center"/>
        </w:trPr>
        <w:tc>
          <w:tcPr>
            <w:tcW w:w="3251" w:type="dxa"/>
            <w:vAlign w:val="center"/>
          </w:tcPr>
          <w:p w14:paraId="2E154AFE"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PUBMED</w:t>
            </w:r>
          </w:p>
        </w:tc>
        <w:tc>
          <w:tcPr>
            <w:tcW w:w="3732" w:type="dxa"/>
            <w:vAlign w:val="center"/>
          </w:tcPr>
          <w:p w14:paraId="01EAB989" w14:textId="77777777" w:rsidR="0052204D" w:rsidRPr="001A3F8F" w:rsidRDefault="0052204D" w:rsidP="001A3F8F">
            <w:pPr>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("Stem Cells"[</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"Stem Cells"[All Fields] OR "Stem Cell"[All Fields] OR "Mother Cell"[All Fields] OR "Progenitor Cell"[All Fields]) AND ("Cellular Senescence"[</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"Cellular Senescence"[All Fields] OR "Cell Senescence"[All Fields] OR "Cell Aging"[All Fields] OR "Cellular Aging"[All Fields] OR "Cell Ageing"[All Fields] OR "Cellular Ageing"[All Fields]) AND ("Regenerative Medicine"[</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"Regenerative Medicine"[All Fields] OR "Tissue Engineering"[</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"Tissue Engineering"[All Fields] OR "Cell Engineering"[</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"Cell Engineering"[All Fields] OR "cell and tissue based therapy"[</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"cell and tissue based therapy"[All Fields] OR "Regeneration"[</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"Regeneration"[All Fields] OR "Wound Healing"[</w:t>
            </w:r>
            <w:proofErr w:type="spellStart"/>
            <w:r w:rsidRPr="001A3F8F">
              <w:rPr>
                <w:rFonts w:ascii="Times New Roman" w:hAnsi="Times New Roman" w:cs="Times New Roman"/>
                <w:sz w:val="20"/>
                <w:szCs w:val="20"/>
                <w:lang w:val="en-US"/>
              </w:rPr>
              <w:t>MeSH</w:t>
            </w:r>
            <w:proofErr w:type="spellEnd"/>
            <w:r w:rsidRPr="001A3F8F">
              <w:rPr>
                <w:rFonts w:ascii="Times New Roman" w:hAnsi="Times New Roman" w:cs="Times New Roman"/>
                <w:sz w:val="20"/>
                <w:szCs w:val="20"/>
                <w:lang w:val="en-US"/>
              </w:rPr>
              <w:t xml:space="preserve"> Terms] OR "Wound Healing"[All Fields] OR "Wound Repair"[All Fields] OR "Tissue Therapy"[All Fields])</w:t>
            </w:r>
          </w:p>
        </w:tc>
        <w:tc>
          <w:tcPr>
            <w:tcW w:w="1942" w:type="dxa"/>
            <w:vAlign w:val="center"/>
          </w:tcPr>
          <w:p w14:paraId="24DC71C9" w14:textId="77777777" w:rsidR="0052204D" w:rsidRPr="001A3F8F" w:rsidRDefault="0052204D" w:rsidP="001A3F8F">
            <w:pPr>
              <w:jc w:val="both"/>
              <w:rPr>
                <w:rFonts w:ascii="Times New Roman" w:hAnsi="Times New Roman" w:cs="Times New Roman"/>
                <w:sz w:val="20"/>
                <w:szCs w:val="20"/>
              </w:rPr>
            </w:pPr>
            <w:r w:rsidRPr="001A3F8F">
              <w:rPr>
                <w:rFonts w:ascii="Times New Roman" w:hAnsi="Times New Roman" w:cs="Times New Roman"/>
                <w:sz w:val="20"/>
                <w:szCs w:val="20"/>
              </w:rPr>
              <w:t>2,434</w:t>
            </w:r>
          </w:p>
          <w:p w14:paraId="3805DFE9" w14:textId="77777777" w:rsidR="0052204D" w:rsidRPr="001A3F8F" w:rsidRDefault="0052204D" w:rsidP="001A3F8F">
            <w:pPr>
              <w:jc w:val="both"/>
              <w:rPr>
                <w:rFonts w:ascii="Times New Roman" w:hAnsi="Times New Roman" w:cs="Times New Roman"/>
                <w:color w:val="212121"/>
                <w:sz w:val="20"/>
                <w:szCs w:val="20"/>
              </w:rPr>
            </w:pPr>
          </w:p>
        </w:tc>
      </w:tr>
      <w:tr w:rsidR="0052204D" w:rsidRPr="001A3F8F" w14:paraId="74F9FFF2" w14:textId="77777777" w:rsidTr="00572FAC">
        <w:trPr>
          <w:jc w:val="center"/>
        </w:trPr>
        <w:tc>
          <w:tcPr>
            <w:tcW w:w="3251" w:type="dxa"/>
            <w:vAlign w:val="center"/>
          </w:tcPr>
          <w:p w14:paraId="45288952"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EMBASE</w:t>
            </w:r>
          </w:p>
        </w:tc>
        <w:tc>
          <w:tcPr>
            <w:tcW w:w="3732" w:type="dxa"/>
            <w:vAlign w:val="center"/>
          </w:tcPr>
          <w:p w14:paraId="3F28F691" w14:textId="77777777" w:rsidR="0052204D" w:rsidRPr="001A3F8F" w:rsidRDefault="0052204D" w:rsidP="001A3F8F">
            <w:pPr>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('stem cells'/exp OR 'stem cells' OR 'stem cell'/exp OR 'stem cell' OR 'mother cell'/exp OR 'mother cell' OR 'progenitor cell'/exp OR 'progenitor cell') AND ('cellular senescence' OR 'cell senescence' OR 'cell aging' OR 'cellular aging' OR 'cell ageing' OR 'cellular ageing') AND ('regenerative medicine' OR 'tissue engineering' OR 'cell engineering' OR 'cell- and tissue-based therapy' OR 'regeneration' OR 'wound healing' OR 'wound repair' OR 'tissue therapy') AND ([</w:t>
            </w:r>
            <w:proofErr w:type="spellStart"/>
            <w:r w:rsidRPr="001A3F8F">
              <w:rPr>
                <w:rFonts w:ascii="Times New Roman" w:hAnsi="Times New Roman" w:cs="Times New Roman"/>
                <w:sz w:val="20"/>
                <w:szCs w:val="20"/>
                <w:lang w:val="en-US"/>
              </w:rPr>
              <w:t>embase</w:t>
            </w:r>
            <w:proofErr w:type="spellEnd"/>
            <w:r w:rsidRPr="001A3F8F">
              <w:rPr>
                <w:rFonts w:ascii="Times New Roman" w:hAnsi="Times New Roman" w:cs="Times New Roman"/>
                <w:sz w:val="20"/>
                <w:szCs w:val="20"/>
                <w:lang w:val="en-US"/>
              </w:rPr>
              <w:t>]/</w:t>
            </w:r>
            <w:proofErr w:type="spellStart"/>
            <w:r w:rsidRPr="001A3F8F">
              <w:rPr>
                <w:rFonts w:ascii="Times New Roman" w:hAnsi="Times New Roman" w:cs="Times New Roman"/>
                <w:sz w:val="20"/>
                <w:szCs w:val="20"/>
                <w:lang w:val="en-US"/>
              </w:rPr>
              <w:t>lim</w:t>
            </w:r>
            <w:proofErr w:type="spellEnd"/>
            <w:r w:rsidRPr="001A3F8F">
              <w:rPr>
                <w:rFonts w:ascii="Times New Roman" w:hAnsi="Times New Roman" w:cs="Times New Roman"/>
                <w:sz w:val="20"/>
                <w:szCs w:val="20"/>
                <w:lang w:val="en-US"/>
              </w:rPr>
              <w:t xml:space="preserve"> NOT ([</w:t>
            </w:r>
            <w:proofErr w:type="spellStart"/>
            <w:r w:rsidRPr="001A3F8F">
              <w:rPr>
                <w:rFonts w:ascii="Times New Roman" w:hAnsi="Times New Roman" w:cs="Times New Roman"/>
                <w:sz w:val="20"/>
                <w:szCs w:val="20"/>
                <w:lang w:val="en-US"/>
              </w:rPr>
              <w:t>embase</w:t>
            </w:r>
            <w:proofErr w:type="spellEnd"/>
            <w:r w:rsidRPr="001A3F8F">
              <w:rPr>
                <w:rFonts w:ascii="Times New Roman" w:hAnsi="Times New Roman" w:cs="Times New Roman"/>
                <w:sz w:val="20"/>
                <w:szCs w:val="20"/>
                <w:lang w:val="en-US"/>
              </w:rPr>
              <w:t>]/</w:t>
            </w:r>
            <w:proofErr w:type="spellStart"/>
            <w:r w:rsidRPr="001A3F8F">
              <w:rPr>
                <w:rFonts w:ascii="Times New Roman" w:hAnsi="Times New Roman" w:cs="Times New Roman"/>
                <w:sz w:val="20"/>
                <w:szCs w:val="20"/>
                <w:lang w:val="en-US"/>
              </w:rPr>
              <w:t>lim</w:t>
            </w:r>
            <w:proofErr w:type="spellEnd"/>
            <w:r w:rsidRPr="001A3F8F">
              <w:rPr>
                <w:rFonts w:ascii="Times New Roman" w:hAnsi="Times New Roman" w:cs="Times New Roman"/>
                <w:sz w:val="20"/>
                <w:szCs w:val="20"/>
                <w:lang w:val="en-US"/>
              </w:rPr>
              <w:t xml:space="preserve"> AND [</w:t>
            </w:r>
            <w:proofErr w:type="spellStart"/>
            <w:r w:rsidRPr="001A3F8F">
              <w:rPr>
                <w:rFonts w:ascii="Times New Roman" w:hAnsi="Times New Roman" w:cs="Times New Roman"/>
                <w:sz w:val="20"/>
                <w:szCs w:val="20"/>
                <w:lang w:val="en-US"/>
              </w:rPr>
              <w:t>medline</w:t>
            </w:r>
            <w:proofErr w:type="spellEnd"/>
            <w:r w:rsidRPr="001A3F8F">
              <w:rPr>
                <w:rFonts w:ascii="Times New Roman" w:hAnsi="Times New Roman" w:cs="Times New Roman"/>
                <w:sz w:val="20"/>
                <w:szCs w:val="20"/>
                <w:lang w:val="en-US"/>
              </w:rPr>
              <w:t>]/</w:t>
            </w:r>
            <w:proofErr w:type="spellStart"/>
            <w:r w:rsidRPr="001A3F8F">
              <w:rPr>
                <w:rFonts w:ascii="Times New Roman" w:hAnsi="Times New Roman" w:cs="Times New Roman"/>
                <w:sz w:val="20"/>
                <w:szCs w:val="20"/>
                <w:lang w:val="en-US"/>
              </w:rPr>
              <w:t>lim</w:t>
            </w:r>
            <w:proofErr w:type="spellEnd"/>
            <w:r w:rsidRPr="001A3F8F">
              <w:rPr>
                <w:rFonts w:ascii="Times New Roman" w:hAnsi="Times New Roman" w:cs="Times New Roman"/>
                <w:sz w:val="20"/>
                <w:szCs w:val="20"/>
                <w:lang w:val="en-US"/>
              </w:rPr>
              <w:t>) OR [preprint]/</w:t>
            </w:r>
            <w:proofErr w:type="spellStart"/>
            <w:r w:rsidRPr="001A3F8F">
              <w:rPr>
                <w:rFonts w:ascii="Times New Roman" w:hAnsi="Times New Roman" w:cs="Times New Roman"/>
                <w:sz w:val="20"/>
                <w:szCs w:val="20"/>
                <w:lang w:val="en-US"/>
              </w:rPr>
              <w:t>lim</w:t>
            </w:r>
            <w:proofErr w:type="spellEnd"/>
            <w:r w:rsidRPr="001A3F8F">
              <w:rPr>
                <w:rFonts w:ascii="Times New Roman" w:hAnsi="Times New Roman" w:cs="Times New Roman"/>
                <w:sz w:val="20"/>
                <w:szCs w:val="20"/>
                <w:lang w:val="en-US"/>
              </w:rPr>
              <w:t>)</w:t>
            </w:r>
          </w:p>
        </w:tc>
        <w:tc>
          <w:tcPr>
            <w:tcW w:w="1942" w:type="dxa"/>
            <w:vAlign w:val="center"/>
          </w:tcPr>
          <w:p w14:paraId="2187E21C" w14:textId="77777777" w:rsidR="0052204D" w:rsidRPr="001A3F8F" w:rsidRDefault="0052204D" w:rsidP="001A3F8F">
            <w:pPr>
              <w:jc w:val="both"/>
              <w:rPr>
                <w:rFonts w:ascii="Times New Roman" w:hAnsi="Times New Roman" w:cs="Times New Roman"/>
                <w:sz w:val="20"/>
                <w:szCs w:val="20"/>
              </w:rPr>
            </w:pPr>
            <w:r w:rsidRPr="001A3F8F">
              <w:rPr>
                <w:rFonts w:ascii="Times New Roman" w:hAnsi="Times New Roman" w:cs="Times New Roman"/>
                <w:sz w:val="20"/>
                <w:szCs w:val="20"/>
                <w:lang w:val="en-US"/>
              </w:rPr>
              <w:br/>
            </w:r>
            <w:r w:rsidRPr="001A3F8F">
              <w:rPr>
                <w:rFonts w:ascii="Times New Roman" w:hAnsi="Times New Roman" w:cs="Times New Roman"/>
                <w:sz w:val="20"/>
                <w:szCs w:val="20"/>
              </w:rPr>
              <w:t>968</w:t>
            </w:r>
          </w:p>
        </w:tc>
      </w:tr>
      <w:tr w:rsidR="0052204D" w:rsidRPr="001A3F8F" w14:paraId="051A00A2" w14:textId="77777777" w:rsidTr="00572FAC">
        <w:trPr>
          <w:jc w:val="center"/>
        </w:trPr>
        <w:tc>
          <w:tcPr>
            <w:tcW w:w="3251" w:type="dxa"/>
            <w:vAlign w:val="center"/>
          </w:tcPr>
          <w:p w14:paraId="35DCD476"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COCHRANE</w:t>
            </w:r>
          </w:p>
        </w:tc>
        <w:tc>
          <w:tcPr>
            <w:tcW w:w="3732" w:type="dxa"/>
            <w:vAlign w:val="center"/>
          </w:tcPr>
          <w:p w14:paraId="73CF7BEB" w14:textId="77777777" w:rsidR="0052204D" w:rsidRPr="001A3F8F" w:rsidRDefault="0052204D" w:rsidP="00E42FA2">
            <w:pPr>
              <w:ind w:left="360"/>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“Stem Cells” OR “Stem Cell” OR “Mother Cell” OR “Progenitor Cell” in Title Abstract Keyword AND “Cellular Senescence” OR “Cell Senescence” OR “Cell Aging” OR “Cellular Aging” OR “Cell Ageing” OR “Cellular Ageing” in Title Abstract Keyword AND “Regenerative Medicine” OR "Tissue Engineering" OR "Cell Engineering" OR "Cell- and Tissue-Based Therapy" OR "Regeneration" OR "Wound Healing" OR “Wound Repair” OR “Tissue Therapy” in Title Abstract Keyword - (Word variations have been searched)</w:t>
            </w:r>
          </w:p>
        </w:tc>
        <w:tc>
          <w:tcPr>
            <w:tcW w:w="1942" w:type="dxa"/>
            <w:vAlign w:val="center"/>
          </w:tcPr>
          <w:p w14:paraId="79D1EA64" w14:textId="77777777" w:rsidR="0052204D" w:rsidRPr="001A3F8F" w:rsidRDefault="0052204D" w:rsidP="001A3F8F">
            <w:pPr>
              <w:jc w:val="both"/>
              <w:rPr>
                <w:rFonts w:ascii="Times New Roman" w:hAnsi="Times New Roman" w:cs="Times New Roman"/>
                <w:sz w:val="20"/>
                <w:szCs w:val="20"/>
              </w:rPr>
            </w:pPr>
            <w:r w:rsidRPr="001A3F8F">
              <w:rPr>
                <w:rFonts w:ascii="Times New Roman" w:hAnsi="Times New Roman" w:cs="Times New Roman"/>
                <w:sz w:val="20"/>
                <w:szCs w:val="20"/>
              </w:rPr>
              <w:t>9</w:t>
            </w:r>
          </w:p>
        </w:tc>
      </w:tr>
      <w:tr w:rsidR="0052204D" w:rsidRPr="001A3F8F" w14:paraId="51D9B243" w14:textId="77777777" w:rsidTr="00572FAC">
        <w:trPr>
          <w:jc w:val="center"/>
        </w:trPr>
        <w:tc>
          <w:tcPr>
            <w:tcW w:w="3251" w:type="dxa"/>
            <w:vAlign w:val="center"/>
          </w:tcPr>
          <w:p w14:paraId="5196F588"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WEB OF SCIENCE</w:t>
            </w:r>
          </w:p>
        </w:tc>
        <w:tc>
          <w:tcPr>
            <w:tcW w:w="3732" w:type="dxa"/>
            <w:vAlign w:val="center"/>
          </w:tcPr>
          <w:p w14:paraId="27564277" w14:textId="77777777" w:rsidR="0052204D" w:rsidRPr="001A3F8F" w:rsidRDefault="0052204D" w:rsidP="001A3F8F">
            <w:pPr>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((ALL</w:t>
            </w:r>
            <w:proofErr w:type="gramStart"/>
            <w:r w:rsidRPr="001A3F8F">
              <w:rPr>
                <w:rFonts w:ascii="Times New Roman" w:hAnsi="Times New Roman" w:cs="Times New Roman"/>
                <w:sz w:val="20"/>
                <w:szCs w:val="20"/>
                <w:lang w:val="en-US"/>
              </w:rPr>
              <w:t>=(</w:t>
            </w:r>
            <w:proofErr w:type="gramEnd"/>
            <w:r w:rsidRPr="001A3F8F">
              <w:rPr>
                <w:rFonts w:ascii="Times New Roman" w:hAnsi="Times New Roman" w:cs="Times New Roman"/>
                <w:sz w:val="20"/>
                <w:szCs w:val="20"/>
                <w:lang w:val="en-US"/>
              </w:rPr>
              <w:t xml:space="preserve">“Stem Cells” OR “Stem Cell” OR “Mother Cell” OR “Progenitor Cell”)) AND ALL=(“Cellular Senescence” OR “Cell Senescence” OR “Cell Aging” OR “Cellular Aging” OR “Cell Ageing” OR “Cellular </w:t>
            </w:r>
            <w:r w:rsidRPr="001A3F8F">
              <w:rPr>
                <w:rFonts w:ascii="Times New Roman" w:hAnsi="Times New Roman" w:cs="Times New Roman"/>
                <w:sz w:val="20"/>
                <w:szCs w:val="20"/>
                <w:lang w:val="en-US"/>
              </w:rPr>
              <w:lastRenderedPageBreak/>
              <w:t>Ageing”)) AND ALL=(“Regenerative Medicine” OR “Tissue Engineering” OR "Cell Engineering" OR "Cell- and Tissue-Based Therapy" OR "Regeneration" OR "Wound Healing" OR “Wound Repair” OR “Tissue Therapy”)</w:t>
            </w:r>
          </w:p>
        </w:tc>
        <w:tc>
          <w:tcPr>
            <w:tcW w:w="1942" w:type="dxa"/>
            <w:vAlign w:val="center"/>
          </w:tcPr>
          <w:p w14:paraId="3340A3D3" w14:textId="77777777" w:rsidR="0052204D" w:rsidRPr="001A3F8F" w:rsidRDefault="0052204D" w:rsidP="001A3F8F">
            <w:pPr>
              <w:jc w:val="both"/>
              <w:rPr>
                <w:rFonts w:ascii="Times New Roman" w:eastAsia="Times New Roman" w:hAnsi="Times New Roman" w:cs="Times New Roman"/>
                <w:color w:val="212121"/>
                <w:sz w:val="20"/>
                <w:szCs w:val="20"/>
              </w:rPr>
            </w:pPr>
            <w:r w:rsidRPr="001A3F8F">
              <w:rPr>
                <w:rFonts w:ascii="Times New Roman" w:eastAsia="Times New Roman" w:hAnsi="Times New Roman" w:cs="Times New Roman"/>
                <w:color w:val="212121"/>
                <w:sz w:val="20"/>
                <w:szCs w:val="20"/>
              </w:rPr>
              <w:lastRenderedPageBreak/>
              <w:t>1,149</w:t>
            </w:r>
          </w:p>
        </w:tc>
      </w:tr>
      <w:tr w:rsidR="0052204D" w:rsidRPr="001A3F8F" w14:paraId="7CA76737" w14:textId="77777777" w:rsidTr="00572FAC">
        <w:trPr>
          <w:jc w:val="center"/>
        </w:trPr>
        <w:tc>
          <w:tcPr>
            <w:tcW w:w="3251" w:type="dxa"/>
            <w:vAlign w:val="center"/>
          </w:tcPr>
          <w:p w14:paraId="2798A1A9"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GOOGLE SCHOLAR</w:t>
            </w:r>
          </w:p>
        </w:tc>
        <w:tc>
          <w:tcPr>
            <w:tcW w:w="3732" w:type="dxa"/>
            <w:vAlign w:val="center"/>
          </w:tcPr>
          <w:p w14:paraId="257EAAC3" w14:textId="77777777" w:rsidR="0052204D" w:rsidRPr="001A3F8F" w:rsidRDefault="0052204D" w:rsidP="001A3F8F">
            <w:pPr>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w:t>
            </w:r>
            <w:proofErr w:type="gramStart"/>
            <w:r w:rsidRPr="001A3F8F">
              <w:rPr>
                <w:rFonts w:ascii="Times New Roman" w:hAnsi="Times New Roman" w:cs="Times New Roman"/>
                <w:sz w:val="20"/>
                <w:szCs w:val="20"/>
                <w:lang w:val="en-US"/>
              </w:rPr>
              <w:t>stem</w:t>
            </w:r>
            <w:proofErr w:type="gramEnd"/>
            <w:r w:rsidRPr="001A3F8F">
              <w:rPr>
                <w:rFonts w:ascii="Times New Roman" w:hAnsi="Times New Roman" w:cs="Times New Roman"/>
                <w:sz w:val="20"/>
                <w:szCs w:val="20"/>
                <w:lang w:val="en-US"/>
              </w:rPr>
              <w:t xml:space="preserve"> cell" AND "cell senescence" AND "regeneration"</w:t>
            </w:r>
          </w:p>
        </w:tc>
        <w:tc>
          <w:tcPr>
            <w:tcW w:w="1942" w:type="dxa"/>
            <w:vAlign w:val="center"/>
          </w:tcPr>
          <w:p w14:paraId="0769B091" w14:textId="77777777" w:rsidR="0052204D" w:rsidRPr="001A3F8F" w:rsidRDefault="0052204D" w:rsidP="001A3F8F">
            <w:pPr>
              <w:jc w:val="both"/>
              <w:rPr>
                <w:rFonts w:ascii="Times New Roman" w:hAnsi="Times New Roman" w:cs="Times New Roman"/>
                <w:color w:val="212121"/>
                <w:sz w:val="20"/>
                <w:szCs w:val="20"/>
              </w:rPr>
            </w:pPr>
            <w:r w:rsidRPr="001A3F8F">
              <w:rPr>
                <w:rFonts w:ascii="Times New Roman" w:hAnsi="Times New Roman" w:cs="Times New Roman"/>
                <w:color w:val="212121"/>
                <w:sz w:val="20"/>
                <w:szCs w:val="20"/>
              </w:rPr>
              <w:t>100</w:t>
            </w:r>
          </w:p>
        </w:tc>
      </w:tr>
      <w:tr w:rsidR="0052204D" w:rsidRPr="001A3F8F" w14:paraId="4C861314" w14:textId="77777777" w:rsidTr="00572FAC">
        <w:trPr>
          <w:jc w:val="center"/>
        </w:trPr>
        <w:tc>
          <w:tcPr>
            <w:tcW w:w="3251" w:type="dxa"/>
            <w:vAlign w:val="center"/>
          </w:tcPr>
          <w:p w14:paraId="3D2FA031" w14:textId="77777777" w:rsidR="0052204D" w:rsidRPr="001A3F8F" w:rsidRDefault="0052204D"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PROQUEST</w:t>
            </w:r>
          </w:p>
        </w:tc>
        <w:tc>
          <w:tcPr>
            <w:tcW w:w="3732" w:type="dxa"/>
            <w:vAlign w:val="center"/>
          </w:tcPr>
          <w:p w14:paraId="67215157" w14:textId="77777777" w:rsidR="0052204D" w:rsidRPr="001A3F8F" w:rsidRDefault="0052204D" w:rsidP="001A3F8F">
            <w:pPr>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(“Stem Cells” OR “Stem Cell” OR “Mother Cell” OR “Progenitor Cell”) AND (“Cellular Senescence” OR “Cell Senescence” OR “Cell Aging” OR “Cellular Aging” OR “Cell Ageing” OR “Cellular Ageing”) AND (“Regenerative Medicine” OR "Tissue Engineering" OR "Cell Engineering" OR "Cell- and Tissue-Based Therapy" OR "Regeneration" OR "Wound Healing" OR “Wound Repair” OR “Tissue Therapy”)</w:t>
            </w:r>
          </w:p>
        </w:tc>
        <w:tc>
          <w:tcPr>
            <w:tcW w:w="1942" w:type="dxa"/>
            <w:vAlign w:val="center"/>
          </w:tcPr>
          <w:p w14:paraId="043A52C5" w14:textId="77777777" w:rsidR="0052204D" w:rsidRPr="001A3F8F" w:rsidRDefault="0052204D" w:rsidP="001A3F8F">
            <w:pPr>
              <w:jc w:val="both"/>
              <w:rPr>
                <w:rFonts w:ascii="Times New Roman" w:hAnsi="Times New Roman" w:cs="Times New Roman"/>
                <w:color w:val="212121"/>
                <w:sz w:val="20"/>
                <w:szCs w:val="20"/>
              </w:rPr>
            </w:pPr>
            <w:r w:rsidRPr="001A3F8F">
              <w:rPr>
                <w:rFonts w:ascii="Times New Roman" w:hAnsi="Times New Roman" w:cs="Times New Roman"/>
                <w:color w:val="212121"/>
                <w:sz w:val="20"/>
                <w:szCs w:val="20"/>
              </w:rPr>
              <w:t>197</w:t>
            </w:r>
          </w:p>
        </w:tc>
      </w:tr>
    </w:tbl>
    <w:p w14:paraId="77C1D969" w14:textId="6856CABA" w:rsidR="00356140" w:rsidRDefault="0052204D" w:rsidP="001A3F8F">
      <w:pPr>
        <w:spacing w:line="480" w:lineRule="auto"/>
        <w:jc w:val="both"/>
        <w:rPr>
          <w:rFonts w:ascii="Times New Roman" w:hAnsi="Times New Roman" w:cs="Times New Roman"/>
          <w:sz w:val="20"/>
          <w:szCs w:val="20"/>
        </w:rPr>
      </w:pPr>
      <w:r w:rsidRPr="001A3F8F">
        <w:rPr>
          <w:rStyle w:val="Forte"/>
          <w:rFonts w:ascii="Times New Roman" w:hAnsi="Times New Roman" w:cs="Times New Roman"/>
          <w:sz w:val="20"/>
          <w:szCs w:val="20"/>
        </w:rPr>
        <w:t>Supplementary Table 1.</w:t>
      </w:r>
      <w:r w:rsidRPr="001A3F8F">
        <w:rPr>
          <w:rFonts w:ascii="Times New Roman" w:hAnsi="Times New Roman" w:cs="Times New Roman"/>
          <w:sz w:val="20"/>
          <w:szCs w:val="20"/>
        </w:rPr>
        <w:t xml:space="preserve"> Detailed search strategies used in each database. The initial search was conducted on 28 February 2025 and updated on 12 December 2025; all databases were searched on the same day for each search.</w:t>
      </w:r>
    </w:p>
    <w:p w14:paraId="64AC2B98" w14:textId="77777777" w:rsidR="00356140" w:rsidRDefault="00356140">
      <w:pPr>
        <w:spacing w:after="160" w:line="259" w:lineRule="auto"/>
        <w:rPr>
          <w:rFonts w:ascii="Times New Roman" w:hAnsi="Times New Roman" w:cs="Times New Roman"/>
          <w:sz w:val="20"/>
          <w:szCs w:val="20"/>
        </w:rPr>
      </w:pPr>
      <w:r>
        <w:rPr>
          <w:rFonts w:ascii="Times New Roman" w:hAnsi="Times New Roman" w:cs="Times New Roman"/>
          <w:sz w:val="20"/>
          <w:szCs w:val="20"/>
        </w:rPr>
        <w:br w:type="page"/>
      </w:r>
    </w:p>
    <w:p w14:paraId="7B257DC4" w14:textId="77777777" w:rsidR="0052204D" w:rsidRPr="001A3F8F" w:rsidRDefault="0052204D" w:rsidP="001A3F8F">
      <w:pPr>
        <w:spacing w:line="480" w:lineRule="auto"/>
        <w:jc w:val="both"/>
        <w:rPr>
          <w:rFonts w:ascii="Times New Roman" w:hAnsi="Times New Roman" w:cs="Times New Roman"/>
          <w:sz w:val="20"/>
          <w:szCs w:val="20"/>
        </w:rPr>
      </w:pPr>
    </w:p>
    <w:p w14:paraId="693DA4E1" w14:textId="77777777" w:rsidR="0052204D" w:rsidRPr="001A3F8F" w:rsidRDefault="0052204D" w:rsidP="001A3F8F">
      <w:pPr>
        <w:spacing w:line="276" w:lineRule="auto"/>
        <w:jc w:val="both"/>
        <w:rPr>
          <w:rFonts w:ascii="Times New Roman" w:eastAsia="Calibri" w:hAnsi="Times New Roman" w:cs="Times New Roman"/>
          <w:sz w:val="20"/>
          <w:szCs w:val="20"/>
        </w:rPr>
      </w:pPr>
      <w:r w:rsidRPr="001A3F8F">
        <w:rPr>
          <w:rFonts w:ascii="Times New Roman" w:eastAsia="Calibri" w:hAnsi="Times New Roman" w:cs="Times New Roman"/>
          <w:b/>
          <w:bCs/>
          <w:sz w:val="20"/>
          <w:szCs w:val="20"/>
        </w:rPr>
        <w:t xml:space="preserve">SUPPLEMENTARY TABLE 2 </w:t>
      </w:r>
      <w:r w:rsidRPr="001A3F8F">
        <w:rPr>
          <w:rFonts w:ascii="Times New Roman" w:eastAsia="Calibri" w:hAnsi="Times New Roman" w:cs="Times New Roman"/>
          <w:sz w:val="20"/>
          <w:szCs w:val="20"/>
        </w:rPr>
        <w:t>Excluded articles and reasons for exclusion (n=80).</w:t>
      </w:r>
    </w:p>
    <w:tbl>
      <w:tblPr>
        <w:tblStyle w:val="SimplesTabela2"/>
        <w:tblpPr w:leftFromText="180" w:rightFromText="180" w:vertAnchor="text" w:tblpXSpec="center" w:tblpY="1"/>
        <w:tblOverlap w:val="never"/>
        <w:tblW w:w="9638" w:type="dxa"/>
        <w:jc w:val="center"/>
        <w:tblLayout w:type="fixed"/>
        <w:tblLook w:val="04A0" w:firstRow="1" w:lastRow="0" w:firstColumn="1" w:lastColumn="0" w:noHBand="0" w:noVBand="1"/>
      </w:tblPr>
      <w:tblGrid>
        <w:gridCol w:w="8080"/>
        <w:gridCol w:w="1558"/>
      </w:tblGrid>
      <w:tr w:rsidR="0052204D" w:rsidRPr="001A3F8F" w14:paraId="3F9E797B" w14:textId="77777777" w:rsidTr="0052204D">
        <w:trPr>
          <w:cnfStyle w:val="100000000000" w:firstRow="1" w:lastRow="0" w:firstColumn="0" w:lastColumn="0" w:oddVBand="0" w:evenVBand="0" w:oddHBand="0"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vAlign w:val="center"/>
          </w:tcPr>
          <w:p w14:paraId="787822BD" w14:textId="77777777" w:rsidR="0052204D" w:rsidRPr="001A3F8F" w:rsidRDefault="0052204D" w:rsidP="001A3F8F">
            <w:pPr>
              <w:jc w:val="both"/>
              <w:rPr>
                <w:rFonts w:ascii="Times New Roman" w:hAnsi="Times New Roman" w:cs="Times New Roman"/>
                <w:sz w:val="20"/>
                <w:szCs w:val="20"/>
              </w:rPr>
            </w:pPr>
            <w:r w:rsidRPr="001A3F8F">
              <w:rPr>
                <w:rFonts w:ascii="Times New Roman" w:hAnsi="Times New Roman" w:cs="Times New Roman"/>
                <w:sz w:val="20"/>
                <w:szCs w:val="20"/>
              </w:rPr>
              <w:t>Reference</w:t>
            </w:r>
          </w:p>
        </w:tc>
        <w:tc>
          <w:tcPr>
            <w:tcW w:w="1558" w:type="dxa"/>
            <w:vAlign w:val="center"/>
          </w:tcPr>
          <w:p w14:paraId="33D9A512" w14:textId="77777777" w:rsidR="0052204D" w:rsidRPr="001A3F8F" w:rsidRDefault="0052204D"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Reason for exclusion</w:t>
            </w:r>
          </w:p>
        </w:tc>
      </w:tr>
      <w:tr w:rsidR="0052204D" w:rsidRPr="001A3F8F" w14:paraId="1DAC2BF4"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DA74AA3"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Flores I, </w:t>
            </w:r>
            <w:proofErr w:type="spellStart"/>
            <w:r w:rsidRPr="001A3F8F">
              <w:rPr>
                <w:rFonts w:ascii="Times New Roman" w:hAnsi="Times New Roman" w:cs="Times New Roman"/>
                <w:b w:val="0"/>
                <w:bCs w:val="0"/>
                <w:sz w:val="20"/>
                <w:szCs w:val="20"/>
              </w:rPr>
              <w:t>Blasco</w:t>
            </w:r>
            <w:proofErr w:type="spellEnd"/>
            <w:r w:rsidRPr="001A3F8F">
              <w:rPr>
                <w:rFonts w:ascii="Times New Roman" w:hAnsi="Times New Roman" w:cs="Times New Roman"/>
                <w:b w:val="0"/>
                <w:bCs w:val="0"/>
                <w:sz w:val="20"/>
                <w:szCs w:val="20"/>
              </w:rPr>
              <w:t xml:space="preserve"> MA. A p53-dependent response limits epidermal stem cell functionality and organismal size in mice with short telomeres. </w:t>
            </w:r>
            <w:proofErr w:type="spellStart"/>
            <w:r w:rsidRPr="001A3F8F">
              <w:rPr>
                <w:rFonts w:ascii="Times New Roman" w:hAnsi="Times New Roman" w:cs="Times New Roman"/>
                <w:b w:val="0"/>
                <w:bCs w:val="0"/>
                <w:sz w:val="20"/>
                <w:szCs w:val="20"/>
              </w:rPr>
              <w:t>PLoS</w:t>
            </w:r>
            <w:proofErr w:type="spellEnd"/>
            <w:r w:rsidRPr="001A3F8F">
              <w:rPr>
                <w:rFonts w:ascii="Times New Roman" w:hAnsi="Times New Roman" w:cs="Times New Roman"/>
                <w:b w:val="0"/>
                <w:bCs w:val="0"/>
                <w:sz w:val="20"/>
                <w:szCs w:val="20"/>
              </w:rPr>
              <w:t xml:space="preserve"> One. 2009;4(3</w:t>
            </w:r>
            <w:proofErr w:type="gramStart"/>
            <w:r w:rsidRPr="001A3F8F">
              <w:rPr>
                <w:rFonts w:ascii="Times New Roman" w:hAnsi="Times New Roman" w:cs="Times New Roman"/>
                <w:b w:val="0"/>
                <w:bCs w:val="0"/>
                <w:sz w:val="20"/>
                <w:szCs w:val="20"/>
              </w:rPr>
              <w:t>):e</w:t>
            </w:r>
            <w:proofErr w:type="gramEnd"/>
            <w:r w:rsidRPr="001A3F8F">
              <w:rPr>
                <w:rFonts w:ascii="Times New Roman" w:hAnsi="Times New Roman" w:cs="Times New Roman"/>
                <w:b w:val="0"/>
                <w:bCs w:val="0"/>
                <w:sz w:val="20"/>
                <w:szCs w:val="20"/>
              </w:rPr>
              <w:t xml:space="preserve">4934.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10.1371/journal.pone.0004934.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2009 Mar 19. PMID: 19295915; PMCID: PMC2654505.</w:t>
            </w:r>
          </w:p>
        </w:tc>
        <w:tc>
          <w:tcPr>
            <w:tcW w:w="1558" w:type="dxa"/>
          </w:tcPr>
          <w:p w14:paraId="55E718B8"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w:t>
            </w:r>
          </w:p>
        </w:tc>
      </w:tr>
      <w:tr w:rsidR="0052204D" w:rsidRPr="001A3F8F" w14:paraId="175A0ED7" w14:textId="77777777" w:rsidTr="0052204D">
        <w:trPr>
          <w:trHeight w:val="93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11EF2B3"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Madonna R., De Caterina R., </w:t>
            </w:r>
            <w:proofErr w:type="spellStart"/>
            <w:r w:rsidRPr="001A3F8F">
              <w:rPr>
                <w:rFonts w:ascii="Times New Roman" w:hAnsi="Times New Roman" w:cs="Times New Roman"/>
                <w:b w:val="0"/>
                <w:bCs w:val="0"/>
                <w:sz w:val="20"/>
                <w:szCs w:val="20"/>
              </w:rPr>
              <w:t>Willerson</w:t>
            </w:r>
            <w:proofErr w:type="spellEnd"/>
            <w:r w:rsidRPr="001A3F8F">
              <w:rPr>
                <w:rFonts w:ascii="Times New Roman" w:hAnsi="Times New Roman" w:cs="Times New Roman"/>
                <w:b w:val="0"/>
                <w:bCs w:val="0"/>
                <w:sz w:val="20"/>
                <w:szCs w:val="20"/>
              </w:rPr>
              <w:t xml:space="preserve"> J.T., </w:t>
            </w:r>
            <w:proofErr w:type="spellStart"/>
            <w:r w:rsidRPr="001A3F8F">
              <w:rPr>
                <w:rFonts w:ascii="Times New Roman" w:hAnsi="Times New Roman" w:cs="Times New Roman"/>
                <w:b w:val="0"/>
                <w:bCs w:val="0"/>
                <w:sz w:val="20"/>
                <w:szCs w:val="20"/>
              </w:rPr>
              <w:t>Geng</w:t>
            </w:r>
            <w:proofErr w:type="spellEnd"/>
            <w:r w:rsidRPr="001A3F8F">
              <w:rPr>
                <w:rFonts w:ascii="Times New Roman" w:hAnsi="Times New Roman" w:cs="Times New Roman"/>
                <w:b w:val="0"/>
                <w:bCs w:val="0"/>
                <w:sz w:val="20"/>
                <w:szCs w:val="20"/>
              </w:rPr>
              <w:t xml:space="preserve"> Y.-J. (2011). Adipose tissue-derived mesenchymal stem cells with </w:t>
            </w:r>
            <w:proofErr w:type="spellStart"/>
            <w:r w:rsidRPr="001A3F8F">
              <w:rPr>
                <w:rFonts w:ascii="Times New Roman" w:hAnsi="Times New Roman" w:cs="Times New Roman"/>
                <w:b w:val="0"/>
                <w:bCs w:val="0"/>
                <w:sz w:val="20"/>
                <w:szCs w:val="20"/>
              </w:rPr>
              <w:t>myocardin</w:t>
            </w:r>
            <w:proofErr w:type="spellEnd"/>
            <w:r w:rsidRPr="001A3F8F">
              <w:rPr>
                <w:rFonts w:ascii="Times New Roman" w:hAnsi="Times New Roman" w:cs="Times New Roman"/>
                <w:b w:val="0"/>
                <w:bCs w:val="0"/>
                <w:sz w:val="20"/>
                <w:szCs w:val="20"/>
              </w:rPr>
              <w:t xml:space="preserve">-a and telomerase co-expression possess augmented capacity of proliferation and promyogenic activities, American Heart Association's Scientific Sessions 2011. Circulation. </w:t>
            </w:r>
          </w:p>
        </w:tc>
        <w:tc>
          <w:tcPr>
            <w:tcW w:w="1558" w:type="dxa"/>
          </w:tcPr>
          <w:p w14:paraId="4B51ACAC"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1BD13CCD" w14:textId="77777777" w:rsidTr="0052204D">
        <w:trPr>
          <w:cnfStyle w:val="000000100000" w:firstRow="0" w:lastRow="0" w:firstColumn="0" w:lastColumn="0" w:oddVBand="0" w:evenVBand="0" w:oddHBand="1" w:evenHBand="0" w:firstRowFirstColumn="0" w:firstRowLastColumn="0" w:lastRowFirstColumn="0" w:lastRowLastColumn="0"/>
          <w:trHeight w:val="93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4F8051A" w14:textId="77777777" w:rsidR="0052204D" w:rsidRPr="001A3F8F" w:rsidRDefault="0052204D" w:rsidP="001A3F8F">
            <w:pPr>
              <w:jc w:val="both"/>
              <w:rPr>
                <w:rFonts w:ascii="Times New Roman" w:hAnsi="Times New Roman" w:cs="Times New Roman"/>
                <w:b w:val="0"/>
                <w:bCs w:val="0"/>
                <w:sz w:val="20"/>
                <w:szCs w:val="20"/>
              </w:rPr>
            </w:pPr>
            <w:r w:rsidRPr="00AE20BE">
              <w:rPr>
                <w:rFonts w:ascii="Times New Roman" w:hAnsi="Times New Roman" w:cs="Times New Roman"/>
                <w:sz w:val="20"/>
                <w:szCs w:val="20"/>
                <w:lang w:val="it-IT"/>
              </w:rPr>
              <w:t xml:space="preserve">Scheers I., Paganelli M., Lombard C., Najimi M., Sokal E.M. (2011). </w:t>
            </w:r>
            <w:r w:rsidRPr="001A3F8F">
              <w:rPr>
                <w:rFonts w:ascii="Times New Roman" w:hAnsi="Times New Roman" w:cs="Times New Roman"/>
                <w:b w:val="0"/>
                <w:bCs w:val="0"/>
                <w:sz w:val="20"/>
                <w:szCs w:val="20"/>
              </w:rPr>
              <w:t>Umbilical cord matrix stem cells maintain a stable genotype after long-term in vitro culture, 62nd Annual Meeting of the American Association for the Study of Liver Diseases: The Liver Meeting 2011. Hepatology. http://dx.doi.org/10.1002/hep.24666</w:t>
            </w:r>
          </w:p>
        </w:tc>
        <w:tc>
          <w:tcPr>
            <w:tcW w:w="1558" w:type="dxa"/>
          </w:tcPr>
          <w:p w14:paraId="69E89CB8"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7E7770BF" w14:textId="77777777" w:rsidTr="0052204D">
        <w:trPr>
          <w:trHeight w:val="93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51644E9"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Goichberg</w:t>
            </w:r>
            <w:proofErr w:type="spellEnd"/>
            <w:r w:rsidRPr="001A3F8F">
              <w:rPr>
                <w:rFonts w:ascii="Times New Roman" w:hAnsi="Times New Roman" w:cs="Times New Roman"/>
                <w:b w:val="0"/>
                <w:bCs w:val="0"/>
                <w:sz w:val="20"/>
                <w:szCs w:val="20"/>
              </w:rPr>
              <w:t xml:space="preserve"> P., </w:t>
            </w:r>
            <w:proofErr w:type="spellStart"/>
            <w:r w:rsidRPr="001A3F8F">
              <w:rPr>
                <w:rFonts w:ascii="Times New Roman" w:hAnsi="Times New Roman" w:cs="Times New Roman"/>
                <w:b w:val="0"/>
                <w:bCs w:val="0"/>
                <w:sz w:val="20"/>
                <w:szCs w:val="20"/>
              </w:rPr>
              <w:t>Kannappan</w:t>
            </w:r>
            <w:proofErr w:type="spellEnd"/>
            <w:r w:rsidRPr="001A3F8F">
              <w:rPr>
                <w:rFonts w:ascii="Times New Roman" w:hAnsi="Times New Roman" w:cs="Times New Roman"/>
                <w:b w:val="0"/>
                <w:bCs w:val="0"/>
                <w:sz w:val="20"/>
                <w:szCs w:val="20"/>
              </w:rPr>
              <w:t xml:space="preserve"> R., Bai Y., </w:t>
            </w:r>
            <w:proofErr w:type="spellStart"/>
            <w:r w:rsidRPr="001A3F8F">
              <w:rPr>
                <w:rFonts w:ascii="Times New Roman" w:hAnsi="Times New Roman" w:cs="Times New Roman"/>
                <w:b w:val="0"/>
                <w:bCs w:val="0"/>
                <w:sz w:val="20"/>
                <w:szCs w:val="20"/>
              </w:rPr>
              <w:t>Fiorini</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D'Amario</w:t>
            </w:r>
            <w:proofErr w:type="spellEnd"/>
            <w:r w:rsidRPr="001A3F8F">
              <w:rPr>
                <w:rFonts w:ascii="Times New Roman" w:hAnsi="Times New Roman" w:cs="Times New Roman"/>
                <w:b w:val="0"/>
                <w:bCs w:val="0"/>
                <w:sz w:val="20"/>
                <w:szCs w:val="20"/>
              </w:rPr>
              <w:t xml:space="preserve"> D., </w:t>
            </w:r>
            <w:proofErr w:type="spellStart"/>
            <w:r w:rsidRPr="001A3F8F">
              <w:rPr>
                <w:rFonts w:ascii="Times New Roman" w:hAnsi="Times New Roman" w:cs="Times New Roman"/>
                <w:b w:val="0"/>
                <w:bCs w:val="0"/>
                <w:sz w:val="20"/>
                <w:szCs w:val="20"/>
              </w:rPr>
              <w:t>Sanada</w:t>
            </w:r>
            <w:proofErr w:type="spellEnd"/>
            <w:r w:rsidRPr="001A3F8F">
              <w:rPr>
                <w:rFonts w:ascii="Times New Roman" w:hAnsi="Times New Roman" w:cs="Times New Roman"/>
                <w:b w:val="0"/>
                <w:bCs w:val="0"/>
                <w:sz w:val="20"/>
                <w:szCs w:val="20"/>
              </w:rPr>
              <w:t xml:space="preserve"> F., </w:t>
            </w:r>
            <w:proofErr w:type="spellStart"/>
            <w:r w:rsidRPr="001A3F8F">
              <w:rPr>
                <w:rFonts w:ascii="Times New Roman" w:hAnsi="Times New Roman" w:cs="Times New Roman"/>
                <w:b w:val="0"/>
                <w:bCs w:val="0"/>
                <w:sz w:val="20"/>
                <w:szCs w:val="20"/>
              </w:rPr>
              <w:t>Pesapane</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Arranto</w:t>
            </w:r>
            <w:proofErr w:type="spellEnd"/>
            <w:r w:rsidRPr="001A3F8F">
              <w:rPr>
                <w:rFonts w:ascii="Times New Roman" w:hAnsi="Times New Roman" w:cs="Times New Roman"/>
                <w:b w:val="0"/>
                <w:bCs w:val="0"/>
                <w:sz w:val="20"/>
                <w:szCs w:val="20"/>
              </w:rPr>
              <w:t xml:space="preserve"> C., Kim J., Anastasia L., </w:t>
            </w:r>
            <w:proofErr w:type="spellStart"/>
            <w:r w:rsidRPr="001A3F8F">
              <w:rPr>
                <w:rFonts w:ascii="Times New Roman" w:hAnsi="Times New Roman" w:cs="Times New Roman"/>
                <w:b w:val="0"/>
                <w:bCs w:val="0"/>
                <w:sz w:val="20"/>
                <w:szCs w:val="20"/>
              </w:rPr>
              <w:t>Gurusamy</w:t>
            </w:r>
            <w:proofErr w:type="spellEnd"/>
            <w:r w:rsidRPr="001A3F8F">
              <w:rPr>
                <w:rFonts w:ascii="Times New Roman" w:hAnsi="Times New Roman" w:cs="Times New Roman"/>
                <w:b w:val="0"/>
                <w:bCs w:val="0"/>
                <w:sz w:val="20"/>
                <w:szCs w:val="20"/>
              </w:rPr>
              <w:t xml:space="preserve"> N., D'Alessandro D.A., </w:t>
            </w:r>
            <w:proofErr w:type="spellStart"/>
            <w:r w:rsidRPr="001A3F8F">
              <w:rPr>
                <w:rFonts w:ascii="Times New Roman" w:hAnsi="Times New Roman" w:cs="Times New Roman"/>
                <w:b w:val="0"/>
                <w:bCs w:val="0"/>
                <w:sz w:val="20"/>
                <w:szCs w:val="20"/>
              </w:rPr>
              <w:t>Michler</w:t>
            </w:r>
            <w:proofErr w:type="spellEnd"/>
            <w:r w:rsidRPr="001A3F8F">
              <w:rPr>
                <w:rFonts w:ascii="Times New Roman" w:hAnsi="Times New Roman" w:cs="Times New Roman"/>
                <w:b w:val="0"/>
                <w:bCs w:val="0"/>
                <w:sz w:val="20"/>
                <w:szCs w:val="20"/>
              </w:rPr>
              <w:t xml:space="preserve"> R.E., Zheng H., Hosoda T., Rota M., </w:t>
            </w:r>
            <w:proofErr w:type="spellStart"/>
            <w:r w:rsidRPr="001A3F8F">
              <w:rPr>
                <w:rFonts w:ascii="Times New Roman" w:hAnsi="Times New Roman" w:cs="Times New Roman"/>
                <w:b w:val="0"/>
                <w:bCs w:val="0"/>
                <w:sz w:val="20"/>
                <w:szCs w:val="20"/>
              </w:rPr>
              <w:t>Kajstura</w:t>
            </w:r>
            <w:proofErr w:type="spellEnd"/>
            <w:r w:rsidRPr="001A3F8F">
              <w:rPr>
                <w:rFonts w:ascii="Times New Roman" w:hAnsi="Times New Roman" w:cs="Times New Roman"/>
                <w:b w:val="0"/>
                <w:bCs w:val="0"/>
                <w:sz w:val="20"/>
                <w:szCs w:val="20"/>
              </w:rPr>
              <w:t xml:space="preserve"> J., </w:t>
            </w:r>
            <w:proofErr w:type="spellStart"/>
            <w:r w:rsidRPr="001A3F8F">
              <w:rPr>
                <w:rFonts w:ascii="Times New Roman" w:hAnsi="Times New Roman" w:cs="Times New Roman"/>
                <w:b w:val="0"/>
                <w:bCs w:val="0"/>
                <w:sz w:val="20"/>
                <w:szCs w:val="20"/>
              </w:rPr>
              <w:t>Bolli</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Anversa</w:t>
            </w:r>
            <w:proofErr w:type="spellEnd"/>
            <w:r w:rsidRPr="001A3F8F">
              <w:rPr>
                <w:rFonts w:ascii="Times New Roman" w:hAnsi="Times New Roman" w:cs="Times New Roman"/>
                <w:b w:val="0"/>
                <w:bCs w:val="0"/>
                <w:sz w:val="20"/>
                <w:szCs w:val="20"/>
              </w:rPr>
              <w:t xml:space="preserve"> P., Leri A. (2011). Alterations in ephrin A1/EphA2 signaling causes defects in the migration of senescent human cardiac stem cells, American Heart Association's Scientific Sessions 2011. Circulation. </w:t>
            </w:r>
          </w:p>
        </w:tc>
        <w:tc>
          <w:tcPr>
            <w:tcW w:w="1558" w:type="dxa"/>
          </w:tcPr>
          <w:p w14:paraId="025E8094"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4EBBE415" w14:textId="77777777" w:rsidTr="0052204D">
        <w:trPr>
          <w:cnfStyle w:val="000000100000" w:firstRow="0" w:lastRow="0" w:firstColumn="0" w:lastColumn="0" w:oddVBand="0" w:evenVBand="0" w:oddHBand="1" w:evenHBand="0" w:firstRowFirstColumn="0" w:firstRowLastColumn="0" w:lastRowFirstColumn="0" w:lastRowLastColumn="0"/>
          <w:trHeight w:val="93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72D5E6D"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Scheers</w:t>
            </w:r>
            <w:proofErr w:type="spellEnd"/>
            <w:r w:rsidRPr="001A3F8F">
              <w:rPr>
                <w:rFonts w:ascii="Times New Roman" w:hAnsi="Times New Roman" w:cs="Times New Roman"/>
                <w:b w:val="0"/>
                <w:bCs w:val="0"/>
                <w:sz w:val="20"/>
                <w:szCs w:val="20"/>
              </w:rPr>
              <w:t xml:space="preserve"> I., </w:t>
            </w:r>
            <w:proofErr w:type="spellStart"/>
            <w:r w:rsidRPr="001A3F8F">
              <w:rPr>
                <w:rFonts w:ascii="Times New Roman" w:hAnsi="Times New Roman" w:cs="Times New Roman"/>
                <w:b w:val="0"/>
                <w:bCs w:val="0"/>
                <w:sz w:val="20"/>
                <w:szCs w:val="20"/>
              </w:rPr>
              <w:t>Maerckx</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Decottignies</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Paganelli</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Najimi</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Sokal</w:t>
            </w:r>
            <w:proofErr w:type="spellEnd"/>
            <w:r w:rsidRPr="001A3F8F">
              <w:rPr>
                <w:rFonts w:ascii="Times New Roman" w:hAnsi="Times New Roman" w:cs="Times New Roman"/>
                <w:b w:val="0"/>
                <w:bCs w:val="0"/>
                <w:sz w:val="20"/>
                <w:szCs w:val="20"/>
              </w:rPr>
              <w:t xml:space="preserve"> E. (2011). Long-term in vitro cultured umbilical cord matrix </w:t>
            </w:r>
            <w:proofErr w:type="spellStart"/>
            <w:r w:rsidRPr="001A3F8F">
              <w:rPr>
                <w:rFonts w:ascii="Times New Roman" w:hAnsi="Times New Roman" w:cs="Times New Roman"/>
                <w:b w:val="0"/>
                <w:bCs w:val="0"/>
                <w:sz w:val="20"/>
                <w:szCs w:val="20"/>
              </w:rPr>
              <w:t>stemcells</w:t>
            </w:r>
            <w:proofErr w:type="spellEnd"/>
            <w:r w:rsidRPr="001A3F8F">
              <w:rPr>
                <w:rFonts w:ascii="Times New Roman" w:hAnsi="Times New Roman" w:cs="Times New Roman"/>
                <w:b w:val="0"/>
                <w:bCs w:val="0"/>
                <w:sz w:val="20"/>
                <w:szCs w:val="20"/>
              </w:rPr>
              <w:t xml:space="preserve"> maintain a stable genotype after long-term in vitro culture, European Society for </w:t>
            </w:r>
            <w:proofErr w:type="spellStart"/>
            <w:r w:rsidRPr="001A3F8F">
              <w:rPr>
                <w:rFonts w:ascii="Times New Roman" w:hAnsi="Times New Roman" w:cs="Times New Roman"/>
                <w:b w:val="0"/>
                <w:bCs w:val="0"/>
                <w:sz w:val="20"/>
                <w:szCs w:val="20"/>
              </w:rPr>
              <w:t>Paediatric</w:t>
            </w:r>
            <w:proofErr w:type="spellEnd"/>
            <w:r w:rsidRPr="001A3F8F">
              <w:rPr>
                <w:rFonts w:ascii="Times New Roman" w:hAnsi="Times New Roman" w:cs="Times New Roman"/>
                <w:b w:val="0"/>
                <w:bCs w:val="0"/>
                <w:sz w:val="20"/>
                <w:szCs w:val="20"/>
              </w:rPr>
              <w:t xml:space="preserve"> Gastroenterology, Hepatology, and Nutrition Annual Meeting 2011. Journal of Pediatric Gastroenterology and Nutrition. http://dx.doi.org/10.1097/MPG.0b013e318224e326</w:t>
            </w:r>
          </w:p>
        </w:tc>
        <w:tc>
          <w:tcPr>
            <w:tcW w:w="1558" w:type="dxa"/>
          </w:tcPr>
          <w:p w14:paraId="328C62ED"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6A5D8D8D" w14:textId="77777777" w:rsidTr="0052204D">
        <w:trPr>
          <w:trHeight w:val="93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929C622"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Klotz B, </w:t>
            </w:r>
            <w:proofErr w:type="spellStart"/>
            <w:r w:rsidRPr="001A3F8F">
              <w:rPr>
                <w:rFonts w:ascii="Times New Roman" w:hAnsi="Times New Roman" w:cs="Times New Roman"/>
                <w:b w:val="0"/>
                <w:bCs w:val="0"/>
                <w:sz w:val="20"/>
                <w:szCs w:val="20"/>
              </w:rPr>
              <w:t>Mentrup</w:t>
            </w:r>
            <w:proofErr w:type="spellEnd"/>
            <w:r w:rsidRPr="001A3F8F">
              <w:rPr>
                <w:rFonts w:ascii="Times New Roman" w:hAnsi="Times New Roman" w:cs="Times New Roman"/>
                <w:b w:val="0"/>
                <w:bCs w:val="0"/>
                <w:sz w:val="20"/>
                <w:szCs w:val="20"/>
              </w:rPr>
              <w:t xml:space="preserve"> B, </w:t>
            </w:r>
            <w:proofErr w:type="spellStart"/>
            <w:r w:rsidRPr="001A3F8F">
              <w:rPr>
                <w:rFonts w:ascii="Times New Roman" w:hAnsi="Times New Roman" w:cs="Times New Roman"/>
                <w:b w:val="0"/>
                <w:bCs w:val="0"/>
                <w:sz w:val="20"/>
                <w:szCs w:val="20"/>
              </w:rPr>
              <w:t>Regensburger</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Zeck</w:t>
            </w:r>
            <w:proofErr w:type="spellEnd"/>
            <w:r w:rsidRPr="001A3F8F">
              <w:rPr>
                <w:rFonts w:ascii="Times New Roman" w:hAnsi="Times New Roman" w:cs="Times New Roman"/>
                <w:b w:val="0"/>
                <w:bCs w:val="0"/>
                <w:sz w:val="20"/>
                <w:szCs w:val="20"/>
              </w:rPr>
              <w:t xml:space="preserve"> S, </w:t>
            </w:r>
            <w:proofErr w:type="spellStart"/>
            <w:r w:rsidRPr="001A3F8F">
              <w:rPr>
                <w:rFonts w:ascii="Times New Roman" w:hAnsi="Times New Roman" w:cs="Times New Roman"/>
                <w:b w:val="0"/>
                <w:bCs w:val="0"/>
                <w:sz w:val="20"/>
                <w:szCs w:val="20"/>
              </w:rPr>
              <w:t>Schneidereit</w:t>
            </w:r>
            <w:proofErr w:type="spellEnd"/>
            <w:r w:rsidRPr="001A3F8F">
              <w:rPr>
                <w:rFonts w:ascii="Times New Roman" w:hAnsi="Times New Roman" w:cs="Times New Roman"/>
                <w:b w:val="0"/>
                <w:bCs w:val="0"/>
                <w:sz w:val="20"/>
                <w:szCs w:val="20"/>
              </w:rPr>
              <w:t xml:space="preserve"> J, Schupp N, Linden C, Merz C, Ebert R, Jakob F. 1,25-dihydroxyvitamin D3 treatment delays cellular aging in human mesenchymal stem cells while maintaining their multipotent capacity. </w:t>
            </w:r>
            <w:proofErr w:type="spellStart"/>
            <w:r w:rsidRPr="001A3F8F">
              <w:rPr>
                <w:rFonts w:ascii="Times New Roman" w:hAnsi="Times New Roman" w:cs="Times New Roman"/>
                <w:b w:val="0"/>
                <w:bCs w:val="0"/>
                <w:sz w:val="20"/>
                <w:szCs w:val="20"/>
              </w:rPr>
              <w:t>PLoS</w:t>
            </w:r>
            <w:proofErr w:type="spellEnd"/>
            <w:r w:rsidRPr="001A3F8F">
              <w:rPr>
                <w:rFonts w:ascii="Times New Roman" w:hAnsi="Times New Roman" w:cs="Times New Roman"/>
                <w:b w:val="0"/>
                <w:bCs w:val="0"/>
                <w:sz w:val="20"/>
                <w:szCs w:val="20"/>
              </w:rPr>
              <w:t xml:space="preserve"> One. 2012;7(1</w:t>
            </w:r>
            <w:proofErr w:type="gramStart"/>
            <w:r w:rsidRPr="001A3F8F">
              <w:rPr>
                <w:rFonts w:ascii="Times New Roman" w:hAnsi="Times New Roman" w:cs="Times New Roman"/>
                <w:b w:val="0"/>
                <w:bCs w:val="0"/>
                <w:sz w:val="20"/>
                <w:szCs w:val="20"/>
              </w:rPr>
              <w:t>):e</w:t>
            </w:r>
            <w:proofErr w:type="gramEnd"/>
            <w:r w:rsidRPr="001A3F8F">
              <w:rPr>
                <w:rFonts w:ascii="Times New Roman" w:hAnsi="Times New Roman" w:cs="Times New Roman"/>
                <w:b w:val="0"/>
                <w:bCs w:val="0"/>
                <w:sz w:val="20"/>
                <w:szCs w:val="20"/>
              </w:rPr>
              <w:t xml:space="preserve">29959.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10.1371/journal.pone.0029959.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2012 Jan 5. PMID: 22242193; PMCID: PMC3252365.</w:t>
            </w:r>
          </w:p>
        </w:tc>
        <w:tc>
          <w:tcPr>
            <w:tcW w:w="1558" w:type="dxa"/>
          </w:tcPr>
          <w:p w14:paraId="72A2CB48"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2B1CBFA5"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20C58EE"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Lapasset</w:t>
            </w:r>
            <w:proofErr w:type="spellEnd"/>
            <w:r w:rsidRPr="001A3F8F">
              <w:rPr>
                <w:rFonts w:ascii="Times New Roman" w:hAnsi="Times New Roman" w:cs="Times New Roman"/>
                <w:b w:val="0"/>
                <w:bCs w:val="0"/>
                <w:sz w:val="20"/>
                <w:szCs w:val="20"/>
              </w:rPr>
              <w:t xml:space="preserve"> L., </w:t>
            </w:r>
            <w:proofErr w:type="spellStart"/>
            <w:r w:rsidRPr="001A3F8F">
              <w:rPr>
                <w:rFonts w:ascii="Times New Roman" w:hAnsi="Times New Roman" w:cs="Times New Roman"/>
                <w:b w:val="0"/>
                <w:bCs w:val="0"/>
                <w:sz w:val="20"/>
                <w:szCs w:val="20"/>
              </w:rPr>
              <w:t>Milhavet</w:t>
            </w:r>
            <w:proofErr w:type="spellEnd"/>
            <w:r w:rsidRPr="001A3F8F">
              <w:rPr>
                <w:rFonts w:ascii="Times New Roman" w:hAnsi="Times New Roman" w:cs="Times New Roman"/>
                <w:b w:val="0"/>
                <w:bCs w:val="0"/>
                <w:sz w:val="20"/>
                <w:szCs w:val="20"/>
              </w:rPr>
              <w:t xml:space="preserve"> O., </w:t>
            </w:r>
            <w:proofErr w:type="spellStart"/>
            <w:r w:rsidRPr="001A3F8F">
              <w:rPr>
                <w:rFonts w:ascii="Times New Roman" w:hAnsi="Times New Roman" w:cs="Times New Roman"/>
                <w:b w:val="0"/>
                <w:bCs w:val="0"/>
                <w:sz w:val="20"/>
                <w:szCs w:val="20"/>
              </w:rPr>
              <w:t>Pellestor</w:t>
            </w:r>
            <w:proofErr w:type="spellEnd"/>
            <w:r w:rsidRPr="001A3F8F">
              <w:rPr>
                <w:rFonts w:ascii="Times New Roman" w:hAnsi="Times New Roman" w:cs="Times New Roman"/>
                <w:b w:val="0"/>
                <w:bCs w:val="0"/>
                <w:sz w:val="20"/>
                <w:szCs w:val="20"/>
              </w:rPr>
              <w:t xml:space="preserve"> F., </w:t>
            </w:r>
            <w:proofErr w:type="spellStart"/>
            <w:r w:rsidRPr="001A3F8F">
              <w:rPr>
                <w:rFonts w:ascii="Times New Roman" w:hAnsi="Times New Roman" w:cs="Times New Roman"/>
                <w:b w:val="0"/>
                <w:bCs w:val="0"/>
                <w:sz w:val="20"/>
                <w:szCs w:val="20"/>
              </w:rPr>
              <w:t>Prieur</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Aït-Hamou</w:t>
            </w:r>
            <w:proofErr w:type="spellEnd"/>
            <w:r w:rsidRPr="001A3F8F">
              <w:rPr>
                <w:rFonts w:ascii="Times New Roman" w:hAnsi="Times New Roman" w:cs="Times New Roman"/>
                <w:b w:val="0"/>
                <w:bCs w:val="0"/>
                <w:sz w:val="20"/>
                <w:szCs w:val="20"/>
              </w:rPr>
              <w:t xml:space="preserve"> N., </w:t>
            </w:r>
            <w:proofErr w:type="spellStart"/>
            <w:r w:rsidRPr="001A3F8F">
              <w:rPr>
                <w:rFonts w:ascii="Times New Roman" w:hAnsi="Times New Roman" w:cs="Times New Roman"/>
                <w:b w:val="0"/>
                <w:bCs w:val="0"/>
                <w:sz w:val="20"/>
                <w:szCs w:val="20"/>
              </w:rPr>
              <w:t>Lagnado</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Schwerer</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Besnard</w:t>
            </w:r>
            <w:proofErr w:type="spellEnd"/>
            <w:r w:rsidRPr="001A3F8F">
              <w:rPr>
                <w:rFonts w:ascii="Times New Roman" w:hAnsi="Times New Roman" w:cs="Times New Roman"/>
                <w:b w:val="0"/>
                <w:bCs w:val="0"/>
                <w:sz w:val="20"/>
                <w:szCs w:val="20"/>
              </w:rPr>
              <w:t xml:space="preserve"> E., </w:t>
            </w:r>
            <w:proofErr w:type="spellStart"/>
            <w:r w:rsidRPr="001A3F8F">
              <w:rPr>
                <w:rFonts w:ascii="Times New Roman" w:hAnsi="Times New Roman" w:cs="Times New Roman"/>
                <w:b w:val="0"/>
                <w:bCs w:val="0"/>
                <w:sz w:val="20"/>
                <w:szCs w:val="20"/>
              </w:rPr>
              <w:t>Babled</w:t>
            </w:r>
            <w:proofErr w:type="spellEnd"/>
            <w:r w:rsidRPr="001A3F8F">
              <w:rPr>
                <w:rFonts w:ascii="Times New Roman" w:hAnsi="Times New Roman" w:cs="Times New Roman"/>
                <w:b w:val="0"/>
                <w:bCs w:val="0"/>
                <w:sz w:val="20"/>
                <w:szCs w:val="20"/>
              </w:rPr>
              <w:t xml:space="preserve"> A., Ramirez J.M., De Vos J., Lehmann S., Lemaitre J.-M. (2013). Exploring strategies for cell rejuvenation and tissues regeneration, 23rd Annual Meeting of the European Tissue Repair Society. Wound Repair and Regeneration. </w:t>
            </w:r>
          </w:p>
        </w:tc>
        <w:tc>
          <w:tcPr>
            <w:tcW w:w="1558" w:type="dxa"/>
          </w:tcPr>
          <w:p w14:paraId="4EBC5BDB"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704C7DC9"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8F0E3A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Chen C., Sun K., </w:t>
            </w:r>
            <w:proofErr w:type="spellStart"/>
            <w:r w:rsidRPr="001A3F8F">
              <w:rPr>
                <w:rFonts w:ascii="Times New Roman" w:hAnsi="Times New Roman" w:cs="Times New Roman"/>
                <w:b w:val="0"/>
                <w:bCs w:val="0"/>
                <w:sz w:val="20"/>
                <w:szCs w:val="20"/>
              </w:rPr>
              <w:t>Geng</w:t>
            </w:r>
            <w:proofErr w:type="spellEnd"/>
            <w:r w:rsidRPr="001A3F8F">
              <w:rPr>
                <w:rFonts w:ascii="Times New Roman" w:hAnsi="Times New Roman" w:cs="Times New Roman"/>
                <w:b w:val="0"/>
                <w:bCs w:val="0"/>
                <w:sz w:val="20"/>
                <w:szCs w:val="20"/>
              </w:rPr>
              <w:t xml:space="preserve"> S., Liu J., Zhou Y., Wang L., Wang J.-W., Huang G.-N., Wang Y.-P. (2013). Effect of ginsenoside Rg1 on radiation-induced senescence of hematopoietic stem/progenitor cells and relevant mechanism. Chinese Journal of Biologicals, 26(11), 1604-1609+1616. </w:t>
            </w:r>
          </w:p>
        </w:tc>
        <w:tc>
          <w:tcPr>
            <w:tcW w:w="1558" w:type="dxa"/>
          </w:tcPr>
          <w:p w14:paraId="1C5B294F"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7FC186E3" w14:textId="77777777" w:rsidTr="0052204D">
        <w:trPr>
          <w:cnfStyle w:val="000000100000" w:firstRow="0" w:lastRow="0" w:firstColumn="0" w:lastColumn="0" w:oddVBand="0" w:evenVBand="0" w:oddHBand="1" w:evenHBand="0" w:firstRowFirstColumn="0" w:firstRowLastColumn="0" w:lastRowFirstColumn="0" w:lastRowLastColumn="0"/>
          <w:trHeight w:val="1248"/>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18269C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Cipriani P, Di Benedetto P, </w:t>
            </w:r>
            <w:proofErr w:type="spellStart"/>
            <w:r w:rsidRPr="001A3F8F">
              <w:rPr>
                <w:rFonts w:ascii="Times New Roman" w:hAnsi="Times New Roman" w:cs="Times New Roman"/>
                <w:b w:val="0"/>
                <w:bCs w:val="0"/>
                <w:sz w:val="20"/>
                <w:szCs w:val="20"/>
              </w:rPr>
              <w:t>Liakouli</w:t>
            </w:r>
            <w:proofErr w:type="spellEnd"/>
            <w:r w:rsidRPr="001A3F8F">
              <w:rPr>
                <w:rFonts w:ascii="Times New Roman" w:hAnsi="Times New Roman" w:cs="Times New Roman"/>
                <w:b w:val="0"/>
                <w:bCs w:val="0"/>
                <w:sz w:val="20"/>
                <w:szCs w:val="20"/>
              </w:rPr>
              <w:t xml:space="preserve"> V, Del Papa B, Di Padova M, Di </w:t>
            </w:r>
            <w:proofErr w:type="spellStart"/>
            <w:r w:rsidRPr="001A3F8F">
              <w:rPr>
                <w:rFonts w:ascii="Times New Roman" w:hAnsi="Times New Roman" w:cs="Times New Roman"/>
                <w:b w:val="0"/>
                <w:bCs w:val="0"/>
                <w:sz w:val="20"/>
                <w:szCs w:val="20"/>
              </w:rPr>
              <w:t>Ianni</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Marrelli</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Alesse</w:t>
            </w:r>
            <w:proofErr w:type="spellEnd"/>
            <w:r w:rsidRPr="001A3F8F">
              <w:rPr>
                <w:rFonts w:ascii="Times New Roman" w:hAnsi="Times New Roman" w:cs="Times New Roman"/>
                <w:b w:val="0"/>
                <w:bCs w:val="0"/>
                <w:sz w:val="20"/>
                <w:szCs w:val="20"/>
              </w:rPr>
              <w:t xml:space="preserve"> E, </w:t>
            </w:r>
            <w:proofErr w:type="spellStart"/>
            <w:r w:rsidRPr="001A3F8F">
              <w:rPr>
                <w:rFonts w:ascii="Times New Roman" w:hAnsi="Times New Roman" w:cs="Times New Roman"/>
                <w:b w:val="0"/>
                <w:bCs w:val="0"/>
                <w:sz w:val="20"/>
                <w:szCs w:val="20"/>
              </w:rPr>
              <w:t>Giacomelli</w:t>
            </w:r>
            <w:proofErr w:type="spellEnd"/>
            <w:r w:rsidRPr="001A3F8F">
              <w:rPr>
                <w:rFonts w:ascii="Times New Roman" w:hAnsi="Times New Roman" w:cs="Times New Roman"/>
                <w:b w:val="0"/>
                <w:bCs w:val="0"/>
                <w:sz w:val="20"/>
                <w:szCs w:val="20"/>
              </w:rPr>
              <w:t xml:space="preserve"> R. Mesenchymal stem cells (MSCs) from scleroderma patients (</w:t>
            </w:r>
            <w:proofErr w:type="spellStart"/>
            <w:r w:rsidRPr="001A3F8F">
              <w:rPr>
                <w:rFonts w:ascii="Times New Roman" w:hAnsi="Times New Roman" w:cs="Times New Roman"/>
                <w:b w:val="0"/>
                <w:bCs w:val="0"/>
                <w:sz w:val="20"/>
                <w:szCs w:val="20"/>
              </w:rPr>
              <w:t>SSc</w:t>
            </w:r>
            <w:proofErr w:type="spellEnd"/>
            <w:r w:rsidRPr="001A3F8F">
              <w:rPr>
                <w:rFonts w:ascii="Times New Roman" w:hAnsi="Times New Roman" w:cs="Times New Roman"/>
                <w:b w:val="0"/>
                <w:bCs w:val="0"/>
                <w:sz w:val="20"/>
                <w:szCs w:val="20"/>
              </w:rPr>
              <w:t xml:space="preserve">) preserve their immunomodulatory properties although senescent and normally induce T regulatory cells (Tregs) with a functional phenotype: implications for cellular-based therapy. Clin Exp Immunol. 2013 Aug;173(2):195-206.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10.1111/cei.12111. PMID: 23607751; PMCID: PMC3722920.</w:t>
            </w:r>
          </w:p>
        </w:tc>
        <w:tc>
          <w:tcPr>
            <w:tcW w:w="1558" w:type="dxa"/>
          </w:tcPr>
          <w:p w14:paraId="4321B8F6"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23718900"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E60A448"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Gullo</w:t>
            </w:r>
            <w:proofErr w:type="spellEnd"/>
            <w:r w:rsidRPr="001A3F8F">
              <w:rPr>
                <w:rFonts w:ascii="Times New Roman" w:hAnsi="Times New Roman" w:cs="Times New Roman"/>
                <w:b w:val="0"/>
                <w:bCs w:val="0"/>
                <w:sz w:val="20"/>
                <w:szCs w:val="20"/>
              </w:rPr>
              <w:t xml:space="preserve"> F, De Bari C. Prospective purification of a subpopulation of human synovial mesenchymal stem cells with enhanced chondro-osteogenic potency. Rheumatology (Oxford). 2013 Oct;52(10):1758-68.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10.1093/rheumatology/ket205.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2013 Jun 26. PMID: 23804221.</w:t>
            </w:r>
          </w:p>
        </w:tc>
        <w:tc>
          <w:tcPr>
            <w:tcW w:w="1558" w:type="dxa"/>
          </w:tcPr>
          <w:p w14:paraId="1C8B34B3"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53F9AA6"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5A193E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Jun HS, Dao LT, </w:t>
            </w:r>
            <w:proofErr w:type="spellStart"/>
            <w:r w:rsidRPr="001A3F8F">
              <w:rPr>
                <w:rFonts w:ascii="Times New Roman" w:hAnsi="Times New Roman" w:cs="Times New Roman"/>
                <w:b w:val="0"/>
                <w:bCs w:val="0"/>
                <w:sz w:val="20"/>
                <w:szCs w:val="20"/>
              </w:rPr>
              <w:t>Pyun</w:t>
            </w:r>
            <w:proofErr w:type="spellEnd"/>
            <w:r w:rsidRPr="001A3F8F">
              <w:rPr>
                <w:rFonts w:ascii="Times New Roman" w:hAnsi="Times New Roman" w:cs="Times New Roman"/>
                <w:b w:val="0"/>
                <w:bCs w:val="0"/>
                <w:sz w:val="20"/>
                <w:szCs w:val="20"/>
              </w:rPr>
              <w:t xml:space="preserve"> JC, Cho S. Effect of cell senescence on the impedance measurement of adipose tissue-derived stem cells. Enzyme </w:t>
            </w:r>
            <w:proofErr w:type="spellStart"/>
            <w:r w:rsidRPr="001A3F8F">
              <w:rPr>
                <w:rFonts w:ascii="Times New Roman" w:hAnsi="Times New Roman" w:cs="Times New Roman"/>
                <w:b w:val="0"/>
                <w:bCs w:val="0"/>
                <w:sz w:val="20"/>
                <w:szCs w:val="20"/>
              </w:rPr>
              <w:t>Microb</w:t>
            </w:r>
            <w:proofErr w:type="spellEnd"/>
            <w:r w:rsidRPr="001A3F8F">
              <w:rPr>
                <w:rFonts w:ascii="Times New Roman" w:hAnsi="Times New Roman" w:cs="Times New Roman"/>
                <w:b w:val="0"/>
                <w:bCs w:val="0"/>
                <w:sz w:val="20"/>
                <w:szCs w:val="20"/>
              </w:rPr>
              <w:t xml:space="preserve"> Technol. 2013 Oct 10;53(5):302-6.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10.1016/j.enzmictec.2013.07.001.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2013 Jul 16. PMID: 24034428.</w:t>
            </w:r>
          </w:p>
        </w:tc>
        <w:tc>
          <w:tcPr>
            <w:tcW w:w="1558" w:type="dxa"/>
          </w:tcPr>
          <w:p w14:paraId="32B3C2A9"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1771BDB6"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41C9032"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He X., Li X., Bao H.-J., Wang R.-F., Liu Y.-D., Song S.-W. (2014). Effects of three-dimensional spheroid culture system on biological characteristics of mouse bone marrow mesenchymal stem cells. Chinese Journal of Tissue Engineering Research, 18(45), 7227-7232. http://dx.doi.org/10.3969/j.issn.2095-4344.2014.45.003</w:t>
            </w:r>
          </w:p>
        </w:tc>
        <w:tc>
          <w:tcPr>
            <w:tcW w:w="1558" w:type="dxa"/>
          </w:tcPr>
          <w:p w14:paraId="36D4A95A"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03790329"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187A4B2"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Klinkhammer</w:t>
            </w:r>
            <w:proofErr w:type="spellEnd"/>
            <w:r w:rsidRPr="001A3F8F">
              <w:rPr>
                <w:rFonts w:ascii="Times New Roman" w:hAnsi="Times New Roman" w:cs="Times New Roman"/>
                <w:b w:val="0"/>
                <w:bCs w:val="0"/>
                <w:sz w:val="20"/>
                <w:szCs w:val="20"/>
              </w:rPr>
              <w:t xml:space="preserve"> BM, </w:t>
            </w:r>
            <w:proofErr w:type="spellStart"/>
            <w:r w:rsidRPr="001A3F8F">
              <w:rPr>
                <w:rFonts w:ascii="Times New Roman" w:hAnsi="Times New Roman" w:cs="Times New Roman"/>
                <w:b w:val="0"/>
                <w:bCs w:val="0"/>
                <w:sz w:val="20"/>
                <w:szCs w:val="20"/>
              </w:rPr>
              <w:t>Kramann</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Mallau</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Makowska</w:t>
            </w:r>
            <w:proofErr w:type="spellEnd"/>
            <w:r w:rsidRPr="001A3F8F">
              <w:rPr>
                <w:rFonts w:ascii="Times New Roman" w:hAnsi="Times New Roman" w:cs="Times New Roman"/>
                <w:b w:val="0"/>
                <w:bCs w:val="0"/>
                <w:sz w:val="20"/>
                <w:szCs w:val="20"/>
              </w:rPr>
              <w:t xml:space="preserve"> A, van </w:t>
            </w:r>
            <w:proofErr w:type="spellStart"/>
            <w:r w:rsidRPr="001A3F8F">
              <w:rPr>
                <w:rFonts w:ascii="Times New Roman" w:hAnsi="Times New Roman" w:cs="Times New Roman"/>
                <w:b w:val="0"/>
                <w:bCs w:val="0"/>
                <w:sz w:val="20"/>
                <w:szCs w:val="20"/>
              </w:rPr>
              <w:t>Roeyen</w:t>
            </w:r>
            <w:proofErr w:type="spellEnd"/>
            <w:r w:rsidRPr="001A3F8F">
              <w:rPr>
                <w:rFonts w:ascii="Times New Roman" w:hAnsi="Times New Roman" w:cs="Times New Roman"/>
                <w:b w:val="0"/>
                <w:bCs w:val="0"/>
                <w:sz w:val="20"/>
                <w:szCs w:val="20"/>
              </w:rPr>
              <w:t xml:space="preserve"> CR, Rong S, </w:t>
            </w:r>
            <w:proofErr w:type="spellStart"/>
            <w:r w:rsidRPr="001A3F8F">
              <w:rPr>
                <w:rFonts w:ascii="Times New Roman" w:hAnsi="Times New Roman" w:cs="Times New Roman"/>
                <w:b w:val="0"/>
                <w:bCs w:val="0"/>
                <w:sz w:val="20"/>
                <w:szCs w:val="20"/>
              </w:rPr>
              <w:t>Buecher</w:t>
            </w:r>
            <w:proofErr w:type="spellEnd"/>
            <w:r w:rsidRPr="001A3F8F">
              <w:rPr>
                <w:rFonts w:ascii="Times New Roman" w:hAnsi="Times New Roman" w:cs="Times New Roman"/>
                <w:b w:val="0"/>
                <w:bCs w:val="0"/>
                <w:sz w:val="20"/>
                <w:szCs w:val="20"/>
              </w:rPr>
              <w:t xml:space="preserve"> EB, Boor P, </w:t>
            </w:r>
            <w:proofErr w:type="spellStart"/>
            <w:r w:rsidRPr="001A3F8F">
              <w:rPr>
                <w:rFonts w:ascii="Times New Roman" w:hAnsi="Times New Roman" w:cs="Times New Roman"/>
                <w:b w:val="0"/>
                <w:bCs w:val="0"/>
                <w:sz w:val="20"/>
                <w:szCs w:val="20"/>
              </w:rPr>
              <w:t>Kovacova</w:t>
            </w:r>
            <w:proofErr w:type="spellEnd"/>
            <w:r w:rsidRPr="001A3F8F">
              <w:rPr>
                <w:rFonts w:ascii="Times New Roman" w:hAnsi="Times New Roman" w:cs="Times New Roman"/>
                <w:b w:val="0"/>
                <w:bCs w:val="0"/>
                <w:sz w:val="20"/>
                <w:szCs w:val="20"/>
              </w:rPr>
              <w:t xml:space="preserve"> K, </w:t>
            </w:r>
            <w:proofErr w:type="spellStart"/>
            <w:r w:rsidRPr="001A3F8F">
              <w:rPr>
                <w:rFonts w:ascii="Times New Roman" w:hAnsi="Times New Roman" w:cs="Times New Roman"/>
                <w:b w:val="0"/>
                <w:bCs w:val="0"/>
                <w:sz w:val="20"/>
                <w:szCs w:val="20"/>
              </w:rPr>
              <w:t>Zok</w:t>
            </w:r>
            <w:proofErr w:type="spellEnd"/>
            <w:r w:rsidRPr="001A3F8F">
              <w:rPr>
                <w:rFonts w:ascii="Times New Roman" w:hAnsi="Times New Roman" w:cs="Times New Roman"/>
                <w:b w:val="0"/>
                <w:bCs w:val="0"/>
                <w:sz w:val="20"/>
                <w:szCs w:val="20"/>
              </w:rPr>
              <w:t xml:space="preserve"> S, </w:t>
            </w:r>
            <w:proofErr w:type="spellStart"/>
            <w:r w:rsidRPr="001A3F8F">
              <w:rPr>
                <w:rFonts w:ascii="Times New Roman" w:hAnsi="Times New Roman" w:cs="Times New Roman"/>
                <w:b w:val="0"/>
                <w:bCs w:val="0"/>
                <w:sz w:val="20"/>
                <w:szCs w:val="20"/>
              </w:rPr>
              <w:t>Denecke</w:t>
            </w:r>
            <w:proofErr w:type="spellEnd"/>
            <w:r w:rsidRPr="001A3F8F">
              <w:rPr>
                <w:rFonts w:ascii="Times New Roman" w:hAnsi="Times New Roman" w:cs="Times New Roman"/>
                <w:b w:val="0"/>
                <w:bCs w:val="0"/>
                <w:sz w:val="20"/>
                <w:szCs w:val="20"/>
              </w:rPr>
              <w:t xml:space="preserve"> B, </w:t>
            </w:r>
            <w:proofErr w:type="spellStart"/>
            <w:r w:rsidRPr="001A3F8F">
              <w:rPr>
                <w:rFonts w:ascii="Times New Roman" w:hAnsi="Times New Roman" w:cs="Times New Roman"/>
                <w:b w:val="0"/>
                <w:bCs w:val="0"/>
                <w:sz w:val="20"/>
                <w:szCs w:val="20"/>
              </w:rPr>
              <w:t>Stuettgen</w:t>
            </w:r>
            <w:proofErr w:type="spellEnd"/>
            <w:r w:rsidRPr="001A3F8F">
              <w:rPr>
                <w:rFonts w:ascii="Times New Roman" w:hAnsi="Times New Roman" w:cs="Times New Roman"/>
                <w:b w:val="0"/>
                <w:bCs w:val="0"/>
                <w:sz w:val="20"/>
                <w:szCs w:val="20"/>
              </w:rPr>
              <w:t xml:space="preserve"> E, Otten S, </w:t>
            </w:r>
            <w:proofErr w:type="spellStart"/>
            <w:r w:rsidRPr="001A3F8F">
              <w:rPr>
                <w:rFonts w:ascii="Times New Roman" w:hAnsi="Times New Roman" w:cs="Times New Roman"/>
                <w:b w:val="0"/>
                <w:bCs w:val="0"/>
                <w:sz w:val="20"/>
                <w:szCs w:val="20"/>
              </w:rPr>
              <w:t>Floege</w:t>
            </w:r>
            <w:proofErr w:type="spellEnd"/>
            <w:r w:rsidRPr="001A3F8F">
              <w:rPr>
                <w:rFonts w:ascii="Times New Roman" w:hAnsi="Times New Roman" w:cs="Times New Roman"/>
                <w:b w:val="0"/>
                <w:bCs w:val="0"/>
                <w:sz w:val="20"/>
                <w:szCs w:val="20"/>
              </w:rPr>
              <w:t xml:space="preserve"> J, </w:t>
            </w:r>
            <w:proofErr w:type="spellStart"/>
            <w:r w:rsidRPr="001A3F8F">
              <w:rPr>
                <w:rFonts w:ascii="Times New Roman" w:hAnsi="Times New Roman" w:cs="Times New Roman"/>
                <w:b w:val="0"/>
                <w:bCs w:val="0"/>
                <w:sz w:val="20"/>
                <w:szCs w:val="20"/>
              </w:rPr>
              <w:t>Kunter</w:t>
            </w:r>
            <w:proofErr w:type="spellEnd"/>
            <w:r w:rsidRPr="001A3F8F">
              <w:rPr>
                <w:rFonts w:ascii="Times New Roman" w:hAnsi="Times New Roman" w:cs="Times New Roman"/>
                <w:b w:val="0"/>
                <w:bCs w:val="0"/>
                <w:sz w:val="20"/>
                <w:szCs w:val="20"/>
              </w:rPr>
              <w:t xml:space="preserve"> U. Mesenchymal stem cells from rats with chronic kidney disease exhibit premature senescence and loss of regenerative potential. </w:t>
            </w:r>
            <w:proofErr w:type="spellStart"/>
            <w:r w:rsidRPr="001A3F8F">
              <w:rPr>
                <w:rFonts w:ascii="Times New Roman" w:hAnsi="Times New Roman" w:cs="Times New Roman"/>
                <w:b w:val="0"/>
                <w:bCs w:val="0"/>
                <w:sz w:val="20"/>
                <w:szCs w:val="20"/>
              </w:rPr>
              <w:t>PLoS</w:t>
            </w:r>
            <w:proofErr w:type="spellEnd"/>
            <w:r w:rsidRPr="001A3F8F">
              <w:rPr>
                <w:rFonts w:ascii="Times New Roman" w:hAnsi="Times New Roman" w:cs="Times New Roman"/>
                <w:b w:val="0"/>
                <w:bCs w:val="0"/>
                <w:sz w:val="20"/>
                <w:szCs w:val="20"/>
              </w:rPr>
              <w:t xml:space="preserve"> One. 2014 Mar 25;9(3</w:t>
            </w:r>
            <w:proofErr w:type="gramStart"/>
            <w:r w:rsidRPr="001A3F8F">
              <w:rPr>
                <w:rFonts w:ascii="Times New Roman" w:hAnsi="Times New Roman" w:cs="Times New Roman"/>
                <w:b w:val="0"/>
                <w:bCs w:val="0"/>
                <w:sz w:val="20"/>
                <w:szCs w:val="20"/>
              </w:rPr>
              <w:t>):e</w:t>
            </w:r>
            <w:proofErr w:type="gramEnd"/>
            <w:r w:rsidRPr="001A3F8F">
              <w:rPr>
                <w:rFonts w:ascii="Times New Roman" w:hAnsi="Times New Roman" w:cs="Times New Roman"/>
                <w:b w:val="0"/>
                <w:bCs w:val="0"/>
                <w:sz w:val="20"/>
                <w:szCs w:val="20"/>
              </w:rPr>
              <w:t xml:space="preserve">92115.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10.1371/journal.pone.0092115. PMID: 24667162; PMCID: PMC3965415.</w:t>
            </w:r>
          </w:p>
        </w:tc>
        <w:tc>
          <w:tcPr>
            <w:tcW w:w="1558" w:type="dxa"/>
          </w:tcPr>
          <w:p w14:paraId="4BC5EF45"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51E9B660"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47AF9B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lastRenderedPageBreak/>
              <w:t xml:space="preserve">Kumar D., </w:t>
            </w:r>
            <w:proofErr w:type="spellStart"/>
            <w:r w:rsidRPr="001A3F8F">
              <w:rPr>
                <w:rFonts w:ascii="Times New Roman" w:hAnsi="Times New Roman" w:cs="Times New Roman"/>
                <w:b w:val="0"/>
                <w:bCs w:val="0"/>
                <w:sz w:val="20"/>
                <w:szCs w:val="20"/>
              </w:rPr>
              <w:t>Rooge</w:t>
            </w:r>
            <w:proofErr w:type="spellEnd"/>
            <w:r w:rsidRPr="001A3F8F">
              <w:rPr>
                <w:rFonts w:ascii="Times New Roman" w:hAnsi="Times New Roman" w:cs="Times New Roman"/>
                <w:b w:val="0"/>
                <w:bCs w:val="0"/>
                <w:sz w:val="20"/>
                <w:szCs w:val="20"/>
              </w:rPr>
              <w:t xml:space="preserve"> S.B., Shubham S., Anand L., Mohanty S., Bihari C., Kumar A., Sarin S.K. (2015). Bone marrow mesenchymal stem cells (BMSCS) from decompensated </w:t>
            </w:r>
            <w:proofErr w:type="spellStart"/>
            <w:r w:rsidRPr="001A3F8F">
              <w:rPr>
                <w:rFonts w:ascii="Times New Roman" w:hAnsi="Times New Roman" w:cs="Times New Roman"/>
                <w:b w:val="0"/>
                <w:bCs w:val="0"/>
                <w:sz w:val="20"/>
                <w:szCs w:val="20"/>
              </w:rPr>
              <w:t>cirrhotics</w:t>
            </w:r>
            <w:proofErr w:type="spellEnd"/>
            <w:r w:rsidRPr="001A3F8F">
              <w:rPr>
                <w:rFonts w:ascii="Times New Roman" w:hAnsi="Times New Roman" w:cs="Times New Roman"/>
                <w:b w:val="0"/>
                <w:bCs w:val="0"/>
                <w:sz w:val="20"/>
                <w:szCs w:val="20"/>
              </w:rPr>
              <w:t xml:space="preserve"> show premature senescence and limited tissue repair and regenerative potential, 66th Annual Meeting of the American Association for the Study of Liver Diseases: The Liver Meeting 2015. Hepatology. http://dx.doi.org/10.1002/hep.28216</w:t>
            </w:r>
          </w:p>
        </w:tc>
        <w:tc>
          <w:tcPr>
            <w:tcW w:w="1558" w:type="dxa"/>
          </w:tcPr>
          <w:p w14:paraId="0CCA8F57"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33A7650B"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E065C71" w14:textId="347B4E9D" w:rsidR="0052204D" w:rsidRPr="00AE20BE" w:rsidRDefault="0052204D" w:rsidP="001A3F8F">
            <w:pPr>
              <w:jc w:val="both"/>
              <w:rPr>
                <w:rFonts w:ascii="Times New Roman" w:hAnsi="Times New Roman" w:cs="Times New Roman"/>
                <w:b w:val="0"/>
                <w:bCs w:val="0"/>
                <w:sz w:val="20"/>
                <w:szCs w:val="20"/>
              </w:rPr>
            </w:pPr>
            <w:r w:rsidRPr="00AE20BE">
              <w:rPr>
                <w:rFonts w:ascii="Times New Roman" w:hAnsi="Times New Roman" w:cs="Times New Roman"/>
                <w:b w:val="0"/>
                <w:bCs w:val="0"/>
                <w:sz w:val="20"/>
                <w:szCs w:val="20"/>
                <w:lang w:val="pt-BR"/>
              </w:rPr>
              <w:t xml:space="preserve">Machado AK, </w:t>
            </w:r>
            <w:proofErr w:type="spellStart"/>
            <w:r w:rsidRPr="00AE20BE">
              <w:rPr>
                <w:rFonts w:ascii="Times New Roman" w:hAnsi="Times New Roman" w:cs="Times New Roman"/>
                <w:b w:val="0"/>
                <w:bCs w:val="0"/>
                <w:sz w:val="20"/>
                <w:szCs w:val="20"/>
                <w:lang w:val="pt-BR"/>
              </w:rPr>
              <w:t>Cadoná</w:t>
            </w:r>
            <w:proofErr w:type="spellEnd"/>
            <w:r w:rsidRPr="00AE20BE">
              <w:rPr>
                <w:rFonts w:ascii="Times New Roman" w:hAnsi="Times New Roman" w:cs="Times New Roman"/>
                <w:b w:val="0"/>
                <w:bCs w:val="0"/>
                <w:sz w:val="20"/>
                <w:szCs w:val="20"/>
                <w:lang w:val="pt-BR"/>
              </w:rPr>
              <w:t xml:space="preserve"> FC, </w:t>
            </w:r>
            <w:proofErr w:type="spellStart"/>
            <w:r w:rsidRPr="00AE20BE">
              <w:rPr>
                <w:rFonts w:ascii="Times New Roman" w:hAnsi="Times New Roman" w:cs="Times New Roman"/>
                <w:b w:val="0"/>
                <w:bCs w:val="0"/>
                <w:sz w:val="20"/>
                <w:szCs w:val="20"/>
                <w:lang w:val="pt-BR"/>
              </w:rPr>
              <w:t>Azzolin</w:t>
            </w:r>
            <w:proofErr w:type="spellEnd"/>
            <w:r w:rsidRPr="00AE20BE">
              <w:rPr>
                <w:rFonts w:ascii="Times New Roman" w:hAnsi="Times New Roman" w:cs="Times New Roman"/>
                <w:b w:val="0"/>
                <w:bCs w:val="0"/>
                <w:sz w:val="20"/>
                <w:szCs w:val="20"/>
                <w:lang w:val="pt-BR"/>
              </w:rPr>
              <w:t xml:space="preserve"> VF, Dornelles EB, </w:t>
            </w:r>
            <w:proofErr w:type="spellStart"/>
            <w:r w:rsidRPr="00AE20BE">
              <w:rPr>
                <w:rFonts w:ascii="Times New Roman" w:hAnsi="Times New Roman" w:cs="Times New Roman"/>
                <w:b w:val="0"/>
                <w:bCs w:val="0"/>
                <w:sz w:val="20"/>
                <w:szCs w:val="20"/>
                <w:lang w:val="pt-BR"/>
              </w:rPr>
              <w:t>Barbisan</w:t>
            </w:r>
            <w:proofErr w:type="spellEnd"/>
            <w:r w:rsidRPr="00AE20BE">
              <w:rPr>
                <w:rFonts w:ascii="Times New Roman" w:hAnsi="Times New Roman" w:cs="Times New Roman"/>
                <w:b w:val="0"/>
                <w:bCs w:val="0"/>
                <w:sz w:val="20"/>
                <w:szCs w:val="20"/>
                <w:lang w:val="pt-BR"/>
              </w:rPr>
              <w:t xml:space="preserve"> F, Ribeiro EE, </w:t>
            </w:r>
            <w:r w:rsidR="00AE20BE" w:rsidRPr="00AE20BE">
              <w:rPr>
                <w:rFonts w:ascii="Times New Roman" w:hAnsi="Times New Roman" w:cs="Times New Roman"/>
                <w:b w:val="0"/>
                <w:bCs w:val="0"/>
                <w:i/>
                <w:sz w:val="20"/>
                <w:szCs w:val="20"/>
                <w:lang w:val="pt-BR"/>
              </w:rPr>
              <w:t>et al</w:t>
            </w:r>
            <w:r w:rsidRPr="00AE20BE">
              <w:rPr>
                <w:rFonts w:ascii="Times New Roman" w:hAnsi="Times New Roman" w:cs="Times New Roman"/>
                <w:b w:val="0"/>
                <w:bCs w:val="0"/>
                <w:sz w:val="20"/>
                <w:szCs w:val="20"/>
                <w:lang w:val="pt-BR"/>
              </w:rPr>
              <w:t xml:space="preserve">. </w:t>
            </w:r>
            <w:proofErr w:type="spellStart"/>
            <w:r w:rsidRPr="00AE20BE">
              <w:rPr>
                <w:rFonts w:ascii="Times New Roman" w:hAnsi="Times New Roman" w:cs="Times New Roman"/>
                <w:b w:val="0"/>
                <w:bCs w:val="0"/>
                <w:sz w:val="20"/>
                <w:szCs w:val="20"/>
              </w:rPr>
              <w:t>Guaraná</w:t>
            </w:r>
            <w:proofErr w:type="spellEnd"/>
            <w:r w:rsidRPr="00AE20BE">
              <w:rPr>
                <w:rFonts w:ascii="Times New Roman" w:hAnsi="Times New Roman" w:cs="Times New Roman"/>
                <w:b w:val="0"/>
                <w:bCs w:val="0"/>
                <w:sz w:val="20"/>
                <w:szCs w:val="20"/>
              </w:rPr>
              <w:t xml:space="preserve"> (</w:t>
            </w:r>
            <w:proofErr w:type="spellStart"/>
            <w:r w:rsidRPr="00AE20BE">
              <w:rPr>
                <w:rFonts w:ascii="Times New Roman" w:hAnsi="Times New Roman" w:cs="Times New Roman"/>
                <w:b w:val="0"/>
                <w:bCs w:val="0"/>
                <w:sz w:val="20"/>
                <w:szCs w:val="20"/>
              </w:rPr>
              <w:t>Paulinia</w:t>
            </w:r>
            <w:proofErr w:type="spellEnd"/>
            <w:r w:rsidRPr="00AE20BE">
              <w:rPr>
                <w:rFonts w:ascii="Times New Roman" w:hAnsi="Times New Roman" w:cs="Times New Roman"/>
                <w:b w:val="0"/>
                <w:bCs w:val="0"/>
                <w:sz w:val="20"/>
                <w:szCs w:val="20"/>
              </w:rPr>
              <w:t xml:space="preserve"> </w:t>
            </w:r>
            <w:proofErr w:type="spellStart"/>
            <w:r w:rsidRPr="00AE20BE">
              <w:rPr>
                <w:rFonts w:ascii="Times New Roman" w:hAnsi="Times New Roman" w:cs="Times New Roman"/>
                <w:b w:val="0"/>
                <w:bCs w:val="0"/>
                <w:sz w:val="20"/>
                <w:szCs w:val="20"/>
              </w:rPr>
              <w:t>cupana</w:t>
            </w:r>
            <w:proofErr w:type="spellEnd"/>
            <w:r w:rsidRPr="00AE20BE">
              <w:rPr>
                <w:rFonts w:ascii="Times New Roman" w:hAnsi="Times New Roman" w:cs="Times New Roman"/>
                <w:b w:val="0"/>
                <w:bCs w:val="0"/>
                <w:sz w:val="20"/>
                <w:szCs w:val="20"/>
              </w:rPr>
              <w:t xml:space="preserve">) improves the proliferation and oxidative metabolism of senescent adipocyte stem cells derived from human lipoaspirates. Food Res Int. </w:t>
            </w:r>
            <w:proofErr w:type="gramStart"/>
            <w:r w:rsidRPr="00AE20BE">
              <w:rPr>
                <w:rFonts w:ascii="Times New Roman" w:hAnsi="Times New Roman" w:cs="Times New Roman"/>
                <w:b w:val="0"/>
                <w:bCs w:val="0"/>
                <w:sz w:val="20"/>
                <w:szCs w:val="20"/>
              </w:rPr>
              <w:t>2015;67:426</w:t>
            </w:r>
            <w:proofErr w:type="gramEnd"/>
            <w:r w:rsidRPr="00AE20BE">
              <w:rPr>
                <w:rFonts w:ascii="Times New Roman" w:hAnsi="Times New Roman" w:cs="Times New Roman"/>
                <w:b w:val="0"/>
                <w:bCs w:val="0"/>
                <w:sz w:val="20"/>
                <w:szCs w:val="20"/>
              </w:rPr>
              <w:t>-33.</w:t>
            </w:r>
          </w:p>
        </w:tc>
        <w:tc>
          <w:tcPr>
            <w:tcW w:w="1558" w:type="dxa"/>
          </w:tcPr>
          <w:p w14:paraId="25150D2E"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rPr>
              <w:t>5</w:t>
            </w:r>
          </w:p>
        </w:tc>
      </w:tr>
      <w:tr w:rsidR="0052204D" w:rsidRPr="001A3F8F" w14:paraId="246E5746"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7DC2DD7"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Cho JG, Lee JH, Hong SH, Lee HN, Kim CM, Kim SY, Yoon KJ, Oh BJ, Kim JH, Jung SY, </w:t>
            </w:r>
            <w:proofErr w:type="spellStart"/>
            <w:r w:rsidRPr="001A3F8F">
              <w:rPr>
                <w:rFonts w:ascii="Times New Roman" w:hAnsi="Times New Roman" w:cs="Times New Roman"/>
                <w:b w:val="0"/>
                <w:bCs w:val="0"/>
                <w:sz w:val="20"/>
                <w:szCs w:val="20"/>
              </w:rPr>
              <w:t>Asahara</w:t>
            </w:r>
            <w:proofErr w:type="spellEnd"/>
            <w:r w:rsidRPr="001A3F8F">
              <w:rPr>
                <w:rFonts w:ascii="Times New Roman" w:hAnsi="Times New Roman" w:cs="Times New Roman"/>
                <w:b w:val="0"/>
                <w:bCs w:val="0"/>
                <w:sz w:val="20"/>
                <w:szCs w:val="20"/>
              </w:rPr>
              <w:t xml:space="preserve"> T, Kwon SM, Park SG. </w:t>
            </w:r>
            <w:proofErr w:type="spellStart"/>
            <w:r w:rsidRPr="001A3F8F">
              <w:rPr>
                <w:rFonts w:ascii="Times New Roman" w:hAnsi="Times New Roman" w:cs="Times New Roman"/>
                <w:b w:val="0"/>
                <w:bCs w:val="0"/>
                <w:sz w:val="20"/>
                <w:szCs w:val="20"/>
              </w:rPr>
              <w:t>Tauroursodeoxycholic</w:t>
            </w:r>
            <w:proofErr w:type="spellEnd"/>
            <w:r w:rsidRPr="001A3F8F">
              <w:rPr>
                <w:rFonts w:ascii="Times New Roman" w:hAnsi="Times New Roman" w:cs="Times New Roman"/>
                <w:b w:val="0"/>
                <w:bCs w:val="0"/>
                <w:sz w:val="20"/>
                <w:szCs w:val="20"/>
              </w:rPr>
              <w:t xml:space="preserve"> acid, a bile acid, promotes blood vessel repair by recruiting vasculogenic progenitor cells. Stem Cells. 2015 Mar;33(3):792-805.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10.1002/stem.1901. PMID: 25407160.</w:t>
            </w:r>
          </w:p>
        </w:tc>
        <w:tc>
          <w:tcPr>
            <w:tcW w:w="1558" w:type="dxa"/>
          </w:tcPr>
          <w:p w14:paraId="14D75897"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w:t>
            </w:r>
          </w:p>
        </w:tc>
      </w:tr>
      <w:tr w:rsidR="0052204D" w:rsidRPr="001A3F8F" w14:paraId="7F8BDEDC" w14:textId="77777777" w:rsidTr="0052204D">
        <w:trPr>
          <w:cnfStyle w:val="000000100000" w:firstRow="0" w:lastRow="0" w:firstColumn="0" w:lastColumn="0" w:oddVBand="0" w:evenVBand="0" w:oddHBand="1"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816D7AC"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Windmolders</w:t>
            </w:r>
            <w:proofErr w:type="spellEnd"/>
            <w:r w:rsidRPr="001A3F8F">
              <w:rPr>
                <w:rFonts w:ascii="Times New Roman" w:hAnsi="Times New Roman" w:cs="Times New Roman"/>
                <w:b w:val="0"/>
                <w:bCs w:val="0"/>
                <w:sz w:val="20"/>
                <w:szCs w:val="20"/>
              </w:rPr>
              <w:t xml:space="preserve"> S, Willems L, </w:t>
            </w:r>
            <w:proofErr w:type="spellStart"/>
            <w:r w:rsidRPr="001A3F8F">
              <w:rPr>
                <w:rFonts w:ascii="Times New Roman" w:hAnsi="Times New Roman" w:cs="Times New Roman"/>
                <w:b w:val="0"/>
                <w:bCs w:val="0"/>
                <w:sz w:val="20"/>
                <w:szCs w:val="20"/>
              </w:rPr>
              <w:t>Daniëls</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Linsen</w:t>
            </w:r>
            <w:proofErr w:type="spellEnd"/>
            <w:r w:rsidRPr="001A3F8F">
              <w:rPr>
                <w:rFonts w:ascii="Times New Roman" w:hAnsi="Times New Roman" w:cs="Times New Roman"/>
                <w:b w:val="0"/>
                <w:bCs w:val="0"/>
                <w:sz w:val="20"/>
                <w:szCs w:val="20"/>
              </w:rPr>
              <w:t xml:space="preserve"> L, </w:t>
            </w:r>
            <w:proofErr w:type="spellStart"/>
            <w:r w:rsidRPr="001A3F8F">
              <w:rPr>
                <w:rFonts w:ascii="Times New Roman" w:hAnsi="Times New Roman" w:cs="Times New Roman"/>
                <w:b w:val="0"/>
                <w:bCs w:val="0"/>
                <w:sz w:val="20"/>
                <w:szCs w:val="20"/>
              </w:rPr>
              <w:t>Fanton</w:t>
            </w:r>
            <w:proofErr w:type="spellEnd"/>
            <w:r w:rsidRPr="001A3F8F">
              <w:rPr>
                <w:rFonts w:ascii="Times New Roman" w:hAnsi="Times New Roman" w:cs="Times New Roman"/>
                <w:b w:val="0"/>
                <w:bCs w:val="0"/>
                <w:sz w:val="20"/>
                <w:szCs w:val="20"/>
              </w:rPr>
              <w:t xml:space="preserve"> Y, </w:t>
            </w:r>
            <w:proofErr w:type="spellStart"/>
            <w:r w:rsidRPr="001A3F8F">
              <w:rPr>
                <w:rFonts w:ascii="Times New Roman" w:hAnsi="Times New Roman" w:cs="Times New Roman"/>
                <w:b w:val="0"/>
                <w:bCs w:val="0"/>
                <w:sz w:val="20"/>
                <w:szCs w:val="20"/>
              </w:rPr>
              <w:t>Hendrikx</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Koninckx</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Rummens</w:t>
            </w:r>
            <w:proofErr w:type="spellEnd"/>
            <w:r w:rsidRPr="001A3F8F">
              <w:rPr>
                <w:rFonts w:ascii="Times New Roman" w:hAnsi="Times New Roman" w:cs="Times New Roman"/>
                <w:b w:val="0"/>
                <w:bCs w:val="0"/>
                <w:sz w:val="20"/>
                <w:szCs w:val="20"/>
              </w:rPr>
              <w:t xml:space="preserve"> JL, </w:t>
            </w:r>
            <w:proofErr w:type="spellStart"/>
            <w:r w:rsidRPr="001A3F8F">
              <w:rPr>
                <w:rFonts w:ascii="Times New Roman" w:hAnsi="Times New Roman" w:cs="Times New Roman"/>
                <w:b w:val="0"/>
                <w:bCs w:val="0"/>
                <w:sz w:val="20"/>
                <w:szCs w:val="20"/>
              </w:rPr>
              <w:t>Hensen</w:t>
            </w:r>
            <w:proofErr w:type="spellEnd"/>
            <w:r w:rsidRPr="001A3F8F">
              <w:rPr>
                <w:rFonts w:ascii="Times New Roman" w:hAnsi="Times New Roman" w:cs="Times New Roman"/>
                <w:b w:val="0"/>
                <w:bCs w:val="0"/>
                <w:sz w:val="20"/>
                <w:szCs w:val="20"/>
              </w:rPr>
              <w:t xml:space="preserve"> K. Clinical-scale in vitro expansion preserves biological characteristics of cardiac atrial appendage stem cells. Cell </w:t>
            </w:r>
            <w:proofErr w:type="spellStart"/>
            <w:r w:rsidRPr="001A3F8F">
              <w:rPr>
                <w:rFonts w:ascii="Times New Roman" w:hAnsi="Times New Roman" w:cs="Times New Roman"/>
                <w:b w:val="0"/>
                <w:bCs w:val="0"/>
                <w:sz w:val="20"/>
                <w:szCs w:val="20"/>
              </w:rPr>
              <w:t>Prolif</w:t>
            </w:r>
            <w:proofErr w:type="spellEnd"/>
            <w:r w:rsidRPr="001A3F8F">
              <w:rPr>
                <w:rFonts w:ascii="Times New Roman" w:hAnsi="Times New Roman" w:cs="Times New Roman"/>
                <w:b w:val="0"/>
                <w:bCs w:val="0"/>
                <w:sz w:val="20"/>
                <w:szCs w:val="20"/>
              </w:rPr>
              <w:t xml:space="preserve">. 2015 Apr;48(2):175-86.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10.1111/cpr.12166.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2015 Jan 29. PMID: 25630660; PMCID: PMC6495491.</w:t>
            </w:r>
          </w:p>
        </w:tc>
        <w:tc>
          <w:tcPr>
            <w:tcW w:w="1558" w:type="dxa"/>
          </w:tcPr>
          <w:p w14:paraId="5F5CA0A6"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6E9F02F7"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3F1A6F7"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Li Y., Zhou Y., Wang Y.-P., Wang J.-W., He Y.-H., Ding J.-C., Zhao W.-Z., Yang Y.-Q., Wang H.-J. (2016). Effect of SIRT1/NF-</w:t>
            </w:r>
            <w:proofErr w:type="spellStart"/>
            <w:r w:rsidRPr="001A3F8F">
              <w:rPr>
                <w:rFonts w:ascii="Times New Roman" w:hAnsi="Times New Roman" w:cs="Times New Roman"/>
                <w:b w:val="0"/>
                <w:bCs w:val="0"/>
                <w:sz w:val="20"/>
                <w:szCs w:val="20"/>
              </w:rPr>
              <w:t>κB</w:t>
            </w:r>
            <w:proofErr w:type="spellEnd"/>
            <w:r w:rsidRPr="001A3F8F">
              <w:rPr>
                <w:rFonts w:ascii="Times New Roman" w:hAnsi="Times New Roman" w:cs="Times New Roman"/>
                <w:b w:val="0"/>
                <w:bCs w:val="0"/>
                <w:sz w:val="20"/>
                <w:szCs w:val="20"/>
              </w:rPr>
              <w:t xml:space="preserve"> signal axis on delaying hematopoietic stem cell and progenitor cell senescence with ginsenoside R1 in aging model rat induced by D-galactose. Chinese Traditional and Herbal Drugs, 47(22), 4016-4020. http://dx.doi.org/10.7501/j.issn.0253-2670.2016.22.014</w:t>
            </w:r>
          </w:p>
        </w:tc>
        <w:tc>
          <w:tcPr>
            <w:tcW w:w="1558" w:type="dxa"/>
          </w:tcPr>
          <w:p w14:paraId="589F341C"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63B166D4"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541B40A" w14:textId="77777777" w:rsidR="0052204D" w:rsidRPr="001A3F8F" w:rsidRDefault="0052204D" w:rsidP="001A3F8F">
            <w:pPr>
              <w:jc w:val="both"/>
              <w:rPr>
                <w:rFonts w:ascii="Times New Roman" w:hAnsi="Times New Roman" w:cs="Times New Roman"/>
                <w:b w:val="0"/>
                <w:bCs w:val="0"/>
                <w:sz w:val="20"/>
                <w:szCs w:val="20"/>
              </w:rPr>
            </w:pPr>
            <w:r w:rsidRPr="00AE20BE">
              <w:rPr>
                <w:rFonts w:ascii="Times New Roman" w:hAnsi="Times New Roman" w:cs="Times New Roman"/>
                <w:b w:val="0"/>
                <w:bCs w:val="0"/>
                <w:sz w:val="20"/>
                <w:szCs w:val="20"/>
                <w:lang w:val="it-IT"/>
              </w:rPr>
              <w:t>Tsai T.-L., Li W.-J. (2016</w:t>
            </w:r>
            <w:r w:rsidRPr="00AE20BE">
              <w:rPr>
                <w:rFonts w:ascii="Times New Roman" w:hAnsi="Times New Roman" w:cs="Times New Roman"/>
                <w:sz w:val="20"/>
                <w:szCs w:val="20"/>
                <w:lang w:val="it-IT"/>
              </w:rPr>
              <w:t xml:space="preserve">). </w:t>
            </w:r>
            <w:r w:rsidRPr="001A3F8F">
              <w:rPr>
                <w:rFonts w:ascii="Times New Roman" w:hAnsi="Times New Roman" w:cs="Times New Roman"/>
                <w:b w:val="0"/>
                <w:bCs w:val="0"/>
                <w:sz w:val="20"/>
                <w:szCs w:val="20"/>
              </w:rPr>
              <w:t xml:space="preserve">Soluble factors in bone marrow niche enhance human mesenchymal stem cell-based tissue regeneration, 2016 Annual Meeting of the </w:t>
            </w:r>
            <w:proofErr w:type="spellStart"/>
            <w:r w:rsidRPr="001A3F8F">
              <w:rPr>
                <w:rFonts w:ascii="Times New Roman" w:hAnsi="Times New Roman" w:cs="Times New Roman"/>
                <w:b w:val="0"/>
                <w:bCs w:val="0"/>
                <w:sz w:val="20"/>
                <w:szCs w:val="20"/>
              </w:rPr>
              <w:t>Orthopaedic</w:t>
            </w:r>
            <w:proofErr w:type="spellEnd"/>
            <w:r w:rsidRPr="001A3F8F">
              <w:rPr>
                <w:rFonts w:ascii="Times New Roman" w:hAnsi="Times New Roman" w:cs="Times New Roman"/>
                <w:b w:val="0"/>
                <w:bCs w:val="0"/>
                <w:sz w:val="20"/>
                <w:szCs w:val="20"/>
              </w:rPr>
              <w:t xml:space="preserve"> Research Society. Journal of </w:t>
            </w:r>
            <w:proofErr w:type="spellStart"/>
            <w:r w:rsidRPr="001A3F8F">
              <w:rPr>
                <w:rFonts w:ascii="Times New Roman" w:hAnsi="Times New Roman" w:cs="Times New Roman"/>
                <w:b w:val="0"/>
                <w:bCs w:val="0"/>
                <w:sz w:val="20"/>
                <w:szCs w:val="20"/>
              </w:rPr>
              <w:t>Orthopaedic</w:t>
            </w:r>
            <w:proofErr w:type="spellEnd"/>
            <w:r w:rsidRPr="001A3F8F">
              <w:rPr>
                <w:rFonts w:ascii="Times New Roman" w:hAnsi="Times New Roman" w:cs="Times New Roman"/>
                <w:b w:val="0"/>
                <w:bCs w:val="0"/>
                <w:sz w:val="20"/>
                <w:szCs w:val="20"/>
              </w:rPr>
              <w:t xml:space="preserve"> Research. http://dx.doi.org/10.1002/jor.23247</w:t>
            </w:r>
          </w:p>
        </w:tc>
        <w:tc>
          <w:tcPr>
            <w:tcW w:w="1558" w:type="dxa"/>
          </w:tcPr>
          <w:p w14:paraId="24A4DCA5"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rPr>
              <w:t>8</w:t>
            </w:r>
          </w:p>
        </w:tc>
      </w:tr>
      <w:tr w:rsidR="0052204D" w:rsidRPr="001A3F8F" w14:paraId="5C0CA6FC" w14:textId="77777777" w:rsidTr="0052204D">
        <w:trPr>
          <w:trHeight w:val="86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7C2B865"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Marycz</w:t>
            </w:r>
            <w:proofErr w:type="spellEnd"/>
            <w:r w:rsidRPr="001A3F8F">
              <w:rPr>
                <w:rFonts w:ascii="Times New Roman" w:hAnsi="Times New Roman" w:cs="Times New Roman"/>
                <w:b w:val="0"/>
                <w:bCs w:val="0"/>
                <w:sz w:val="20"/>
                <w:szCs w:val="20"/>
              </w:rPr>
              <w:t xml:space="preserve"> K, Tomaszewski KA, </w:t>
            </w:r>
            <w:proofErr w:type="spellStart"/>
            <w:r w:rsidRPr="001A3F8F">
              <w:rPr>
                <w:rFonts w:ascii="Times New Roman" w:hAnsi="Times New Roman" w:cs="Times New Roman"/>
                <w:b w:val="0"/>
                <w:bCs w:val="0"/>
                <w:sz w:val="20"/>
                <w:szCs w:val="20"/>
              </w:rPr>
              <w:t>Kornicka</w:t>
            </w:r>
            <w:proofErr w:type="spellEnd"/>
            <w:r w:rsidRPr="001A3F8F">
              <w:rPr>
                <w:rFonts w:ascii="Times New Roman" w:hAnsi="Times New Roman" w:cs="Times New Roman"/>
                <w:b w:val="0"/>
                <w:bCs w:val="0"/>
                <w:sz w:val="20"/>
                <w:szCs w:val="20"/>
              </w:rPr>
              <w:t xml:space="preserve"> K, Henry BM, </w:t>
            </w:r>
            <w:proofErr w:type="spellStart"/>
            <w:r w:rsidRPr="001A3F8F">
              <w:rPr>
                <w:rFonts w:ascii="Times New Roman" w:hAnsi="Times New Roman" w:cs="Times New Roman"/>
                <w:b w:val="0"/>
                <w:bCs w:val="0"/>
                <w:sz w:val="20"/>
                <w:szCs w:val="20"/>
              </w:rPr>
              <w:t>Wroński</w:t>
            </w:r>
            <w:proofErr w:type="spellEnd"/>
            <w:r w:rsidRPr="001A3F8F">
              <w:rPr>
                <w:rFonts w:ascii="Times New Roman" w:hAnsi="Times New Roman" w:cs="Times New Roman"/>
                <w:b w:val="0"/>
                <w:bCs w:val="0"/>
                <w:sz w:val="20"/>
                <w:szCs w:val="20"/>
              </w:rPr>
              <w:t xml:space="preserve"> S, </w:t>
            </w:r>
            <w:proofErr w:type="spellStart"/>
            <w:r w:rsidRPr="001A3F8F">
              <w:rPr>
                <w:rFonts w:ascii="Times New Roman" w:hAnsi="Times New Roman" w:cs="Times New Roman"/>
                <w:b w:val="0"/>
                <w:bCs w:val="0"/>
                <w:sz w:val="20"/>
                <w:szCs w:val="20"/>
              </w:rPr>
              <w:t>Tarasiuk</w:t>
            </w:r>
            <w:proofErr w:type="spellEnd"/>
            <w:r w:rsidRPr="001A3F8F">
              <w:rPr>
                <w:rFonts w:ascii="Times New Roman" w:hAnsi="Times New Roman" w:cs="Times New Roman"/>
                <w:b w:val="0"/>
                <w:bCs w:val="0"/>
                <w:sz w:val="20"/>
                <w:szCs w:val="20"/>
              </w:rPr>
              <w:t xml:space="preserve"> J, </w:t>
            </w:r>
            <w:proofErr w:type="spellStart"/>
            <w:r w:rsidRPr="001A3F8F">
              <w:rPr>
                <w:rFonts w:ascii="Times New Roman" w:hAnsi="Times New Roman" w:cs="Times New Roman"/>
                <w:b w:val="0"/>
                <w:bCs w:val="0"/>
                <w:sz w:val="20"/>
                <w:szCs w:val="20"/>
              </w:rPr>
              <w:t>Maredziak</w:t>
            </w:r>
            <w:proofErr w:type="spellEnd"/>
            <w:r w:rsidRPr="001A3F8F">
              <w:rPr>
                <w:rFonts w:ascii="Times New Roman" w:hAnsi="Times New Roman" w:cs="Times New Roman"/>
                <w:b w:val="0"/>
                <w:bCs w:val="0"/>
                <w:sz w:val="20"/>
                <w:szCs w:val="20"/>
              </w:rPr>
              <w:t xml:space="preserve"> M. Metformin Decreases Reactive Oxygen Species, Enhances Osteogenic Properties of Adipose-Derived Multipotent Mesenchymal Stem Cells In Vitro, and Increases Bone Density In Vivo. Oxid Med Cell </w:t>
            </w:r>
            <w:proofErr w:type="spellStart"/>
            <w:r w:rsidRPr="001A3F8F">
              <w:rPr>
                <w:rFonts w:ascii="Times New Roman" w:hAnsi="Times New Roman" w:cs="Times New Roman"/>
                <w:b w:val="0"/>
                <w:bCs w:val="0"/>
                <w:sz w:val="20"/>
                <w:szCs w:val="20"/>
              </w:rPr>
              <w:t>Longev</w:t>
            </w:r>
            <w:proofErr w:type="spellEnd"/>
            <w:r w:rsidRPr="001A3F8F">
              <w:rPr>
                <w:rFonts w:ascii="Times New Roman" w:hAnsi="Times New Roman" w:cs="Times New Roman"/>
                <w:b w:val="0"/>
                <w:bCs w:val="0"/>
                <w:sz w:val="20"/>
                <w:szCs w:val="20"/>
              </w:rPr>
              <w:t xml:space="preserve">. </w:t>
            </w:r>
            <w:proofErr w:type="gramStart"/>
            <w:r w:rsidRPr="001A3F8F">
              <w:rPr>
                <w:rFonts w:ascii="Times New Roman" w:hAnsi="Times New Roman" w:cs="Times New Roman"/>
                <w:b w:val="0"/>
                <w:bCs w:val="0"/>
                <w:sz w:val="20"/>
                <w:szCs w:val="20"/>
              </w:rPr>
              <w:t>2016;2016:9785890</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10.1155/2016/9785890.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2016 Apr 18. Erratum in: Oxid Med Cell </w:t>
            </w:r>
            <w:proofErr w:type="spellStart"/>
            <w:r w:rsidRPr="001A3F8F">
              <w:rPr>
                <w:rFonts w:ascii="Times New Roman" w:hAnsi="Times New Roman" w:cs="Times New Roman"/>
                <w:b w:val="0"/>
                <w:bCs w:val="0"/>
                <w:sz w:val="20"/>
                <w:szCs w:val="20"/>
              </w:rPr>
              <w:t>Longev</w:t>
            </w:r>
            <w:proofErr w:type="spellEnd"/>
            <w:r w:rsidRPr="001A3F8F">
              <w:rPr>
                <w:rFonts w:ascii="Times New Roman" w:hAnsi="Times New Roman" w:cs="Times New Roman"/>
                <w:b w:val="0"/>
                <w:bCs w:val="0"/>
                <w:sz w:val="20"/>
                <w:szCs w:val="20"/>
              </w:rPr>
              <w:t xml:space="preserve">. </w:t>
            </w:r>
            <w:proofErr w:type="gramStart"/>
            <w:r w:rsidRPr="001A3F8F">
              <w:rPr>
                <w:rFonts w:ascii="Times New Roman" w:hAnsi="Times New Roman" w:cs="Times New Roman"/>
                <w:b w:val="0"/>
                <w:bCs w:val="0"/>
                <w:sz w:val="20"/>
                <w:szCs w:val="20"/>
              </w:rPr>
              <w:t>2017;2017:5923818</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10.1155/2017/5923818. PMID: 27195075; PMCID: PMC4852347.</w:t>
            </w:r>
          </w:p>
        </w:tc>
        <w:tc>
          <w:tcPr>
            <w:tcW w:w="1558" w:type="dxa"/>
          </w:tcPr>
          <w:p w14:paraId="7428CB50"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72B7962"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C6EF32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Tsai T., Li W. (2016). Bone marrow-extracted soluble factors maintain properties of human mesenchymal stem cells, 2016 TERMIS - Americas Conference. Tissue Engineering - Part A. http://dx.doi.org/10.1089/ten.tea.2016.5000.abstracts</w:t>
            </w:r>
          </w:p>
        </w:tc>
        <w:tc>
          <w:tcPr>
            <w:tcW w:w="1558" w:type="dxa"/>
          </w:tcPr>
          <w:p w14:paraId="7773F92F"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339CCC39"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9DC8171"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Lee J, </w:t>
            </w:r>
            <w:proofErr w:type="spellStart"/>
            <w:r w:rsidRPr="001A3F8F">
              <w:rPr>
                <w:rFonts w:ascii="Times New Roman" w:hAnsi="Times New Roman" w:cs="Times New Roman"/>
                <w:b w:val="0"/>
                <w:bCs w:val="0"/>
                <w:sz w:val="20"/>
                <w:szCs w:val="20"/>
              </w:rPr>
              <w:t>Byeon</w:t>
            </w:r>
            <w:proofErr w:type="spellEnd"/>
            <w:r w:rsidRPr="001A3F8F">
              <w:rPr>
                <w:rFonts w:ascii="Times New Roman" w:hAnsi="Times New Roman" w:cs="Times New Roman"/>
                <w:b w:val="0"/>
                <w:bCs w:val="0"/>
                <w:sz w:val="20"/>
                <w:szCs w:val="20"/>
              </w:rPr>
              <w:t xml:space="preserve"> JS, Lee KS, Gu NY, Lee GB, Kim HR, Cho IS, Cha SH. Chondrogenic potential and anti-senescence effect of hypoxia on canine adipose mesenchymal stem cells. Vet Res </w:t>
            </w:r>
            <w:proofErr w:type="spellStart"/>
            <w:r w:rsidRPr="001A3F8F">
              <w:rPr>
                <w:rFonts w:ascii="Times New Roman" w:hAnsi="Times New Roman" w:cs="Times New Roman"/>
                <w:b w:val="0"/>
                <w:bCs w:val="0"/>
                <w:sz w:val="20"/>
                <w:szCs w:val="20"/>
              </w:rPr>
              <w:t>Commun</w:t>
            </w:r>
            <w:proofErr w:type="spellEnd"/>
            <w:r w:rsidRPr="001A3F8F">
              <w:rPr>
                <w:rFonts w:ascii="Times New Roman" w:hAnsi="Times New Roman" w:cs="Times New Roman"/>
                <w:b w:val="0"/>
                <w:bCs w:val="0"/>
                <w:sz w:val="20"/>
                <w:szCs w:val="20"/>
              </w:rPr>
              <w:t xml:space="preserve">. 2016 Mar;40(1):1-10.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10.1007/s11259-015-9647-0.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2015 Dec 10. PMID: 26661466.</w:t>
            </w:r>
          </w:p>
        </w:tc>
        <w:tc>
          <w:tcPr>
            <w:tcW w:w="1558" w:type="dxa"/>
          </w:tcPr>
          <w:p w14:paraId="3B5E818D"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2D2073E1"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15383EC"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Maciel</w:t>
            </w:r>
            <w:proofErr w:type="spellEnd"/>
            <w:r w:rsidRPr="001A3F8F">
              <w:rPr>
                <w:rFonts w:ascii="Times New Roman" w:hAnsi="Times New Roman" w:cs="Times New Roman"/>
                <w:b w:val="0"/>
                <w:bCs w:val="0"/>
                <w:sz w:val="20"/>
                <w:szCs w:val="20"/>
              </w:rPr>
              <w:t xml:space="preserve"> R.C., Jiang J., Leong N.L., Yamaguchi K.T., Kabir N., </w:t>
            </w:r>
            <w:proofErr w:type="spellStart"/>
            <w:r w:rsidRPr="001A3F8F">
              <w:rPr>
                <w:rFonts w:ascii="Times New Roman" w:hAnsi="Times New Roman" w:cs="Times New Roman"/>
                <w:b w:val="0"/>
                <w:bCs w:val="0"/>
                <w:sz w:val="20"/>
                <w:szCs w:val="20"/>
              </w:rPr>
              <w:t>Petrigliano</w:t>
            </w:r>
            <w:proofErr w:type="spellEnd"/>
            <w:r w:rsidRPr="001A3F8F">
              <w:rPr>
                <w:rFonts w:ascii="Times New Roman" w:hAnsi="Times New Roman" w:cs="Times New Roman"/>
                <w:b w:val="0"/>
                <w:bCs w:val="0"/>
                <w:sz w:val="20"/>
                <w:szCs w:val="20"/>
              </w:rPr>
              <w:t xml:space="preserve"> F.A., McAllister D.R. (2017). Adipose derived perivascular stem cells are a superior cell source for ligament tissue engineering, 2017 Annual Meeting of the </w:t>
            </w:r>
            <w:proofErr w:type="spellStart"/>
            <w:r w:rsidRPr="001A3F8F">
              <w:rPr>
                <w:rFonts w:ascii="Times New Roman" w:hAnsi="Times New Roman" w:cs="Times New Roman"/>
                <w:b w:val="0"/>
                <w:bCs w:val="0"/>
                <w:sz w:val="20"/>
                <w:szCs w:val="20"/>
              </w:rPr>
              <w:t>Orthopaedic</w:t>
            </w:r>
            <w:proofErr w:type="spellEnd"/>
            <w:r w:rsidRPr="001A3F8F">
              <w:rPr>
                <w:rFonts w:ascii="Times New Roman" w:hAnsi="Times New Roman" w:cs="Times New Roman"/>
                <w:b w:val="0"/>
                <w:bCs w:val="0"/>
                <w:sz w:val="20"/>
                <w:szCs w:val="20"/>
              </w:rPr>
              <w:t xml:space="preserve"> Research Society. Journal of </w:t>
            </w:r>
            <w:proofErr w:type="spellStart"/>
            <w:r w:rsidRPr="001A3F8F">
              <w:rPr>
                <w:rFonts w:ascii="Times New Roman" w:hAnsi="Times New Roman" w:cs="Times New Roman"/>
                <w:b w:val="0"/>
                <w:bCs w:val="0"/>
                <w:sz w:val="20"/>
                <w:szCs w:val="20"/>
              </w:rPr>
              <w:t>Orthopaedic</w:t>
            </w:r>
            <w:proofErr w:type="spellEnd"/>
            <w:r w:rsidRPr="001A3F8F">
              <w:rPr>
                <w:rFonts w:ascii="Times New Roman" w:hAnsi="Times New Roman" w:cs="Times New Roman"/>
                <w:b w:val="0"/>
                <w:bCs w:val="0"/>
                <w:sz w:val="20"/>
                <w:szCs w:val="20"/>
              </w:rPr>
              <w:t xml:space="preserve"> Research. </w:t>
            </w:r>
          </w:p>
        </w:tc>
        <w:tc>
          <w:tcPr>
            <w:tcW w:w="1558" w:type="dxa"/>
          </w:tcPr>
          <w:p w14:paraId="1BF8A6B7"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2F328968"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10A3775" w14:textId="77777777" w:rsidR="0052204D" w:rsidRPr="00AE20BE" w:rsidRDefault="0052204D" w:rsidP="001A3F8F">
            <w:pPr>
              <w:jc w:val="both"/>
              <w:rPr>
                <w:rFonts w:ascii="Times New Roman" w:hAnsi="Times New Roman" w:cs="Times New Roman"/>
                <w:b w:val="0"/>
                <w:bCs w:val="0"/>
                <w:sz w:val="20"/>
                <w:szCs w:val="20"/>
              </w:rPr>
            </w:pPr>
            <w:proofErr w:type="spellStart"/>
            <w:r w:rsidRPr="00AE20BE">
              <w:rPr>
                <w:rFonts w:ascii="Times New Roman" w:hAnsi="Times New Roman" w:cs="Times New Roman"/>
                <w:b w:val="0"/>
                <w:bCs w:val="0"/>
                <w:sz w:val="20"/>
                <w:szCs w:val="20"/>
                <w:lang w:val="pt-BR"/>
              </w:rPr>
              <w:t>Gilpin</w:t>
            </w:r>
            <w:proofErr w:type="spellEnd"/>
            <w:r w:rsidRPr="00AE20BE">
              <w:rPr>
                <w:rFonts w:ascii="Times New Roman" w:hAnsi="Times New Roman" w:cs="Times New Roman"/>
                <w:b w:val="0"/>
                <w:bCs w:val="0"/>
                <w:sz w:val="20"/>
                <w:szCs w:val="20"/>
                <w:lang w:val="pt-BR"/>
              </w:rPr>
              <w:t xml:space="preserve"> S.E., Li Q., Evangelista-Leite D., Frey B.L., </w:t>
            </w:r>
            <w:proofErr w:type="spellStart"/>
            <w:r w:rsidRPr="00AE20BE">
              <w:rPr>
                <w:rFonts w:ascii="Times New Roman" w:hAnsi="Times New Roman" w:cs="Times New Roman"/>
                <w:b w:val="0"/>
                <w:bCs w:val="0"/>
                <w:sz w:val="20"/>
                <w:szCs w:val="20"/>
                <w:lang w:val="pt-BR"/>
              </w:rPr>
              <w:t>Ott</w:t>
            </w:r>
            <w:proofErr w:type="spellEnd"/>
            <w:r w:rsidRPr="00AE20BE">
              <w:rPr>
                <w:rFonts w:ascii="Times New Roman" w:hAnsi="Times New Roman" w:cs="Times New Roman"/>
                <w:b w:val="0"/>
                <w:bCs w:val="0"/>
                <w:sz w:val="20"/>
                <w:szCs w:val="20"/>
                <w:lang w:val="pt-BR"/>
              </w:rPr>
              <w:t xml:space="preserve"> H.C. (2017). </w:t>
            </w:r>
            <w:r w:rsidRPr="00AE20BE">
              <w:rPr>
                <w:rFonts w:ascii="Times New Roman" w:hAnsi="Times New Roman" w:cs="Times New Roman"/>
                <w:b w:val="0"/>
                <w:bCs w:val="0"/>
                <w:sz w:val="20"/>
                <w:szCs w:val="20"/>
              </w:rPr>
              <w:t>Enhanced epithelial regeneration on human neonatal lung derived scaffolds is mediated by tenascin-C, American Thoracic Society International Conference, ATS 2017. American Journal of Respiratory and Critical Care Medicine. http://dx.doi.org/10.1164/ajrccm-conference.2017.A19</w:t>
            </w:r>
          </w:p>
        </w:tc>
        <w:tc>
          <w:tcPr>
            <w:tcW w:w="1558" w:type="dxa"/>
          </w:tcPr>
          <w:p w14:paraId="0FFE709A"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4505216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0CE1CDE"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OConnor</w:t>
            </w:r>
            <w:proofErr w:type="spellEnd"/>
            <w:r w:rsidRPr="001A3F8F">
              <w:rPr>
                <w:rFonts w:ascii="Times New Roman" w:hAnsi="Times New Roman" w:cs="Times New Roman"/>
                <w:b w:val="0"/>
                <w:bCs w:val="0"/>
                <w:sz w:val="20"/>
                <w:szCs w:val="20"/>
              </w:rPr>
              <w:t xml:space="preserve"> K., Madsen S., Russell K., Tucker A., </w:t>
            </w:r>
            <w:proofErr w:type="spellStart"/>
            <w:r w:rsidRPr="001A3F8F">
              <w:rPr>
                <w:rFonts w:ascii="Times New Roman" w:hAnsi="Times New Roman" w:cs="Times New Roman"/>
                <w:b w:val="0"/>
                <w:bCs w:val="0"/>
                <w:sz w:val="20"/>
                <w:szCs w:val="20"/>
              </w:rPr>
              <w:t>Glowacki</w:t>
            </w:r>
            <w:proofErr w:type="spellEnd"/>
            <w:r w:rsidRPr="001A3F8F">
              <w:rPr>
                <w:rFonts w:ascii="Times New Roman" w:hAnsi="Times New Roman" w:cs="Times New Roman"/>
                <w:b w:val="0"/>
                <w:bCs w:val="0"/>
                <w:sz w:val="20"/>
                <w:szCs w:val="20"/>
              </w:rPr>
              <w:t xml:space="preserve"> J., Bunnell B. (2017). CD264: A predictor of MSC regenerative potential, Tissue Engineering and Regenerative Medicine International Society's - Americas Annual Conference, TERMIS 2017. Tissue Engineering - Part A. http://dx.doi.org/10.1089/ten.tea.2017.29003.abstracts</w:t>
            </w:r>
          </w:p>
        </w:tc>
        <w:tc>
          <w:tcPr>
            <w:tcW w:w="1558" w:type="dxa"/>
          </w:tcPr>
          <w:p w14:paraId="3E36526E"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47589703"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0DE2A6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Rasmus M., Maj M., </w:t>
            </w:r>
            <w:proofErr w:type="spellStart"/>
            <w:r w:rsidRPr="001A3F8F">
              <w:rPr>
                <w:rFonts w:ascii="Times New Roman" w:hAnsi="Times New Roman" w:cs="Times New Roman"/>
                <w:b w:val="0"/>
                <w:bCs w:val="0"/>
                <w:sz w:val="20"/>
                <w:szCs w:val="20"/>
              </w:rPr>
              <w:t>Balcerczyk</w:t>
            </w:r>
            <w:proofErr w:type="spellEnd"/>
            <w:r w:rsidRPr="001A3F8F">
              <w:rPr>
                <w:rFonts w:ascii="Times New Roman" w:hAnsi="Times New Roman" w:cs="Times New Roman"/>
                <w:b w:val="0"/>
                <w:bCs w:val="0"/>
                <w:sz w:val="20"/>
                <w:szCs w:val="20"/>
              </w:rPr>
              <w:t xml:space="preserve"> D., Buhl M., Warda K., </w:t>
            </w:r>
            <w:proofErr w:type="spellStart"/>
            <w:r w:rsidRPr="001A3F8F">
              <w:rPr>
                <w:rFonts w:ascii="Times New Roman" w:hAnsi="Times New Roman" w:cs="Times New Roman"/>
                <w:b w:val="0"/>
                <w:bCs w:val="0"/>
                <w:sz w:val="20"/>
                <w:szCs w:val="20"/>
              </w:rPr>
              <w:t>Jundzill</w:t>
            </w:r>
            <w:proofErr w:type="spellEnd"/>
            <w:r w:rsidRPr="001A3F8F">
              <w:rPr>
                <w:rFonts w:ascii="Times New Roman" w:hAnsi="Times New Roman" w:cs="Times New Roman"/>
                <w:b w:val="0"/>
                <w:bCs w:val="0"/>
                <w:sz w:val="20"/>
                <w:szCs w:val="20"/>
              </w:rPr>
              <w:t xml:space="preserve"> A., Buchholz L., </w:t>
            </w:r>
            <w:proofErr w:type="spellStart"/>
            <w:r w:rsidRPr="001A3F8F">
              <w:rPr>
                <w:rFonts w:ascii="Times New Roman" w:hAnsi="Times New Roman" w:cs="Times New Roman"/>
                <w:b w:val="0"/>
                <w:bCs w:val="0"/>
                <w:sz w:val="20"/>
                <w:szCs w:val="20"/>
              </w:rPr>
              <w:t>Kloskowski</w:t>
            </w:r>
            <w:proofErr w:type="spellEnd"/>
            <w:r w:rsidRPr="001A3F8F">
              <w:rPr>
                <w:rFonts w:ascii="Times New Roman" w:hAnsi="Times New Roman" w:cs="Times New Roman"/>
                <w:b w:val="0"/>
                <w:bCs w:val="0"/>
                <w:sz w:val="20"/>
                <w:szCs w:val="20"/>
              </w:rPr>
              <w:t xml:space="preserve"> T., </w:t>
            </w:r>
            <w:proofErr w:type="spellStart"/>
            <w:r w:rsidRPr="001A3F8F">
              <w:rPr>
                <w:rFonts w:ascii="Times New Roman" w:hAnsi="Times New Roman" w:cs="Times New Roman"/>
                <w:b w:val="0"/>
                <w:bCs w:val="0"/>
                <w:sz w:val="20"/>
                <w:szCs w:val="20"/>
              </w:rPr>
              <w:t>Pokrywczynska</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Drewa</w:t>
            </w:r>
            <w:proofErr w:type="spellEnd"/>
            <w:r w:rsidRPr="001A3F8F">
              <w:rPr>
                <w:rFonts w:ascii="Times New Roman" w:hAnsi="Times New Roman" w:cs="Times New Roman"/>
                <w:b w:val="0"/>
                <w:bCs w:val="0"/>
                <w:sz w:val="20"/>
                <w:szCs w:val="20"/>
              </w:rPr>
              <w:t xml:space="preserve"> T. (2017). Adipose derived stem cell properties in long-term culture-an implications for regenerative medicine, 4th Baltic Meeting in Conjunction with the EAU. European Urology, Supplements. http://dx.doi.org/10.1016/S1569-9056(17)31372-6</w:t>
            </w:r>
          </w:p>
        </w:tc>
        <w:tc>
          <w:tcPr>
            <w:tcW w:w="1558" w:type="dxa"/>
          </w:tcPr>
          <w:p w14:paraId="160E8D8A"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13F716EB"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CA62A8E"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Tsai TL, Li WJ. Identification of Bone Marrow-Derived Soluble Factors Regulating Human Mesenchymal Stem Cells for Bone Regeneration. Stem Cell Reports. 2017 Feb 14;8(2):387-400.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10.1016/j.stemcr.2017.01.004.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2017 Feb 2. PMID: 28162996; PMCID: PMC5312426.</w:t>
            </w:r>
          </w:p>
        </w:tc>
        <w:tc>
          <w:tcPr>
            <w:tcW w:w="1558" w:type="dxa"/>
          </w:tcPr>
          <w:p w14:paraId="7DBB429A"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040DA11"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936EA59"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Mobarak</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Fathi</w:t>
            </w:r>
            <w:proofErr w:type="spellEnd"/>
            <w:r w:rsidRPr="001A3F8F">
              <w:rPr>
                <w:rFonts w:ascii="Times New Roman" w:hAnsi="Times New Roman" w:cs="Times New Roman"/>
                <w:b w:val="0"/>
                <w:bCs w:val="0"/>
                <w:sz w:val="20"/>
                <w:szCs w:val="20"/>
              </w:rPr>
              <w:t xml:space="preserve"> E, </w:t>
            </w:r>
            <w:proofErr w:type="spellStart"/>
            <w:r w:rsidRPr="001A3F8F">
              <w:rPr>
                <w:rFonts w:ascii="Times New Roman" w:hAnsi="Times New Roman" w:cs="Times New Roman"/>
                <w:b w:val="0"/>
                <w:bCs w:val="0"/>
                <w:sz w:val="20"/>
                <w:szCs w:val="20"/>
              </w:rPr>
              <w:t>Farahzadi</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Zarghami</w:t>
            </w:r>
            <w:proofErr w:type="spellEnd"/>
            <w:r w:rsidRPr="001A3F8F">
              <w:rPr>
                <w:rFonts w:ascii="Times New Roman" w:hAnsi="Times New Roman" w:cs="Times New Roman"/>
                <w:b w:val="0"/>
                <w:bCs w:val="0"/>
                <w:sz w:val="20"/>
                <w:szCs w:val="20"/>
              </w:rPr>
              <w:t xml:space="preserve"> N, </w:t>
            </w:r>
            <w:proofErr w:type="spellStart"/>
            <w:r w:rsidRPr="001A3F8F">
              <w:rPr>
                <w:rFonts w:ascii="Times New Roman" w:hAnsi="Times New Roman" w:cs="Times New Roman"/>
                <w:b w:val="0"/>
                <w:bCs w:val="0"/>
                <w:sz w:val="20"/>
                <w:szCs w:val="20"/>
              </w:rPr>
              <w:t>Javanmardi</w:t>
            </w:r>
            <w:proofErr w:type="spellEnd"/>
            <w:r w:rsidRPr="001A3F8F">
              <w:rPr>
                <w:rFonts w:ascii="Times New Roman" w:hAnsi="Times New Roman" w:cs="Times New Roman"/>
                <w:b w:val="0"/>
                <w:bCs w:val="0"/>
                <w:sz w:val="20"/>
                <w:szCs w:val="20"/>
              </w:rPr>
              <w:t xml:space="preserve"> S. L-carnitine significantly decreased aging of rat adipose tissue-derived mesenchymal stem cells. Vet Res </w:t>
            </w:r>
            <w:proofErr w:type="spellStart"/>
            <w:r w:rsidRPr="001A3F8F">
              <w:rPr>
                <w:rFonts w:ascii="Times New Roman" w:hAnsi="Times New Roman" w:cs="Times New Roman"/>
                <w:b w:val="0"/>
                <w:bCs w:val="0"/>
                <w:sz w:val="20"/>
                <w:szCs w:val="20"/>
              </w:rPr>
              <w:t>Commun</w:t>
            </w:r>
            <w:proofErr w:type="spellEnd"/>
            <w:r w:rsidRPr="001A3F8F">
              <w:rPr>
                <w:rFonts w:ascii="Times New Roman" w:hAnsi="Times New Roman" w:cs="Times New Roman"/>
                <w:b w:val="0"/>
                <w:bCs w:val="0"/>
                <w:sz w:val="20"/>
                <w:szCs w:val="20"/>
              </w:rPr>
              <w:t xml:space="preserve">. 2017 Mar;41(1):41-47.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10.1007/s11259-016-9670-9.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2016 Dec 10. PMID: 27943151.</w:t>
            </w:r>
          </w:p>
        </w:tc>
        <w:tc>
          <w:tcPr>
            <w:tcW w:w="1558" w:type="dxa"/>
          </w:tcPr>
          <w:p w14:paraId="1AC91BEC"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CAC1C07"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2FA93E5"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Jiang T, Xu G, Wang Q, Yang L, Zheng L, Zhao J, Zhang X. In vitro expansion impaired the stemness of early passage mesenchymal stem cells for treatment of cartilage defects. Cell Death </w:t>
            </w:r>
            <w:r w:rsidRPr="001A3F8F">
              <w:rPr>
                <w:rFonts w:ascii="Times New Roman" w:hAnsi="Times New Roman" w:cs="Times New Roman"/>
                <w:b w:val="0"/>
                <w:bCs w:val="0"/>
                <w:sz w:val="20"/>
                <w:szCs w:val="20"/>
              </w:rPr>
              <w:lastRenderedPageBreak/>
              <w:t>Dis. 2017 Jun 1;8(6</w:t>
            </w:r>
            <w:proofErr w:type="gramStart"/>
            <w:r w:rsidRPr="001A3F8F">
              <w:rPr>
                <w:rFonts w:ascii="Times New Roman" w:hAnsi="Times New Roman" w:cs="Times New Roman"/>
                <w:b w:val="0"/>
                <w:bCs w:val="0"/>
                <w:sz w:val="20"/>
                <w:szCs w:val="20"/>
              </w:rPr>
              <w:t>):e</w:t>
            </w:r>
            <w:proofErr w:type="gramEnd"/>
            <w:r w:rsidRPr="001A3F8F">
              <w:rPr>
                <w:rFonts w:ascii="Times New Roman" w:hAnsi="Times New Roman" w:cs="Times New Roman"/>
                <w:b w:val="0"/>
                <w:bCs w:val="0"/>
                <w:sz w:val="20"/>
                <w:szCs w:val="20"/>
              </w:rPr>
              <w:t xml:space="preserve">2851.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10.1038/cddis.2017.215. Erratum in: Cell Death Dis. 2019 Sep 26;10(10):716.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10.1038/s41419-019-1939-9. PMID: 28569773; PMCID: PMC5520885.</w:t>
            </w:r>
          </w:p>
        </w:tc>
        <w:tc>
          <w:tcPr>
            <w:tcW w:w="1558" w:type="dxa"/>
          </w:tcPr>
          <w:p w14:paraId="22088A3D"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lastRenderedPageBreak/>
              <w:t>4</w:t>
            </w:r>
          </w:p>
        </w:tc>
      </w:tr>
      <w:tr w:rsidR="0052204D" w:rsidRPr="001A3F8F" w14:paraId="2FBD40DB"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1BC1887"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Sanap</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Chandravanshi</w:t>
            </w:r>
            <w:proofErr w:type="spellEnd"/>
            <w:r w:rsidRPr="001A3F8F">
              <w:rPr>
                <w:rFonts w:ascii="Times New Roman" w:hAnsi="Times New Roman" w:cs="Times New Roman"/>
                <w:b w:val="0"/>
                <w:bCs w:val="0"/>
                <w:sz w:val="20"/>
                <w:szCs w:val="20"/>
              </w:rPr>
              <w:t xml:space="preserve"> B, Shah T, </w:t>
            </w:r>
            <w:proofErr w:type="spellStart"/>
            <w:r w:rsidRPr="001A3F8F">
              <w:rPr>
                <w:rFonts w:ascii="Times New Roman" w:hAnsi="Times New Roman" w:cs="Times New Roman"/>
                <w:b w:val="0"/>
                <w:bCs w:val="0"/>
                <w:sz w:val="20"/>
                <w:szCs w:val="20"/>
              </w:rPr>
              <w:t>Tillu</w:t>
            </w:r>
            <w:proofErr w:type="spellEnd"/>
            <w:r w:rsidRPr="001A3F8F">
              <w:rPr>
                <w:rFonts w:ascii="Times New Roman" w:hAnsi="Times New Roman" w:cs="Times New Roman"/>
                <w:b w:val="0"/>
                <w:bCs w:val="0"/>
                <w:sz w:val="20"/>
                <w:szCs w:val="20"/>
              </w:rPr>
              <w:t xml:space="preserve"> G, </w:t>
            </w:r>
            <w:proofErr w:type="spellStart"/>
            <w:r w:rsidRPr="001A3F8F">
              <w:rPr>
                <w:rFonts w:ascii="Times New Roman" w:hAnsi="Times New Roman" w:cs="Times New Roman"/>
                <w:b w:val="0"/>
                <w:bCs w:val="0"/>
                <w:sz w:val="20"/>
                <w:szCs w:val="20"/>
              </w:rPr>
              <w:t>Dhanushkodi</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Bhonde</w:t>
            </w:r>
            <w:proofErr w:type="spellEnd"/>
            <w:r w:rsidRPr="001A3F8F">
              <w:rPr>
                <w:rFonts w:ascii="Times New Roman" w:hAnsi="Times New Roman" w:cs="Times New Roman"/>
                <w:b w:val="0"/>
                <w:bCs w:val="0"/>
                <w:sz w:val="20"/>
                <w:szCs w:val="20"/>
              </w:rPr>
              <w:t xml:space="preserve"> R, Joshi K. Herbal pre-conditioning induces proliferation and delays senescence in Wharton's Jelly Mesenchymal Stem Cells. Biomed </w:t>
            </w:r>
            <w:proofErr w:type="spellStart"/>
            <w:r w:rsidRPr="001A3F8F">
              <w:rPr>
                <w:rFonts w:ascii="Times New Roman" w:hAnsi="Times New Roman" w:cs="Times New Roman"/>
                <w:b w:val="0"/>
                <w:bCs w:val="0"/>
                <w:sz w:val="20"/>
                <w:szCs w:val="20"/>
              </w:rPr>
              <w:t>Pharmacother</w:t>
            </w:r>
            <w:proofErr w:type="spellEnd"/>
            <w:r w:rsidRPr="001A3F8F">
              <w:rPr>
                <w:rFonts w:ascii="Times New Roman" w:hAnsi="Times New Roman" w:cs="Times New Roman"/>
                <w:b w:val="0"/>
                <w:bCs w:val="0"/>
                <w:sz w:val="20"/>
                <w:szCs w:val="20"/>
              </w:rPr>
              <w:t xml:space="preserve">. 2017 </w:t>
            </w:r>
            <w:proofErr w:type="gramStart"/>
            <w:r w:rsidRPr="001A3F8F">
              <w:rPr>
                <w:rFonts w:ascii="Times New Roman" w:hAnsi="Times New Roman" w:cs="Times New Roman"/>
                <w:b w:val="0"/>
                <w:bCs w:val="0"/>
                <w:sz w:val="20"/>
                <w:szCs w:val="20"/>
              </w:rPr>
              <w:t>Sep;93:772</w:t>
            </w:r>
            <w:proofErr w:type="gramEnd"/>
            <w:r w:rsidRPr="001A3F8F">
              <w:rPr>
                <w:rFonts w:ascii="Times New Roman" w:hAnsi="Times New Roman" w:cs="Times New Roman"/>
                <w:b w:val="0"/>
                <w:bCs w:val="0"/>
                <w:sz w:val="20"/>
                <w:szCs w:val="20"/>
              </w:rPr>
              <w:t xml:space="preserve">-778.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10.1016/j.biopha.2017.06.107.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2017 Jul 15. PMID: 28724259.</w:t>
            </w:r>
          </w:p>
        </w:tc>
        <w:tc>
          <w:tcPr>
            <w:tcW w:w="1558" w:type="dxa"/>
          </w:tcPr>
          <w:p w14:paraId="1805C0AC"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1756601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A6DD825"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lang w:val="pt-BR"/>
              </w:rPr>
              <w:t>Gilpin</w:t>
            </w:r>
            <w:proofErr w:type="spellEnd"/>
            <w:r w:rsidRPr="001A3F8F">
              <w:rPr>
                <w:rFonts w:ascii="Times New Roman" w:hAnsi="Times New Roman" w:cs="Times New Roman"/>
                <w:b w:val="0"/>
                <w:bCs w:val="0"/>
                <w:sz w:val="20"/>
                <w:szCs w:val="20"/>
                <w:lang w:val="pt-BR"/>
              </w:rPr>
              <w:t xml:space="preserve"> SE, Li Q, Evangelista-Leite D, </w:t>
            </w:r>
            <w:proofErr w:type="spellStart"/>
            <w:r w:rsidRPr="001A3F8F">
              <w:rPr>
                <w:rFonts w:ascii="Times New Roman" w:hAnsi="Times New Roman" w:cs="Times New Roman"/>
                <w:b w:val="0"/>
                <w:bCs w:val="0"/>
                <w:sz w:val="20"/>
                <w:szCs w:val="20"/>
                <w:lang w:val="pt-BR"/>
              </w:rPr>
              <w:t>Ren</w:t>
            </w:r>
            <w:proofErr w:type="spellEnd"/>
            <w:r w:rsidRPr="001A3F8F">
              <w:rPr>
                <w:rFonts w:ascii="Times New Roman" w:hAnsi="Times New Roman" w:cs="Times New Roman"/>
                <w:b w:val="0"/>
                <w:bCs w:val="0"/>
                <w:sz w:val="20"/>
                <w:szCs w:val="20"/>
                <w:lang w:val="pt-BR"/>
              </w:rPr>
              <w:t xml:space="preserve"> X, Reinhardt DP, Frey BL, </w:t>
            </w:r>
            <w:proofErr w:type="spellStart"/>
            <w:r w:rsidRPr="001A3F8F">
              <w:rPr>
                <w:rFonts w:ascii="Times New Roman" w:hAnsi="Times New Roman" w:cs="Times New Roman"/>
                <w:b w:val="0"/>
                <w:bCs w:val="0"/>
                <w:sz w:val="20"/>
                <w:szCs w:val="20"/>
                <w:lang w:val="pt-BR"/>
              </w:rPr>
              <w:t>Ott</w:t>
            </w:r>
            <w:proofErr w:type="spellEnd"/>
            <w:r w:rsidRPr="001A3F8F">
              <w:rPr>
                <w:rFonts w:ascii="Times New Roman" w:hAnsi="Times New Roman" w:cs="Times New Roman"/>
                <w:b w:val="0"/>
                <w:bCs w:val="0"/>
                <w:sz w:val="20"/>
                <w:szCs w:val="20"/>
                <w:lang w:val="pt-BR"/>
              </w:rPr>
              <w:t xml:space="preserve"> HC. </w:t>
            </w:r>
            <w:r w:rsidRPr="001A3F8F">
              <w:rPr>
                <w:rFonts w:ascii="Times New Roman" w:hAnsi="Times New Roman" w:cs="Times New Roman"/>
                <w:b w:val="0"/>
                <w:bCs w:val="0"/>
                <w:sz w:val="20"/>
                <w:szCs w:val="20"/>
              </w:rPr>
              <w:t xml:space="preserve">Fibrillin-2 and Tenascin-C bridge the age gap in lung epithelial regeneration. Biomaterials. 2017 </w:t>
            </w:r>
            <w:proofErr w:type="gramStart"/>
            <w:r w:rsidRPr="001A3F8F">
              <w:rPr>
                <w:rFonts w:ascii="Times New Roman" w:hAnsi="Times New Roman" w:cs="Times New Roman"/>
                <w:b w:val="0"/>
                <w:bCs w:val="0"/>
                <w:sz w:val="20"/>
                <w:szCs w:val="20"/>
              </w:rPr>
              <w:t>Sep;140:212</w:t>
            </w:r>
            <w:proofErr w:type="gramEnd"/>
            <w:r w:rsidRPr="001A3F8F">
              <w:rPr>
                <w:rFonts w:ascii="Times New Roman" w:hAnsi="Times New Roman" w:cs="Times New Roman"/>
                <w:b w:val="0"/>
                <w:bCs w:val="0"/>
                <w:sz w:val="20"/>
                <w:szCs w:val="20"/>
              </w:rPr>
              <w:t xml:space="preserve">-219.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10.1016/j.biomaterials.2017.06.027.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2017 Jun 22. PMID: 28662401; PMCID: PMC5553709.</w:t>
            </w:r>
          </w:p>
        </w:tc>
        <w:tc>
          <w:tcPr>
            <w:tcW w:w="1558" w:type="dxa"/>
          </w:tcPr>
          <w:p w14:paraId="3309BAF7"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74A89F7A"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7B0007B"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Colasuonno</w:t>
            </w:r>
            <w:proofErr w:type="spellEnd"/>
            <w:r w:rsidRPr="001A3F8F">
              <w:rPr>
                <w:rFonts w:ascii="Times New Roman" w:hAnsi="Times New Roman" w:cs="Times New Roman"/>
                <w:b w:val="0"/>
                <w:bCs w:val="0"/>
                <w:sz w:val="20"/>
                <w:szCs w:val="20"/>
              </w:rPr>
              <w:t xml:space="preserve"> F, </w:t>
            </w:r>
            <w:proofErr w:type="spellStart"/>
            <w:r w:rsidRPr="001A3F8F">
              <w:rPr>
                <w:rFonts w:ascii="Times New Roman" w:hAnsi="Times New Roman" w:cs="Times New Roman"/>
                <w:b w:val="0"/>
                <w:bCs w:val="0"/>
                <w:sz w:val="20"/>
                <w:szCs w:val="20"/>
              </w:rPr>
              <w:t>Borghi</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Niceforo</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Muzzi</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Bertini</w:t>
            </w:r>
            <w:proofErr w:type="spellEnd"/>
            <w:r w:rsidRPr="001A3F8F">
              <w:rPr>
                <w:rFonts w:ascii="Times New Roman" w:hAnsi="Times New Roman" w:cs="Times New Roman"/>
                <w:b w:val="0"/>
                <w:bCs w:val="0"/>
                <w:sz w:val="20"/>
                <w:szCs w:val="20"/>
              </w:rPr>
              <w:t xml:space="preserve"> E, Di Giulio A, Moreno S, </w:t>
            </w:r>
            <w:proofErr w:type="spellStart"/>
            <w:r w:rsidRPr="001A3F8F">
              <w:rPr>
                <w:rFonts w:ascii="Times New Roman" w:hAnsi="Times New Roman" w:cs="Times New Roman"/>
                <w:b w:val="0"/>
                <w:bCs w:val="0"/>
                <w:sz w:val="20"/>
                <w:szCs w:val="20"/>
              </w:rPr>
              <w:t>Compagnucci</w:t>
            </w:r>
            <w:proofErr w:type="spellEnd"/>
            <w:r w:rsidRPr="001A3F8F">
              <w:rPr>
                <w:rFonts w:ascii="Times New Roman" w:hAnsi="Times New Roman" w:cs="Times New Roman"/>
                <w:b w:val="0"/>
                <w:bCs w:val="0"/>
                <w:sz w:val="20"/>
                <w:szCs w:val="20"/>
              </w:rPr>
              <w:t xml:space="preserve"> C. Senescence-associated ultrastructural features of long-term cultures of induced pluripotent stem cells (iPSCs). Aging (Albany NY). 2017 Oct 23;9(10):2209-2222.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10.18632/aging.101309. PMID: 29064821; PMCID: PMC5680563.</w:t>
            </w:r>
          </w:p>
        </w:tc>
        <w:tc>
          <w:tcPr>
            <w:tcW w:w="1558" w:type="dxa"/>
          </w:tcPr>
          <w:p w14:paraId="660F5123"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r>
      <w:tr w:rsidR="0052204D" w:rsidRPr="001A3F8F" w14:paraId="76FD2D87"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3FAFD84"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Gao S, Xiang C, Qin K, Sun C. Mathematical Modeling Reveals the Role of Hypoxia in the Promotion of Human Mesenchymal Stem Cell Long-Term Expansion. Stem Cells Int. 2018 May </w:t>
            </w:r>
            <w:proofErr w:type="gramStart"/>
            <w:r w:rsidRPr="001A3F8F">
              <w:rPr>
                <w:rFonts w:ascii="Times New Roman" w:hAnsi="Times New Roman" w:cs="Times New Roman"/>
                <w:b w:val="0"/>
                <w:bCs w:val="0"/>
                <w:sz w:val="20"/>
                <w:szCs w:val="20"/>
              </w:rPr>
              <w:t>14;2018:9283432</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10.1155/2018/9283432. PMID: 29861746; PMCID: PMC5976908.</w:t>
            </w:r>
          </w:p>
        </w:tc>
        <w:tc>
          <w:tcPr>
            <w:tcW w:w="1558" w:type="dxa"/>
          </w:tcPr>
          <w:p w14:paraId="4EDC5D89"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r>
      <w:tr w:rsidR="0052204D" w:rsidRPr="001A3F8F" w14:paraId="61A0086D"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9C88F4C"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Conley S.M., Hickson L.J., Tang H., Jordan K.L., </w:t>
            </w:r>
            <w:proofErr w:type="spellStart"/>
            <w:r w:rsidRPr="001A3F8F">
              <w:rPr>
                <w:rFonts w:ascii="Times New Roman" w:hAnsi="Times New Roman" w:cs="Times New Roman"/>
                <w:b w:val="0"/>
                <w:bCs w:val="0"/>
                <w:sz w:val="20"/>
                <w:szCs w:val="20"/>
              </w:rPr>
              <w:t>Abumoawad</w:t>
            </w:r>
            <w:proofErr w:type="spellEnd"/>
            <w:r w:rsidRPr="001A3F8F">
              <w:rPr>
                <w:rFonts w:ascii="Times New Roman" w:hAnsi="Times New Roman" w:cs="Times New Roman"/>
                <w:b w:val="0"/>
                <w:bCs w:val="0"/>
                <w:sz w:val="20"/>
                <w:szCs w:val="20"/>
              </w:rPr>
              <w:t xml:space="preserve"> A.M., Kim S.R., Zhu X.-Y., </w:t>
            </w:r>
            <w:proofErr w:type="spellStart"/>
            <w:r w:rsidRPr="001A3F8F">
              <w:rPr>
                <w:rFonts w:ascii="Times New Roman" w:hAnsi="Times New Roman" w:cs="Times New Roman"/>
                <w:b w:val="0"/>
                <w:bCs w:val="0"/>
                <w:sz w:val="20"/>
                <w:szCs w:val="20"/>
              </w:rPr>
              <w:t>Tchkonia</w:t>
            </w:r>
            <w:proofErr w:type="spellEnd"/>
            <w:r w:rsidRPr="001A3F8F">
              <w:rPr>
                <w:rFonts w:ascii="Times New Roman" w:hAnsi="Times New Roman" w:cs="Times New Roman"/>
                <w:b w:val="0"/>
                <w:bCs w:val="0"/>
                <w:sz w:val="20"/>
                <w:szCs w:val="20"/>
              </w:rPr>
              <w:t xml:space="preserve"> T., Kirkland J.L., </w:t>
            </w:r>
            <w:proofErr w:type="spellStart"/>
            <w:r w:rsidRPr="001A3F8F">
              <w:rPr>
                <w:rFonts w:ascii="Times New Roman" w:hAnsi="Times New Roman" w:cs="Times New Roman"/>
                <w:b w:val="0"/>
                <w:bCs w:val="0"/>
                <w:sz w:val="20"/>
                <w:szCs w:val="20"/>
              </w:rPr>
              <w:t>Lerman</w:t>
            </w:r>
            <w:proofErr w:type="spellEnd"/>
            <w:r w:rsidRPr="001A3F8F">
              <w:rPr>
                <w:rFonts w:ascii="Times New Roman" w:hAnsi="Times New Roman" w:cs="Times New Roman"/>
                <w:b w:val="0"/>
                <w:bCs w:val="0"/>
                <w:sz w:val="20"/>
                <w:szCs w:val="20"/>
              </w:rPr>
              <w:t xml:space="preserve"> L.O. (2019). Obesity induces mesenchymal stem cell senescence and dysfunction, Midwest Clinical and Translational Research Meeting 2019. Journal of Investigative Medicine. http://dx.doi.org/10.1136/jim-2019-midwestern2019.98</w:t>
            </w:r>
          </w:p>
        </w:tc>
        <w:tc>
          <w:tcPr>
            <w:tcW w:w="1558" w:type="dxa"/>
          </w:tcPr>
          <w:p w14:paraId="4E2E4F2B"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37010EE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370155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Chen B, Sun Y, Zhang J, Zhu Q, Yang Y, </w:t>
            </w:r>
            <w:proofErr w:type="spellStart"/>
            <w:r w:rsidRPr="001A3F8F">
              <w:rPr>
                <w:rFonts w:ascii="Times New Roman" w:hAnsi="Times New Roman" w:cs="Times New Roman"/>
                <w:b w:val="0"/>
                <w:bCs w:val="0"/>
                <w:sz w:val="20"/>
                <w:szCs w:val="20"/>
              </w:rPr>
              <w:t>Niu</w:t>
            </w:r>
            <w:proofErr w:type="spellEnd"/>
            <w:r w:rsidRPr="001A3F8F">
              <w:rPr>
                <w:rFonts w:ascii="Times New Roman" w:hAnsi="Times New Roman" w:cs="Times New Roman"/>
                <w:b w:val="0"/>
                <w:bCs w:val="0"/>
                <w:sz w:val="20"/>
                <w:szCs w:val="20"/>
              </w:rPr>
              <w:t xml:space="preserve"> X, Deng Z, Li Q, Wang Y. Human embryonic stem cell-derived exosomes promote pressure ulcer healing in aged mice by rejuvenating senescent endothelial cells. Stem Cell Res </w:t>
            </w:r>
            <w:proofErr w:type="spellStart"/>
            <w:r w:rsidRPr="001A3F8F">
              <w:rPr>
                <w:rFonts w:ascii="Times New Roman" w:hAnsi="Times New Roman" w:cs="Times New Roman"/>
                <w:b w:val="0"/>
                <w:bCs w:val="0"/>
                <w:sz w:val="20"/>
                <w:szCs w:val="20"/>
              </w:rPr>
              <w:t>Ther</w:t>
            </w:r>
            <w:proofErr w:type="spellEnd"/>
            <w:r w:rsidRPr="001A3F8F">
              <w:rPr>
                <w:rFonts w:ascii="Times New Roman" w:hAnsi="Times New Roman" w:cs="Times New Roman"/>
                <w:b w:val="0"/>
                <w:bCs w:val="0"/>
                <w:sz w:val="20"/>
                <w:szCs w:val="20"/>
              </w:rPr>
              <w:t xml:space="preserve">. 2019 May 21;10(1):142.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10.1186/s13287-019-1253-6. PMID: 31113469; PMCID: PMC6528288.</w:t>
            </w:r>
          </w:p>
        </w:tc>
        <w:tc>
          <w:tcPr>
            <w:tcW w:w="1558" w:type="dxa"/>
          </w:tcPr>
          <w:p w14:paraId="0DEF78FC"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w:t>
            </w:r>
          </w:p>
        </w:tc>
      </w:tr>
      <w:tr w:rsidR="0052204D" w:rsidRPr="001A3F8F" w14:paraId="6048964F"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EA46B1C"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Cui H, Tang D, Garside GB, Zeng T, Wang Y, Tao Z, Zhang L, Tao S. </w:t>
            </w:r>
            <w:proofErr w:type="spellStart"/>
            <w:r w:rsidRPr="001A3F8F">
              <w:rPr>
                <w:rFonts w:ascii="Times New Roman" w:hAnsi="Times New Roman" w:cs="Times New Roman"/>
                <w:b w:val="0"/>
                <w:bCs w:val="0"/>
                <w:sz w:val="20"/>
                <w:szCs w:val="20"/>
              </w:rPr>
              <w:t>Wnt</w:t>
            </w:r>
            <w:proofErr w:type="spellEnd"/>
            <w:r w:rsidRPr="001A3F8F">
              <w:rPr>
                <w:rFonts w:ascii="Times New Roman" w:hAnsi="Times New Roman" w:cs="Times New Roman"/>
                <w:b w:val="0"/>
                <w:bCs w:val="0"/>
                <w:sz w:val="20"/>
                <w:szCs w:val="20"/>
              </w:rPr>
              <w:t xml:space="preserve"> Signaling Mediates the Aging-Induced Differentiation Impairment of Intestinal Stem Cells. Stem Cell Rev Rep. 2019 Jun;15(3):448-455.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10.1007/s12015-019-09880-9. PMID: 30790135; PMCID: PMC6534527.</w:t>
            </w:r>
          </w:p>
        </w:tc>
        <w:tc>
          <w:tcPr>
            <w:tcW w:w="1558" w:type="dxa"/>
          </w:tcPr>
          <w:p w14:paraId="44ADF2CE"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0716DF87"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BBB4DDB"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Theys</w:t>
            </w:r>
            <w:proofErr w:type="spellEnd"/>
            <w:r w:rsidRPr="001A3F8F">
              <w:rPr>
                <w:rFonts w:ascii="Times New Roman" w:hAnsi="Times New Roman" w:cs="Times New Roman"/>
                <w:b w:val="0"/>
                <w:bCs w:val="0"/>
                <w:sz w:val="20"/>
                <w:szCs w:val="20"/>
              </w:rPr>
              <w:t xml:space="preserve"> N., </w:t>
            </w:r>
            <w:proofErr w:type="spellStart"/>
            <w:r w:rsidRPr="001A3F8F">
              <w:rPr>
                <w:rFonts w:ascii="Times New Roman" w:hAnsi="Times New Roman" w:cs="Times New Roman"/>
                <w:b w:val="0"/>
                <w:bCs w:val="0"/>
                <w:sz w:val="20"/>
                <w:szCs w:val="20"/>
              </w:rPr>
              <w:t>Episkopou</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Pierard</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Decottignies</w:t>
            </w:r>
            <w:proofErr w:type="spellEnd"/>
            <w:r w:rsidRPr="001A3F8F">
              <w:rPr>
                <w:rFonts w:ascii="Times New Roman" w:hAnsi="Times New Roman" w:cs="Times New Roman"/>
                <w:b w:val="0"/>
                <w:bCs w:val="0"/>
                <w:sz w:val="20"/>
                <w:szCs w:val="20"/>
              </w:rPr>
              <w:t xml:space="preserve"> A. (2020). Assessment of senescence in adipose mesenchymal stem cells for optimized ex vivo expansion and therapeutic potential, ECTS Congress 2020. Bone Reports. http://dx.doi.org/10.1016/j.bonr.2020.100367</w:t>
            </w:r>
          </w:p>
        </w:tc>
        <w:tc>
          <w:tcPr>
            <w:tcW w:w="1558" w:type="dxa"/>
          </w:tcPr>
          <w:p w14:paraId="3BA6BFBF"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2298A1A8"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389E90E"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Ghannoum</w:t>
            </w:r>
            <w:proofErr w:type="spellEnd"/>
            <w:r w:rsidRPr="001A3F8F">
              <w:rPr>
                <w:rFonts w:ascii="Times New Roman" w:hAnsi="Times New Roman" w:cs="Times New Roman"/>
                <w:b w:val="0"/>
                <w:bCs w:val="0"/>
                <w:sz w:val="20"/>
                <w:szCs w:val="20"/>
              </w:rPr>
              <w:t xml:space="preserve"> D., Roeder E., El </w:t>
            </w:r>
            <w:proofErr w:type="spellStart"/>
            <w:r w:rsidRPr="001A3F8F">
              <w:rPr>
                <w:rFonts w:ascii="Times New Roman" w:hAnsi="Times New Roman" w:cs="Times New Roman"/>
                <w:b w:val="0"/>
                <w:bCs w:val="0"/>
                <w:sz w:val="20"/>
                <w:szCs w:val="20"/>
              </w:rPr>
              <w:t>Ouafy</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Cauchois</w:t>
            </w:r>
            <w:proofErr w:type="spellEnd"/>
            <w:r w:rsidRPr="001A3F8F">
              <w:rPr>
                <w:rFonts w:ascii="Times New Roman" w:hAnsi="Times New Roman" w:cs="Times New Roman"/>
                <w:b w:val="0"/>
                <w:bCs w:val="0"/>
                <w:sz w:val="20"/>
                <w:szCs w:val="20"/>
              </w:rPr>
              <w:t xml:space="preserve"> G., </w:t>
            </w:r>
            <w:proofErr w:type="spellStart"/>
            <w:r w:rsidRPr="001A3F8F">
              <w:rPr>
                <w:rFonts w:ascii="Times New Roman" w:hAnsi="Times New Roman" w:cs="Times New Roman"/>
                <w:b w:val="0"/>
                <w:bCs w:val="0"/>
                <w:sz w:val="20"/>
                <w:szCs w:val="20"/>
              </w:rPr>
              <w:t>Charif</w:t>
            </w:r>
            <w:proofErr w:type="spellEnd"/>
            <w:r w:rsidRPr="001A3F8F">
              <w:rPr>
                <w:rFonts w:ascii="Times New Roman" w:hAnsi="Times New Roman" w:cs="Times New Roman"/>
                <w:b w:val="0"/>
                <w:bCs w:val="0"/>
                <w:sz w:val="20"/>
                <w:szCs w:val="20"/>
              </w:rPr>
              <w:t xml:space="preserve"> N., de Isla N. (2020). Evaluation of fetal mesenchymal stromal/stem cells senescence during in vitro amplification for therapeutic purpose: choice of cell quality parameters, ISCT 2020 Annual Meeting. </w:t>
            </w:r>
            <w:proofErr w:type="spellStart"/>
            <w:r w:rsidRPr="001A3F8F">
              <w:rPr>
                <w:rFonts w:ascii="Times New Roman" w:hAnsi="Times New Roman" w:cs="Times New Roman"/>
                <w:b w:val="0"/>
                <w:bCs w:val="0"/>
                <w:sz w:val="20"/>
                <w:szCs w:val="20"/>
              </w:rPr>
              <w:t>Cytotherapy</w:t>
            </w:r>
            <w:proofErr w:type="spellEnd"/>
            <w:r w:rsidRPr="001A3F8F">
              <w:rPr>
                <w:rFonts w:ascii="Times New Roman" w:hAnsi="Times New Roman" w:cs="Times New Roman"/>
                <w:b w:val="0"/>
                <w:bCs w:val="0"/>
                <w:sz w:val="20"/>
                <w:szCs w:val="20"/>
              </w:rPr>
              <w:t>. http://dx.doi.org/10.1016/j.jcyt.2020.03.141</w:t>
            </w:r>
          </w:p>
        </w:tc>
        <w:tc>
          <w:tcPr>
            <w:tcW w:w="1558" w:type="dxa"/>
          </w:tcPr>
          <w:p w14:paraId="2CBE7B9B"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39B0B0B5"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47E7449"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Hu W, Zhu S, </w:t>
            </w:r>
            <w:proofErr w:type="spellStart"/>
            <w:r w:rsidRPr="001A3F8F">
              <w:rPr>
                <w:rFonts w:ascii="Times New Roman" w:hAnsi="Times New Roman" w:cs="Times New Roman"/>
                <w:b w:val="0"/>
                <w:bCs w:val="0"/>
                <w:sz w:val="20"/>
                <w:szCs w:val="20"/>
              </w:rPr>
              <w:t>Fanai</w:t>
            </w:r>
            <w:proofErr w:type="spellEnd"/>
            <w:r w:rsidRPr="001A3F8F">
              <w:rPr>
                <w:rFonts w:ascii="Times New Roman" w:hAnsi="Times New Roman" w:cs="Times New Roman"/>
                <w:b w:val="0"/>
                <w:bCs w:val="0"/>
                <w:sz w:val="20"/>
                <w:szCs w:val="20"/>
              </w:rPr>
              <w:t xml:space="preserve"> ML, Wang J, Cai J, Feng J. 3D co-culture model of endothelial colony-forming cells (ECFCs) reverses late passage adipose-derived stem cell senescence for wound healing. Stem Cell Res </w:t>
            </w:r>
            <w:proofErr w:type="spellStart"/>
            <w:r w:rsidRPr="001A3F8F">
              <w:rPr>
                <w:rFonts w:ascii="Times New Roman" w:hAnsi="Times New Roman" w:cs="Times New Roman"/>
                <w:b w:val="0"/>
                <w:bCs w:val="0"/>
                <w:sz w:val="20"/>
                <w:szCs w:val="20"/>
              </w:rPr>
              <w:t>Ther</w:t>
            </w:r>
            <w:proofErr w:type="spellEnd"/>
            <w:r w:rsidRPr="001A3F8F">
              <w:rPr>
                <w:rFonts w:ascii="Times New Roman" w:hAnsi="Times New Roman" w:cs="Times New Roman"/>
                <w:b w:val="0"/>
                <w:bCs w:val="0"/>
                <w:sz w:val="20"/>
                <w:szCs w:val="20"/>
              </w:rPr>
              <w:t xml:space="preserve">. 2020 Aug 14;11(1):355.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10.1186/s13287-020-01838-w. PMID: 32795343; PMCID: PMC7427858.</w:t>
            </w:r>
          </w:p>
        </w:tc>
        <w:tc>
          <w:tcPr>
            <w:tcW w:w="1558" w:type="dxa"/>
          </w:tcPr>
          <w:p w14:paraId="123FEE96"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6CCF71E9"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A77DCC8"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Zhang WT, Zhou Q, He C. Effects of Hydrogen Peroxide on the Senescence of Human Mesenchymal Stem Cells Through Fatty Acid 2-Hydroxylase. J </w:t>
            </w:r>
            <w:proofErr w:type="spellStart"/>
            <w:r w:rsidRPr="001A3F8F">
              <w:rPr>
                <w:rFonts w:ascii="Times New Roman" w:hAnsi="Times New Roman" w:cs="Times New Roman"/>
                <w:b w:val="0"/>
                <w:bCs w:val="0"/>
                <w:sz w:val="20"/>
                <w:szCs w:val="20"/>
              </w:rPr>
              <w:t>Biomater</w:t>
            </w:r>
            <w:proofErr w:type="spellEnd"/>
            <w:r w:rsidRPr="001A3F8F">
              <w:rPr>
                <w:rFonts w:ascii="Times New Roman" w:hAnsi="Times New Roman" w:cs="Times New Roman"/>
                <w:b w:val="0"/>
                <w:bCs w:val="0"/>
                <w:sz w:val="20"/>
                <w:szCs w:val="20"/>
              </w:rPr>
              <w:t xml:space="preserve"> Tissue Eng. 2020 Nov 1;10(11):1634-8. DOI: 10.1166/jbt.2020.2474</w:t>
            </w:r>
          </w:p>
        </w:tc>
        <w:tc>
          <w:tcPr>
            <w:tcW w:w="1558" w:type="dxa"/>
          </w:tcPr>
          <w:p w14:paraId="735DB401"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3B7BD973"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D51F90B"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Hong T, Kim MY, Da Ly D, Park SJ, </w:t>
            </w:r>
            <w:proofErr w:type="spellStart"/>
            <w:r w:rsidRPr="001A3F8F">
              <w:rPr>
                <w:rFonts w:ascii="Times New Roman" w:hAnsi="Times New Roman" w:cs="Times New Roman"/>
                <w:b w:val="0"/>
                <w:bCs w:val="0"/>
                <w:sz w:val="20"/>
                <w:szCs w:val="20"/>
              </w:rPr>
              <w:t>Eom</w:t>
            </w:r>
            <w:proofErr w:type="spellEnd"/>
            <w:r w:rsidRPr="001A3F8F">
              <w:rPr>
                <w:rFonts w:ascii="Times New Roman" w:hAnsi="Times New Roman" w:cs="Times New Roman"/>
                <w:b w:val="0"/>
                <w:bCs w:val="0"/>
                <w:sz w:val="20"/>
                <w:szCs w:val="20"/>
              </w:rPr>
              <w:t xml:space="preserve"> YW, Park KS, </w:t>
            </w:r>
            <w:proofErr w:type="spellStart"/>
            <w:r w:rsidRPr="001A3F8F">
              <w:rPr>
                <w:rFonts w:ascii="Times New Roman" w:hAnsi="Times New Roman" w:cs="Times New Roman"/>
                <w:b w:val="0"/>
                <w:bCs w:val="0"/>
                <w:sz w:val="20"/>
                <w:szCs w:val="20"/>
              </w:rPr>
              <w:t>Baik</w:t>
            </w:r>
            <w:proofErr w:type="spellEnd"/>
            <w:r w:rsidRPr="001A3F8F">
              <w:rPr>
                <w:rFonts w:ascii="Times New Roman" w:hAnsi="Times New Roman" w:cs="Times New Roman"/>
                <w:b w:val="0"/>
                <w:bCs w:val="0"/>
                <w:sz w:val="20"/>
                <w:szCs w:val="20"/>
              </w:rPr>
              <w:t xml:space="preserve"> SK. Ca2+-activated mitochondrial biogenesis and functions improve stem cell fate in Rg3-treated human mesenchymal stem cells. Stem Cell Res </w:t>
            </w:r>
            <w:proofErr w:type="spellStart"/>
            <w:r w:rsidRPr="001A3F8F">
              <w:rPr>
                <w:rFonts w:ascii="Times New Roman" w:hAnsi="Times New Roman" w:cs="Times New Roman"/>
                <w:b w:val="0"/>
                <w:bCs w:val="0"/>
                <w:sz w:val="20"/>
                <w:szCs w:val="20"/>
              </w:rPr>
              <w:t>Ther</w:t>
            </w:r>
            <w:proofErr w:type="spellEnd"/>
            <w:r w:rsidRPr="001A3F8F">
              <w:rPr>
                <w:rFonts w:ascii="Times New Roman" w:hAnsi="Times New Roman" w:cs="Times New Roman"/>
                <w:b w:val="0"/>
                <w:bCs w:val="0"/>
                <w:sz w:val="20"/>
                <w:szCs w:val="20"/>
              </w:rPr>
              <w:t xml:space="preserve">. 2020 Nov 4;11(1):467.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10.1186/s13287-020-01974-3. PMID: 33148318; PMCID: PMC7640456.</w:t>
            </w:r>
          </w:p>
        </w:tc>
        <w:tc>
          <w:tcPr>
            <w:tcW w:w="1558" w:type="dxa"/>
          </w:tcPr>
          <w:p w14:paraId="7CCC0F82"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515784DD"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951E7EC"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Li X, Ma X, Chen Y, Peng D, Wang H, Chen S, Xiao Y, Li L, Zhou H, Cheng F, Gao Y, Chang J, Cheng T, Liu L. </w:t>
            </w:r>
            <w:proofErr w:type="spellStart"/>
            <w:r w:rsidRPr="001A3F8F">
              <w:rPr>
                <w:rFonts w:ascii="Times New Roman" w:hAnsi="Times New Roman" w:cs="Times New Roman"/>
                <w:b w:val="0"/>
                <w:bCs w:val="0"/>
                <w:sz w:val="20"/>
                <w:szCs w:val="20"/>
              </w:rPr>
              <w:t>Coinhibition</w:t>
            </w:r>
            <w:proofErr w:type="spellEnd"/>
            <w:r w:rsidRPr="001A3F8F">
              <w:rPr>
                <w:rFonts w:ascii="Times New Roman" w:hAnsi="Times New Roman" w:cs="Times New Roman"/>
                <w:b w:val="0"/>
                <w:bCs w:val="0"/>
                <w:sz w:val="20"/>
                <w:szCs w:val="20"/>
              </w:rPr>
              <w:t xml:space="preserve"> of activated p38 MAPKα and mTORC1 potentiates stemness maintenance of HSCs from SR1-expanded human cord blood CD34+ cells via inhibition of senescence. Stem Cells </w:t>
            </w:r>
            <w:proofErr w:type="spellStart"/>
            <w:r w:rsidRPr="001A3F8F">
              <w:rPr>
                <w:rFonts w:ascii="Times New Roman" w:hAnsi="Times New Roman" w:cs="Times New Roman"/>
                <w:b w:val="0"/>
                <w:bCs w:val="0"/>
                <w:sz w:val="20"/>
                <w:szCs w:val="20"/>
              </w:rPr>
              <w:t>Transl</w:t>
            </w:r>
            <w:proofErr w:type="spellEnd"/>
            <w:r w:rsidRPr="001A3F8F">
              <w:rPr>
                <w:rFonts w:ascii="Times New Roman" w:hAnsi="Times New Roman" w:cs="Times New Roman"/>
                <w:b w:val="0"/>
                <w:bCs w:val="0"/>
                <w:sz w:val="20"/>
                <w:szCs w:val="20"/>
              </w:rPr>
              <w:t xml:space="preserve"> Med. 2020 Dec;9(12):1604-1616.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10.1002/sctm.20-0129.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2020 Jun 29. PMID: 32602209; PMCID: PMC7695631.</w:t>
            </w:r>
          </w:p>
        </w:tc>
        <w:tc>
          <w:tcPr>
            <w:tcW w:w="1558" w:type="dxa"/>
          </w:tcPr>
          <w:p w14:paraId="763B05B9"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r>
      <w:tr w:rsidR="0052204D" w:rsidRPr="001A3F8F" w14:paraId="4BC73289"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590F977"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Fu S, Zhang C, Yan X, Li D, Wang Y, Dong C, Cao Z, Ning Y, Shao C, Yang T. Primary Cilia as a Biomarker in Mesenchymal Stem Cells Senescence: Influencing Osteoblastic Differentiation Potency Associated with Hedgehog Signaling Regulation. Stem Cells Int. 2021 Jan </w:t>
            </w:r>
            <w:proofErr w:type="gramStart"/>
            <w:r w:rsidRPr="001A3F8F">
              <w:rPr>
                <w:rFonts w:ascii="Times New Roman" w:hAnsi="Times New Roman" w:cs="Times New Roman"/>
                <w:b w:val="0"/>
                <w:bCs w:val="0"/>
                <w:sz w:val="20"/>
                <w:szCs w:val="20"/>
              </w:rPr>
              <w:t>26;2021:8850114</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10.1155/2021/8850114. PMID: 33574852; PMCID: PMC7857927.</w:t>
            </w:r>
          </w:p>
        </w:tc>
        <w:tc>
          <w:tcPr>
            <w:tcW w:w="1558" w:type="dxa"/>
          </w:tcPr>
          <w:p w14:paraId="45BF0247"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06C893FB"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3EA9C52" w14:textId="4D33BF3C"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Sun Y, Zhang J, Chen B, Yang Y, Li H, </w:t>
            </w:r>
            <w:proofErr w:type="spellStart"/>
            <w:r w:rsidRPr="001A3F8F">
              <w:rPr>
                <w:rFonts w:ascii="Times New Roman" w:hAnsi="Times New Roman" w:cs="Times New Roman"/>
                <w:b w:val="0"/>
                <w:bCs w:val="0"/>
                <w:sz w:val="20"/>
                <w:szCs w:val="20"/>
              </w:rPr>
              <w:t>Niu</w:t>
            </w:r>
            <w:proofErr w:type="spellEnd"/>
            <w:r w:rsidRPr="001A3F8F">
              <w:rPr>
                <w:rFonts w:ascii="Times New Roman" w:hAnsi="Times New Roman" w:cs="Times New Roman"/>
                <w:b w:val="0"/>
                <w:bCs w:val="0"/>
                <w:sz w:val="20"/>
                <w:szCs w:val="20"/>
              </w:rPr>
              <w:t xml:space="preserve"> X, </w:t>
            </w:r>
            <w:r w:rsidR="00AE20BE" w:rsidRPr="00AE20BE">
              <w:rPr>
                <w:rFonts w:ascii="Times New Roman" w:hAnsi="Times New Roman" w:cs="Times New Roman"/>
                <w:b w:val="0"/>
                <w:bCs w:val="0"/>
                <w:i/>
                <w:sz w:val="20"/>
                <w:szCs w:val="20"/>
              </w:rPr>
              <w:t>et al</w:t>
            </w:r>
            <w:r w:rsidRPr="001A3F8F">
              <w:rPr>
                <w:rFonts w:ascii="Times New Roman" w:hAnsi="Times New Roman" w:cs="Times New Roman"/>
                <w:b w:val="0"/>
                <w:bCs w:val="0"/>
                <w:sz w:val="20"/>
                <w:szCs w:val="20"/>
              </w:rPr>
              <w:t xml:space="preserve">. Small extracellular vesicles secreted by urine-derived stem cells enhanced wound healing in aged mice by ameliorating cellular senescence. J Mater Sci Technol. </w:t>
            </w:r>
            <w:proofErr w:type="gramStart"/>
            <w:r w:rsidRPr="001A3F8F">
              <w:rPr>
                <w:rFonts w:ascii="Times New Roman" w:hAnsi="Times New Roman" w:cs="Times New Roman"/>
                <w:b w:val="0"/>
                <w:bCs w:val="0"/>
                <w:sz w:val="20"/>
                <w:szCs w:val="20"/>
              </w:rPr>
              <w:t>2021;63:216</w:t>
            </w:r>
            <w:proofErr w:type="gramEnd"/>
            <w:r w:rsidRPr="001A3F8F">
              <w:rPr>
                <w:rFonts w:ascii="Times New Roman" w:hAnsi="Times New Roman" w:cs="Times New Roman"/>
                <w:b w:val="0"/>
                <w:bCs w:val="0"/>
                <w:sz w:val="20"/>
                <w:szCs w:val="20"/>
              </w:rPr>
              <w:t xml:space="preserve">-27.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10.1016/j.jmst.2020.03.014.</w:t>
            </w:r>
          </w:p>
        </w:tc>
        <w:tc>
          <w:tcPr>
            <w:tcW w:w="1558" w:type="dxa"/>
          </w:tcPr>
          <w:p w14:paraId="4A7BB481"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w:t>
            </w:r>
          </w:p>
        </w:tc>
      </w:tr>
      <w:tr w:rsidR="0052204D" w:rsidRPr="001A3F8F" w14:paraId="3D220C9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7E1B2D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lastRenderedPageBreak/>
              <w:t xml:space="preserve">Kim SR, Zou X, Tang H, </w:t>
            </w:r>
            <w:proofErr w:type="spellStart"/>
            <w:r w:rsidRPr="001A3F8F">
              <w:rPr>
                <w:rFonts w:ascii="Times New Roman" w:hAnsi="Times New Roman" w:cs="Times New Roman"/>
                <w:b w:val="0"/>
                <w:bCs w:val="0"/>
                <w:sz w:val="20"/>
                <w:szCs w:val="20"/>
              </w:rPr>
              <w:t>Puranik</w:t>
            </w:r>
            <w:proofErr w:type="spellEnd"/>
            <w:r w:rsidRPr="001A3F8F">
              <w:rPr>
                <w:rFonts w:ascii="Times New Roman" w:hAnsi="Times New Roman" w:cs="Times New Roman"/>
                <w:b w:val="0"/>
                <w:bCs w:val="0"/>
                <w:sz w:val="20"/>
                <w:szCs w:val="20"/>
              </w:rPr>
              <w:t xml:space="preserve"> AS, </w:t>
            </w:r>
            <w:proofErr w:type="spellStart"/>
            <w:r w:rsidRPr="001A3F8F">
              <w:rPr>
                <w:rFonts w:ascii="Times New Roman" w:hAnsi="Times New Roman" w:cs="Times New Roman"/>
                <w:b w:val="0"/>
                <w:bCs w:val="0"/>
                <w:sz w:val="20"/>
                <w:szCs w:val="20"/>
              </w:rPr>
              <w:t>Abumoawad</w:t>
            </w:r>
            <w:proofErr w:type="spellEnd"/>
            <w:r w:rsidRPr="001A3F8F">
              <w:rPr>
                <w:rFonts w:ascii="Times New Roman" w:hAnsi="Times New Roman" w:cs="Times New Roman"/>
                <w:b w:val="0"/>
                <w:bCs w:val="0"/>
                <w:sz w:val="20"/>
                <w:szCs w:val="20"/>
              </w:rPr>
              <w:t xml:space="preserve"> AM, Zhu XY, Hickson LJ, </w:t>
            </w:r>
            <w:proofErr w:type="spellStart"/>
            <w:r w:rsidRPr="001A3F8F">
              <w:rPr>
                <w:rFonts w:ascii="Times New Roman" w:hAnsi="Times New Roman" w:cs="Times New Roman"/>
                <w:b w:val="0"/>
                <w:bCs w:val="0"/>
                <w:sz w:val="20"/>
                <w:szCs w:val="20"/>
              </w:rPr>
              <w:t>Tchkonia</w:t>
            </w:r>
            <w:proofErr w:type="spellEnd"/>
            <w:r w:rsidRPr="001A3F8F">
              <w:rPr>
                <w:rFonts w:ascii="Times New Roman" w:hAnsi="Times New Roman" w:cs="Times New Roman"/>
                <w:b w:val="0"/>
                <w:bCs w:val="0"/>
                <w:sz w:val="20"/>
                <w:szCs w:val="20"/>
              </w:rPr>
              <w:t xml:space="preserve"> T, </w:t>
            </w:r>
            <w:proofErr w:type="spellStart"/>
            <w:r w:rsidRPr="001A3F8F">
              <w:rPr>
                <w:rFonts w:ascii="Times New Roman" w:hAnsi="Times New Roman" w:cs="Times New Roman"/>
                <w:b w:val="0"/>
                <w:bCs w:val="0"/>
                <w:sz w:val="20"/>
                <w:szCs w:val="20"/>
              </w:rPr>
              <w:t>Textor</w:t>
            </w:r>
            <w:proofErr w:type="spellEnd"/>
            <w:r w:rsidRPr="001A3F8F">
              <w:rPr>
                <w:rFonts w:ascii="Times New Roman" w:hAnsi="Times New Roman" w:cs="Times New Roman"/>
                <w:b w:val="0"/>
                <w:bCs w:val="0"/>
                <w:sz w:val="20"/>
                <w:szCs w:val="20"/>
              </w:rPr>
              <w:t xml:space="preserve"> SC, Kirkland JL, </w:t>
            </w:r>
            <w:proofErr w:type="spellStart"/>
            <w:r w:rsidRPr="001A3F8F">
              <w:rPr>
                <w:rFonts w:ascii="Times New Roman" w:hAnsi="Times New Roman" w:cs="Times New Roman"/>
                <w:b w:val="0"/>
                <w:bCs w:val="0"/>
                <w:sz w:val="20"/>
                <w:szCs w:val="20"/>
              </w:rPr>
              <w:t>Lerman</w:t>
            </w:r>
            <w:proofErr w:type="spellEnd"/>
            <w:r w:rsidRPr="001A3F8F">
              <w:rPr>
                <w:rFonts w:ascii="Times New Roman" w:hAnsi="Times New Roman" w:cs="Times New Roman"/>
                <w:b w:val="0"/>
                <w:bCs w:val="0"/>
                <w:sz w:val="20"/>
                <w:szCs w:val="20"/>
              </w:rPr>
              <w:t xml:space="preserve"> LO. Increased cellular senescence in the murine and human stenotic kidney: Effect of mesenchymal stem cells. J Cell Physiol. 2021 Feb;236(2):1332-1344.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10.1002/jcp.29940.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2020 Jul 13. PMID: 32657444; PMCID: PMC7900892.</w:t>
            </w:r>
          </w:p>
        </w:tc>
        <w:tc>
          <w:tcPr>
            <w:tcW w:w="1558" w:type="dxa"/>
          </w:tcPr>
          <w:p w14:paraId="0897A859"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20805E74"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E48CCEC"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Labusca</w:t>
            </w:r>
            <w:proofErr w:type="spellEnd"/>
            <w:r w:rsidRPr="001A3F8F">
              <w:rPr>
                <w:rFonts w:ascii="Times New Roman" w:hAnsi="Times New Roman" w:cs="Times New Roman"/>
                <w:b w:val="0"/>
                <w:bCs w:val="0"/>
                <w:sz w:val="20"/>
                <w:szCs w:val="20"/>
              </w:rPr>
              <w:t xml:space="preserve"> L, </w:t>
            </w:r>
            <w:proofErr w:type="spellStart"/>
            <w:r w:rsidRPr="001A3F8F">
              <w:rPr>
                <w:rFonts w:ascii="Times New Roman" w:hAnsi="Times New Roman" w:cs="Times New Roman"/>
                <w:b w:val="0"/>
                <w:bCs w:val="0"/>
                <w:sz w:val="20"/>
                <w:szCs w:val="20"/>
              </w:rPr>
              <w:t>Herea</w:t>
            </w:r>
            <w:proofErr w:type="spellEnd"/>
            <w:r w:rsidRPr="001A3F8F">
              <w:rPr>
                <w:rFonts w:ascii="Times New Roman" w:hAnsi="Times New Roman" w:cs="Times New Roman"/>
                <w:b w:val="0"/>
                <w:bCs w:val="0"/>
                <w:sz w:val="20"/>
                <w:szCs w:val="20"/>
              </w:rPr>
              <w:t xml:space="preserve"> DD, </w:t>
            </w:r>
            <w:proofErr w:type="spellStart"/>
            <w:r w:rsidRPr="001A3F8F">
              <w:rPr>
                <w:rFonts w:ascii="Times New Roman" w:hAnsi="Times New Roman" w:cs="Times New Roman"/>
                <w:b w:val="0"/>
                <w:bCs w:val="0"/>
                <w:sz w:val="20"/>
                <w:szCs w:val="20"/>
              </w:rPr>
              <w:t>Emanuela</w:t>
            </w:r>
            <w:proofErr w:type="spellEnd"/>
            <w:r w:rsidRPr="001A3F8F">
              <w:rPr>
                <w:rFonts w:ascii="Times New Roman" w:hAnsi="Times New Roman" w:cs="Times New Roman"/>
                <w:b w:val="0"/>
                <w:bCs w:val="0"/>
                <w:sz w:val="20"/>
                <w:szCs w:val="20"/>
              </w:rPr>
              <w:t xml:space="preserve"> Minuti A, </w:t>
            </w:r>
            <w:proofErr w:type="spellStart"/>
            <w:r w:rsidRPr="001A3F8F">
              <w:rPr>
                <w:rFonts w:ascii="Times New Roman" w:hAnsi="Times New Roman" w:cs="Times New Roman"/>
                <w:b w:val="0"/>
                <w:bCs w:val="0"/>
                <w:sz w:val="20"/>
                <w:szCs w:val="20"/>
              </w:rPr>
              <w:t>Stavila</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Danceanu</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Plamadeala</w:t>
            </w:r>
            <w:proofErr w:type="spellEnd"/>
            <w:r w:rsidRPr="001A3F8F">
              <w:rPr>
                <w:rFonts w:ascii="Times New Roman" w:hAnsi="Times New Roman" w:cs="Times New Roman"/>
                <w:b w:val="0"/>
                <w:bCs w:val="0"/>
                <w:sz w:val="20"/>
                <w:szCs w:val="20"/>
              </w:rPr>
              <w:t xml:space="preserve"> P, </w:t>
            </w:r>
            <w:proofErr w:type="spellStart"/>
            <w:r w:rsidRPr="001A3F8F">
              <w:rPr>
                <w:rFonts w:ascii="Times New Roman" w:hAnsi="Times New Roman" w:cs="Times New Roman"/>
                <w:b w:val="0"/>
                <w:bCs w:val="0"/>
                <w:sz w:val="20"/>
                <w:szCs w:val="20"/>
              </w:rPr>
              <w:t>Chiriac</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Lupu</w:t>
            </w:r>
            <w:proofErr w:type="spellEnd"/>
            <w:r w:rsidRPr="001A3F8F">
              <w:rPr>
                <w:rFonts w:ascii="Times New Roman" w:hAnsi="Times New Roman" w:cs="Times New Roman"/>
                <w:b w:val="0"/>
                <w:bCs w:val="0"/>
                <w:sz w:val="20"/>
                <w:szCs w:val="20"/>
              </w:rPr>
              <w:t xml:space="preserve"> N. Magnetic Nanoparticles and Magnetic Field Exposure Enhances Chondrogenesis of Human Adipose Derived Mesenchymal Stem Cells </w:t>
            </w:r>
            <w:proofErr w:type="gramStart"/>
            <w:r w:rsidRPr="001A3F8F">
              <w:rPr>
                <w:rFonts w:ascii="Times New Roman" w:hAnsi="Times New Roman" w:cs="Times New Roman"/>
                <w:b w:val="0"/>
                <w:bCs w:val="0"/>
                <w:sz w:val="20"/>
                <w:szCs w:val="20"/>
              </w:rPr>
              <w:t>But</w:t>
            </w:r>
            <w:proofErr w:type="gramEnd"/>
            <w:r w:rsidRPr="001A3F8F">
              <w:rPr>
                <w:rFonts w:ascii="Times New Roman" w:hAnsi="Times New Roman" w:cs="Times New Roman"/>
                <w:b w:val="0"/>
                <w:bCs w:val="0"/>
                <w:sz w:val="20"/>
                <w:szCs w:val="20"/>
              </w:rPr>
              <w:t xml:space="preserve"> Not of Wharton Jelly Mesenchymal Stem Cells. Front </w:t>
            </w:r>
            <w:proofErr w:type="spellStart"/>
            <w:r w:rsidRPr="001A3F8F">
              <w:rPr>
                <w:rFonts w:ascii="Times New Roman" w:hAnsi="Times New Roman" w:cs="Times New Roman"/>
                <w:b w:val="0"/>
                <w:bCs w:val="0"/>
                <w:sz w:val="20"/>
                <w:szCs w:val="20"/>
              </w:rPr>
              <w:t>Bioeng</w:t>
            </w:r>
            <w:proofErr w:type="spell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Biotechnol</w:t>
            </w:r>
            <w:proofErr w:type="spellEnd"/>
            <w:r w:rsidRPr="001A3F8F">
              <w:rPr>
                <w:rFonts w:ascii="Times New Roman" w:hAnsi="Times New Roman" w:cs="Times New Roman"/>
                <w:b w:val="0"/>
                <w:bCs w:val="0"/>
                <w:sz w:val="20"/>
                <w:szCs w:val="20"/>
              </w:rPr>
              <w:t xml:space="preserve">. 2021 Oct </w:t>
            </w:r>
            <w:proofErr w:type="gramStart"/>
            <w:r w:rsidRPr="001A3F8F">
              <w:rPr>
                <w:rFonts w:ascii="Times New Roman" w:hAnsi="Times New Roman" w:cs="Times New Roman"/>
                <w:b w:val="0"/>
                <w:bCs w:val="0"/>
                <w:sz w:val="20"/>
                <w:szCs w:val="20"/>
              </w:rPr>
              <w:t>18;9:737132</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10.3389/fbioe.2021.737132. PMID: 34733830; PMCID: PMC8558412.</w:t>
            </w:r>
          </w:p>
        </w:tc>
        <w:tc>
          <w:tcPr>
            <w:tcW w:w="1558" w:type="dxa"/>
          </w:tcPr>
          <w:p w14:paraId="29EA670E"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5F7D6AA6"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7B43DDC"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Le HM, Nguyen LT, Hoang DH, Bach TQ, Nguyen HTN, Mai HT, Trinh DP, Nguyen TD, Nguyen LT, </w:t>
            </w:r>
            <w:proofErr w:type="gramStart"/>
            <w:r w:rsidRPr="001A3F8F">
              <w:rPr>
                <w:rFonts w:ascii="Times New Roman" w:hAnsi="Times New Roman" w:cs="Times New Roman"/>
                <w:b w:val="0"/>
                <w:bCs w:val="0"/>
                <w:sz w:val="20"/>
                <w:szCs w:val="20"/>
              </w:rPr>
              <w:t>Than</w:t>
            </w:r>
            <w:proofErr w:type="gramEnd"/>
            <w:r w:rsidRPr="001A3F8F">
              <w:rPr>
                <w:rFonts w:ascii="Times New Roman" w:hAnsi="Times New Roman" w:cs="Times New Roman"/>
                <w:b w:val="0"/>
                <w:bCs w:val="0"/>
                <w:sz w:val="20"/>
                <w:szCs w:val="20"/>
              </w:rPr>
              <w:t xml:space="preserve"> UTT. Differential Development of Umbilical Cord-Derived Mesenchymal Stem Cells During Long-Term Maintenance in Fetal Bovine Serum-Supplemented Medium and </w:t>
            </w:r>
            <w:proofErr w:type="spellStart"/>
            <w:r w:rsidRPr="001A3F8F">
              <w:rPr>
                <w:rFonts w:ascii="Times New Roman" w:hAnsi="Times New Roman" w:cs="Times New Roman"/>
                <w:b w:val="0"/>
                <w:bCs w:val="0"/>
                <w:sz w:val="20"/>
                <w:szCs w:val="20"/>
              </w:rPr>
              <w:t>Xeno</w:t>
            </w:r>
            <w:proofErr w:type="spellEnd"/>
            <w:r w:rsidRPr="001A3F8F">
              <w:rPr>
                <w:rFonts w:ascii="Times New Roman" w:hAnsi="Times New Roman" w:cs="Times New Roman"/>
                <w:b w:val="0"/>
                <w:bCs w:val="0"/>
                <w:sz w:val="20"/>
                <w:szCs w:val="20"/>
              </w:rPr>
              <w:t xml:space="preserve">- and Serum-Free Culture Medium. Cell Reprogram. 2021 Dec;23(6):359-369.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10.1089/cell.2021.0050.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2021 Nov 8. PMID: 34748399.</w:t>
            </w:r>
          </w:p>
        </w:tc>
        <w:tc>
          <w:tcPr>
            <w:tcW w:w="1558" w:type="dxa"/>
          </w:tcPr>
          <w:p w14:paraId="58B62A30"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2A5F0579"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9713BC4"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Chuan</w:t>
            </w:r>
            <w:proofErr w:type="spellEnd"/>
            <w:r w:rsidRPr="001A3F8F">
              <w:rPr>
                <w:rFonts w:ascii="Times New Roman" w:hAnsi="Times New Roman" w:cs="Times New Roman"/>
                <w:b w:val="0"/>
                <w:bCs w:val="0"/>
                <w:sz w:val="20"/>
                <w:szCs w:val="20"/>
              </w:rPr>
              <w:t xml:space="preserve"> T., </w:t>
            </w:r>
            <w:proofErr w:type="spellStart"/>
            <w:r w:rsidRPr="001A3F8F">
              <w:rPr>
                <w:rFonts w:ascii="Times New Roman" w:hAnsi="Times New Roman" w:cs="Times New Roman"/>
                <w:b w:val="0"/>
                <w:bCs w:val="0"/>
                <w:sz w:val="20"/>
                <w:szCs w:val="20"/>
              </w:rPr>
              <w:t>Xiangqing</w:t>
            </w:r>
            <w:proofErr w:type="spellEnd"/>
            <w:r w:rsidRPr="001A3F8F">
              <w:rPr>
                <w:rFonts w:ascii="Times New Roman" w:hAnsi="Times New Roman" w:cs="Times New Roman"/>
                <w:b w:val="0"/>
                <w:bCs w:val="0"/>
                <w:sz w:val="20"/>
                <w:szCs w:val="20"/>
              </w:rPr>
              <w:t xml:space="preserve"> Z., </w:t>
            </w:r>
            <w:proofErr w:type="spellStart"/>
            <w:r w:rsidRPr="001A3F8F">
              <w:rPr>
                <w:rFonts w:ascii="Times New Roman" w:hAnsi="Times New Roman" w:cs="Times New Roman"/>
                <w:b w:val="0"/>
                <w:bCs w:val="0"/>
                <w:sz w:val="20"/>
                <w:szCs w:val="20"/>
              </w:rPr>
              <w:t>Zailing</w:t>
            </w:r>
            <w:proofErr w:type="spellEnd"/>
            <w:r w:rsidRPr="001A3F8F">
              <w:rPr>
                <w:rFonts w:ascii="Times New Roman" w:hAnsi="Times New Roman" w:cs="Times New Roman"/>
                <w:b w:val="0"/>
                <w:bCs w:val="0"/>
                <w:sz w:val="20"/>
                <w:szCs w:val="20"/>
              </w:rPr>
              <w:t xml:space="preserve"> Y., </w:t>
            </w:r>
            <w:proofErr w:type="spellStart"/>
            <w:r w:rsidRPr="001A3F8F">
              <w:rPr>
                <w:rFonts w:ascii="Times New Roman" w:hAnsi="Times New Roman" w:cs="Times New Roman"/>
                <w:b w:val="0"/>
                <w:bCs w:val="0"/>
                <w:sz w:val="20"/>
                <w:szCs w:val="20"/>
              </w:rPr>
              <w:t>Donghai</w:t>
            </w:r>
            <w:proofErr w:type="spellEnd"/>
            <w:r w:rsidRPr="001A3F8F">
              <w:rPr>
                <w:rFonts w:ascii="Times New Roman" w:hAnsi="Times New Roman" w:cs="Times New Roman"/>
                <w:b w:val="0"/>
                <w:bCs w:val="0"/>
                <w:sz w:val="20"/>
                <w:szCs w:val="20"/>
              </w:rPr>
              <w:t xml:space="preserve"> Y., Ye L., </w:t>
            </w:r>
            <w:proofErr w:type="spellStart"/>
            <w:r w:rsidRPr="001A3F8F">
              <w:rPr>
                <w:rFonts w:ascii="Times New Roman" w:hAnsi="Times New Roman" w:cs="Times New Roman"/>
                <w:b w:val="0"/>
                <w:bCs w:val="0"/>
                <w:sz w:val="20"/>
                <w:szCs w:val="20"/>
              </w:rPr>
              <w:t>Yanying</w:t>
            </w:r>
            <w:proofErr w:type="spellEnd"/>
            <w:r w:rsidRPr="001A3F8F">
              <w:rPr>
                <w:rFonts w:ascii="Times New Roman" w:hAnsi="Times New Roman" w:cs="Times New Roman"/>
                <w:b w:val="0"/>
                <w:bCs w:val="0"/>
                <w:sz w:val="20"/>
                <w:szCs w:val="20"/>
              </w:rPr>
              <w:t xml:space="preserve"> W., </w:t>
            </w:r>
            <w:proofErr w:type="spellStart"/>
            <w:r w:rsidRPr="001A3F8F">
              <w:rPr>
                <w:rFonts w:ascii="Times New Roman" w:hAnsi="Times New Roman" w:cs="Times New Roman"/>
                <w:b w:val="0"/>
                <w:bCs w:val="0"/>
                <w:sz w:val="20"/>
                <w:szCs w:val="20"/>
              </w:rPr>
              <w:t>Yukun</w:t>
            </w:r>
            <w:proofErr w:type="spellEnd"/>
            <w:r w:rsidRPr="001A3F8F">
              <w:rPr>
                <w:rFonts w:ascii="Times New Roman" w:hAnsi="Times New Roman" w:cs="Times New Roman"/>
                <w:b w:val="0"/>
                <w:bCs w:val="0"/>
                <w:sz w:val="20"/>
                <w:szCs w:val="20"/>
              </w:rPr>
              <w:t xml:space="preserve"> Y., </w:t>
            </w:r>
            <w:proofErr w:type="spellStart"/>
            <w:r w:rsidRPr="001A3F8F">
              <w:rPr>
                <w:rFonts w:ascii="Times New Roman" w:hAnsi="Times New Roman" w:cs="Times New Roman"/>
                <w:b w:val="0"/>
                <w:bCs w:val="0"/>
                <w:sz w:val="20"/>
                <w:szCs w:val="20"/>
              </w:rPr>
              <w:t>Jie</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Guanke</w:t>
            </w:r>
            <w:proofErr w:type="spellEnd"/>
            <w:r w:rsidRPr="001A3F8F">
              <w:rPr>
                <w:rFonts w:ascii="Times New Roman" w:hAnsi="Times New Roman" w:cs="Times New Roman"/>
                <w:b w:val="0"/>
                <w:bCs w:val="0"/>
                <w:sz w:val="20"/>
                <w:szCs w:val="20"/>
              </w:rPr>
              <w:t xml:space="preserve"> L., </w:t>
            </w:r>
            <w:proofErr w:type="spellStart"/>
            <w:r w:rsidRPr="001A3F8F">
              <w:rPr>
                <w:rFonts w:ascii="Times New Roman" w:hAnsi="Times New Roman" w:cs="Times New Roman"/>
                <w:b w:val="0"/>
                <w:bCs w:val="0"/>
                <w:sz w:val="20"/>
                <w:szCs w:val="20"/>
              </w:rPr>
              <w:t>Xuemin</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Liping</w:t>
            </w:r>
            <w:proofErr w:type="spellEnd"/>
            <w:r w:rsidRPr="001A3F8F">
              <w:rPr>
                <w:rFonts w:ascii="Times New Roman" w:hAnsi="Times New Roman" w:cs="Times New Roman"/>
                <w:b w:val="0"/>
                <w:bCs w:val="0"/>
                <w:sz w:val="20"/>
                <w:szCs w:val="20"/>
              </w:rPr>
              <w:t xml:space="preserve"> S., </w:t>
            </w:r>
            <w:proofErr w:type="spellStart"/>
            <w:r w:rsidRPr="001A3F8F">
              <w:rPr>
                <w:rFonts w:ascii="Times New Roman" w:hAnsi="Times New Roman" w:cs="Times New Roman"/>
                <w:b w:val="0"/>
                <w:bCs w:val="0"/>
                <w:sz w:val="20"/>
                <w:szCs w:val="20"/>
              </w:rPr>
              <w:t>Zhixu</w:t>
            </w:r>
            <w:proofErr w:type="spellEnd"/>
            <w:r w:rsidRPr="001A3F8F">
              <w:rPr>
                <w:rFonts w:ascii="Times New Roman" w:hAnsi="Times New Roman" w:cs="Times New Roman"/>
                <w:b w:val="0"/>
                <w:bCs w:val="0"/>
                <w:sz w:val="20"/>
                <w:szCs w:val="20"/>
              </w:rPr>
              <w:t xml:space="preserve"> H., Xinghua P. (2022). Bone marrow mesenchymal stem cells regulate ovarian aging in macaques. Chinese Journal of Tissue Engineering Research, 26(7), 1033-1039. http://dx.doi.org/10.12307/2022.133</w:t>
            </w:r>
          </w:p>
        </w:tc>
        <w:tc>
          <w:tcPr>
            <w:tcW w:w="1558" w:type="dxa"/>
          </w:tcPr>
          <w:p w14:paraId="380EC9C3"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7F8280B9"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A61BF50"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Choi D.H., Oh S.-Y., Lee K.E., Jo I., Park Y.S. (2022). Changes in the integrin a3 expression controls tonsil derived mesenchymal stem cell proliferation and senescence, Tissue Engine International Society Asia Engineering and Regenerative Medicine Asia-Pacific Chapter Conference, TERMIS-AP 2022. Tissue Engineering - Part A. http://dx.doi.org/10.1089/ten.tea.2022.29037.abstract.index</w:t>
            </w:r>
          </w:p>
        </w:tc>
        <w:tc>
          <w:tcPr>
            <w:tcW w:w="1558" w:type="dxa"/>
          </w:tcPr>
          <w:p w14:paraId="32F51710"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330D52B5"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C91371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Gao Y., Chi Y., Chen Y., Li H.Y., Wang W., Zheng W., Zhu P., An J., Duan Y., Sun T., </w:t>
            </w:r>
            <w:proofErr w:type="spellStart"/>
            <w:r w:rsidRPr="001A3F8F">
              <w:rPr>
                <w:rFonts w:ascii="Times New Roman" w:hAnsi="Times New Roman" w:cs="Times New Roman"/>
                <w:b w:val="0"/>
                <w:bCs w:val="0"/>
                <w:sz w:val="20"/>
                <w:szCs w:val="20"/>
              </w:rPr>
              <w:t>Xiaofan</w:t>
            </w:r>
            <w:proofErr w:type="spellEnd"/>
            <w:r w:rsidRPr="001A3F8F">
              <w:rPr>
                <w:rFonts w:ascii="Times New Roman" w:hAnsi="Times New Roman" w:cs="Times New Roman"/>
                <w:b w:val="0"/>
                <w:bCs w:val="0"/>
                <w:sz w:val="20"/>
                <w:szCs w:val="20"/>
              </w:rPr>
              <w:t xml:space="preserve"> L., </w:t>
            </w:r>
            <w:proofErr w:type="spellStart"/>
            <w:r w:rsidRPr="001A3F8F">
              <w:rPr>
                <w:rFonts w:ascii="Times New Roman" w:hAnsi="Times New Roman" w:cs="Times New Roman"/>
                <w:b w:val="0"/>
                <w:bCs w:val="0"/>
                <w:sz w:val="20"/>
                <w:szCs w:val="20"/>
              </w:rPr>
              <w:t>Xue</w:t>
            </w:r>
            <w:proofErr w:type="spellEnd"/>
            <w:r w:rsidRPr="001A3F8F">
              <w:rPr>
                <w:rFonts w:ascii="Times New Roman" w:hAnsi="Times New Roman" w:cs="Times New Roman"/>
                <w:b w:val="0"/>
                <w:bCs w:val="0"/>
                <w:sz w:val="20"/>
                <w:szCs w:val="20"/>
              </w:rPr>
              <w:t xml:space="preserve"> F., Liu W., Fu R., Han Z., Zhang Y., Yang R., Tao C., Wei J., ... Zhang L. (2022). Multi-Omics Analysis of Human Mesenchymal Stem Cell Guides Perinatal MSC Based Cellular Therapy for Splenectomy-Nonresponsive Refractory Immune Thrombocytopenia: A Phase I Clinical Trial, 64th ASH Annual Meeting. Blood. http://dx.doi.org/10.1182/blood-2022-156764</w:t>
            </w:r>
          </w:p>
        </w:tc>
        <w:tc>
          <w:tcPr>
            <w:tcW w:w="1558" w:type="dxa"/>
          </w:tcPr>
          <w:p w14:paraId="79FB26D2"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2C7FF0E5" w14:textId="77777777" w:rsidTr="0052204D">
        <w:trPr>
          <w:cnfStyle w:val="000000100000" w:firstRow="0" w:lastRow="0" w:firstColumn="0" w:lastColumn="0" w:oddVBand="0" w:evenVBand="0" w:oddHBand="1" w:evenHBand="0" w:firstRowFirstColumn="0" w:firstRowLastColumn="0" w:lastRowFirstColumn="0" w:lastRowLastColumn="0"/>
          <w:trHeight w:val="86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12AAC84"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Khorraminejad</w:t>
            </w:r>
            <w:proofErr w:type="spellEnd"/>
            <w:r w:rsidRPr="001A3F8F">
              <w:rPr>
                <w:rFonts w:ascii="Times New Roman" w:hAnsi="Times New Roman" w:cs="Times New Roman"/>
                <w:b w:val="0"/>
                <w:bCs w:val="0"/>
                <w:sz w:val="20"/>
                <w:szCs w:val="20"/>
              </w:rPr>
              <w:t xml:space="preserve">-Shirazi M., Sani M., </w:t>
            </w:r>
            <w:proofErr w:type="spellStart"/>
            <w:r w:rsidRPr="001A3F8F">
              <w:rPr>
                <w:rFonts w:ascii="Times New Roman" w:hAnsi="Times New Roman" w:cs="Times New Roman"/>
                <w:b w:val="0"/>
                <w:bCs w:val="0"/>
                <w:sz w:val="20"/>
                <w:szCs w:val="20"/>
              </w:rPr>
              <w:t>Talaei-Khozani</w:t>
            </w:r>
            <w:proofErr w:type="spellEnd"/>
            <w:r w:rsidRPr="001A3F8F">
              <w:rPr>
                <w:rFonts w:ascii="Times New Roman" w:hAnsi="Times New Roman" w:cs="Times New Roman"/>
                <w:b w:val="0"/>
                <w:bCs w:val="0"/>
                <w:sz w:val="20"/>
                <w:szCs w:val="20"/>
              </w:rPr>
              <w:t xml:space="preserve"> T., </w:t>
            </w:r>
            <w:proofErr w:type="spellStart"/>
            <w:r w:rsidRPr="001A3F8F">
              <w:rPr>
                <w:rFonts w:ascii="Times New Roman" w:hAnsi="Times New Roman" w:cs="Times New Roman"/>
                <w:b w:val="0"/>
                <w:bCs w:val="0"/>
                <w:sz w:val="20"/>
                <w:szCs w:val="20"/>
              </w:rPr>
              <w:t>Dorvash</w:t>
            </w:r>
            <w:proofErr w:type="spellEnd"/>
            <w:r w:rsidRPr="001A3F8F">
              <w:rPr>
                <w:rFonts w:ascii="Times New Roman" w:hAnsi="Times New Roman" w:cs="Times New Roman"/>
                <w:b w:val="0"/>
                <w:bCs w:val="0"/>
                <w:sz w:val="20"/>
                <w:szCs w:val="20"/>
              </w:rPr>
              <w:t xml:space="preserve"> M., Mirzaei M., </w:t>
            </w:r>
            <w:proofErr w:type="spellStart"/>
            <w:r w:rsidRPr="001A3F8F">
              <w:rPr>
                <w:rFonts w:ascii="Times New Roman" w:hAnsi="Times New Roman" w:cs="Times New Roman"/>
                <w:b w:val="0"/>
                <w:bCs w:val="0"/>
                <w:sz w:val="20"/>
                <w:szCs w:val="20"/>
              </w:rPr>
              <w:t>Faghihi</w:t>
            </w:r>
            <w:proofErr w:type="spellEnd"/>
            <w:r w:rsidRPr="001A3F8F">
              <w:rPr>
                <w:rFonts w:ascii="Times New Roman" w:hAnsi="Times New Roman" w:cs="Times New Roman"/>
                <w:b w:val="0"/>
                <w:bCs w:val="0"/>
                <w:sz w:val="20"/>
                <w:szCs w:val="20"/>
              </w:rPr>
              <w:t xml:space="preserve"> M.A., </w:t>
            </w:r>
            <w:proofErr w:type="spellStart"/>
            <w:r w:rsidRPr="001A3F8F">
              <w:rPr>
                <w:rFonts w:ascii="Times New Roman" w:hAnsi="Times New Roman" w:cs="Times New Roman"/>
                <w:b w:val="0"/>
                <w:bCs w:val="0"/>
                <w:sz w:val="20"/>
                <w:szCs w:val="20"/>
              </w:rPr>
              <w:t>Monabati</w:t>
            </w:r>
            <w:proofErr w:type="spellEnd"/>
            <w:r w:rsidRPr="001A3F8F">
              <w:rPr>
                <w:rFonts w:ascii="Times New Roman" w:hAnsi="Times New Roman" w:cs="Times New Roman"/>
                <w:b w:val="0"/>
                <w:bCs w:val="0"/>
                <w:sz w:val="20"/>
                <w:szCs w:val="20"/>
              </w:rPr>
              <w:t xml:space="preserve"> A., Attar A. (2022). AICAR AND NAM SYNERGISTICALLY ATTENUATE SENESCENCE-ASSOCIATED CHANGES IN MESENCHYMAL STEM CELLS: THE INTERPLAY OF AUTOPHAGY AND MTORC1, 6th Tissue Engineering and Regenerative Medicine International Society's - Americas Annual Conference, TERMIS 2021. Tissue Engineering - Part A. http://dx.doi.org/10.1089/ten.tea.2022.29025.abstracts</w:t>
            </w:r>
          </w:p>
        </w:tc>
        <w:tc>
          <w:tcPr>
            <w:tcW w:w="1558" w:type="dxa"/>
          </w:tcPr>
          <w:p w14:paraId="7D2917B8"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5624936E"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3494F31"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Narcisi R., </w:t>
            </w:r>
            <w:proofErr w:type="spellStart"/>
            <w:r w:rsidRPr="001A3F8F">
              <w:rPr>
                <w:rFonts w:ascii="Times New Roman" w:hAnsi="Times New Roman" w:cs="Times New Roman"/>
                <w:b w:val="0"/>
                <w:bCs w:val="0"/>
                <w:sz w:val="20"/>
                <w:szCs w:val="20"/>
              </w:rPr>
              <w:t>Voskamp</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Koevoet</w:t>
            </w:r>
            <w:proofErr w:type="spellEnd"/>
            <w:r w:rsidRPr="001A3F8F">
              <w:rPr>
                <w:rFonts w:ascii="Times New Roman" w:hAnsi="Times New Roman" w:cs="Times New Roman"/>
                <w:b w:val="0"/>
                <w:bCs w:val="0"/>
                <w:sz w:val="20"/>
                <w:szCs w:val="20"/>
              </w:rPr>
              <w:t xml:space="preserve"> W.J., van </w:t>
            </w:r>
            <w:proofErr w:type="spellStart"/>
            <w:r w:rsidRPr="001A3F8F">
              <w:rPr>
                <w:rFonts w:ascii="Times New Roman" w:hAnsi="Times New Roman" w:cs="Times New Roman"/>
                <w:b w:val="0"/>
                <w:bCs w:val="0"/>
                <w:sz w:val="20"/>
                <w:szCs w:val="20"/>
              </w:rPr>
              <w:t>Osch</w:t>
            </w:r>
            <w:proofErr w:type="spellEnd"/>
            <w:r w:rsidRPr="001A3F8F">
              <w:rPr>
                <w:rFonts w:ascii="Times New Roman" w:hAnsi="Times New Roman" w:cs="Times New Roman"/>
                <w:b w:val="0"/>
                <w:bCs w:val="0"/>
                <w:sz w:val="20"/>
                <w:szCs w:val="20"/>
              </w:rPr>
              <w:t xml:space="preserve"> G.J. (2022). CELLULAR SENESCENCE IMPAIRS CHONDROGENIC DIFFERENTIATION OF MESENCHYMAL STEM/STROMAL CELLS BY INHIBITING THE TRASFORMING GROWTH FACTOR-BETA SIGNALING, 2022 OARSI World Congress on Osteoarthritis. Osteoarthritis and Cartilage. http://dx.doi.org/10.1016/j.joca.2022.02.570</w:t>
            </w:r>
          </w:p>
        </w:tc>
        <w:tc>
          <w:tcPr>
            <w:tcW w:w="1558" w:type="dxa"/>
          </w:tcPr>
          <w:p w14:paraId="6E6FE802"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2DB83A16"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438C2CB"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Cruciani</w:t>
            </w:r>
            <w:proofErr w:type="spellEnd"/>
            <w:r w:rsidRPr="001A3F8F">
              <w:rPr>
                <w:rFonts w:ascii="Times New Roman" w:hAnsi="Times New Roman" w:cs="Times New Roman"/>
                <w:b w:val="0"/>
                <w:bCs w:val="0"/>
                <w:sz w:val="20"/>
                <w:szCs w:val="20"/>
              </w:rPr>
              <w:t xml:space="preserve"> S, </w:t>
            </w:r>
            <w:proofErr w:type="spellStart"/>
            <w:r w:rsidRPr="001A3F8F">
              <w:rPr>
                <w:rFonts w:ascii="Times New Roman" w:hAnsi="Times New Roman" w:cs="Times New Roman"/>
                <w:b w:val="0"/>
                <w:bCs w:val="0"/>
                <w:sz w:val="20"/>
                <w:szCs w:val="20"/>
              </w:rPr>
              <w:t>Garroni</w:t>
            </w:r>
            <w:proofErr w:type="spellEnd"/>
            <w:r w:rsidRPr="001A3F8F">
              <w:rPr>
                <w:rFonts w:ascii="Times New Roman" w:hAnsi="Times New Roman" w:cs="Times New Roman"/>
                <w:b w:val="0"/>
                <w:bCs w:val="0"/>
                <w:sz w:val="20"/>
                <w:szCs w:val="20"/>
              </w:rPr>
              <w:t xml:space="preserve"> G, Pala R, </w:t>
            </w:r>
            <w:proofErr w:type="spellStart"/>
            <w:r w:rsidRPr="001A3F8F">
              <w:rPr>
                <w:rFonts w:ascii="Times New Roman" w:hAnsi="Times New Roman" w:cs="Times New Roman"/>
                <w:b w:val="0"/>
                <w:bCs w:val="0"/>
                <w:sz w:val="20"/>
                <w:szCs w:val="20"/>
              </w:rPr>
              <w:t>Barcessat</w:t>
            </w:r>
            <w:proofErr w:type="spellEnd"/>
            <w:r w:rsidRPr="001A3F8F">
              <w:rPr>
                <w:rFonts w:ascii="Times New Roman" w:hAnsi="Times New Roman" w:cs="Times New Roman"/>
                <w:b w:val="0"/>
                <w:bCs w:val="0"/>
                <w:sz w:val="20"/>
                <w:szCs w:val="20"/>
              </w:rPr>
              <w:t xml:space="preserve"> ARP, </w:t>
            </w:r>
            <w:proofErr w:type="spellStart"/>
            <w:r w:rsidRPr="001A3F8F">
              <w:rPr>
                <w:rFonts w:ascii="Times New Roman" w:hAnsi="Times New Roman" w:cs="Times New Roman"/>
                <w:b w:val="0"/>
                <w:bCs w:val="0"/>
                <w:sz w:val="20"/>
                <w:szCs w:val="20"/>
              </w:rPr>
              <w:t>Facchin</w:t>
            </w:r>
            <w:proofErr w:type="spellEnd"/>
            <w:r w:rsidRPr="001A3F8F">
              <w:rPr>
                <w:rFonts w:ascii="Times New Roman" w:hAnsi="Times New Roman" w:cs="Times New Roman"/>
                <w:b w:val="0"/>
                <w:bCs w:val="0"/>
                <w:sz w:val="20"/>
                <w:szCs w:val="20"/>
              </w:rPr>
              <w:t xml:space="preserve"> F, Ventura C, </w:t>
            </w:r>
            <w:proofErr w:type="spellStart"/>
            <w:r w:rsidRPr="001A3F8F">
              <w:rPr>
                <w:rFonts w:ascii="Times New Roman" w:hAnsi="Times New Roman" w:cs="Times New Roman"/>
                <w:b w:val="0"/>
                <w:bCs w:val="0"/>
                <w:sz w:val="20"/>
                <w:szCs w:val="20"/>
              </w:rPr>
              <w:t>Fozza</w:t>
            </w:r>
            <w:proofErr w:type="spellEnd"/>
            <w:r w:rsidRPr="001A3F8F">
              <w:rPr>
                <w:rFonts w:ascii="Times New Roman" w:hAnsi="Times New Roman" w:cs="Times New Roman"/>
                <w:b w:val="0"/>
                <w:bCs w:val="0"/>
                <w:sz w:val="20"/>
                <w:szCs w:val="20"/>
              </w:rPr>
              <w:t xml:space="preserve"> C, </w:t>
            </w:r>
            <w:proofErr w:type="spellStart"/>
            <w:r w:rsidRPr="001A3F8F">
              <w:rPr>
                <w:rFonts w:ascii="Times New Roman" w:hAnsi="Times New Roman" w:cs="Times New Roman"/>
                <w:b w:val="0"/>
                <w:bCs w:val="0"/>
                <w:sz w:val="20"/>
                <w:szCs w:val="20"/>
              </w:rPr>
              <w:t>Maioli</w:t>
            </w:r>
            <w:proofErr w:type="spellEnd"/>
            <w:r w:rsidRPr="001A3F8F">
              <w:rPr>
                <w:rFonts w:ascii="Times New Roman" w:hAnsi="Times New Roman" w:cs="Times New Roman"/>
                <w:b w:val="0"/>
                <w:bCs w:val="0"/>
                <w:sz w:val="20"/>
                <w:szCs w:val="20"/>
              </w:rPr>
              <w:t xml:space="preserve"> M. Melatonin finely tunes proliferation and senescence in hematopoietic stem cells. Eur J Cell Biol. 2022 Jun-Aug;101(3):151251.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10.1016/j.ejcb.2022.151251.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2022 Jun 22. PMID: 35772322.</w:t>
            </w:r>
          </w:p>
        </w:tc>
        <w:tc>
          <w:tcPr>
            <w:tcW w:w="1558" w:type="dxa"/>
          </w:tcPr>
          <w:p w14:paraId="2095CBCD"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00D4334F"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F9923D4"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Choi D., Lee K., Oh S., Lee S., Hwang J., Jo B., Lee J., Park Y., Park K., Jo I. (2023). Tissue Engineering: TONSIL-DERIVED MESENCHYMAL STEM CELLS INCORPORATED IN REACTIVE OXYGEN SPECIES RELEASING HYDROGEL PROMOTE REJUVENATION AND BONE FORMATION THROUGH INCREASED REGULATION OF CELL SURFACE GRP78, 29th Annual ISCT Meeting. </w:t>
            </w:r>
            <w:proofErr w:type="spellStart"/>
            <w:r w:rsidRPr="001A3F8F">
              <w:rPr>
                <w:rFonts w:ascii="Times New Roman" w:hAnsi="Times New Roman" w:cs="Times New Roman"/>
                <w:b w:val="0"/>
                <w:bCs w:val="0"/>
                <w:sz w:val="20"/>
                <w:szCs w:val="20"/>
              </w:rPr>
              <w:t>Cytotherapy</w:t>
            </w:r>
            <w:proofErr w:type="spellEnd"/>
            <w:r w:rsidRPr="001A3F8F">
              <w:rPr>
                <w:rFonts w:ascii="Times New Roman" w:hAnsi="Times New Roman" w:cs="Times New Roman"/>
                <w:b w:val="0"/>
                <w:bCs w:val="0"/>
                <w:sz w:val="20"/>
                <w:szCs w:val="20"/>
              </w:rPr>
              <w:t>. http://dx.doi.org/10.1016/S1465-3249(23)00712-0</w:t>
            </w:r>
          </w:p>
        </w:tc>
        <w:tc>
          <w:tcPr>
            <w:tcW w:w="1558" w:type="dxa"/>
          </w:tcPr>
          <w:p w14:paraId="01003A96"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5A0C6E5C"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7C1149F"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Go Y.-Y., Lee C.-M., Chae S.-W., Song J.-J. (2023). Regenerative capacity of trophoblast stem cell-derived extracellular vesicles on mesenchymal stem cells. Biomaterials Research, 27(1). http://dx.doi.org/10.1186/s40824-023-00396-5</w:t>
            </w:r>
          </w:p>
        </w:tc>
        <w:tc>
          <w:tcPr>
            <w:tcW w:w="1558" w:type="dxa"/>
          </w:tcPr>
          <w:p w14:paraId="75410291"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163F0A5B"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9F298AA"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Dadashpour</w:t>
            </w:r>
            <w:proofErr w:type="spellEnd"/>
            <w:r w:rsidRPr="001A3F8F">
              <w:rPr>
                <w:rFonts w:ascii="Times New Roman" w:hAnsi="Times New Roman" w:cs="Times New Roman"/>
                <w:b w:val="0"/>
                <w:bCs w:val="0"/>
                <w:sz w:val="20"/>
                <w:szCs w:val="20"/>
              </w:rPr>
              <w:t xml:space="preserve"> M., </w:t>
            </w:r>
            <w:proofErr w:type="spellStart"/>
            <w:r w:rsidRPr="001A3F8F">
              <w:rPr>
                <w:rFonts w:ascii="Times New Roman" w:hAnsi="Times New Roman" w:cs="Times New Roman"/>
                <w:b w:val="0"/>
                <w:bCs w:val="0"/>
                <w:sz w:val="20"/>
                <w:szCs w:val="20"/>
              </w:rPr>
              <w:t>Mahmoudi</w:t>
            </w:r>
            <w:proofErr w:type="spellEnd"/>
            <w:r w:rsidRPr="001A3F8F">
              <w:rPr>
                <w:rFonts w:ascii="Times New Roman" w:hAnsi="Times New Roman" w:cs="Times New Roman"/>
                <w:b w:val="0"/>
                <w:bCs w:val="0"/>
                <w:sz w:val="20"/>
                <w:szCs w:val="20"/>
              </w:rPr>
              <w:t xml:space="preserve"> H., Rahimi Z., </w:t>
            </w:r>
            <w:proofErr w:type="spellStart"/>
            <w:r w:rsidRPr="001A3F8F">
              <w:rPr>
                <w:rFonts w:ascii="Times New Roman" w:hAnsi="Times New Roman" w:cs="Times New Roman"/>
                <w:b w:val="0"/>
                <w:bCs w:val="0"/>
                <w:sz w:val="20"/>
                <w:szCs w:val="20"/>
              </w:rPr>
              <w:t>Janghorbanian</w:t>
            </w:r>
            <w:proofErr w:type="spell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Poodeh</w:t>
            </w:r>
            <w:proofErr w:type="spellEnd"/>
            <w:r w:rsidRPr="001A3F8F">
              <w:rPr>
                <w:rFonts w:ascii="Times New Roman" w:hAnsi="Times New Roman" w:cs="Times New Roman"/>
                <w:b w:val="0"/>
                <w:bCs w:val="0"/>
                <w:sz w:val="20"/>
                <w:szCs w:val="20"/>
              </w:rPr>
              <w:t xml:space="preserve"> R., </w:t>
            </w:r>
            <w:proofErr w:type="spellStart"/>
            <w:r w:rsidRPr="001A3F8F">
              <w:rPr>
                <w:rFonts w:ascii="Times New Roman" w:hAnsi="Times New Roman" w:cs="Times New Roman"/>
                <w:b w:val="0"/>
                <w:bCs w:val="0"/>
                <w:sz w:val="20"/>
                <w:szCs w:val="20"/>
              </w:rPr>
              <w:t>Mousazadeh</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Firouzi-Amandi</w:t>
            </w:r>
            <w:proofErr w:type="spellEnd"/>
            <w:r w:rsidRPr="001A3F8F">
              <w:rPr>
                <w:rFonts w:ascii="Times New Roman" w:hAnsi="Times New Roman" w:cs="Times New Roman"/>
                <w:b w:val="0"/>
                <w:bCs w:val="0"/>
                <w:sz w:val="20"/>
                <w:szCs w:val="20"/>
              </w:rPr>
              <w:t xml:space="preserve"> A., Yazdani Y., </w:t>
            </w:r>
            <w:proofErr w:type="spellStart"/>
            <w:r w:rsidRPr="001A3F8F">
              <w:rPr>
                <w:rFonts w:ascii="Times New Roman" w:hAnsi="Times New Roman" w:cs="Times New Roman"/>
                <w:b w:val="0"/>
                <w:bCs w:val="0"/>
                <w:sz w:val="20"/>
                <w:szCs w:val="20"/>
              </w:rPr>
              <w:t>Nezami</w:t>
            </w:r>
            <w:proofErr w:type="spellEnd"/>
            <w:r w:rsidRPr="001A3F8F">
              <w:rPr>
                <w:rFonts w:ascii="Times New Roman" w:hAnsi="Times New Roman" w:cs="Times New Roman"/>
                <w:b w:val="0"/>
                <w:bCs w:val="0"/>
                <w:sz w:val="20"/>
                <w:szCs w:val="20"/>
              </w:rPr>
              <w:t xml:space="preserve"> Asl A., </w:t>
            </w:r>
            <w:proofErr w:type="spellStart"/>
            <w:r w:rsidRPr="001A3F8F">
              <w:rPr>
                <w:rFonts w:ascii="Times New Roman" w:hAnsi="Times New Roman" w:cs="Times New Roman"/>
                <w:b w:val="0"/>
                <w:bCs w:val="0"/>
                <w:sz w:val="20"/>
                <w:szCs w:val="20"/>
              </w:rPr>
              <w:t>Akbarzadeh</w:t>
            </w:r>
            <w:proofErr w:type="spellEnd"/>
            <w:r w:rsidRPr="001A3F8F">
              <w:rPr>
                <w:rFonts w:ascii="Times New Roman" w:hAnsi="Times New Roman" w:cs="Times New Roman"/>
                <w:b w:val="0"/>
                <w:bCs w:val="0"/>
                <w:sz w:val="20"/>
                <w:szCs w:val="20"/>
              </w:rPr>
              <w:t xml:space="preserve"> A. (2023). Sustained in vitro delivery of metformin-loaded mesoporous silica nanoparticles for delayed senescence and stemness preservation of adipose-derived stem cells. Journal of Drug Delivery Science and Technology, 87. http://dx.doi.org/10.1016/j.jddst.2023.104769</w:t>
            </w:r>
          </w:p>
        </w:tc>
        <w:tc>
          <w:tcPr>
            <w:tcW w:w="1558" w:type="dxa"/>
          </w:tcPr>
          <w:p w14:paraId="5AD7720C"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46D8F4C8"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B7D104A"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Ishiuchi</w:t>
            </w:r>
            <w:proofErr w:type="spellEnd"/>
            <w:r w:rsidRPr="001A3F8F">
              <w:rPr>
                <w:rFonts w:ascii="Times New Roman" w:hAnsi="Times New Roman" w:cs="Times New Roman"/>
                <w:b w:val="0"/>
                <w:bCs w:val="0"/>
                <w:sz w:val="20"/>
                <w:szCs w:val="20"/>
              </w:rPr>
              <w:t xml:space="preserve"> N, Nakashima A, Maeda S, Miura Y, </w:t>
            </w:r>
            <w:proofErr w:type="spellStart"/>
            <w:r w:rsidRPr="001A3F8F">
              <w:rPr>
                <w:rFonts w:ascii="Times New Roman" w:hAnsi="Times New Roman" w:cs="Times New Roman"/>
                <w:b w:val="0"/>
                <w:bCs w:val="0"/>
                <w:sz w:val="20"/>
                <w:szCs w:val="20"/>
              </w:rPr>
              <w:t>Miyasako</w:t>
            </w:r>
            <w:proofErr w:type="spellEnd"/>
            <w:r w:rsidRPr="001A3F8F">
              <w:rPr>
                <w:rFonts w:ascii="Times New Roman" w:hAnsi="Times New Roman" w:cs="Times New Roman"/>
                <w:b w:val="0"/>
                <w:bCs w:val="0"/>
                <w:sz w:val="20"/>
                <w:szCs w:val="20"/>
              </w:rPr>
              <w:t xml:space="preserve"> K, Sasaki K, </w:t>
            </w:r>
            <w:proofErr w:type="spellStart"/>
            <w:r w:rsidRPr="001A3F8F">
              <w:rPr>
                <w:rFonts w:ascii="Times New Roman" w:hAnsi="Times New Roman" w:cs="Times New Roman"/>
                <w:b w:val="0"/>
                <w:bCs w:val="0"/>
                <w:sz w:val="20"/>
                <w:szCs w:val="20"/>
              </w:rPr>
              <w:t>Uchiki</w:t>
            </w:r>
            <w:proofErr w:type="spellEnd"/>
            <w:r w:rsidRPr="001A3F8F">
              <w:rPr>
                <w:rFonts w:ascii="Times New Roman" w:hAnsi="Times New Roman" w:cs="Times New Roman"/>
                <w:b w:val="0"/>
                <w:bCs w:val="0"/>
                <w:sz w:val="20"/>
                <w:szCs w:val="20"/>
              </w:rPr>
              <w:t xml:space="preserve"> T, Sasaki A, </w:t>
            </w:r>
            <w:proofErr w:type="spellStart"/>
            <w:r w:rsidRPr="001A3F8F">
              <w:rPr>
                <w:rFonts w:ascii="Times New Roman" w:hAnsi="Times New Roman" w:cs="Times New Roman"/>
                <w:b w:val="0"/>
                <w:bCs w:val="0"/>
                <w:sz w:val="20"/>
                <w:szCs w:val="20"/>
              </w:rPr>
              <w:t>Nagamatsu</w:t>
            </w:r>
            <w:proofErr w:type="spellEnd"/>
            <w:r w:rsidRPr="001A3F8F">
              <w:rPr>
                <w:rFonts w:ascii="Times New Roman" w:hAnsi="Times New Roman" w:cs="Times New Roman"/>
                <w:b w:val="0"/>
                <w:bCs w:val="0"/>
                <w:sz w:val="20"/>
                <w:szCs w:val="20"/>
              </w:rPr>
              <w:t xml:space="preserve"> S, Nakao N, Nagao M, Masaki T. Comparison of therapeutic effects of mesenchymal stem cells derived from superficial and deep subcutaneous adipose tissues. Stem Cell Res </w:t>
            </w:r>
            <w:proofErr w:type="spellStart"/>
            <w:r w:rsidRPr="001A3F8F">
              <w:rPr>
                <w:rFonts w:ascii="Times New Roman" w:hAnsi="Times New Roman" w:cs="Times New Roman"/>
                <w:b w:val="0"/>
                <w:bCs w:val="0"/>
                <w:sz w:val="20"/>
                <w:szCs w:val="20"/>
              </w:rPr>
              <w:t>Ther</w:t>
            </w:r>
            <w:proofErr w:type="spellEnd"/>
            <w:r w:rsidRPr="001A3F8F">
              <w:rPr>
                <w:rFonts w:ascii="Times New Roman" w:hAnsi="Times New Roman" w:cs="Times New Roman"/>
                <w:b w:val="0"/>
                <w:bCs w:val="0"/>
                <w:sz w:val="20"/>
                <w:szCs w:val="20"/>
              </w:rPr>
              <w:t xml:space="preserve">. </w:t>
            </w:r>
            <w:r w:rsidRPr="001A3F8F">
              <w:rPr>
                <w:rFonts w:ascii="Times New Roman" w:hAnsi="Times New Roman" w:cs="Times New Roman"/>
                <w:b w:val="0"/>
                <w:bCs w:val="0"/>
                <w:sz w:val="20"/>
                <w:szCs w:val="20"/>
              </w:rPr>
              <w:lastRenderedPageBreak/>
              <w:t xml:space="preserve">2023 May 4;14(1):121.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10.1186/s13287-023-03350-3. PMID: 37143086; PMCID: PMC10161523.</w:t>
            </w:r>
          </w:p>
        </w:tc>
        <w:tc>
          <w:tcPr>
            <w:tcW w:w="1558" w:type="dxa"/>
          </w:tcPr>
          <w:p w14:paraId="57E6A872"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lastRenderedPageBreak/>
              <w:t>4</w:t>
            </w:r>
          </w:p>
        </w:tc>
      </w:tr>
      <w:tr w:rsidR="0052204D" w:rsidRPr="001A3F8F" w14:paraId="2351812E" w14:textId="77777777" w:rsidTr="0052204D">
        <w:trPr>
          <w:trHeight w:val="57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C336E8E"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Elsied</w:t>
            </w:r>
            <w:proofErr w:type="spellEnd"/>
            <w:r w:rsidRPr="001A3F8F">
              <w:rPr>
                <w:rFonts w:ascii="Times New Roman" w:hAnsi="Times New Roman" w:cs="Times New Roman"/>
                <w:b w:val="0"/>
                <w:bCs w:val="0"/>
                <w:sz w:val="20"/>
                <w:szCs w:val="20"/>
              </w:rPr>
              <w:t xml:space="preserve"> MA, </w:t>
            </w:r>
            <w:proofErr w:type="spellStart"/>
            <w:r w:rsidRPr="001A3F8F">
              <w:rPr>
                <w:rFonts w:ascii="Times New Roman" w:hAnsi="Times New Roman" w:cs="Times New Roman"/>
                <w:b w:val="0"/>
                <w:bCs w:val="0"/>
                <w:sz w:val="20"/>
                <w:szCs w:val="20"/>
              </w:rPr>
              <w:t>Sharawi</w:t>
            </w:r>
            <w:proofErr w:type="spellEnd"/>
            <w:r w:rsidRPr="001A3F8F">
              <w:rPr>
                <w:rFonts w:ascii="Times New Roman" w:hAnsi="Times New Roman" w:cs="Times New Roman"/>
                <w:b w:val="0"/>
                <w:bCs w:val="0"/>
                <w:sz w:val="20"/>
                <w:szCs w:val="20"/>
              </w:rPr>
              <w:t xml:space="preserve"> ZW, Al-</w:t>
            </w:r>
            <w:proofErr w:type="spellStart"/>
            <w:r w:rsidRPr="001A3F8F">
              <w:rPr>
                <w:rFonts w:ascii="Times New Roman" w:hAnsi="Times New Roman" w:cs="Times New Roman"/>
                <w:b w:val="0"/>
                <w:bCs w:val="0"/>
                <w:sz w:val="20"/>
                <w:szCs w:val="20"/>
              </w:rPr>
              <w:t>Amrah</w:t>
            </w:r>
            <w:proofErr w:type="spellEnd"/>
            <w:r w:rsidRPr="001A3F8F">
              <w:rPr>
                <w:rFonts w:ascii="Times New Roman" w:hAnsi="Times New Roman" w:cs="Times New Roman"/>
                <w:b w:val="0"/>
                <w:bCs w:val="0"/>
                <w:sz w:val="20"/>
                <w:szCs w:val="20"/>
              </w:rPr>
              <w:t xml:space="preserve"> H, </w:t>
            </w:r>
            <w:proofErr w:type="spellStart"/>
            <w:r w:rsidRPr="001A3F8F">
              <w:rPr>
                <w:rFonts w:ascii="Times New Roman" w:hAnsi="Times New Roman" w:cs="Times New Roman"/>
                <w:b w:val="0"/>
                <w:bCs w:val="0"/>
                <w:sz w:val="20"/>
                <w:szCs w:val="20"/>
              </w:rPr>
              <w:t>Hegazy</w:t>
            </w:r>
            <w:proofErr w:type="spellEnd"/>
            <w:r w:rsidRPr="001A3F8F">
              <w:rPr>
                <w:rFonts w:ascii="Times New Roman" w:hAnsi="Times New Roman" w:cs="Times New Roman"/>
                <w:b w:val="0"/>
                <w:bCs w:val="0"/>
                <w:sz w:val="20"/>
                <w:szCs w:val="20"/>
              </w:rPr>
              <w:t xml:space="preserve"> RA, Mohamed AE, Saleh RM, El-</w:t>
            </w:r>
            <w:proofErr w:type="spellStart"/>
            <w:r w:rsidRPr="001A3F8F">
              <w:rPr>
                <w:rFonts w:ascii="Times New Roman" w:hAnsi="Times New Roman" w:cs="Times New Roman"/>
                <w:b w:val="0"/>
                <w:bCs w:val="0"/>
                <w:sz w:val="20"/>
                <w:szCs w:val="20"/>
              </w:rPr>
              <w:t>Kholy</w:t>
            </w:r>
            <w:proofErr w:type="spellEnd"/>
            <w:r w:rsidRPr="001A3F8F">
              <w:rPr>
                <w:rFonts w:ascii="Times New Roman" w:hAnsi="Times New Roman" w:cs="Times New Roman"/>
                <w:b w:val="0"/>
                <w:bCs w:val="0"/>
                <w:sz w:val="20"/>
                <w:szCs w:val="20"/>
              </w:rPr>
              <w:t xml:space="preserve"> SS, </w:t>
            </w:r>
            <w:proofErr w:type="spellStart"/>
            <w:r w:rsidRPr="001A3F8F">
              <w:rPr>
                <w:rFonts w:ascii="Times New Roman" w:hAnsi="Times New Roman" w:cs="Times New Roman"/>
                <w:b w:val="0"/>
                <w:bCs w:val="0"/>
                <w:sz w:val="20"/>
                <w:szCs w:val="20"/>
              </w:rPr>
              <w:t>Farrag</w:t>
            </w:r>
            <w:proofErr w:type="spellEnd"/>
            <w:r w:rsidRPr="001A3F8F">
              <w:rPr>
                <w:rFonts w:ascii="Times New Roman" w:hAnsi="Times New Roman" w:cs="Times New Roman"/>
                <w:b w:val="0"/>
                <w:bCs w:val="0"/>
                <w:sz w:val="20"/>
                <w:szCs w:val="20"/>
              </w:rPr>
              <w:t xml:space="preserve"> FA, Fayed MH, El-</w:t>
            </w:r>
            <w:proofErr w:type="spellStart"/>
            <w:r w:rsidRPr="001A3F8F">
              <w:rPr>
                <w:rFonts w:ascii="Times New Roman" w:hAnsi="Times New Roman" w:cs="Times New Roman"/>
                <w:b w:val="0"/>
                <w:bCs w:val="0"/>
                <w:sz w:val="20"/>
                <w:szCs w:val="20"/>
              </w:rPr>
              <w:t>Magd</w:t>
            </w:r>
            <w:proofErr w:type="spellEnd"/>
            <w:r w:rsidRPr="001A3F8F">
              <w:rPr>
                <w:rFonts w:ascii="Times New Roman" w:hAnsi="Times New Roman" w:cs="Times New Roman"/>
                <w:b w:val="0"/>
                <w:bCs w:val="0"/>
                <w:sz w:val="20"/>
                <w:szCs w:val="20"/>
              </w:rPr>
              <w:t xml:space="preserve"> MA. Walnut Kernel Oil and Defatted Extracts Enhance Mesenchymal Stem Cell Stemness and Delay Senescence. Molecules. 2023 Aug 28;28(17):6281.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10.3390/molecules28176281. PMID: 37687109; PMCID: PMC10488345.</w:t>
            </w:r>
          </w:p>
        </w:tc>
        <w:tc>
          <w:tcPr>
            <w:tcW w:w="1558" w:type="dxa"/>
          </w:tcPr>
          <w:p w14:paraId="2C250585"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4300387F"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8D58E97"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Hejazi, Sajjad1,2; </w:t>
            </w:r>
            <w:proofErr w:type="spellStart"/>
            <w:r w:rsidRPr="001A3F8F">
              <w:rPr>
                <w:rFonts w:ascii="Times New Roman" w:hAnsi="Times New Roman" w:cs="Times New Roman"/>
                <w:b w:val="0"/>
                <w:bCs w:val="0"/>
                <w:sz w:val="20"/>
                <w:szCs w:val="20"/>
              </w:rPr>
              <w:t>Maleki</w:t>
            </w:r>
            <w:proofErr w:type="spellEnd"/>
            <w:r w:rsidRPr="001A3F8F">
              <w:rPr>
                <w:rFonts w:ascii="Times New Roman" w:hAnsi="Times New Roman" w:cs="Times New Roman"/>
                <w:b w:val="0"/>
                <w:bCs w:val="0"/>
                <w:sz w:val="20"/>
                <w:szCs w:val="20"/>
              </w:rPr>
              <w:t xml:space="preserve">, Masoud3; </w:t>
            </w:r>
            <w:proofErr w:type="spellStart"/>
            <w:r w:rsidRPr="001A3F8F">
              <w:rPr>
                <w:rFonts w:ascii="Times New Roman" w:hAnsi="Times New Roman" w:cs="Times New Roman"/>
                <w:b w:val="0"/>
                <w:bCs w:val="0"/>
                <w:sz w:val="20"/>
                <w:szCs w:val="20"/>
              </w:rPr>
              <w:t>Rasekh</w:t>
            </w:r>
            <w:proofErr w:type="spellEnd"/>
            <w:r w:rsidRPr="001A3F8F">
              <w:rPr>
                <w:rFonts w:ascii="Times New Roman" w:hAnsi="Times New Roman" w:cs="Times New Roman"/>
                <w:b w:val="0"/>
                <w:bCs w:val="0"/>
                <w:sz w:val="20"/>
                <w:szCs w:val="20"/>
              </w:rPr>
              <w:t>, Morteza4. Study of the Cellular Senescence Process in Human Umbilical Cord Wharton's Jelly-derived Mesenchymal Stem Cells. Advances in Human Biology 13(4</w:t>
            </w:r>
            <w:proofErr w:type="gramStart"/>
            <w:r w:rsidRPr="001A3F8F">
              <w:rPr>
                <w:rFonts w:ascii="Times New Roman" w:hAnsi="Times New Roman" w:cs="Times New Roman"/>
                <w:b w:val="0"/>
                <w:bCs w:val="0"/>
                <w:sz w:val="20"/>
                <w:szCs w:val="20"/>
              </w:rPr>
              <w:t>):p</w:t>
            </w:r>
            <w:proofErr w:type="gramEnd"/>
            <w:r w:rsidRPr="001A3F8F">
              <w:rPr>
                <w:rFonts w:ascii="Times New Roman" w:hAnsi="Times New Roman" w:cs="Times New Roman"/>
                <w:b w:val="0"/>
                <w:bCs w:val="0"/>
                <w:sz w:val="20"/>
                <w:szCs w:val="20"/>
              </w:rPr>
              <w:t xml:space="preserve"> 361-366, Oct–Dec 2023. | DOI: 10.4103/aihb.aihb_19_23 </w:t>
            </w:r>
          </w:p>
        </w:tc>
        <w:tc>
          <w:tcPr>
            <w:tcW w:w="1558" w:type="dxa"/>
          </w:tcPr>
          <w:p w14:paraId="03CBF846"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r>
      <w:tr w:rsidR="0052204D" w:rsidRPr="001A3F8F" w14:paraId="03134BE1"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noWrap/>
            <w:hideMark/>
          </w:tcPr>
          <w:p w14:paraId="7A843A4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Mapping aged stem cell states associated with decline in skeletal muscle regeneration. Nat Aging 4, 1680–1681 (2024). https://doi.org/10.1038/s43587-024-00768-z</w:t>
            </w:r>
          </w:p>
        </w:tc>
        <w:tc>
          <w:tcPr>
            <w:tcW w:w="1558" w:type="dxa"/>
          </w:tcPr>
          <w:p w14:paraId="3DBC7CFA"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6E76FC7B" w14:textId="77777777" w:rsidTr="0052204D">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080" w:type="dxa"/>
            <w:noWrap/>
            <w:hideMark/>
          </w:tcPr>
          <w:p w14:paraId="1652AE0A"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Pei YA, Patel J, Pei M. Extracellular Matrix Tunes the Regenerative Potential of Fetal Stem Cells. Applied Sciences. 2024; 14(5):1932. https://doi.org/10.3390/app14051932</w:t>
            </w:r>
          </w:p>
        </w:tc>
        <w:tc>
          <w:tcPr>
            <w:tcW w:w="1558" w:type="dxa"/>
          </w:tcPr>
          <w:p w14:paraId="7CEB6B0E"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472BA2A"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65C0F963"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Rajput SN, Naeem BK, Ali A, Salim A, Khan I. Expansion of human umbilical cord derived mesenchymal stem cells in regenerative medicine. World J Stem Cells. 2024 Apr 26;16(4):410-433.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10.4252/</w:t>
            </w:r>
            <w:proofErr w:type="gramStart"/>
            <w:r w:rsidRPr="001A3F8F">
              <w:rPr>
                <w:rFonts w:ascii="Times New Roman" w:hAnsi="Times New Roman" w:cs="Times New Roman"/>
                <w:b w:val="0"/>
                <w:bCs w:val="0"/>
                <w:sz w:val="20"/>
                <w:szCs w:val="20"/>
              </w:rPr>
              <w:t>wjsc.v16.i</w:t>
            </w:r>
            <w:proofErr w:type="gramEnd"/>
            <w:r w:rsidRPr="001A3F8F">
              <w:rPr>
                <w:rFonts w:ascii="Times New Roman" w:hAnsi="Times New Roman" w:cs="Times New Roman"/>
                <w:b w:val="0"/>
                <w:bCs w:val="0"/>
                <w:sz w:val="20"/>
                <w:szCs w:val="20"/>
              </w:rPr>
              <w:t>4.410. PMID: 38690517; PMCID: PMC11056638.</w:t>
            </w:r>
          </w:p>
        </w:tc>
        <w:tc>
          <w:tcPr>
            <w:tcW w:w="1558" w:type="dxa"/>
          </w:tcPr>
          <w:p w14:paraId="372C2ACD"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51308A65"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05C9FDF"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Sun Y, Yu Y, Ma S, Liao C, Yang J, </w:t>
            </w:r>
            <w:proofErr w:type="spellStart"/>
            <w:r w:rsidRPr="001A3F8F">
              <w:rPr>
                <w:rFonts w:ascii="Times New Roman" w:hAnsi="Times New Roman" w:cs="Times New Roman"/>
                <w:b w:val="0"/>
                <w:bCs w:val="0"/>
                <w:sz w:val="20"/>
                <w:szCs w:val="20"/>
              </w:rPr>
              <w:t>Lyu</w:t>
            </w:r>
            <w:proofErr w:type="spellEnd"/>
            <w:r w:rsidRPr="001A3F8F">
              <w:rPr>
                <w:rFonts w:ascii="Times New Roman" w:hAnsi="Times New Roman" w:cs="Times New Roman"/>
                <w:b w:val="0"/>
                <w:bCs w:val="0"/>
                <w:sz w:val="20"/>
                <w:szCs w:val="20"/>
              </w:rPr>
              <w:t xml:space="preserve"> Y, Zhang X, Zhang J, Tian W, Liao L. Nanotube topography rejuvenates the senescence of mesenchymal stem cells by activating YAP </w:t>
            </w:r>
            <w:proofErr w:type="spellStart"/>
            <w:r w:rsidRPr="001A3F8F">
              <w:rPr>
                <w:rFonts w:ascii="Times New Roman" w:hAnsi="Times New Roman" w:cs="Times New Roman"/>
                <w:b w:val="0"/>
                <w:bCs w:val="0"/>
                <w:sz w:val="20"/>
                <w:szCs w:val="20"/>
              </w:rPr>
              <w:t>signalling</w:t>
            </w:r>
            <w:proofErr w:type="spellEnd"/>
            <w:r w:rsidRPr="001A3F8F">
              <w:rPr>
                <w:rFonts w:ascii="Times New Roman" w:hAnsi="Times New Roman" w:cs="Times New Roman"/>
                <w:b w:val="0"/>
                <w:bCs w:val="0"/>
                <w:sz w:val="20"/>
                <w:szCs w:val="20"/>
              </w:rPr>
              <w:t xml:space="preserve">. J Mater Chem B. 2024 Jul 17;12(28):6917-6926.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10.1039/d3tb02828c. PMID: 38904147.</w:t>
            </w:r>
          </w:p>
        </w:tc>
        <w:tc>
          <w:tcPr>
            <w:tcW w:w="1558" w:type="dxa"/>
          </w:tcPr>
          <w:p w14:paraId="6C6DF3D8"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r>
      <w:tr w:rsidR="0052204D" w:rsidRPr="001A3F8F" w14:paraId="4817380B"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E3A384E"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Li F, Zhang F, Shi H, Xia H, Wei X, Liu S, Wu T, Li Y, Shu F, Chen M, Li J, Duan R. Aerobic exercise suppresses CCN2 secretion from senescent muscle stem cells and boosts muscle regeneration in aged mice. J Cachexia Sarcopenia Muscle. 2024 Oct;15(5):1733-1749.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10.1002/jcsm.13526.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2024 Jun 26. PMID: 38925632; PMCID: PMC11446704.</w:t>
            </w:r>
          </w:p>
        </w:tc>
        <w:tc>
          <w:tcPr>
            <w:tcW w:w="1558" w:type="dxa"/>
          </w:tcPr>
          <w:p w14:paraId="2A8EEC97"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097000BB"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DCDDA02"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Kang GH, Shin YK, Lim KM, Kim SJ, Song M, Song K, Kim JH, Kim DY, Shin HC, Shin HJ, Cho SG. Thermostable </w:t>
            </w:r>
            <w:proofErr w:type="spellStart"/>
            <w:r w:rsidRPr="001A3F8F">
              <w:rPr>
                <w:rFonts w:ascii="Times New Roman" w:hAnsi="Times New Roman" w:cs="Times New Roman"/>
                <w:b w:val="0"/>
                <w:bCs w:val="0"/>
                <w:sz w:val="20"/>
                <w:szCs w:val="20"/>
              </w:rPr>
              <w:t>bFGF</w:t>
            </w:r>
            <w:proofErr w:type="spellEnd"/>
            <w:r w:rsidRPr="001A3F8F">
              <w:rPr>
                <w:rFonts w:ascii="Times New Roman" w:hAnsi="Times New Roman" w:cs="Times New Roman"/>
                <w:b w:val="0"/>
                <w:bCs w:val="0"/>
                <w:sz w:val="20"/>
                <w:szCs w:val="20"/>
              </w:rPr>
              <w:t xml:space="preserve"> Improves Cell Lifespan by Enhancing Cell Activity in the Long-Term Culture of Human Orbicularis Oculi Stem Cells. Int J Stem Cells. 2025 Aug 30;18(3):301-310.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10.15283/ijsc24039.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2024 Oct 23. PMID: 39439110; PMCID: PMC12394077.</w:t>
            </w:r>
          </w:p>
        </w:tc>
        <w:tc>
          <w:tcPr>
            <w:tcW w:w="1558" w:type="dxa"/>
          </w:tcPr>
          <w:p w14:paraId="1D315AAB"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7C778268"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28D8B8A9"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Sun H, </w:t>
            </w:r>
            <w:proofErr w:type="spellStart"/>
            <w:r w:rsidRPr="001A3F8F">
              <w:rPr>
                <w:rFonts w:ascii="Times New Roman" w:hAnsi="Times New Roman" w:cs="Times New Roman"/>
                <w:b w:val="0"/>
                <w:bCs w:val="0"/>
                <w:sz w:val="20"/>
                <w:szCs w:val="20"/>
              </w:rPr>
              <w:t>Zhai</w:t>
            </w:r>
            <w:proofErr w:type="spellEnd"/>
            <w:r w:rsidRPr="001A3F8F">
              <w:rPr>
                <w:rFonts w:ascii="Times New Roman" w:hAnsi="Times New Roman" w:cs="Times New Roman"/>
                <w:b w:val="0"/>
                <w:bCs w:val="0"/>
                <w:sz w:val="20"/>
                <w:szCs w:val="20"/>
              </w:rPr>
              <w:t xml:space="preserve"> H, Han K, Ma H, Tan Y, Li S, Liu Z, Cheng L, Lu Q, Zhou L, Liu P. Clinical outcomes of autologous adipose-derived mesenchymal stem cell combined with high tibial osteotomy for knee osteoarthritis are correlated with stem cell stemness and senescence. J </w:t>
            </w:r>
            <w:proofErr w:type="spellStart"/>
            <w:r w:rsidRPr="001A3F8F">
              <w:rPr>
                <w:rFonts w:ascii="Times New Roman" w:hAnsi="Times New Roman" w:cs="Times New Roman"/>
                <w:b w:val="0"/>
                <w:bCs w:val="0"/>
                <w:sz w:val="20"/>
                <w:szCs w:val="20"/>
              </w:rPr>
              <w:t>Transl</w:t>
            </w:r>
            <w:proofErr w:type="spellEnd"/>
            <w:r w:rsidRPr="001A3F8F">
              <w:rPr>
                <w:rFonts w:ascii="Times New Roman" w:hAnsi="Times New Roman" w:cs="Times New Roman"/>
                <w:b w:val="0"/>
                <w:bCs w:val="0"/>
                <w:sz w:val="20"/>
                <w:szCs w:val="20"/>
              </w:rPr>
              <w:t xml:space="preserve"> Med. 2024 Nov 18;22(1):1039.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10.1186/s12967-024-05814-3. PMID: 39558365; PMCID: PMC11575038.</w:t>
            </w:r>
          </w:p>
        </w:tc>
        <w:tc>
          <w:tcPr>
            <w:tcW w:w="1558" w:type="dxa"/>
          </w:tcPr>
          <w:p w14:paraId="1D31041D"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308DD9E4"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FD2C0A0"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Xu L, Ren W, Long Y, Yang B, Chen L, Chen W, Chen S, Cao Y, Wu D, Qu J, Li H, Yu Y, Zhang A, Wang S, Wang H, Chen T, Fan G, Li Q, Chen Z. Antisenescence Expansion of Mesenchymal Stem Cells Using Piezoelectric β-</w:t>
            </w:r>
            <w:proofErr w:type="gramStart"/>
            <w:r w:rsidRPr="001A3F8F">
              <w:rPr>
                <w:rFonts w:ascii="Times New Roman" w:hAnsi="Times New Roman" w:cs="Times New Roman"/>
                <w:b w:val="0"/>
                <w:bCs w:val="0"/>
                <w:sz w:val="20"/>
                <w:szCs w:val="20"/>
              </w:rPr>
              <w:t>Poly(</w:t>
            </w:r>
            <w:proofErr w:type="gramEnd"/>
            <w:r w:rsidRPr="001A3F8F">
              <w:rPr>
                <w:rFonts w:ascii="Times New Roman" w:hAnsi="Times New Roman" w:cs="Times New Roman"/>
                <w:b w:val="0"/>
                <w:bCs w:val="0"/>
                <w:sz w:val="20"/>
                <w:szCs w:val="20"/>
              </w:rPr>
              <w:t xml:space="preserve">vinylidene fluoride) Film-Based Culture. ACS Appl Mater Interfaces. 2024 Nov 20;16(46):63207-63224.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10.1021/acsami.4c12725.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2024 Nov 6. PMID: 39503875.</w:t>
            </w:r>
          </w:p>
        </w:tc>
        <w:tc>
          <w:tcPr>
            <w:tcW w:w="1558" w:type="dxa"/>
          </w:tcPr>
          <w:p w14:paraId="233482E2"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40E9AC38"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CECC5BC"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Gu K, Feng XM, Sun SQ, Hao XY, Wen Y. Yes-associated protein-mediated melatonin regulates the function of periodontal ligament stem cells under oxidative stress conditions. World J Stem Cells. 2024 Nov 26;16(11):926-943.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10.4252/</w:t>
            </w:r>
            <w:proofErr w:type="gramStart"/>
            <w:r w:rsidRPr="001A3F8F">
              <w:rPr>
                <w:rFonts w:ascii="Times New Roman" w:hAnsi="Times New Roman" w:cs="Times New Roman"/>
                <w:b w:val="0"/>
                <w:bCs w:val="0"/>
                <w:sz w:val="20"/>
                <w:szCs w:val="20"/>
              </w:rPr>
              <w:t>wjsc.v16.i</w:t>
            </w:r>
            <w:proofErr w:type="gramEnd"/>
            <w:r w:rsidRPr="001A3F8F">
              <w:rPr>
                <w:rFonts w:ascii="Times New Roman" w:hAnsi="Times New Roman" w:cs="Times New Roman"/>
                <w:b w:val="0"/>
                <w:bCs w:val="0"/>
                <w:sz w:val="20"/>
                <w:szCs w:val="20"/>
              </w:rPr>
              <w:t>11.926. PMID: 39619874; PMCID: PMC11606347.</w:t>
            </w:r>
          </w:p>
        </w:tc>
        <w:tc>
          <w:tcPr>
            <w:tcW w:w="1558" w:type="dxa"/>
          </w:tcPr>
          <w:p w14:paraId="326AA932"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27738734"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F80BE01"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Liu DY, Wu J, Zhou HY, </w:t>
            </w:r>
            <w:proofErr w:type="spellStart"/>
            <w:r w:rsidRPr="001A3F8F">
              <w:rPr>
                <w:rFonts w:ascii="Times New Roman" w:hAnsi="Times New Roman" w:cs="Times New Roman"/>
                <w:b w:val="0"/>
                <w:bCs w:val="0"/>
                <w:sz w:val="20"/>
                <w:szCs w:val="20"/>
              </w:rPr>
              <w:t>Lv</w:t>
            </w:r>
            <w:proofErr w:type="spellEnd"/>
            <w:r w:rsidRPr="001A3F8F">
              <w:rPr>
                <w:rFonts w:ascii="Times New Roman" w:hAnsi="Times New Roman" w:cs="Times New Roman"/>
                <w:b w:val="0"/>
                <w:bCs w:val="0"/>
                <w:sz w:val="20"/>
                <w:szCs w:val="20"/>
              </w:rPr>
              <w:t xml:space="preserve"> JX, Cai KZ, Tang CB. Phytic acid improves osteogenesis and inhibits the senescence of human bone marrow mesenchymal stem cells under high-glucose conditions via the ERK pathway. Chem Biol Interact. 2024 Jan </w:t>
            </w:r>
            <w:proofErr w:type="gramStart"/>
            <w:r w:rsidRPr="001A3F8F">
              <w:rPr>
                <w:rFonts w:ascii="Times New Roman" w:hAnsi="Times New Roman" w:cs="Times New Roman"/>
                <w:b w:val="0"/>
                <w:bCs w:val="0"/>
                <w:sz w:val="20"/>
                <w:szCs w:val="20"/>
              </w:rPr>
              <w:t>5;387:110818</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10.1016/j.cbi.2023.110818.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2023 Nov 22. PMID: 38000455.</w:t>
            </w:r>
          </w:p>
        </w:tc>
        <w:tc>
          <w:tcPr>
            <w:tcW w:w="1558" w:type="dxa"/>
          </w:tcPr>
          <w:p w14:paraId="69060826"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r>
      <w:tr w:rsidR="0052204D" w:rsidRPr="001A3F8F" w14:paraId="37942ABF"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61690DD"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Li XY, Zhang L, Sun Y. [Mitochondrial transfer contributes to the odontogenic differentiation of dental mesenchymal stem cells]. </w:t>
            </w:r>
            <w:proofErr w:type="spellStart"/>
            <w:r w:rsidRPr="001A3F8F">
              <w:rPr>
                <w:rFonts w:ascii="Times New Roman" w:hAnsi="Times New Roman" w:cs="Times New Roman"/>
                <w:b w:val="0"/>
                <w:bCs w:val="0"/>
                <w:sz w:val="20"/>
                <w:szCs w:val="20"/>
              </w:rPr>
              <w:t>Zhonghua</w:t>
            </w:r>
            <w:proofErr w:type="spellEnd"/>
            <w:r w:rsidRPr="001A3F8F">
              <w:rPr>
                <w:rFonts w:ascii="Times New Roman" w:hAnsi="Times New Roman" w:cs="Times New Roman"/>
                <w:b w:val="0"/>
                <w:bCs w:val="0"/>
                <w:sz w:val="20"/>
                <w:szCs w:val="20"/>
              </w:rPr>
              <w:t xml:space="preserve"> Kou </w:t>
            </w:r>
            <w:proofErr w:type="spellStart"/>
            <w:r w:rsidRPr="001A3F8F">
              <w:rPr>
                <w:rFonts w:ascii="Times New Roman" w:hAnsi="Times New Roman" w:cs="Times New Roman"/>
                <w:b w:val="0"/>
                <w:bCs w:val="0"/>
                <w:sz w:val="20"/>
                <w:szCs w:val="20"/>
              </w:rPr>
              <w:t>Qiang</w:t>
            </w:r>
            <w:proofErr w:type="spellEnd"/>
            <w:r w:rsidRPr="001A3F8F">
              <w:rPr>
                <w:rFonts w:ascii="Times New Roman" w:hAnsi="Times New Roman" w:cs="Times New Roman"/>
                <w:b w:val="0"/>
                <w:bCs w:val="0"/>
                <w:sz w:val="20"/>
                <w:szCs w:val="20"/>
              </w:rPr>
              <w:t xml:space="preserve"> Yi </w:t>
            </w:r>
            <w:proofErr w:type="spellStart"/>
            <w:r w:rsidRPr="001A3F8F">
              <w:rPr>
                <w:rFonts w:ascii="Times New Roman" w:hAnsi="Times New Roman" w:cs="Times New Roman"/>
                <w:b w:val="0"/>
                <w:bCs w:val="0"/>
                <w:sz w:val="20"/>
                <w:szCs w:val="20"/>
              </w:rPr>
              <w:t>Xue</w:t>
            </w:r>
            <w:proofErr w:type="spellEnd"/>
            <w:r w:rsidRPr="001A3F8F">
              <w:rPr>
                <w:rFonts w:ascii="Times New Roman" w:hAnsi="Times New Roman" w:cs="Times New Roman"/>
                <w:b w:val="0"/>
                <w:bCs w:val="0"/>
                <w:sz w:val="20"/>
                <w:szCs w:val="20"/>
              </w:rPr>
              <w:t xml:space="preserve"> Za </w:t>
            </w:r>
            <w:proofErr w:type="spellStart"/>
            <w:r w:rsidRPr="001A3F8F">
              <w:rPr>
                <w:rFonts w:ascii="Times New Roman" w:hAnsi="Times New Roman" w:cs="Times New Roman"/>
                <w:b w:val="0"/>
                <w:bCs w:val="0"/>
                <w:sz w:val="20"/>
                <w:szCs w:val="20"/>
              </w:rPr>
              <w:t>Zhi</w:t>
            </w:r>
            <w:proofErr w:type="spellEnd"/>
            <w:r w:rsidRPr="001A3F8F">
              <w:rPr>
                <w:rFonts w:ascii="Times New Roman" w:hAnsi="Times New Roman" w:cs="Times New Roman"/>
                <w:b w:val="0"/>
                <w:bCs w:val="0"/>
                <w:sz w:val="20"/>
                <w:szCs w:val="20"/>
              </w:rPr>
              <w:t xml:space="preserve">. 2025 Jan 9;60(1):43-53. Chinese.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10.3760/cma.j.cn112144-20240926-00360. PMID: 39743364.</w:t>
            </w:r>
          </w:p>
        </w:tc>
        <w:tc>
          <w:tcPr>
            <w:tcW w:w="1558" w:type="dxa"/>
          </w:tcPr>
          <w:p w14:paraId="7AC01FE2"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4F36B59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4A38AECA"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Kaokaen</w:t>
            </w:r>
            <w:proofErr w:type="spellEnd"/>
            <w:r w:rsidRPr="001A3F8F">
              <w:rPr>
                <w:rFonts w:ascii="Times New Roman" w:hAnsi="Times New Roman" w:cs="Times New Roman"/>
                <w:b w:val="0"/>
                <w:bCs w:val="0"/>
                <w:sz w:val="20"/>
                <w:szCs w:val="20"/>
              </w:rPr>
              <w:t xml:space="preserve"> P, </w:t>
            </w:r>
            <w:proofErr w:type="spellStart"/>
            <w:r w:rsidRPr="001A3F8F">
              <w:rPr>
                <w:rFonts w:ascii="Times New Roman" w:hAnsi="Times New Roman" w:cs="Times New Roman"/>
                <w:b w:val="0"/>
                <w:bCs w:val="0"/>
                <w:sz w:val="20"/>
                <w:szCs w:val="20"/>
              </w:rPr>
              <w:t>Pangjantuk</w:t>
            </w:r>
            <w:proofErr w:type="spellEnd"/>
            <w:r w:rsidRPr="001A3F8F">
              <w:rPr>
                <w:rFonts w:ascii="Times New Roman" w:hAnsi="Times New Roman" w:cs="Times New Roman"/>
                <w:b w:val="0"/>
                <w:bCs w:val="0"/>
                <w:sz w:val="20"/>
                <w:szCs w:val="20"/>
              </w:rPr>
              <w:t xml:space="preserve"> A, </w:t>
            </w:r>
            <w:proofErr w:type="spellStart"/>
            <w:r w:rsidRPr="001A3F8F">
              <w:rPr>
                <w:rFonts w:ascii="Times New Roman" w:hAnsi="Times New Roman" w:cs="Times New Roman"/>
                <w:b w:val="0"/>
                <w:bCs w:val="0"/>
                <w:sz w:val="20"/>
                <w:szCs w:val="20"/>
              </w:rPr>
              <w:t>Kunhorm</w:t>
            </w:r>
            <w:proofErr w:type="spellEnd"/>
            <w:r w:rsidRPr="001A3F8F">
              <w:rPr>
                <w:rFonts w:ascii="Times New Roman" w:hAnsi="Times New Roman" w:cs="Times New Roman"/>
                <w:b w:val="0"/>
                <w:bCs w:val="0"/>
                <w:sz w:val="20"/>
                <w:szCs w:val="20"/>
              </w:rPr>
              <w:t xml:space="preserve"> P, </w:t>
            </w:r>
            <w:proofErr w:type="spellStart"/>
            <w:r w:rsidRPr="001A3F8F">
              <w:rPr>
                <w:rFonts w:ascii="Times New Roman" w:hAnsi="Times New Roman" w:cs="Times New Roman"/>
                <w:b w:val="0"/>
                <w:bCs w:val="0"/>
                <w:sz w:val="20"/>
                <w:szCs w:val="20"/>
              </w:rPr>
              <w:t>Promjantuek</w:t>
            </w:r>
            <w:proofErr w:type="spellEnd"/>
            <w:r w:rsidRPr="001A3F8F">
              <w:rPr>
                <w:rFonts w:ascii="Times New Roman" w:hAnsi="Times New Roman" w:cs="Times New Roman"/>
                <w:b w:val="0"/>
                <w:bCs w:val="0"/>
                <w:sz w:val="20"/>
                <w:szCs w:val="20"/>
              </w:rPr>
              <w:t xml:space="preserve"> W, </w:t>
            </w:r>
            <w:proofErr w:type="spellStart"/>
            <w:r w:rsidRPr="001A3F8F">
              <w:rPr>
                <w:rFonts w:ascii="Times New Roman" w:hAnsi="Times New Roman" w:cs="Times New Roman"/>
                <w:b w:val="0"/>
                <w:bCs w:val="0"/>
                <w:sz w:val="20"/>
                <w:szCs w:val="20"/>
              </w:rPr>
              <w:t>Chaicharoenaudomrung</w:t>
            </w:r>
            <w:proofErr w:type="spellEnd"/>
            <w:r w:rsidRPr="001A3F8F">
              <w:rPr>
                <w:rFonts w:ascii="Times New Roman" w:hAnsi="Times New Roman" w:cs="Times New Roman"/>
                <w:b w:val="0"/>
                <w:bCs w:val="0"/>
                <w:sz w:val="20"/>
                <w:szCs w:val="20"/>
              </w:rPr>
              <w:t xml:space="preserve"> N, </w:t>
            </w:r>
            <w:proofErr w:type="spellStart"/>
            <w:r w:rsidRPr="001A3F8F">
              <w:rPr>
                <w:rFonts w:ascii="Times New Roman" w:hAnsi="Times New Roman" w:cs="Times New Roman"/>
                <w:b w:val="0"/>
                <w:bCs w:val="0"/>
                <w:sz w:val="20"/>
                <w:szCs w:val="20"/>
              </w:rPr>
              <w:t>Noisa</w:t>
            </w:r>
            <w:proofErr w:type="spellEnd"/>
            <w:r w:rsidRPr="001A3F8F">
              <w:rPr>
                <w:rFonts w:ascii="Times New Roman" w:hAnsi="Times New Roman" w:cs="Times New Roman"/>
                <w:b w:val="0"/>
                <w:bCs w:val="0"/>
                <w:sz w:val="20"/>
                <w:szCs w:val="20"/>
              </w:rPr>
              <w:t xml:space="preserve"> P. Conditioned medium of human umbilical cord-mesenchymal stem cells cultivated with human cord blood serum enhances stem cell stemness and </w:t>
            </w:r>
            <w:proofErr w:type="spellStart"/>
            <w:r w:rsidRPr="001A3F8F">
              <w:rPr>
                <w:rFonts w:ascii="Times New Roman" w:hAnsi="Times New Roman" w:cs="Times New Roman"/>
                <w:b w:val="0"/>
                <w:bCs w:val="0"/>
                <w:sz w:val="20"/>
                <w:szCs w:val="20"/>
              </w:rPr>
              <w:t>secretome</w:t>
            </w:r>
            <w:proofErr w:type="spellEnd"/>
            <w:r w:rsidRPr="001A3F8F">
              <w:rPr>
                <w:rFonts w:ascii="Times New Roman" w:hAnsi="Times New Roman" w:cs="Times New Roman"/>
                <w:b w:val="0"/>
                <w:bCs w:val="0"/>
                <w:sz w:val="20"/>
                <w:szCs w:val="20"/>
              </w:rPr>
              <w:t xml:space="preserve"> profiles. </w:t>
            </w:r>
            <w:proofErr w:type="spellStart"/>
            <w:r w:rsidRPr="001A3F8F">
              <w:rPr>
                <w:rFonts w:ascii="Times New Roman" w:hAnsi="Times New Roman" w:cs="Times New Roman"/>
                <w:b w:val="0"/>
                <w:bCs w:val="0"/>
                <w:sz w:val="20"/>
                <w:szCs w:val="20"/>
              </w:rPr>
              <w:t>Toxicol</w:t>
            </w:r>
            <w:proofErr w:type="spellEnd"/>
            <w:r w:rsidRPr="001A3F8F">
              <w:rPr>
                <w:rFonts w:ascii="Times New Roman" w:hAnsi="Times New Roman" w:cs="Times New Roman"/>
                <w:b w:val="0"/>
                <w:bCs w:val="0"/>
                <w:sz w:val="20"/>
                <w:szCs w:val="20"/>
              </w:rPr>
              <w:t xml:space="preserve"> In Vitro. 2025 </w:t>
            </w:r>
            <w:proofErr w:type="gramStart"/>
            <w:r w:rsidRPr="001A3F8F">
              <w:rPr>
                <w:rFonts w:ascii="Times New Roman" w:hAnsi="Times New Roman" w:cs="Times New Roman"/>
                <w:b w:val="0"/>
                <w:bCs w:val="0"/>
                <w:sz w:val="20"/>
                <w:szCs w:val="20"/>
              </w:rPr>
              <w:t>Mar;103:105973</w:t>
            </w:r>
            <w:proofErr w:type="gramEnd"/>
            <w:r w:rsidRPr="001A3F8F">
              <w:rPr>
                <w:rFonts w:ascii="Times New Roman" w:hAnsi="Times New Roman" w:cs="Times New Roman"/>
                <w:b w:val="0"/>
                <w:bCs w:val="0"/>
                <w:sz w:val="20"/>
                <w:szCs w:val="20"/>
              </w:rPr>
              <w:t xml:space="preserve">.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10.1016/j.tiv.2024.105973.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2024 Nov 17. PMID: 39561911.</w:t>
            </w:r>
          </w:p>
        </w:tc>
        <w:tc>
          <w:tcPr>
            <w:tcW w:w="1558" w:type="dxa"/>
          </w:tcPr>
          <w:p w14:paraId="7B964735"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34C2E920"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00E03227"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lang w:val="pt-BR"/>
              </w:rPr>
              <w:t>Habibi</w:t>
            </w:r>
            <w:proofErr w:type="spellEnd"/>
            <w:r w:rsidRPr="001A3F8F">
              <w:rPr>
                <w:rFonts w:ascii="Times New Roman" w:hAnsi="Times New Roman" w:cs="Times New Roman"/>
                <w:b w:val="0"/>
                <w:bCs w:val="0"/>
                <w:sz w:val="20"/>
                <w:szCs w:val="20"/>
                <w:lang w:val="pt-BR"/>
              </w:rPr>
              <w:t xml:space="preserve"> </w:t>
            </w:r>
            <w:proofErr w:type="spellStart"/>
            <w:r w:rsidRPr="001A3F8F">
              <w:rPr>
                <w:rFonts w:ascii="Times New Roman" w:hAnsi="Times New Roman" w:cs="Times New Roman"/>
                <w:b w:val="0"/>
                <w:bCs w:val="0"/>
                <w:sz w:val="20"/>
                <w:szCs w:val="20"/>
                <w:lang w:val="pt-BR"/>
              </w:rPr>
              <w:t>Roudkenar</w:t>
            </w:r>
            <w:proofErr w:type="spellEnd"/>
            <w:r w:rsidRPr="001A3F8F">
              <w:rPr>
                <w:rFonts w:ascii="Times New Roman" w:hAnsi="Times New Roman" w:cs="Times New Roman"/>
                <w:b w:val="0"/>
                <w:bCs w:val="0"/>
                <w:sz w:val="20"/>
                <w:szCs w:val="20"/>
                <w:lang w:val="pt-BR"/>
              </w:rPr>
              <w:t xml:space="preserve"> H., </w:t>
            </w:r>
            <w:proofErr w:type="spellStart"/>
            <w:r w:rsidRPr="001A3F8F">
              <w:rPr>
                <w:rFonts w:ascii="Times New Roman" w:hAnsi="Times New Roman" w:cs="Times New Roman"/>
                <w:b w:val="0"/>
                <w:bCs w:val="0"/>
                <w:sz w:val="20"/>
                <w:szCs w:val="20"/>
                <w:lang w:val="pt-BR"/>
              </w:rPr>
              <w:t>Bahmani</w:t>
            </w:r>
            <w:proofErr w:type="spellEnd"/>
            <w:r w:rsidRPr="001A3F8F">
              <w:rPr>
                <w:rFonts w:ascii="Times New Roman" w:hAnsi="Times New Roman" w:cs="Times New Roman"/>
                <w:b w:val="0"/>
                <w:bCs w:val="0"/>
                <w:sz w:val="20"/>
                <w:szCs w:val="20"/>
                <w:lang w:val="pt-BR"/>
              </w:rPr>
              <w:t xml:space="preserve"> B., </w:t>
            </w:r>
            <w:proofErr w:type="spellStart"/>
            <w:r w:rsidRPr="001A3F8F">
              <w:rPr>
                <w:rFonts w:ascii="Times New Roman" w:hAnsi="Times New Roman" w:cs="Times New Roman"/>
                <w:b w:val="0"/>
                <w:bCs w:val="0"/>
                <w:sz w:val="20"/>
                <w:szCs w:val="20"/>
                <w:lang w:val="pt-BR"/>
              </w:rPr>
              <w:t>Halabian</w:t>
            </w:r>
            <w:proofErr w:type="spellEnd"/>
            <w:r w:rsidRPr="001A3F8F">
              <w:rPr>
                <w:rFonts w:ascii="Times New Roman" w:hAnsi="Times New Roman" w:cs="Times New Roman"/>
                <w:b w:val="0"/>
                <w:bCs w:val="0"/>
                <w:sz w:val="20"/>
                <w:szCs w:val="20"/>
                <w:lang w:val="pt-BR"/>
              </w:rPr>
              <w:t xml:space="preserve"> R. (2014). </w:t>
            </w:r>
            <w:r w:rsidRPr="001A3F8F">
              <w:rPr>
                <w:rFonts w:ascii="Times New Roman" w:hAnsi="Times New Roman" w:cs="Times New Roman"/>
                <w:b w:val="0"/>
                <w:bCs w:val="0"/>
                <w:sz w:val="20"/>
                <w:szCs w:val="20"/>
              </w:rPr>
              <w:t>Over expression of neutrophil associated lipocalin in bone marrow derived-mesenchymal stem cells improve their regenerative potential trough reducing of senescent cells, 33rd International Congress of the International Society of Blood Transfusion, in Conjunction with the 33rd Congress of the KSBT and the 2014 Congress of the Korean Hematology Societies. Vox Sanguinis. http://dx.doi.org/10.1111/vox.12155</w:t>
            </w:r>
          </w:p>
        </w:tc>
        <w:tc>
          <w:tcPr>
            <w:tcW w:w="1558" w:type="dxa"/>
          </w:tcPr>
          <w:p w14:paraId="33F0B7AB"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rPr>
              <w:t>8</w:t>
            </w:r>
          </w:p>
        </w:tc>
      </w:tr>
      <w:tr w:rsidR="0052204D" w:rsidRPr="001A3F8F" w14:paraId="323D3296"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47632FA"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Lee H.C., Wong C.Y., Nguyen Phan N.N., Cheong S.K., Choo K.B., </w:t>
            </w:r>
            <w:proofErr w:type="spellStart"/>
            <w:r w:rsidRPr="001A3F8F">
              <w:rPr>
                <w:rFonts w:ascii="Times New Roman" w:hAnsi="Times New Roman" w:cs="Times New Roman"/>
                <w:b w:val="0"/>
                <w:bCs w:val="0"/>
                <w:sz w:val="20"/>
                <w:szCs w:val="20"/>
              </w:rPr>
              <w:t>Kamarul</w:t>
            </w:r>
            <w:proofErr w:type="spellEnd"/>
            <w:r w:rsidRPr="001A3F8F">
              <w:rPr>
                <w:rFonts w:ascii="Times New Roman" w:hAnsi="Times New Roman" w:cs="Times New Roman"/>
                <w:b w:val="0"/>
                <w:bCs w:val="0"/>
                <w:sz w:val="20"/>
                <w:szCs w:val="20"/>
              </w:rPr>
              <w:t xml:space="preserve"> T. (2013). Establishment and characterization of replicate senescence study models of human mesenchymal </w:t>
            </w:r>
            <w:r w:rsidRPr="001A3F8F">
              <w:rPr>
                <w:rFonts w:ascii="Times New Roman" w:hAnsi="Times New Roman" w:cs="Times New Roman"/>
                <w:b w:val="0"/>
                <w:bCs w:val="0"/>
                <w:sz w:val="20"/>
                <w:szCs w:val="20"/>
              </w:rPr>
              <w:lastRenderedPageBreak/>
              <w:t xml:space="preserve">stem cells, 19th Annual Meeting of the International Society for Cellular Therapy, ISCT 2013. </w:t>
            </w:r>
            <w:proofErr w:type="spellStart"/>
            <w:r w:rsidRPr="001A3F8F">
              <w:rPr>
                <w:rFonts w:ascii="Times New Roman" w:hAnsi="Times New Roman" w:cs="Times New Roman"/>
                <w:b w:val="0"/>
                <w:bCs w:val="0"/>
                <w:sz w:val="20"/>
                <w:szCs w:val="20"/>
              </w:rPr>
              <w:t>Cytotherapy</w:t>
            </w:r>
            <w:proofErr w:type="spellEnd"/>
            <w:r w:rsidRPr="001A3F8F">
              <w:rPr>
                <w:rFonts w:ascii="Times New Roman" w:hAnsi="Times New Roman" w:cs="Times New Roman"/>
                <w:b w:val="0"/>
                <w:bCs w:val="0"/>
                <w:sz w:val="20"/>
                <w:szCs w:val="20"/>
              </w:rPr>
              <w:t>. http://dx.doi.org/10.1016/j.jcyt.2013.01.054</w:t>
            </w:r>
          </w:p>
        </w:tc>
        <w:tc>
          <w:tcPr>
            <w:tcW w:w="1558" w:type="dxa"/>
          </w:tcPr>
          <w:p w14:paraId="358E6172"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lastRenderedPageBreak/>
              <w:t>8</w:t>
            </w:r>
          </w:p>
        </w:tc>
      </w:tr>
      <w:tr w:rsidR="0052204D" w:rsidRPr="001A3F8F" w14:paraId="41122522"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0CA7051"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Ohgo</w:t>
            </w:r>
            <w:proofErr w:type="spellEnd"/>
            <w:r w:rsidRPr="001A3F8F">
              <w:rPr>
                <w:rFonts w:ascii="Times New Roman" w:hAnsi="Times New Roman" w:cs="Times New Roman"/>
                <w:b w:val="0"/>
                <w:bCs w:val="0"/>
                <w:sz w:val="20"/>
                <w:szCs w:val="20"/>
              </w:rPr>
              <w:t xml:space="preserve"> S, Hasegawa S, </w:t>
            </w:r>
            <w:proofErr w:type="spellStart"/>
            <w:r w:rsidRPr="001A3F8F">
              <w:rPr>
                <w:rFonts w:ascii="Times New Roman" w:hAnsi="Times New Roman" w:cs="Times New Roman"/>
                <w:b w:val="0"/>
                <w:bCs w:val="0"/>
                <w:sz w:val="20"/>
                <w:szCs w:val="20"/>
              </w:rPr>
              <w:t>Hasebe</w:t>
            </w:r>
            <w:proofErr w:type="spellEnd"/>
            <w:r w:rsidRPr="001A3F8F">
              <w:rPr>
                <w:rFonts w:ascii="Times New Roman" w:hAnsi="Times New Roman" w:cs="Times New Roman"/>
                <w:b w:val="0"/>
                <w:bCs w:val="0"/>
                <w:sz w:val="20"/>
                <w:szCs w:val="20"/>
              </w:rPr>
              <w:t xml:space="preserve"> Y, </w:t>
            </w:r>
            <w:proofErr w:type="spellStart"/>
            <w:r w:rsidRPr="001A3F8F">
              <w:rPr>
                <w:rFonts w:ascii="Times New Roman" w:hAnsi="Times New Roman" w:cs="Times New Roman"/>
                <w:b w:val="0"/>
                <w:bCs w:val="0"/>
                <w:sz w:val="20"/>
                <w:szCs w:val="20"/>
              </w:rPr>
              <w:t>Mizutani</w:t>
            </w:r>
            <w:proofErr w:type="spellEnd"/>
            <w:r w:rsidRPr="001A3F8F">
              <w:rPr>
                <w:rFonts w:ascii="Times New Roman" w:hAnsi="Times New Roman" w:cs="Times New Roman"/>
                <w:b w:val="0"/>
                <w:bCs w:val="0"/>
                <w:sz w:val="20"/>
                <w:szCs w:val="20"/>
              </w:rPr>
              <w:t xml:space="preserve"> H, Nakata S, Akamatsu H. Senescent dermal fibroblasts enhance stem cell migration through CCL2/CCR2 axis. Exp Dermatol. 2015 Jul;24(7):552-4.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10.1111/exd.12701.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2015 May 4. PMID: 25808810.</w:t>
            </w:r>
          </w:p>
        </w:tc>
        <w:tc>
          <w:tcPr>
            <w:tcW w:w="1558" w:type="dxa"/>
          </w:tcPr>
          <w:p w14:paraId="2143CCBD"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r w:rsidR="0052204D" w:rsidRPr="001A3F8F" w14:paraId="10F8C679"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0276536"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Roudkenar</w:t>
            </w:r>
            <w:proofErr w:type="spellEnd"/>
            <w:r w:rsidRPr="001A3F8F">
              <w:rPr>
                <w:rFonts w:ascii="Times New Roman" w:hAnsi="Times New Roman" w:cs="Times New Roman"/>
                <w:b w:val="0"/>
                <w:bCs w:val="0"/>
                <w:sz w:val="20"/>
                <w:szCs w:val="20"/>
              </w:rPr>
              <w:t xml:space="preserve"> M.H., </w:t>
            </w:r>
            <w:proofErr w:type="spellStart"/>
            <w:r w:rsidRPr="001A3F8F">
              <w:rPr>
                <w:rFonts w:ascii="Times New Roman" w:hAnsi="Times New Roman" w:cs="Times New Roman"/>
                <w:b w:val="0"/>
                <w:bCs w:val="0"/>
                <w:sz w:val="20"/>
                <w:szCs w:val="20"/>
              </w:rPr>
              <w:t>Roushandeh</w:t>
            </w:r>
            <w:proofErr w:type="spellEnd"/>
            <w:r w:rsidRPr="001A3F8F">
              <w:rPr>
                <w:rFonts w:ascii="Times New Roman" w:hAnsi="Times New Roman" w:cs="Times New Roman"/>
                <w:b w:val="0"/>
                <w:bCs w:val="0"/>
                <w:sz w:val="20"/>
                <w:szCs w:val="20"/>
              </w:rPr>
              <w:t xml:space="preserve"> A.M. (2017). </w:t>
            </w:r>
            <w:proofErr w:type="spellStart"/>
            <w:r w:rsidRPr="001A3F8F">
              <w:rPr>
                <w:rFonts w:ascii="Times New Roman" w:hAnsi="Times New Roman" w:cs="Times New Roman"/>
                <w:b w:val="0"/>
                <w:bCs w:val="0"/>
                <w:sz w:val="20"/>
                <w:szCs w:val="20"/>
              </w:rPr>
              <w:t>Ngal</w:t>
            </w:r>
            <w:proofErr w:type="spellEnd"/>
            <w:r w:rsidRPr="001A3F8F">
              <w:rPr>
                <w:rFonts w:ascii="Times New Roman" w:hAnsi="Times New Roman" w:cs="Times New Roman"/>
                <w:b w:val="0"/>
                <w:bCs w:val="0"/>
                <w:sz w:val="20"/>
                <w:szCs w:val="20"/>
              </w:rPr>
              <w:t xml:space="preserve"> protects bone marrow-derived mesenchymal stem cells under sub-lethal doses of oxidative stress conditions by regulation of senescence, 2nd National Festival and International Congress on Stem Cell and Regenerative Medicine. Iranian Journal of Biotechnology. http://dx.doi.org/10.15171/ijb.2017.s1-334</w:t>
            </w:r>
          </w:p>
        </w:tc>
        <w:tc>
          <w:tcPr>
            <w:tcW w:w="1558" w:type="dxa"/>
          </w:tcPr>
          <w:p w14:paraId="3262BCFB"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r>
      <w:tr w:rsidR="0052204D" w:rsidRPr="001A3F8F" w14:paraId="210E240C" w14:textId="77777777" w:rsidTr="0052204D">
        <w:trPr>
          <w:trHeight w:val="312"/>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2E2C8E7"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lang w:val="pt-BR"/>
              </w:rPr>
              <w:t xml:space="preserve">Severino V., </w:t>
            </w:r>
            <w:proofErr w:type="spellStart"/>
            <w:r w:rsidRPr="001A3F8F">
              <w:rPr>
                <w:rFonts w:ascii="Times New Roman" w:hAnsi="Times New Roman" w:cs="Times New Roman"/>
                <w:b w:val="0"/>
                <w:bCs w:val="0"/>
                <w:sz w:val="20"/>
                <w:szCs w:val="20"/>
                <w:lang w:val="pt-BR"/>
              </w:rPr>
              <w:t>Alessio</w:t>
            </w:r>
            <w:proofErr w:type="spellEnd"/>
            <w:r w:rsidRPr="001A3F8F">
              <w:rPr>
                <w:rFonts w:ascii="Times New Roman" w:hAnsi="Times New Roman" w:cs="Times New Roman"/>
                <w:b w:val="0"/>
                <w:bCs w:val="0"/>
                <w:sz w:val="20"/>
                <w:szCs w:val="20"/>
                <w:lang w:val="pt-BR"/>
              </w:rPr>
              <w:t xml:space="preserve"> N., Farina A., </w:t>
            </w:r>
            <w:proofErr w:type="spellStart"/>
            <w:r w:rsidRPr="001A3F8F">
              <w:rPr>
                <w:rFonts w:ascii="Times New Roman" w:hAnsi="Times New Roman" w:cs="Times New Roman"/>
                <w:b w:val="0"/>
                <w:bCs w:val="0"/>
                <w:sz w:val="20"/>
                <w:szCs w:val="20"/>
                <w:lang w:val="pt-BR"/>
              </w:rPr>
              <w:t>Galderisi</w:t>
            </w:r>
            <w:proofErr w:type="spellEnd"/>
            <w:r w:rsidRPr="001A3F8F">
              <w:rPr>
                <w:rFonts w:ascii="Times New Roman" w:hAnsi="Times New Roman" w:cs="Times New Roman"/>
                <w:b w:val="0"/>
                <w:bCs w:val="0"/>
                <w:sz w:val="20"/>
                <w:szCs w:val="20"/>
                <w:lang w:val="pt-BR"/>
              </w:rPr>
              <w:t xml:space="preserve"> U., </w:t>
            </w:r>
            <w:proofErr w:type="spellStart"/>
            <w:r w:rsidRPr="001A3F8F">
              <w:rPr>
                <w:rFonts w:ascii="Times New Roman" w:hAnsi="Times New Roman" w:cs="Times New Roman"/>
                <w:b w:val="0"/>
                <w:bCs w:val="0"/>
                <w:sz w:val="20"/>
                <w:szCs w:val="20"/>
                <w:lang w:val="pt-BR"/>
              </w:rPr>
              <w:t>Chambery</w:t>
            </w:r>
            <w:proofErr w:type="spellEnd"/>
            <w:r w:rsidRPr="001A3F8F">
              <w:rPr>
                <w:rFonts w:ascii="Times New Roman" w:hAnsi="Times New Roman" w:cs="Times New Roman"/>
                <w:b w:val="0"/>
                <w:bCs w:val="0"/>
                <w:sz w:val="20"/>
                <w:szCs w:val="20"/>
                <w:lang w:val="pt-BR"/>
              </w:rPr>
              <w:t xml:space="preserve"> A. (2013). </w:t>
            </w:r>
            <w:proofErr w:type="spellStart"/>
            <w:r w:rsidRPr="001A3F8F">
              <w:rPr>
                <w:rFonts w:ascii="Times New Roman" w:hAnsi="Times New Roman" w:cs="Times New Roman"/>
                <w:b w:val="0"/>
                <w:bCs w:val="0"/>
                <w:sz w:val="20"/>
                <w:szCs w:val="20"/>
              </w:rPr>
              <w:t>Secretome</w:t>
            </w:r>
            <w:proofErr w:type="spellEnd"/>
            <w:r w:rsidRPr="001A3F8F">
              <w:rPr>
                <w:rFonts w:ascii="Times New Roman" w:hAnsi="Times New Roman" w:cs="Times New Roman"/>
                <w:b w:val="0"/>
                <w:bCs w:val="0"/>
                <w:sz w:val="20"/>
                <w:szCs w:val="20"/>
              </w:rPr>
              <w:t xml:space="preserve"> profiling of senescent mesenchymal stem cells (MSC) by high resolution LC-MS analysis, 38th FEBS Congress. FEBS Journal. http://dx.doi.org/10.1111/febs.12340</w:t>
            </w:r>
          </w:p>
        </w:tc>
        <w:tc>
          <w:tcPr>
            <w:tcW w:w="1558" w:type="dxa"/>
          </w:tcPr>
          <w:p w14:paraId="4142218E"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rPr>
              <w:t>8</w:t>
            </w:r>
          </w:p>
        </w:tc>
      </w:tr>
      <w:tr w:rsidR="0052204D" w:rsidRPr="001A3F8F" w14:paraId="2A6B7AF0"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3689A392"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Yi Q, Liu O, Yan F, Lin X, </w:t>
            </w:r>
            <w:proofErr w:type="spellStart"/>
            <w:r w:rsidRPr="001A3F8F">
              <w:rPr>
                <w:rFonts w:ascii="Times New Roman" w:hAnsi="Times New Roman" w:cs="Times New Roman"/>
                <w:b w:val="0"/>
                <w:bCs w:val="0"/>
                <w:sz w:val="20"/>
                <w:szCs w:val="20"/>
              </w:rPr>
              <w:t>Diao</w:t>
            </w:r>
            <w:proofErr w:type="spellEnd"/>
            <w:r w:rsidRPr="001A3F8F">
              <w:rPr>
                <w:rFonts w:ascii="Times New Roman" w:hAnsi="Times New Roman" w:cs="Times New Roman"/>
                <w:b w:val="0"/>
                <w:bCs w:val="0"/>
                <w:sz w:val="20"/>
                <w:szCs w:val="20"/>
              </w:rPr>
              <w:t xml:space="preserve"> S, Wang L, </w:t>
            </w:r>
            <w:proofErr w:type="spellStart"/>
            <w:r w:rsidRPr="001A3F8F">
              <w:rPr>
                <w:rFonts w:ascii="Times New Roman" w:hAnsi="Times New Roman" w:cs="Times New Roman"/>
                <w:b w:val="0"/>
                <w:bCs w:val="0"/>
                <w:sz w:val="20"/>
                <w:szCs w:val="20"/>
              </w:rPr>
              <w:t>Jin</w:t>
            </w:r>
            <w:proofErr w:type="spellEnd"/>
            <w:r w:rsidRPr="001A3F8F">
              <w:rPr>
                <w:rFonts w:ascii="Times New Roman" w:hAnsi="Times New Roman" w:cs="Times New Roman"/>
                <w:b w:val="0"/>
                <w:bCs w:val="0"/>
                <w:sz w:val="20"/>
                <w:szCs w:val="20"/>
              </w:rPr>
              <w:t xml:space="preserve"> L, Wang S, Lu Y, Fan Z. Analysis of Senescence-Related Differentiation Potentials and Gene Expression Profiles in Human Dental Pulp Stem Cells. Cells Tissues Organs. 2017;203(1):1-11.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10.1159/000448026.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2016 Sep 15. PMID: 27627434.</w:t>
            </w:r>
          </w:p>
        </w:tc>
        <w:tc>
          <w:tcPr>
            <w:tcW w:w="1558" w:type="dxa"/>
          </w:tcPr>
          <w:p w14:paraId="5954EF41"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18A1DC8D" w14:textId="77777777" w:rsidTr="0052204D">
        <w:trPr>
          <w:trHeight w:val="576"/>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7858195C" w14:textId="77777777" w:rsidR="0052204D" w:rsidRPr="001A3F8F" w:rsidRDefault="0052204D" w:rsidP="001A3F8F">
            <w:pPr>
              <w:jc w:val="both"/>
              <w:rPr>
                <w:rFonts w:ascii="Times New Roman" w:hAnsi="Times New Roman" w:cs="Times New Roman"/>
                <w:b w:val="0"/>
                <w:bCs w:val="0"/>
                <w:sz w:val="20"/>
                <w:szCs w:val="20"/>
              </w:rPr>
            </w:pPr>
            <w:proofErr w:type="spellStart"/>
            <w:r w:rsidRPr="001A3F8F">
              <w:rPr>
                <w:rFonts w:ascii="Times New Roman" w:hAnsi="Times New Roman" w:cs="Times New Roman"/>
                <w:b w:val="0"/>
                <w:bCs w:val="0"/>
                <w:sz w:val="20"/>
                <w:szCs w:val="20"/>
              </w:rPr>
              <w:t>Ambrosi</w:t>
            </w:r>
            <w:proofErr w:type="spellEnd"/>
            <w:r w:rsidRPr="001A3F8F">
              <w:rPr>
                <w:rFonts w:ascii="Times New Roman" w:hAnsi="Times New Roman" w:cs="Times New Roman"/>
                <w:b w:val="0"/>
                <w:bCs w:val="0"/>
                <w:sz w:val="20"/>
                <w:szCs w:val="20"/>
              </w:rPr>
              <w:t xml:space="preserve"> TH, Goodnough LH, </w:t>
            </w:r>
            <w:proofErr w:type="spellStart"/>
            <w:r w:rsidRPr="001A3F8F">
              <w:rPr>
                <w:rFonts w:ascii="Times New Roman" w:hAnsi="Times New Roman" w:cs="Times New Roman"/>
                <w:b w:val="0"/>
                <w:bCs w:val="0"/>
                <w:sz w:val="20"/>
                <w:szCs w:val="20"/>
              </w:rPr>
              <w:t>Steininger</w:t>
            </w:r>
            <w:proofErr w:type="spellEnd"/>
            <w:r w:rsidRPr="001A3F8F">
              <w:rPr>
                <w:rFonts w:ascii="Times New Roman" w:hAnsi="Times New Roman" w:cs="Times New Roman"/>
                <w:b w:val="0"/>
                <w:bCs w:val="0"/>
                <w:sz w:val="20"/>
                <w:szCs w:val="20"/>
              </w:rPr>
              <w:t xml:space="preserve"> HM, Hoover MY, Kim E, </w:t>
            </w:r>
            <w:proofErr w:type="spellStart"/>
            <w:r w:rsidRPr="001A3F8F">
              <w:rPr>
                <w:rFonts w:ascii="Times New Roman" w:hAnsi="Times New Roman" w:cs="Times New Roman"/>
                <w:b w:val="0"/>
                <w:bCs w:val="0"/>
                <w:sz w:val="20"/>
                <w:szCs w:val="20"/>
              </w:rPr>
              <w:t>Koepke</w:t>
            </w:r>
            <w:proofErr w:type="spellEnd"/>
            <w:r w:rsidRPr="001A3F8F">
              <w:rPr>
                <w:rFonts w:ascii="Times New Roman" w:hAnsi="Times New Roman" w:cs="Times New Roman"/>
                <w:b w:val="0"/>
                <w:bCs w:val="0"/>
                <w:sz w:val="20"/>
                <w:szCs w:val="20"/>
              </w:rPr>
              <w:t xml:space="preserve"> LS, </w:t>
            </w:r>
            <w:proofErr w:type="spellStart"/>
            <w:r w:rsidRPr="001A3F8F">
              <w:rPr>
                <w:rFonts w:ascii="Times New Roman" w:hAnsi="Times New Roman" w:cs="Times New Roman"/>
                <w:b w:val="0"/>
                <w:bCs w:val="0"/>
                <w:sz w:val="20"/>
                <w:szCs w:val="20"/>
              </w:rPr>
              <w:t>Marecic</w:t>
            </w:r>
            <w:proofErr w:type="spellEnd"/>
            <w:r w:rsidRPr="001A3F8F">
              <w:rPr>
                <w:rFonts w:ascii="Times New Roman" w:hAnsi="Times New Roman" w:cs="Times New Roman"/>
                <w:b w:val="0"/>
                <w:bCs w:val="0"/>
                <w:sz w:val="20"/>
                <w:szCs w:val="20"/>
              </w:rPr>
              <w:t xml:space="preserve"> O, Zhao L, </w:t>
            </w:r>
            <w:proofErr w:type="spellStart"/>
            <w:r w:rsidRPr="001A3F8F">
              <w:rPr>
                <w:rFonts w:ascii="Times New Roman" w:hAnsi="Times New Roman" w:cs="Times New Roman"/>
                <w:b w:val="0"/>
                <w:bCs w:val="0"/>
                <w:sz w:val="20"/>
                <w:szCs w:val="20"/>
              </w:rPr>
              <w:t>Seita</w:t>
            </w:r>
            <w:proofErr w:type="spellEnd"/>
            <w:r w:rsidRPr="001A3F8F">
              <w:rPr>
                <w:rFonts w:ascii="Times New Roman" w:hAnsi="Times New Roman" w:cs="Times New Roman"/>
                <w:b w:val="0"/>
                <w:bCs w:val="0"/>
                <w:sz w:val="20"/>
                <w:szCs w:val="20"/>
              </w:rPr>
              <w:t xml:space="preserve"> J, Bishop JA, Gardner MJ, Chan CKF. Geriatric fragility fractures are associated with a human skeletal stem cell defect. Aging Cell. 2020 Jul;19(7</w:t>
            </w:r>
            <w:proofErr w:type="gramStart"/>
            <w:r w:rsidRPr="001A3F8F">
              <w:rPr>
                <w:rFonts w:ascii="Times New Roman" w:hAnsi="Times New Roman" w:cs="Times New Roman"/>
                <w:b w:val="0"/>
                <w:bCs w:val="0"/>
                <w:sz w:val="20"/>
                <w:szCs w:val="20"/>
              </w:rPr>
              <w:t>):e</w:t>
            </w:r>
            <w:proofErr w:type="gramEnd"/>
            <w:r w:rsidRPr="001A3F8F">
              <w:rPr>
                <w:rFonts w:ascii="Times New Roman" w:hAnsi="Times New Roman" w:cs="Times New Roman"/>
                <w:b w:val="0"/>
                <w:bCs w:val="0"/>
                <w:sz w:val="20"/>
                <w:szCs w:val="20"/>
              </w:rPr>
              <w:t xml:space="preserve">13164.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10.1111/acel.13164.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2020 Jun 14. PMID: 32537886; PMCID: PMC7370785.</w:t>
            </w:r>
          </w:p>
        </w:tc>
        <w:tc>
          <w:tcPr>
            <w:tcW w:w="1558" w:type="dxa"/>
          </w:tcPr>
          <w:p w14:paraId="66D1C5E5"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r>
      <w:tr w:rsidR="0052204D" w:rsidRPr="001A3F8F" w14:paraId="1E341FC2" w14:textId="77777777" w:rsidTr="0052204D">
        <w:trPr>
          <w:cnfStyle w:val="000000100000" w:firstRow="0" w:lastRow="0" w:firstColumn="0" w:lastColumn="0" w:oddVBand="0" w:evenVBand="0" w:oddHBand="1" w:evenHBand="0" w:firstRowFirstColumn="0" w:firstRowLastColumn="0" w:lastRowFirstColumn="0" w:lastRowLastColumn="0"/>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1496D874"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lang w:val="pt-BR"/>
              </w:rPr>
              <w:t xml:space="preserve">Das M, Das A, </w:t>
            </w:r>
            <w:proofErr w:type="spellStart"/>
            <w:r w:rsidRPr="001A3F8F">
              <w:rPr>
                <w:rFonts w:ascii="Times New Roman" w:hAnsi="Times New Roman" w:cs="Times New Roman"/>
                <w:b w:val="0"/>
                <w:bCs w:val="0"/>
                <w:sz w:val="20"/>
                <w:szCs w:val="20"/>
                <w:lang w:val="pt-BR"/>
              </w:rPr>
              <w:t>Barui</w:t>
            </w:r>
            <w:proofErr w:type="spellEnd"/>
            <w:r w:rsidRPr="001A3F8F">
              <w:rPr>
                <w:rFonts w:ascii="Times New Roman" w:hAnsi="Times New Roman" w:cs="Times New Roman"/>
                <w:b w:val="0"/>
                <w:bCs w:val="0"/>
                <w:sz w:val="20"/>
                <w:szCs w:val="20"/>
                <w:lang w:val="pt-BR"/>
              </w:rPr>
              <w:t xml:space="preserve"> A, Paul RR. </w:t>
            </w:r>
            <w:r w:rsidRPr="001A3F8F">
              <w:rPr>
                <w:rFonts w:ascii="Times New Roman" w:hAnsi="Times New Roman" w:cs="Times New Roman"/>
                <w:b w:val="0"/>
                <w:bCs w:val="0"/>
                <w:sz w:val="20"/>
                <w:szCs w:val="20"/>
              </w:rPr>
              <w:t xml:space="preserve">Comparative evaluation of proliferative potential and replicative senescence associated changes in mesenchymal stem cells derived from dental pulp and umbilical cord. Cell Tissue Bank. 2022 Mar;23(1):157-170.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10.1007/s10561-021-09926-8.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2021 Apr 26. PMID: 33900487.</w:t>
            </w:r>
          </w:p>
        </w:tc>
        <w:tc>
          <w:tcPr>
            <w:tcW w:w="1558" w:type="dxa"/>
          </w:tcPr>
          <w:p w14:paraId="79FA9BB3" w14:textId="77777777" w:rsidR="0052204D" w:rsidRPr="001A3F8F" w:rsidRDefault="0052204D"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rPr>
              <w:t>4</w:t>
            </w:r>
          </w:p>
        </w:tc>
      </w:tr>
      <w:tr w:rsidR="0052204D" w:rsidRPr="001A3F8F" w14:paraId="12477BD8" w14:textId="77777777" w:rsidTr="0052204D">
        <w:trPr>
          <w:trHeight w:val="624"/>
          <w:jc w:val="center"/>
        </w:trPr>
        <w:tc>
          <w:tcPr>
            <w:cnfStyle w:val="001000000000" w:firstRow="0" w:lastRow="0" w:firstColumn="1" w:lastColumn="0" w:oddVBand="0" w:evenVBand="0" w:oddHBand="0" w:evenHBand="0" w:firstRowFirstColumn="0" w:firstRowLastColumn="0" w:lastRowFirstColumn="0" w:lastRowLastColumn="0"/>
            <w:tcW w:w="8080" w:type="dxa"/>
            <w:hideMark/>
          </w:tcPr>
          <w:p w14:paraId="50B32786" w14:textId="77777777" w:rsidR="0052204D" w:rsidRPr="001A3F8F" w:rsidRDefault="0052204D" w:rsidP="001A3F8F">
            <w:pPr>
              <w:jc w:val="both"/>
              <w:rPr>
                <w:rFonts w:ascii="Times New Roman" w:hAnsi="Times New Roman" w:cs="Times New Roman"/>
                <w:b w:val="0"/>
                <w:bCs w:val="0"/>
                <w:sz w:val="20"/>
                <w:szCs w:val="20"/>
              </w:rPr>
            </w:pPr>
            <w:r w:rsidRPr="001A3F8F">
              <w:rPr>
                <w:rFonts w:ascii="Times New Roman" w:hAnsi="Times New Roman" w:cs="Times New Roman"/>
                <w:b w:val="0"/>
                <w:bCs w:val="0"/>
                <w:sz w:val="20"/>
                <w:szCs w:val="20"/>
              </w:rPr>
              <w:t xml:space="preserve">Cheng Y, Lin KH, Young TH, Cheng NC. The influence of fibroblast growth factor 2 on the senescence of human adipose-derived mesenchymal stem cells during long-term culture. Stem Cells </w:t>
            </w:r>
            <w:proofErr w:type="spellStart"/>
            <w:r w:rsidRPr="001A3F8F">
              <w:rPr>
                <w:rFonts w:ascii="Times New Roman" w:hAnsi="Times New Roman" w:cs="Times New Roman"/>
                <w:b w:val="0"/>
                <w:bCs w:val="0"/>
                <w:sz w:val="20"/>
                <w:szCs w:val="20"/>
              </w:rPr>
              <w:t>Transl</w:t>
            </w:r>
            <w:proofErr w:type="spellEnd"/>
            <w:r w:rsidRPr="001A3F8F">
              <w:rPr>
                <w:rFonts w:ascii="Times New Roman" w:hAnsi="Times New Roman" w:cs="Times New Roman"/>
                <w:b w:val="0"/>
                <w:bCs w:val="0"/>
                <w:sz w:val="20"/>
                <w:szCs w:val="20"/>
              </w:rPr>
              <w:t xml:space="preserve"> Med. 2020 Apr;9(4):518-530. </w:t>
            </w:r>
            <w:proofErr w:type="spellStart"/>
            <w:r w:rsidRPr="001A3F8F">
              <w:rPr>
                <w:rFonts w:ascii="Times New Roman" w:hAnsi="Times New Roman" w:cs="Times New Roman"/>
                <w:b w:val="0"/>
                <w:bCs w:val="0"/>
                <w:sz w:val="20"/>
                <w:szCs w:val="20"/>
              </w:rPr>
              <w:t>doi</w:t>
            </w:r>
            <w:proofErr w:type="spellEnd"/>
            <w:r w:rsidRPr="001A3F8F">
              <w:rPr>
                <w:rFonts w:ascii="Times New Roman" w:hAnsi="Times New Roman" w:cs="Times New Roman"/>
                <w:b w:val="0"/>
                <w:bCs w:val="0"/>
                <w:sz w:val="20"/>
                <w:szCs w:val="20"/>
              </w:rPr>
              <w:t xml:space="preserve">: 10.1002/sctm.19-0234. </w:t>
            </w:r>
            <w:proofErr w:type="spellStart"/>
            <w:r w:rsidRPr="001A3F8F">
              <w:rPr>
                <w:rFonts w:ascii="Times New Roman" w:hAnsi="Times New Roman" w:cs="Times New Roman"/>
                <w:b w:val="0"/>
                <w:bCs w:val="0"/>
                <w:sz w:val="20"/>
                <w:szCs w:val="20"/>
              </w:rPr>
              <w:t>Epub</w:t>
            </w:r>
            <w:proofErr w:type="spellEnd"/>
            <w:r w:rsidRPr="001A3F8F">
              <w:rPr>
                <w:rFonts w:ascii="Times New Roman" w:hAnsi="Times New Roman" w:cs="Times New Roman"/>
                <w:b w:val="0"/>
                <w:bCs w:val="0"/>
                <w:sz w:val="20"/>
                <w:szCs w:val="20"/>
              </w:rPr>
              <w:t xml:space="preserve"> 2019 Dec 16. PMID: 31840944; PMCID: PMC7103622.</w:t>
            </w:r>
          </w:p>
        </w:tc>
        <w:tc>
          <w:tcPr>
            <w:tcW w:w="1558" w:type="dxa"/>
          </w:tcPr>
          <w:p w14:paraId="0400158D" w14:textId="77777777" w:rsidR="0052204D" w:rsidRPr="001A3F8F" w:rsidRDefault="0052204D"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r>
    </w:tbl>
    <w:p w14:paraId="7B45CF8C" w14:textId="77777777" w:rsidR="0052204D" w:rsidRPr="001A3F8F" w:rsidRDefault="0052204D" w:rsidP="001A3F8F">
      <w:pPr>
        <w:spacing w:before="240" w:line="480" w:lineRule="auto"/>
        <w:jc w:val="both"/>
        <w:rPr>
          <w:rFonts w:ascii="Times New Roman" w:hAnsi="Times New Roman" w:cs="Times New Roman"/>
          <w:b/>
          <w:bCs/>
          <w:sz w:val="20"/>
          <w:szCs w:val="20"/>
        </w:rPr>
      </w:pPr>
      <w:r w:rsidRPr="001A3F8F">
        <w:rPr>
          <w:rFonts w:ascii="Times New Roman" w:hAnsi="Times New Roman" w:cs="Times New Roman"/>
          <w:b/>
          <w:bCs/>
          <w:sz w:val="20"/>
          <w:szCs w:val="20"/>
        </w:rPr>
        <w:t>Exclusion Criteria</w:t>
      </w:r>
    </w:p>
    <w:p w14:paraId="403835A1" w14:textId="77777777" w:rsidR="0052204D" w:rsidRPr="001A3F8F" w:rsidRDefault="0052204D" w:rsidP="001A3F8F">
      <w:pPr>
        <w:pStyle w:val="PargrafodaLista"/>
        <w:numPr>
          <w:ilvl w:val="0"/>
          <w:numId w:val="1"/>
        </w:numPr>
        <w:spacing w:line="480" w:lineRule="auto"/>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Studies that evaluate the impact of senescence on other cell types (e.g., somatic cells, fibroblasts, or epithelial cells).</w:t>
      </w:r>
    </w:p>
    <w:p w14:paraId="476E406C" w14:textId="77777777" w:rsidR="0052204D" w:rsidRPr="001A3F8F" w:rsidRDefault="0052204D" w:rsidP="001A3F8F">
      <w:pPr>
        <w:pStyle w:val="PargrafodaLista"/>
        <w:numPr>
          <w:ilvl w:val="0"/>
          <w:numId w:val="1"/>
        </w:numPr>
        <w:shd w:val="clear" w:color="auto" w:fill="FFFFFF"/>
        <w:spacing w:after="0" w:line="480" w:lineRule="auto"/>
        <w:jc w:val="both"/>
        <w:rPr>
          <w:rFonts w:ascii="Times New Roman" w:hAnsi="Times New Roman" w:cs="Times New Roman"/>
          <w:color w:val="0F1115"/>
          <w:sz w:val="20"/>
          <w:szCs w:val="20"/>
          <w:lang w:val="en-US"/>
        </w:rPr>
      </w:pPr>
      <w:r w:rsidRPr="001A3F8F">
        <w:rPr>
          <w:rFonts w:ascii="Times New Roman" w:hAnsi="Times New Roman" w:cs="Times New Roman"/>
          <w:sz w:val="20"/>
          <w:szCs w:val="20"/>
          <w:lang w:val="en-US"/>
        </w:rPr>
        <w:t>Studies that evaluate the impact of senescence in disease models unrelated to regenerative therapies (e.g., cancer, aging-related diseases, etc.).</w:t>
      </w:r>
    </w:p>
    <w:p w14:paraId="6BAA4E64" w14:textId="77777777" w:rsidR="0052204D" w:rsidRPr="001A3F8F" w:rsidRDefault="0052204D" w:rsidP="001A3F8F">
      <w:pPr>
        <w:pStyle w:val="PargrafodaLista"/>
        <w:numPr>
          <w:ilvl w:val="0"/>
          <w:numId w:val="1"/>
        </w:numPr>
        <w:shd w:val="clear" w:color="auto" w:fill="FFFFFF"/>
        <w:spacing w:after="0" w:line="480" w:lineRule="auto"/>
        <w:jc w:val="both"/>
        <w:rPr>
          <w:rFonts w:ascii="Times New Roman" w:hAnsi="Times New Roman" w:cs="Times New Roman"/>
          <w:color w:val="0F1115"/>
          <w:sz w:val="20"/>
          <w:szCs w:val="20"/>
          <w:lang w:val="en-US"/>
        </w:rPr>
      </w:pPr>
      <w:r w:rsidRPr="001A3F8F">
        <w:rPr>
          <w:rFonts w:ascii="Times New Roman" w:hAnsi="Times New Roman" w:cs="Times New Roman"/>
          <w:color w:val="0F1115"/>
          <w:sz w:val="20"/>
          <w:szCs w:val="20"/>
          <w:lang w:val="en-US"/>
        </w:rPr>
        <w:t>Studies using immortalized/cancer cell lines or genetically modified cells (e.g., knock-in/knock-out for senescence-related genes).</w:t>
      </w:r>
    </w:p>
    <w:p w14:paraId="7F8E4663" w14:textId="77777777" w:rsidR="0052204D" w:rsidRPr="001A3F8F" w:rsidRDefault="0052204D" w:rsidP="001A3F8F">
      <w:pPr>
        <w:pStyle w:val="ds-markdown-paragraph"/>
        <w:numPr>
          <w:ilvl w:val="0"/>
          <w:numId w:val="1"/>
        </w:numPr>
        <w:shd w:val="clear" w:color="auto" w:fill="FFFFFF"/>
        <w:spacing w:after="0" w:afterAutospacing="0" w:line="480" w:lineRule="auto"/>
        <w:jc w:val="both"/>
        <w:rPr>
          <w:color w:val="0F1115"/>
          <w:sz w:val="20"/>
          <w:szCs w:val="20"/>
          <w:lang w:val="en-US"/>
        </w:rPr>
      </w:pPr>
      <w:r w:rsidRPr="001A3F8F">
        <w:rPr>
          <w:color w:val="0F1115"/>
          <w:sz w:val="20"/>
          <w:szCs w:val="20"/>
          <w:lang w:val="en-US"/>
        </w:rPr>
        <w:t>Studies without a direct comparison between non-senescent and senescent groups.</w:t>
      </w:r>
    </w:p>
    <w:p w14:paraId="102F521B" w14:textId="77777777" w:rsidR="0052204D" w:rsidRPr="001A3F8F" w:rsidRDefault="0052204D" w:rsidP="001A3F8F">
      <w:pPr>
        <w:pStyle w:val="ds-markdown-paragraph"/>
        <w:numPr>
          <w:ilvl w:val="0"/>
          <w:numId w:val="1"/>
        </w:numPr>
        <w:shd w:val="clear" w:color="auto" w:fill="FFFFFF"/>
        <w:spacing w:after="0" w:afterAutospacing="0" w:line="480" w:lineRule="auto"/>
        <w:jc w:val="both"/>
        <w:rPr>
          <w:color w:val="0F1115"/>
          <w:sz w:val="20"/>
          <w:szCs w:val="20"/>
          <w:lang w:val="en-US"/>
        </w:rPr>
      </w:pPr>
      <w:r w:rsidRPr="001A3F8F">
        <w:rPr>
          <w:color w:val="0F1115"/>
          <w:sz w:val="20"/>
          <w:szCs w:val="20"/>
          <w:lang w:val="en-US"/>
        </w:rPr>
        <w:t>Studies that do not confirm the senescent state of the cells.</w:t>
      </w:r>
    </w:p>
    <w:p w14:paraId="026D9F51" w14:textId="77777777" w:rsidR="0052204D" w:rsidRPr="001A3F8F" w:rsidRDefault="0052204D" w:rsidP="001A3F8F">
      <w:pPr>
        <w:pStyle w:val="PargrafodaLista"/>
        <w:numPr>
          <w:ilvl w:val="0"/>
          <w:numId w:val="1"/>
        </w:numPr>
        <w:spacing w:line="480" w:lineRule="auto"/>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Studies that focus solely on the mechanistic pathways of senescence without assessing its direct impact on tissue repair or regenerative therapies.</w:t>
      </w:r>
    </w:p>
    <w:p w14:paraId="4285A12B" w14:textId="77777777" w:rsidR="0052204D" w:rsidRPr="001A3F8F" w:rsidRDefault="0052204D" w:rsidP="001A3F8F">
      <w:pPr>
        <w:pStyle w:val="PargrafodaLista"/>
        <w:numPr>
          <w:ilvl w:val="0"/>
          <w:numId w:val="1"/>
        </w:numPr>
        <w:spacing w:line="480" w:lineRule="auto"/>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Full paper copy not available or inaccessible.</w:t>
      </w:r>
    </w:p>
    <w:p w14:paraId="1B84D80D" w14:textId="1FC78DB6" w:rsidR="0052204D" w:rsidRPr="001A3F8F" w:rsidRDefault="0052204D" w:rsidP="001A3F8F">
      <w:pPr>
        <w:pStyle w:val="PargrafodaLista"/>
        <w:numPr>
          <w:ilvl w:val="0"/>
          <w:numId w:val="1"/>
        </w:numPr>
        <w:spacing w:line="480" w:lineRule="auto"/>
        <w:jc w:val="both"/>
        <w:rPr>
          <w:rFonts w:ascii="Times New Roman" w:hAnsi="Times New Roman" w:cs="Times New Roman"/>
          <w:sz w:val="20"/>
          <w:szCs w:val="20"/>
          <w:lang w:val="en-US"/>
        </w:rPr>
      </w:pPr>
      <w:r w:rsidRPr="001A3F8F">
        <w:rPr>
          <w:rFonts w:ascii="Times New Roman" w:hAnsi="Times New Roman" w:cs="Times New Roman"/>
          <w:sz w:val="20"/>
          <w:szCs w:val="20"/>
          <w:lang w:val="en-US"/>
        </w:rPr>
        <w:t>Reviews articles, systematic reviews, meta-analyses, abstracts, protocols, short communications, personal opinions, letters, posters, conference abstracts, and case report.</w:t>
      </w:r>
    </w:p>
    <w:p w14:paraId="013C544C" w14:textId="250D71E5" w:rsidR="0052204D" w:rsidRPr="001A3F8F" w:rsidRDefault="00B74865" w:rsidP="001A3F8F">
      <w:pPr>
        <w:spacing w:line="480" w:lineRule="auto"/>
        <w:jc w:val="both"/>
        <w:rPr>
          <w:rFonts w:ascii="Times New Roman" w:hAnsi="Times New Roman" w:cs="Times New Roman"/>
          <w:sz w:val="20"/>
          <w:szCs w:val="20"/>
        </w:rPr>
      </w:pPr>
      <w:r>
        <w:rPr>
          <w:rFonts w:ascii="Times New Roman" w:hAnsi="Times New Roman" w:cs="Times New Roman"/>
          <w:b/>
          <w:bCs/>
          <w:noProof/>
          <w:sz w:val="20"/>
          <w:szCs w:val="20"/>
        </w:rPr>
        <w:lastRenderedPageBreak/>
        <w:drawing>
          <wp:anchor distT="0" distB="0" distL="114300" distR="114300" simplePos="0" relativeHeight="251663360" behindDoc="1" locked="0" layoutInCell="1" allowOverlap="1" wp14:anchorId="6C60589C" wp14:editId="500B2A4A">
            <wp:simplePos x="0" y="0"/>
            <wp:positionH relativeFrom="margin">
              <wp:posOffset>381000</wp:posOffset>
            </wp:positionH>
            <wp:positionV relativeFrom="paragraph">
              <wp:posOffset>0</wp:posOffset>
            </wp:positionV>
            <wp:extent cx="4866005" cy="7673340"/>
            <wp:effectExtent l="0" t="0" r="0" b="3810"/>
            <wp:wrapThrough wrapText="bothSides">
              <wp:wrapPolygon edited="0">
                <wp:start x="0" y="0"/>
                <wp:lineTo x="0" y="21557"/>
                <wp:lineTo x="21479" y="21557"/>
                <wp:lineTo x="21479" y="0"/>
                <wp:lineTo x="0" y="0"/>
              </wp:wrapPolygon>
            </wp:wrapThrough>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66005" cy="7673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75019B" w14:textId="730F7FCD" w:rsidR="00A275F0" w:rsidRPr="001A3F8F" w:rsidRDefault="00A275F0" w:rsidP="001A3F8F">
      <w:pPr>
        <w:pStyle w:val="NormalWeb"/>
        <w:spacing w:line="480" w:lineRule="auto"/>
        <w:jc w:val="both"/>
        <w:rPr>
          <w:color w:val="0F1115"/>
          <w:sz w:val="20"/>
          <w:szCs w:val="20"/>
          <w:shd w:val="clear" w:color="auto" w:fill="FFFFFF"/>
        </w:rPr>
      </w:pPr>
      <w:r w:rsidRPr="001A3F8F">
        <w:rPr>
          <w:rStyle w:val="Forte"/>
          <w:sz w:val="20"/>
          <w:szCs w:val="20"/>
        </w:rPr>
        <w:t xml:space="preserve">SUPPLEMENTARY FIGURE 1 </w:t>
      </w:r>
      <w:r w:rsidRPr="001A3F8F">
        <w:rPr>
          <w:rStyle w:val="Forte"/>
          <w:b w:val="0"/>
          <w:bCs w:val="0"/>
          <w:color w:val="0F1115"/>
          <w:sz w:val="20"/>
          <w:szCs w:val="20"/>
          <w:shd w:val="clear" w:color="auto" w:fill="FFFFFF"/>
        </w:rPr>
        <w:t>Risk of bias assessment of</w:t>
      </w:r>
      <w:r w:rsidRPr="001A3F8F">
        <w:rPr>
          <w:rStyle w:val="Forte"/>
          <w:color w:val="0F1115"/>
          <w:sz w:val="20"/>
          <w:szCs w:val="20"/>
          <w:shd w:val="clear" w:color="auto" w:fill="FFFFFF"/>
        </w:rPr>
        <w:t> </w:t>
      </w:r>
      <w:r w:rsidRPr="001A3F8F">
        <w:rPr>
          <w:rStyle w:val="nfase"/>
          <w:color w:val="0F1115"/>
          <w:sz w:val="20"/>
          <w:szCs w:val="20"/>
          <w:shd w:val="clear" w:color="auto" w:fill="FFFFFF"/>
        </w:rPr>
        <w:t>in vitro</w:t>
      </w:r>
      <w:r w:rsidRPr="001A3F8F">
        <w:rPr>
          <w:rStyle w:val="Forte"/>
          <w:color w:val="0F1115"/>
          <w:sz w:val="20"/>
          <w:szCs w:val="20"/>
          <w:shd w:val="clear" w:color="auto" w:fill="FFFFFF"/>
        </w:rPr>
        <w:t> </w:t>
      </w:r>
      <w:r w:rsidRPr="001A3F8F">
        <w:rPr>
          <w:rStyle w:val="Forte"/>
          <w:b w:val="0"/>
          <w:bCs w:val="0"/>
          <w:color w:val="0F1115"/>
          <w:sz w:val="20"/>
          <w:szCs w:val="20"/>
          <w:shd w:val="clear" w:color="auto" w:fill="FFFFFF"/>
        </w:rPr>
        <w:t>studies.</w:t>
      </w:r>
      <w:r w:rsidRPr="001A3F8F">
        <w:rPr>
          <w:rStyle w:val="Forte"/>
          <w:color w:val="0F1115"/>
          <w:sz w:val="20"/>
          <w:szCs w:val="20"/>
          <w:shd w:val="clear" w:color="auto" w:fill="FFFFFF"/>
        </w:rPr>
        <w:t xml:space="preserve"> </w:t>
      </w:r>
      <w:r w:rsidRPr="001A3F8F">
        <w:rPr>
          <w:color w:val="0F1115"/>
          <w:sz w:val="20"/>
          <w:szCs w:val="20"/>
          <w:shd w:val="clear" w:color="auto" w:fill="FFFFFF"/>
        </w:rPr>
        <w:t xml:space="preserve">Studies were appraised using the PETRICCS-based tool. Bars represent the percentage of items rated as “Yes” (low risk), “No” (high risk), or “Unclear” (some concerns). </w:t>
      </w:r>
    </w:p>
    <w:p w14:paraId="7021ACE8" w14:textId="13D5D6E4" w:rsidR="00A275F0" w:rsidRPr="001A3F8F" w:rsidRDefault="00B74865" w:rsidP="001A3F8F">
      <w:pPr>
        <w:spacing w:line="480" w:lineRule="auto"/>
        <w:jc w:val="both"/>
        <w:rPr>
          <w:rFonts w:ascii="Times New Roman" w:hAnsi="Times New Roman" w:cs="Times New Roman"/>
          <w:color w:val="0F1115"/>
          <w:sz w:val="20"/>
          <w:szCs w:val="20"/>
          <w:shd w:val="clear" w:color="auto" w:fill="FFFFFF"/>
        </w:rPr>
      </w:pPr>
      <w:r>
        <w:rPr>
          <w:rFonts w:ascii="Times New Roman" w:hAnsi="Times New Roman" w:cs="Times New Roman"/>
          <w:noProof/>
          <w:sz w:val="20"/>
          <w:szCs w:val="20"/>
        </w:rPr>
        <w:lastRenderedPageBreak/>
        <w:drawing>
          <wp:inline distT="0" distB="0" distL="0" distR="0" wp14:anchorId="7141E232" wp14:editId="1017FE6B">
            <wp:extent cx="5730240" cy="2240280"/>
            <wp:effectExtent l="0" t="0" r="381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41082"/>
                    <a:stretch/>
                  </pic:blipFill>
                  <pic:spPr bwMode="auto">
                    <a:xfrm>
                      <a:off x="0" y="0"/>
                      <a:ext cx="5730240" cy="2240280"/>
                    </a:xfrm>
                    <a:prstGeom prst="rect">
                      <a:avLst/>
                    </a:prstGeom>
                    <a:noFill/>
                    <a:ln>
                      <a:noFill/>
                    </a:ln>
                    <a:extLst>
                      <a:ext uri="{53640926-AAD7-44D8-BBD7-CCE9431645EC}">
                        <a14:shadowObscured xmlns:a14="http://schemas.microsoft.com/office/drawing/2010/main"/>
                      </a:ext>
                    </a:extLst>
                  </pic:spPr>
                </pic:pic>
              </a:graphicData>
            </a:graphic>
          </wp:inline>
        </w:drawing>
      </w:r>
      <w:r w:rsidR="00A275F0" w:rsidRPr="001A3F8F">
        <w:rPr>
          <w:rStyle w:val="Forte"/>
          <w:rFonts w:ascii="Times New Roman" w:hAnsi="Times New Roman" w:cs="Times New Roman"/>
          <w:sz w:val="20"/>
          <w:szCs w:val="20"/>
        </w:rPr>
        <w:t xml:space="preserve">SUPPLEMENTARY FIGURE 2 </w:t>
      </w:r>
      <w:r w:rsidR="00A275F0" w:rsidRPr="001A3F8F">
        <w:rPr>
          <w:rStyle w:val="Forte"/>
          <w:rFonts w:ascii="Times New Roman" w:hAnsi="Times New Roman" w:cs="Times New Roman"/>
          <w:b w:val="0"/>
          <w:bCs w:val="0"/>
          <w:color w:val="0F1115"/>
          <w:sz w:val="20"/>
          <w:szCs w:val="20"/>
          <w:shd w:val="clear" w:color="auto" w:fill="FFFFFF"/>
        </w:rPr>
        <w:t>Risk of bias assessment of</w:t>
      </w:r>
      <w:r w:rsidR="00A275F0" w:rsidRPr="001A3F8F">
        <w:rPr>
          <w:rStyle w:val="Forte"/>
          <w:rFonts w:ascii="Times New Roman" w:hAnsi="Times New Roman" w:cs="Times New Roman"/>
          <w:color w:val="0F1115"/>
          <w:sz w:val="20"/>
          <w:szCs w:val="20"/>
          <w:shd w:val="clear" w:color="auto" w:fill="FFFFFF"/>
        </w:rPr>
        <w:t> </w:t>
      </w:r>
      <w:r w:rsidR="00A275F0" w:rsidRPr="001A3F8F">
        <w:rPr>
          <w:rStyle w:val="nfase"/>
          <w:rFonts w:ascii="Times New Roman" w:hAnsi="Times New Roman" w:cs="Times New Roman"/>
          <w:color w:val="0F1115"/>
          <w:sz w:val="20"/>
          <w:szCs w:val="20"/>
          <w:shd w:val="clear" w:color="auto" w:fill="FFFFFF"/>
        </w:rPr>
        <w:t>in vivo</w:t>
      </w:r>
      <w:r w:rsidR="00A275F0" w:rsidRPr="001A3F8F">
        <w:rPr>
          <w:rStyle w:val="Forte"/>
          <w:rFonts w:ascii="Times New Roman" w:hAnsi="Times New Roman" w:cs="Times New Roman"/>
          <w:color w:val="0F1115"/>
          <w:sz w:val="20"/>
          <w:szCs w:val="20"/>
          <w:shd w:val="clear" w:color="auto" w:fill="FFFFFF"/>
        </w:rPr>
        <w:t> </w:t>
      </w:r>
      <w:r w:rsidR="00A275F0" w:rsidRPr="001A3F8F">
        <w:rPr>
          <w:rStyle w:val="Forte"/>
          <w:rFonts w:ascii="Times New Roman" w:hAnsi="Times New Roman" w:cs="Times New Roman"/>
          <w:b w:val="0"/>
          <w:bCs w:val="0"/>
          <w:color w:val="0F1115"/>
          <w:sz w:val="20"/>
          <w:szCs w:val="20"/>
          <w:shd w:val="clear" w:color="auto" w:fill="FFFFFF"/>
        </w:rPr>
        <w:t>studies.</w:t>
      </w:r>
      <w:r w:rsidR="00A275F0" w:rsidRPr="001A3F8F">
        <w:rPr>
          <w:rStyle w:val="Forte"/>
          <w:rFonts w:ascii="Times New Roman" w:hAnsi="Times New Roman" w:cs="Times New Roman"/>
          <w:color w:val="0F1115"/>
          <w:sz w:val="20"/>
          <w:szCs w:val="20"/>
          <w:shd w:val="clear" w:color="auto" w:fill="FFFFFF"/>
        </w:rPr>
        <w:t xml:space="preserve"> </w:t>
      </w:r>
      <w:r w:rsidR="00A275F0" w:rsidRPr="001A3F8F">
        <w:rPr>
          <w:rFonts w:ascii="Times New Roman" w:hAnsi="Times New Roman" w:cs="Times New Roman"/>
          <w:color w:val="0F1115"/>
          <w:sz w:val="20"/>
          <w:szCs w:val="20"/>
          <w:shd w:val="clear" w:color="auto" w:fill="FFFFFF"/>
        </w:rPr>
        <w:t xml:space="preserve">Studies were appraised using the SYRCLE’S tool. Bars represent the percentage of items rated as “Yes” (low risk), “No” (high risk), or “Unclear” (some concerns). </w:t>
      </w:r>
    </w:p>
    <w:p w14:paraId="788BEA0D" w14:textId="77777777" w:rsidR="00A275F0" w:rsidRPr="001A3F8F" w:rsidRDefault="00A275F0" w:rsidP="001A3F8F">
      <w:pPr>
        <w:jc w:val="both"/>
        <w:rPr>
          <w:rFonts w:ascii="Times New Roman" w:hAnsi="Times New Roman" w:cs="Times New Roman"/>
          <w:sz w:val="20"/>
          <w:szCs w:val="20"/>
        </w:rPr>
      </w:pPr>
    </w:p>
    <w:p w14:paraId="2C2A5C3F" w14:textId="77777777" w:rsidR="00A275F0" w:rsidRPr="001A3F8F" w:rsidRDefault="00A275F0" w:rsidP="001A3F8F">
      <w:pPr>
        <w:jc w:val="both"/>
        <w:rPr>
          <w:rFonts w:ascii="Times New Roman" w:hAnsi="Times New Roman" w:cs="Times New Roman"/>
          <w:sz w:val="20"/>
          <w:szCs w:val="20"/>
        </w:rPr>
      </w:pPr>
    </w:p>
    <w:p w14:paraId="22D09EEE" w14:textId="77777777" w:rsidR="00840428" w:rsidRPr="001A3F8F" w:rsidRDefault="00840428" w:rsidP="001A3F8F">
      <w:pPr>
        <w:jc w:val="both"/>
        <w:rPr>
          <w:rFonts w:ascii="Times New Roman" w:hAnsi="Times New Roman" w:cs="Times New Roman"/>
          <w:sz w:val="20"/>
          <w:szCs w:val="20"/>
        </w:rPr>
        <w:sectPr w:rsidR="00840428" w:rsidRPr="001A3F8F" w:rsidSect="00572FAC">
          <w:pgSz w:w="11906" w:h="16838"/>
          <w:pgMar w:top="1440" w:right="1440" w:bottom="1440" w:left="1440" w:header="709" w:footer="709" w:gutter="0"/>
          <w:cols w:space="708"/>
          <w:docGrid w:linePitch="360"/>
        </w:sectPr>
      </w:pPr>
    </w:p>
    <w:p w14:paraId="50DF300D" w14:textId="72E45171"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b/>
          <w:bCs/>
          <w:sz w:val="20"/>
          <w:szCs w:val="20"/>
        </w:rPr>
        <w:lastRenderedPageBreak/>
        <w:t xml:space="preserve">SUPPLEMENTARY TABLE </w:t>
      </w:r>
      <w:r w:rsidR="001A3F8F" w:rsidRPr="001A3F8F">
        <w:rPr>
          <w:rFonts w:ascii="Times New Roman" w:hAnsi="Times New Roman" w:cs="Times New Roman"/>
          <w:b/>
          <w:bCs/>
          <w:sz w:val="20"/>
          <w:szCs w:val="20"/>
        </w:rPr>
        <w:t>3</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proliferation outcome.</w:t>
      </w:r>
    </w:p>
    <w:tbl>
      <w:tblPr>
        <w:tblStyle w:val="TabeladeLista1Clara4"/>
        <w:tblW w:w="5293" w:type="pct"/>
        <w:jc w:val="center"/>
        <w:tblLayout w:type="fixed"/>
        <w:tblLook w:val="04A0" w:firstRow="1" w:lastRow="0" w:firstColumn="1" w:lastColumn="0" w:noHBand="0" w:noVBand="1"/>
      </w:tblPr>
      <w:tblGrid>
        <w:gridCol w:w="1985"/>
        <w:gridCol w:w="1372"/>
        <w:gridCol w:w="1055"/>
        <w:gridCol w:w="1207"/>
        <w:gridCol w:w="1426"/>
        <w:gridCol w:w="1305"/>
        <w:gridCol w:w="1305"/>
        <w:gridCol w:w="1094"/>
        <w:gridCol w:w="1583"/>
        <w:gridCol w:w="2019"/>
        <w:gridCol w:w="237"/>
        <w:gridCol w:w="236"/>
      </w:tblGrid>
      <w:tr w:rsidR="00513939" w:rsidRPr="001A3F8F" w14:paraId="146BBA12" w14:textId="77777777" w:rsidTr="00B74865">
        <w:trPr>
          <w:gridAfter w:val="2"/>
          <w:cnfStyle w:val="100000000000" w:firstRow="1" w:lastRow="0" w:firstColumn="0" w:lastColumn="0" w:oddVBand="0" w:evenVBand="0" w:oddHBand="0" w:evenHBand="0" w:firstRowFirstColumn="0" w:firstRowLastColumn="0" w:lastRowFirstColumn="0" w:lastRowLastColumn="0"/>
          <w:wAfter w:w="160" w:type="pct"/>
          <w:trHeight w:val="501"/>
          <w:tblHeader/>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p w14:paraId="1D434DB9" w14:textId="7777777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463" w:type="pct"/>
            <w:vAlign w:val="center"/>
          </w:tcPr>
          <w:p w14:paraId="3A09745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356" w:type="pct"/>
            <w:vAlign w:val="center"/>
          </w:tcPr>
          <w:p w14:paraId="17C222E7"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407" w:type="pct"/>
            <w:vAlign w:val="center"/>
          </w:tcPr>
          <w:p w14:paraId="0DC1A8D9"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481" w:type="pct"/>
            <w:vAlign w:val="center"/>
          </w:tcPr>
          <w:p w14:paraId="597757C2"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440" w:type="pct"/>
            <w:vAlign w:val="center"/>
          </w:tcPr>
          <w:p w14:paraId="526E9FE4"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440" w:type="pct"/>
            <w:vAlign w:val="center"/>
          </w:tcPr>
          <w:p w14:paraId="78F8D5AD"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369" w:type="pct"/>
            <w:vAlign w:val="center"/>
          </w:tcPr>
          <w:p w14:paraId="7D2A449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534" w:type="pct"/>
            <w:vAlign w:val="center"/>
          </w:tcPr>
          <w:p w14:paraId="5996EAC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Lower Proliferative Potential</w:t>
            </w:r>
          </w:p>
        </w:tc>
        <w:tc>
          <w:tcPr>
            <w:tcW w:w="681" w:type="pct"/>
            <w:vAlign w:val="center"/>
          </w:tcPr>
          <w:p w14:paraId="0DB92FCE"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513939" w:rsidRPr="001A3F8F" w14:paraId="46D0DAAD"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782"/>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p w14:paraId="03CDFBEA" w14:textId="056B30D1" w:rsidR="00513939" w:rsidRPr="001A3F8F" w:rsidRDefault="00384B58" w:rsidP="00AE20BE">
            <w:pPr>
              <w:jc w:val="both"/>
              <w:rPr>
                <w:rFonts w:ascii="Times New Roman" w:hAnsi="Times New Roman" w:cs="Times New Roman"/>
                <w:sz w:val="20"/>
                <w:szCs w:val="20"/>
              </w:rPr>
            </w:pPr>
            <w:sdt>
              <w:sdtPr>
                <w:rPr>
                  <w:rFonts w:ascii="Times New Roman" w:hAnsi="Times New Roman" w:cs="Times New Roman"/>
                  <w:sz w:val="20"/>
                  <w:szCs w:val="20"/>
                </w:rPr>
                <w:tag w:val="MENDELEY_CITATION_v3_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"/>
                <w:id w:val="-1250421619"/>
                <w:placeholder>
                  <w:docPart w:val="9B8DE522E4E94F0BB7756C5E344CA9BD"/>
                </w:placeholder>
              </w:sdtPr>
              <w:sdtEndPr/>
              <w:sdtContent>
                <w:r w:rsidR="00513939"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00513939" w:rsidRPr="001A3F8F">
                  <w:rPr>
                    <w:rFonts w:ascii="Times New Roman" w:hAnsi="Times New Roman" w:cs="Times New Roman"/>
                    <w:sz w:val="20"/>
                    <w:szCs w:val="20"/>
                  </w:rPr>
                  <w:t>., 2014</w:t>
                </w:r>
              </w:sdtContent>
            </w:sdt>
            <w:r w:rsidR="00B74865">
              <w:rPr>
                <w:rFonts w:ascii="Times New Roman" w:hAnsi="Times New Roman" w:cs="Times New Roman"/>
                <w:sz w:val="20"/>
                <w:szCs w:val="20"/>
              </w:rPr>
              <w:t xml:space="preserve"> [11]</w:t>
            </w:r>
          </w:p>
        </w:tc>
        <w:tc>
          <w:tcPr>
            <w:tcW w:w="463" w:type="pct"/>
            <w:vAlign w:val="center"/>
          </w:tcPr>
          <w:p w14:paraId="1045FC6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w:t>
            </w:r>
          </w:p>
        </w:tc>
        <w:tc>
          <w:tcPr>
            <w:tcW w:w="356" w:type="pct"/>
            <w:vAlign w:val="center"/>
          </w:tcPr>
          <w:p w14:paraId="67F0BE5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19C27E3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5571252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BrdU</w:t>
            </w:r>
            <w:proofErr w:type="spellEnd"/>
            <w:r w:rsidRPr="001A3F8F">
              <w:rPr>
                <w:rFonts w:ascii="Times New Roman" w:hAnsi="Times New Roman" w:cs="Times New Roman"/>
                <w:sz w:val="20"/>
                <w:szCs w:val="20"/>
              </w:rPr>
              <w:t xml:space="preserve"> assay (370 nm)</w:t>
            </w:r>
          </w:p>
          <w:p w14:paraId="70AB17D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Cell Number (10</w:t>
            </w:r>
            <w:r w:rsidRPr="001A3F8F">
              <w:rPr>
                <w:rFonts w:ascii="Times New Roman" w:hAnsi="Times New Roman" w:cs="Times New Roman"/>
                <w:sz w:val="20"/>
                <w:szCs w:val="20"/>
                <w:vertAlign w:val="superscript"/>
              </w:rPr>
              <w:t>3</w:t>
            </w:r>
            <w:r w:rsidRPr="001A3F8F">
              <w:rPr>
                <w:rFonts w:ascii="Times New Roman" w:hAnsi="Times New Roman" w:cs="Times New Roman"/>
                <w:sz w:val="20"/>
                <w:szCs w:val="20"/>
              </w:rPr>
              <w:t>)</w:t>
            </w:r>
          </w:p>
        </w:tc>
        <w:tc>
          <w:tcPr>
            <w:tcW w:w="440" w:type="pct"/>
            <w:vAlign w:val="center"/>
          </w:tcPr>
          <w:p w14:paraId="6EBE88A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~0.89 ± 0.1</w:t>
            </w:r>
          </w:p>
          <w:p w14:paraId="1E8DE1D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~65.13 ± 5.9</w:t>
            </w:r>
          </w:p>
        </w:tc>
        <w:tc>
          <w:tcPr>
            <w:tcW w:w="440" w:type="pct"/>
            <w:vAlign w:val="center"/>
          </w:tcPr>
          <w:p w14:paraId="441CAC5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~0.37 ± 0.04</w:t>
            </w:r>
          </w:p>
          <w:p w14:paraId="1B0DA11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~34.97 ± 3.06 </w:t>
            </w:r>
          </w:p>
        </w:tc>
        <w:tc>
          <w:tcPr>
            <w:tcW w:w="369" w:type="pct"/>
            <w:vAlign w:val="center"/>
          </w:tcPr>
          <w:p w14:paraId="74EA9EE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p w14:paraId="67DE63F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single" w:sz="4" w:space="0" w:color="666666"/>
              <w:left w:val="nil"/>
              <w:bottom w:val="nil"/>
              <w:right w:val="nil"/>
            </w:tcBorders>
            <w:shd w:val="clear" w:color="000000" w:fill="CCCCCC"/>
            <w:vAlign w:val="center"/>
          </w:tcPr>
          <w:p w14:paraId="59AF1F7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2E567B9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S: LPS 10 ng/mL, 6x </w:t>
            </w:r>
          </w:p>
        </w:tc>
      </w:tr>
      <w:tr w:rsidR="00513939" w:rsidRPr="001A3F8F" w14:paraId="6D47D2E0" w14:textId="77777777" w:rsidTr="00B74865">
        <w:trPr>
          <w:trHeight w:val="489"/>
          <w:jc w:val="center"/>
        </w:trPr>
        <w:tc>
          <w:tcPr>
            <w:cnfStyle w:val="001000000000" w:firstRow="0" w:lastRow="0" w:firstColumn="1" w:lastColumn="0" w:oddVBand="0" w:evenVBand="0" w:oddHBand="0" w:evenHBand="0" w:firstRowFirstColumn="0" w:firstRowLastColumn="0" w:lastRowFirstColumn="0" w:lastRowLastColumn="0"/>
            <w:tcW w:w="670" w:type="pct"/>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"/>
              <w:id w:val="-800762135"/>
              <w:placeholder>
                <w:docPart w:val="35CB87C3CBEB4A908CA47EC95B2FEEB2"/>
              </w:placeholder>
            </w:sdtPr>
            <w:sdtEndPr/>
            <w:sdtContent>
              <w:p w14:paraId="5561F1DE" w14:textId="38706B12"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2018</w:t>
                </w:r>
                <w:r w:rsidR="00B74865">
                  <w:rPr>
                    <w:rFonts w:ascii="Times New Roman" w:hAnsi="Times New Roman" w:cs="Times New Roman"/>
                    <w:sz w:val="20"/>
                    <w:szCs w:val="20"/>
                  </w:rPr>
                  <w:t xml:space="preserve"> [18]</w:t>
                </w:r>
              </w:p>
            </w:sdtContent>
          </w:sdt>
        </w:tc>
        <w:tc>
          <w:tcPr>
            <w:tcW w:w="463" w:type="pct"/>
            <w:tcBorders>
              <w:bottom w:val="single" w:sz="12" w:space="0" w:color="auto"/>
            </w:tcBorders>
            <w:vAlign w:val="center"/>
          </w:tcPr>
          <w:p w14:paraId="2988B56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w:t>
            </w:r>
          </w:p>
        </w:tc>
        <w:tc>
          <w:tcPr>
            <w:tcW w:w="356" w:type="pct"/>
            <w:tcBorders>
              <w:bottom w:val="single" w:sz="12" w:space="0" w:color="auto"/>
            </w:tcBorders>
            <w:vAlign w:val="center"/>
          </w:tcPr>
          <w:p w14:paraId="7CA31B0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2137" w:type="pct"/>
            <w:gridSpan w:val="5"/>
            <w:tcBorders>
              <w:bottom w:val="single" w:sz="12" w:space="0" w:color="auto"/>
            </w:tcBorders>
            <w:vAlign w:val="center"/>
          </w:tcPr>
          <w:p w14:paraId="18501497" w14:textId="6208C2B4"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See  </w:t>
            </w:r>
            <w:sdt>
              <w:sdtPr>
                <w:rPr>
                  <w:rFonts w:ascii="Times New Roman" w:hAnsi="Times New Roman" w:cs="Times New Roman"/>
                  <w:sz w:val="20"/>
                  <w:szCs w:val="20"/>
                </w:rPr>
                <w:tag w:val="MENDELEY_CITATION_v3_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"/>
                <w:id w:val="-2029403014"/>
                <w:placeholder>
                  <w:docPart w:val="042CE5854410421795A4C7D951C0B5B3"/>
                </w:placeholder>
              </w:sdtPr>
              <w:sdtEndPr/>
              <w:sdtContent>
                <w:r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xml:space="preserve">., </w:t>
                </w:r>
                <w:proofErr w:type="gramStart"/>
                <w:r w:rsidRPr="001A3F8F">
                  <w:rPr>
                    <w:rFonts w:ascii="Times New Roman" w:hAnsi="Times New Roman" w:cs="Times New Roman"/>
                    <w:sz w:val="20"/>
                    <w:szCs w:val="20"/>
                  </w:rPr>
                  <w:t>2014)a</w:t>
                </w:r>
                <w:proofErr w:type="gramEnd"/>
              </w:sdtContent>
            </w:sdt>
          </w:p>
        </w:tc>
        <w:tc>
          <w:tcPr>
            <w:tcW w:w="534" w:type="pct"/>
            <w:tcBorders>
              <w:bottom w:val="single" w:sz="12" w:space="0" w:color="auto"/>
            </w:tcBorders>
            <w:vAlign w:val="center"/>
          </w:tcPr>
          <w:p w14:paraId="533297E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b/>
                <w:bCs/>
                <w:sz w:val="20"/>
                <w:szCs w:val="20"/>
              </w:rPr>
              <w:t>-</w:t>
            </w:r>
          </w:p>
        </w:tc>
        <w:tc>
          <w:tcPr>
            <w:tcW w:w="681" w:type="pct"/>
            <w:tcBorders>
              <w:bottom w:val="single" w:sz="12" w:space="0" w:color="auto"/>
            </w:tcBorders>
            <w:vAlign w:val="center"/>
          </w:tcPr>
          <w:p w14:paraId="56F98753" w14:textId="11A8CEB6"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A3F8F">
              <w:rPr>
                <w:rFonts w:ascii="Times New Roman" w:hAnsi="Times New Roman" w:cs="Times New Roman"/>
                <w:sz w:val="20"/>
                <w:szCs w:val="20"/>
              </w:rPr>
              <w:t xml:space="preserve">Proliferation data identical of Feng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xml:space="preserve"> 2014.</w:t>
            </w:r>
          </w:p>
        </w:tc>
        <w:tc>
          <w:tcPr>
            <w:tcW w:w="80" w:type="pct"/>
          </w:tcPr>
          <w:p w14:paraId="3DC96D4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0" w:type="pct"/>
          </w:tcPr>
          <w:p w14:paraId="7371BC0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13939" w:rsidRPr="001A3F8F" w14:paraId="1DD23289"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1002"/>
          <w:jc w:val="center"/>
        </w:trPr>
        <w:sdt>
          <w:sdtPr>
            <w:rPr>
              <w:rFonts w:ascii="Times New Roman" w:hAnsi="Times New Roman" w:cs="Times New Roman"/>
              <w:sz w:val="20"/>
              <w:szCs w:val="20"/>
            </w:rPr>
            <w:tag w:val="MENDELEY_CITATION_v3_eyJjaXRhdGlvbklEIjoiTUVOREVMRVlfQ0lUQVRJT05fODFkYTJmMmItNmUyYS00MTBhLWFlMTItODNhOWM1OGI2Yjdl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
            <w:id w:val="-442995438"/>
            <w:placeholder>
              <w:docPart w:val="B957D0D183F845EDAA0FAE31CB971906"/>
            </w:placeholder>
          </w:sdtPr>
          <w:sdtEndPr/>
          <w:sdtContent>
            <w:tc>
              <w:tcPr>
                <w:cnfStyle w:val="001000000000" w:firstRow="0" w:lastRow="0" w:firstColumn="1" w:lastColumn="0" w:oddVBand="0" w:evenVBand="0" w:oddHBand="0" w:evenHBand="0" w:firstRowFirstColumn="0" w:firstRowLastColumn="0" w:lastRowFirstColumn="0" w:lastRowLastColumn="0"/>
                <w:tcW w:w="670" w:type="pct"/>
                <w:tcBorders>
                  <w:top w:val="single" w:sz="12" w:space="0" w:color="auto"/>
                </w:tcBorders>
                <w:vAlign w:val="center"/>
              </w:tcPr>
              <w:p w14:paraId="7771D654" w14:textId="1686D42C"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Alt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2012</w:t>
                </w:r>
                <w:r w:rsidR="00B74865">
                  <w:rPr>
                    <w:rFonts w:ascii="Times New Roman" w:hAnsi="Times New Roman" w:cs="Times New Roman"/>
                    <w:sz w:val="20"/>
                    <w:szCs w:val="20"/>
                  </w:rPr>
                  <w:t xml:space="preserve"> [19]</w:t>
                </w:r>
              </w:p>
            </w:tc>
          </w:sdtContent>
        </w:sdt>
        <w:tc>
          <w:tcPr>
            <w:tcW w:w="463" w:type="pct"/>
            <w:tcBorders>
              <w:top w:val="single" w:sz="12" w:space="0" w:color="auto"/>
            </w:tcBorders>
            <w:vAlign w:val="center"/>
          </w:tcPr>
          <w:p w14:paraId="6538579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tcBorders>
              <w:top w:val="single" w:sz="12" w:space="0" w:color="auto"/>
            </w:tcBorders>
            <w:vAlign w:val="center"/>
          </w:tcPr>
          <w:p w14:paraId="3D8423A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tcBorders>
              <w:top w:val="single" w:sz="12" w:space="0" w:color="auto"/>
            </w:tcBorders>
            <w:vAlign w:val="center"/>
          </w:tcPr>
          <w:p w14:paraId="1159811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w:t>
            </w:r>
          </w:p>
        </w:tc>
        <w:tc>
          <w:tcPr>
            <w:tcW w:w="481" w:type="pct"/>
            <w:tcBorders>
              <w:top w:val="single" w:sz="12" w:space="0" w:color="auto"/>
            </w:tcBorders>
            <w:vAlign w:val="center"/>
          </w:tcPr>
          <w:p w14:paraId="31B8F4C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(hours)</w:t>
            </w:r>
          </w:p>
        </w:tc>
        <w:tc>
          <w:tcPr>
            <w:tcW w:w="440" w:type="pct"/>
            <w:tcBorders>
              <w:top w:val="single" w:sz="12" w:space="0" w:color="auto"/>
            </w:tcBorders>
            <w:vAlign w:val="center"/>
          </w:tcPr>
          <w:p w14:paraId="1F93C92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~46.19 ± 8.14</w:t>
            </w:r>
          </w:p>
        </w:tc>
        <w:tc>
          <w:tcPr>
            <w:tcW w:w="440" w:type="pct"/>
            <w:tcBorders>
              <w:top w:val="single" w:sz="12" w:space="0" w:color="auto"/>
            </w:tcBorders>
            <w:vAlign w:val="center"/>
          </w:tcPr>
          <w:p w14:paraId="0398492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~62.67 ± 3.87</w:t>
            </w:r>
          </w:p>
        </w:tc>
        <w:tc>
          <w:tcPr>
            <w:tcW w:w="369" w:type="pct"/>
            <w:tcBorders>
              <w:top w:val="single" w:sz="12" w:space="0" w:color="auto"/>
            </w:tcBorders>
            <w:vAlign w:val="center"/>
          </w:tcPr>
          <w:p w14:paraId="043B96F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534" w:type="pct"/>
            <w:tcBorders>
              <w:top w:val="single" w:sz="12" w:space="0" w:color="auto"/>
              <w:left w:val="nil"/>
              <w:bottom w:val="nil"/>
              <w:right w:val="nil"/>
            </w:tcBorders>
            <w:shd w:val="clear" w:color="000000" w:fill="CCCCCC"/>
            <w:vAlign w:val="center"/>
          </w:tcPr>
          <w:p w14:paraId="7D1C53B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tcBorders>
              <w:top w:val="single" w:sz="12" w:space="0" w:color="auto"/>
            </w:tcBorders>
            <w:vAlign w:val="center"/>
          </w:tcPr>
          <w:p w14:paraId="42C5156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The CFU assay showed a significantly higher colony-forming percentage in the young group.</w:t>
            </w:r>
          </w:p>
        </w:tc>
      </w:tr>
      <w:tr w:rsidR="00513939" w:rsidRPr="001A3F8F" w14:paraId="0C321CD7" w14:textId="77777777" w:rsidTr="00B74865">
        <w:trPr>
          <w:gridAfter w:val="2"/>
          <w:wAfter w:w="160" w:type="pct"/>
          <w:trHeight w:val="1002"/>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DMzNWFmYzEtNzFjMy00YmZmLTkxNTUtNjkyNmIyMmI1N2U0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
              <w:id w:val="-590621825"/>
              <w:placeholder>
                <w:docPart w:val="CABFDD978A1E4C86B9A63A8AE3A20AA7"/>
              </w:placeholder>
            </w:sdtPr>
            <w:sdtEndPr/>
            <w:sdtContent>
              <w:p w14:paraId="23E974C2" w14:textId="33D9FC98"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Choudhery</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sidR="00B74865">
                  <w:rPr>
                    <w:rFonts w:ascii="Times New Roman" w:hAnsi="Times New Roman" w:cs="Times New Roman"/>
                    <w:sz w:val="20"/>
                    <w:szCs w:val="20"/>
                  </w:rPr>
                  <w:t xml:space="preserve"> [9]</w:t>
                </w:r>
              </w:p>
            </w:sdtContent>
          </w:sdt>
        </w:tc>
        <w:tc>
          <w:tcPr>
            <w:tcW w:w="463" w:type="pct"/>
            <w:vAlign w:val="center"/>
          </w:tcPr>
          <w:p w14:paraId="4E30F8C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47C52DB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727747C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650A758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PDT (hours) </w:t>
            </w:r>
          </w:p>
        </w:tc>
        <w:tc>
          <w:tcPr>
            <w:tcW w:w="440" w:type="pct"/>
            <w:vAlign w:val="center"/>
          </w:tcPr>
          <w:p w14:paraId="5D4B0E1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62.0 ± 5.9 </w:t>
            </w:r>
          </w:p>
        </w:tc>
        <w:tc>
          <w:tcPr>
            <w:tcW w:w="440" w:type="pct"/>
            <w:vAlign w:val="center"/>
          </w:tcPr>
          <w:p w14:paraId="23693B1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89.1 ± 26.6</w:t>
            </w:r>
          </w:p>
        </w:tc>
        <w:tc>
          <w:tcPr>
            <w:tcW w:w="369" w:type="pct"/>
            <w:vAlign w:val="center"/>
          </w:tcPr>
          <w:p w14:paraId="170D937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nil"/>
              <w:left w:val="nil"/>
              <w:bottom w:val="nil"/>
              <w:right w:val="nil"/>
            </w:tcBorders>
            <w:vAlign w:val="center"/>
          </w:tcPr>
          <w:p w14:paraId="7EDE099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2723319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CFU assay showed ~30% reduced colony formation in aged donors; quantitative values could not be extracted. TPD was also assessed, with higher values observed in the younger group.</w:t>
            </w:r>
          </w:p>
        </w:tc>
      </w:tr>
      <w:tr w:rsidR="00513939" w:rsidRPr="001A3F8F" w14:paraId="3148013F"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48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zEzOWJmOTUtZjI3ZS00ZmI4LThiOWMtYjg5MTI3MTRhOWIx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
              <w:id w:val="497626372"/>
              <w:placeholder>
                <w:docPart w:val="12C626A00AEB41F58A90479AE7B598F7"/>
              </w:placeholder>
            </w:sdtPr>
            <w:sdtEndPr/>
            <w:sdtContent>
              <w:p w14:paraId="7989134F" w14:textId="67450AB6"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Gruber</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2012</w:t>
                </w:r>
                <w:r w:rsidR="00B74865">
                  <w:rPr>
                    <w:rFonts w:ascii="Times New Roman" w:hAnsi="Times New Roman" w:cs="Times New Roman"/>
                    <w:sz w:val="20"/>
                    <w:szCs w:val="20"/>
                    <w:lang w:val="pt-BR"/>
                  </w:rPr>
                  <w:t xml:space="preserve"> [10]</w:t>
                </w:r>
              </w:p>
            </w:sdtContent>
          </w:sdt>
        </w:tc>
        <w:tc>
          <w:tcPr>
            <w:tcW w:w="463" w:type="pct"/>
            <w:vAlign w:val="center"/>
          </w:tcPr>
          <w:p w14:paraId="1AB6A82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6C5E7E2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001B1DD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2B53F83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Mean DT (hours)</w:t>
            </w:r>
          </w:p>
        </w:tc>
        <w:tc>
          <w:tcPr>
            <w:tcW w:w="440" w:type="pct"/>
            <w:vAlign w:val="center"/>
          </w:tcPr>
          <w:p w14:paraId="4F65A07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~55.56 ± 4.2</w:t>
            </w:r>
          </w:p>
        </w:tc>
        <w:tc>
          <w:tcPr>
            <w:tcW w:w="440" w:type="pct"/>
            <w:vAlign w:val="center"/>
          </w:tcPr>
          <w:p w14:paraId="08CA82C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~89.41 ± 5.84</w:t>
            </w:r>
          </w:p>
        </w:tc>
        <w:tc>
          <w:tcPr>
            <w:tcW w:w="369" w:type="pct"/>
            <w:vAlign w:val="center"/>
          </w:tcPr>
          <w:p w14:paraId="5C06C11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p&lt;0.0001</w:t>
            </w:r>
          </w:p>
        </w:tc>
        <w:tc>
          <w:tcPr>
            <w:tcW w:w="534" w:type="pct"/>
            <w:tcBorders>
              <w:top w:val="nil"/>
              <w:left w:val="nil"/>
              <w:bottom w:val="nil"/>
              <w:right w:val="nil"/>
            </w:tcBorders>
            <w:shd w:val="clear" w:color="000000" w:fill="CCCCCC"/>
            <w:vAlign w:val="center"/>
          </w:tcPr>
          <w:p w14:paraId="0A2A51D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14919D3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40-75 years</w:t>
            </w:r>
          </w:p>
        </w:tc>
      </w:tr>
      <w:tr w:rsidR="00513939" w:rsidRPr="001A3F8F" w14:paraId="36AA6807" w14:textId="77777777" w:rsidTr="00B74865">
        <w:trPr>
          <w:gridAfter w:val="2"/>
          <w:wAfter w:w="160" w:type="pct"/>
          <w:trHeight w:val="794"/>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jEzZjhmYmUtMzU2NS00NDA1LThiNDMtMmRiZGFiMmRkY2Iz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
              <w:id w:val="845294726"/>
              <w:placeholder>
                <w:docPart w:val="42B374FB638148DE9B9B85126D1A8643"/>
              </w:placeholder>
            </w:sdtPr>
            <w:sdtEndPr/>
            <w:sdtContent>
              <w:p w14:paraId="32649A51" w14:textId="714BE1CB"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Kornicka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2015</w:t>
                </w:r>
                <w:r w:rsidR="00B74865">
                  <w:rPr>
                    <w:rFonts w:ascii="Times New Roman" w:hAnsi="Times New Roman" w:cs="Times New Roman"/>
                    <w:sz w:val="20"/>
                    <w:szCs w:val="20"/>
                  </w:rPr>
                  <w:t xml:space="preserve"> [20]</w:t>
                </w:r>
              </w:p>
            </w:sdtContent>
          </w:sdt>
        </w:tc>
        <w:tc>
          <w:tcPr>
            <w:tcW w:w="463" w:type="pct"/>
            <w:vAlign w:val="center"/>
          </w:tcPr>
          <w:p w14:paraId="5880D36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613A857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1D1FBDF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65C67C7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(hours)</w:t>
            </w:r>
          </w:p>
        </w:tc>
        <w:tc>
          <w:tcPr>
            <w:tcW w:w="440" w:type="pct"/>
            <w:vAlign w:val="center"/>
          </w:tcPr>
          <w:p w14:paraId="0AA30BF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55 ± 9.8</w:t>
            </w:r>
          </w:p>
        </w:tc>
        <w:tc>
          <w:tcPr>
            <w:tcW w:w="440" w:type="pct"/>
            <w:vAlign w:val="center"/>
          </w:tcPr>
          <w:p w14:paraId="2C0E2DC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~130 ± 5.5</w:t>
            </w:r>
          </w:p>
        </w:tc>
        <w:tc>
          <w:tcPr>
            <w:tcW w:w="369" w:type="pct"/>
            <w:vAlign w:val="center"/>
          </w:tcPr>
          <w:p w14:paraId="36FE6C6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534" w:type="pct"/>
            <w:tcBorders>
              <w:top w:val="nil"/>
              <w:left w:val="nil"/>
              <w:bottom w:val="nil"/>
              <w:right w:val="nil"/>
            </w:tcBorders>
            <w:vAlign w:val="center"/>
          </w:tcPr>
          <w:p w14:paraId="5992829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64A8B16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&gt;70 years. CFU-E assay was performed, but quantitative data were not extracted for synthesis; however, the aged group showed a lower percentage of CFU-E.</w:t>
            </w:r>
          </w:p>
        </w:tc>
      </w:tr>
      <w:tr w:rsidR="00513939" w:rsidRPr="001A3F8F" w14:paraId="59C61422"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1235"/>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1145620963"/>
              <w:placeholder>
                <w:docPart w:val="058C5379BDED492BA5FE3BA8D4E521B8"/>
              </w:placeholder>
            </w:sdtPr>
            <w:sdtEndPr/>
            <w:sdtContent>
              <w:p w14:paraId="4265A371" w14:textId="4330D38B"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Legzdina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sidR="00B74865">
                  <w:rPr>
                    <w:rFonts w:ascii="Times New Roman" w:hAnsi="Times New Roman" w:cs="Times New Roman"/>
                    <w:sz w:val="20"/>
                    <w:szCs w:val="20"/>
                  </w:rPr>
                  <w:t xml:space="preserve"> [44]</w:t>
                </w:r>
              </w:p>
            </w:sdtContent>
          </w:sdt>
        </w:tc>
        <w:tc>
          <w:tcPr>
            <w:tcW w:w="463" w:type="pct"/>
            <w:vAlign w:val="center"/>
          </w:tcPr>
          <w:p w14:paraId="503C0A2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2A5E6DC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03A675E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2-3</w:t>
            </w:r>
          </w:p>
        </w:tc>
        <w:tc>
          <w:tcPr>
            <w:tcW w:w="481" w:type="pct"/>
            <w:vAlign w:val="center"/>
          </w:tcPr>
          <w:p w14:paraId="240646D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CPD</w:t>
            </w:r>
          </w:p>
        </w:tc>
        <w:tc>
          <w:tcPr>
            <w:tcW w:w="440" w:type="pct"/>
            <w:vAlign w:val="center"/>
          </w:tcPr>
          <w:p w14:paraId="1FD8356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28.97*</w:t>
            </w:r>
          </w:p>
        </w:tc>
        <w:tc>
          <w:tcPr>
            <w:tcW w:w="440" w:type="pct"/>
            <w:vAlign w:val="center"/>
          </w:tcPr>
          <w:p w14:paraId="4485194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23.28*</w:t>
            </w:r>
          </w:p>
        </w:tc>
        <w:tc>
          <w:tcPr>
            <w:tcW w:w="369" w:type="pct"/>
            <w:vAlign w:val="center"/>
          </w:tcPr>
          <w:p w14:paraId="41271AA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534" w:type="pct"/>
            <w:tcBorders>
              <w:top w:val="nil"/>
              <w:left w:val="nil"/>
              <w:bottom w:val="nil"/>
              <w:right w:val="nil"/>
            </w:tcBorders>
            <w:shd w:val="clear" w:color="000000" w:fill="CCCCCC"/>
            <w:vAlign w:val="center"/>
          </w:tcPr>
          <w:p w14:paraId="1437119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681" w:type="pct"/>
            <w:vAlign w:val="center"/>
          </w:tcPr>
          <w:p w14:paraId="1FAA0D1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CS-8 (27 years), S: CS-3 (63 years). Cells from eight donors showed pronounced donor-dependent heterogeneity in proliferation kinetics (PD/PDT). CFU and MTT assays and PDT curves were performed, with no significant differences observed between younger and older donors.</w:t>
            </w:r>
          </w:p>
        </w:tc>
      </w:tr>
      <w:tr w:rsidR="00513939" w:rsidRPr="001A3F8F" w14:paraId="0A6CC4D3"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GYzNTA4MmQtZGU0Yy00MTQ4LTkwNjctNDQ5YWYyOTRiZTQ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
              <w:id w:val="1743683157"/>
              <w:placeholder>
                <w:docPart w:val="99262AE5AD814FF6BAC96AE4A2AA3978"/>
              </w:placeholder>
            </w:sdtPr>
            <w:sdtEndPr/>
            <w:sdtContent>
              <w:p w14:paraId="1EFF4D32" w14:textId="309FB1E8"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Wu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2022</w:t>
                </w:r>
                <w:r w:rsidR="00B74865">
                  <w:rPr>
                    <w:rFonts w:ascii="Times New Roman" w:hAnsi="Times New Roman" w:cs="Times New Roman"/>
                    <w:sz w:val="20"/>
                    <w:szCs w:val="20"/>
                    <w:lang w:val="pt-BR"/>
                  </w:rPr>
                  <w:t xml:space="preserve"> [21]</w:t>
                </w:r>
              </w:p>
            </w:sdtContent>
          </w:sdt>
        </w:tc>
        <w:tc>
          <w:tcPr>
            <w:tcW w:w="463" w:type="pct"/>
            <w:vAlign w:val="center"/>
          </w:tcPr>
          <w:p w14:paraId="43413FC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393842C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3E66C0C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06FF89F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(days)</w:t>
            </w:r>
          </w:p>
        </w:tc>
        <w:tc>
          <w:tcPr>
            <w:tcW w:w="440" w:type="pct"/>
            <w:vAlign w:val="center"/>
          </w:tcPr>
          <w:p w14:paraId="145D58A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0.03</w:t>
            </w:r>
          </w:p>
        </w:tc>
        <w:tc>
          <w:tcPr>
            <w:tcW w:w="440" w:type="pct"/>
            <w:vAlign w:val="center"/>
          </w:tcPr>
          <w:p w14:paraId="5C1E92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~1.26 ± 0.09</w:t>
            </w:r>
          </w:p>
        </w:tc>
        <w:tc>
          <w:tcPr>
            <w:tcW w:w="369" w:type="pct"/>
            <w:vAlign w:val="center"/>
          </w:tcPr>
          <w:p w14:paraId="1BE51DD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534" w:type="pct"/>
            <w:tcBorders>
              <w:top w:val="nil"/>
              <w:left w:val="nil"/>
              <w:bottom w:val="nil"/>
              <w:right w:val="nil"/>
            </w:tcBorders>
            <w:vAlign w:val="center"/>
          </w:tcPr>
          <w:p w14:paraId="3FB5C52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3B5A188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adult. A growth curve assay was performed; however, quantitative data were not extracted for synthesis. The fold increases in the cell numbers of the infant were significantly higher than those of the adult.</w:t>
            </w:r>
          </w:p>
        </w:tc>
      </w:tr>
      <w:tr w:rsidR="00513939" w:rsidRPr="001A3F8F" w14:paraId="6B3C8D58"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"/>
              <w:id w:val="-398749063"/>
              <w:placeholder>
                <w:docPart w:val="9BAC35323DCD4EB999A84080DFC68484"/>
              </w:placeholder>
            </w:sdtPr>
            <w:sdtEndPr/>
            <w:sdtContent>
              <w:p w14:paraId="09C77FD6" w14:textId="2CE9CC91"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Gao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2023</w:t>
                </w:r>
                <w:r w:rsidR="00B74865">
                  <w:rPr>
                    <w:rFonts w:ascii="Times New Roman" w:hAnsi="Times New Roman" w:cs="Times New Roman"/>
                    <w:sz w:val="20"/>
                    <w:szCs w:val="20"/>
                  </w:rPr>
                  <w:t xml:space="preserve"> [58]</w:t>
                </w:r>
              </w:p>
            </w:sdtContent>
          </w:sdt>
        </w:tc>
        <w:tc>
          <w:tcPr>
            <w:tcW w:w="463" w:type="pct"/>
            <w:vAlign w:val="center"/>
          </w:tcPr>
          <w:p w14:paraId="457FFC8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5A077AF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6C05513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23096BA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Ki-67 (%)</w:t>
            </w:r>
          </w:p>
        </w:tc>
        <w:tc>
          <w:tcPr>
            <w:tcW w:w="440" w:type="pct"/>
            <w:vAlign w:val="center"/>
          </w:tcPr>
          <w:p w14:paraId="3B73697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~49.78 ±4.08</w:t>
            </w:r>
          </w:p>
          <w:p w14:paraId="55A2C45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~11.42*</w:t>
            </w:r>
          </w:p>
        </w:tc>
        <w:tc>
          <w:tcPr>
            <w:tcW w:w="440" w:type="pct"/>
            <w:vAlign w:val="center"/>
          </w:tcPr>
          <w:p w14:paraId="6054097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~9.92 ± 1.9</w:t>
            </w:r>
          </w:p>
          <w:p w14:paraId="12FBE05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~6.33*</w:t>
            </w:r>
          </w:p>
        </w:tc>
        <w:tc>
          <w:tcPr>
            <w:tcW w:w="369" w:type="pct"/>
            <w:vAlign w:val="center"/>
          </w:tcPr>
          <w:p w14:paraId="63DB2A3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534" w:type="pct"/>
            <w:tcBorders>
              <w:top w:val="nil"/>
              <w:left w:val="nil"/>
              <w:bottom w:val="nil"/>
              <w:right w:val="nil"/>
            </w:tcBorders>
            <w:shd w:val="clear" w:color="000000" w:fill="CCCCCC"/>
            <w:vAlign w:val="center"/>
          </w:tcPr>
          <w:p w14:paraId="69EFAFC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2B36AAA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The CPD analysis revealed that the proliferative capacity was exhausted by passage 7 in the aged group, while remaining active until at least passage 12 in the young group.</w:t>
            </w:r>
          </w:p>
        </w:tc>
      </w:tr>
      <w:tr w:rsidR="00513939" w:rsidRPr="001A3F8F" w14:paraId="6244040A" w14:textId="77777777" w:rsidTr="00B74865">
        <w:trPr>
          <w:gridAfter w:val="2"/>
          <w:wAfter w:w="160" w:type="pct"/>
          <w:trHeight w:val="48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"/>
              <w:id w:val="-1784418409"/>
              <w:placeholder>
                <w:docPart w:val="FB73F1006BCD4C0590F757B058B31F7A"/>
              </w:placeholder>
            </w:sdtPr>
            <w:sdtEndPr/>
            <w:sdtContent>
              <w:p w14:paraId="0D076547" w14:textId="2A9F1798"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Huang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2023</w:t>
                </w:r>
                <w:r w:rsidR="00B74865">
                  <w:rPr>
                    <w:rFonts w:ascii="Times New Roman" w:hAnsi="Times New Roman" w:cs="Times New Roman"/>
                    <w:sz w:val="20"/>
                    <w:szCs w:val="20"/>
                  </w:rPr>
                  <w:t xml:space="preserve"> [22]</w:t>
                </w:r>
              </w:p>
            </w:sdtContent>
          </w:sdt>
        </w:tc>
        <w:tc>
          <w:tcPr>
            <w:tcW w:w="463" w:type="pct"/>
            <w:vAlign w:val="center"/>
          </w:tcPr>
          <w:p w14:paraId="6FC5157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76D4F9F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6386C8F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44D830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Ki-67 (%)</w:t>
            </w:r>
          </w:p>
        </w:tc>
        <w:tc>
          <w:tcPr>
            <w:tcW w:w="440" w:type="pct"/>
            <w:vAlign w:val="center"/>
          </w:tcPr>
          <w:p w14:paraId="34C796A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~74.15 ± 2.25</w:t>
            </w:r>
          </w:p>
        </w:tc>
        <w:tc>
          <w:tcPr>
            <w:tcW w:w="440" w:type="pct"/>
            <w:vAlign w:val="center"/>
          </w:tcPr>
          <w:p w14:paraId="67EA52B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~23.66 ± 2.09</w:t>
            </w:r>
          </w:p>
        </w:tc>
        <w:tc>
          <w:tcPr>
            <w:tcW w:w="369" w:type="pct"/>
            <w:vAlign w:val="center"/>
          </w:tcPr>
          <w:p w14:paraId="2374011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345B65B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3159EF7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w:t>
            </w:r>
            <w:proofErr w:type="spellStart"/>
            <w:r w:rsidRPr="001A3F8F">
              <w:rPr>
                <w:rFonts w:ascii="Times New Roman" w:hAnsi="Times New Roman" w:cs="Times New Roman"/>
                <w:sz w:val="20"/>
                <w:szCs w:val="20"/>
              </w:rPr>
              <w:t>Lenti</w:t>
            </w:r>
            <w:proofErr w:type="spellEnd"/>
            <w:r w:rsidRPr="001A3F8F">
              <w:rPr>
                <w:rFonts w:ascii="Times New Roman" w:hAnsi="Times New Roman" w:cs="Times New Roman"/>
                <w:sz w:val="20"/>
                <w:szCs w:val="20"/>
              </w:rPr>
              <w:t>-Control (fig.:2C), S: Control-siRNA (fig.: 3C). Groups were not directly compared.</w:t>
            </w:r>
          </w:p>
        </w:tc>
      </w:tr>
      <w:tr w:rsidR="00513939" w:rsidRPr="001A3F8F" w14:paraId="12673F86"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"/>
              <w:id w:val="-647813941"/>
              <w:placeholder>
                <w:docPart w:val="2F12C184F4CE449A83A8FC6982A7B533"/>
              </w:placeholder>
            </w:sdtPr>
            <w:sdtEndPr/>
            <w:sdtContent>
              <w:p w14:paraId="665BD7BC" w14:textId="526EF847"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Katsube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sidR="00B74865">
                  <w:rPr>
                    <w:rFonts w:ascii="Times New Roman" w:hAnsi="Times New Roman" w:cs="Times New Roman"/>
                    <w:sz w:val="20"/>
                    <w:szCs w:val="20"/>
                  </w:rPr>
                  <w:t xml:space="preserve"> [27]</w:t>
                </w:r>
              </w:p>
            </w:sdtContent>
          </w:sdt>
        </w:tc>
        <w:tc>
          <w:tcPr>
            <w:tcW w:w="463" w:type="pct"/>
            <w:vAlign w:val="center"/>
          </w:tcPr>
          <w:p w14:paraId="6C703AE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2890E0E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5910B2E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c>
          <w:tcPr>
            <w:tcW w:w="481" w:type="pct"/>
            <w:vAlign w:val="center"/>
          </w:tcPr>
          <w:p w14:paraId="70ABBEC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Growth Rate (fold increase)</w:t>
            </w:r>
          </w:p>
        </w:tc>
        <w:tc>
          <w:tcPr>
            <w:tcW w:w="440" w:type="pct"/>
            <w:vAlign w:val="center"/>
          </w:tcPr>
          <w:p w14:paraId="07C2ABF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w:t>
            </w:r>
          </w:p>
        </w:tc>
        <w:tc>
          <w:tcPr>
            <w:tcW w:w="440" w:type="pct"/>
            <w:vAlign w:val="center"/>
          </w:tcPr>
          <w:p w14:paraId="524CDEB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369" w:type="pct"/>
            <w:vAlign w:val="center"/>
          </w:tcPr>
          <w:p w14:paraId="6A08786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534" w:type="pct"/>
            <w:tcBorders>
              <w:top w:val="nil"/>
              <w:left w:val="nil"/>
              <w:bottom w:val="nil"/>
              <w:right w:val="nil"/>
            </w:tcBorders>
            <w:shd w:val="clear" w:color="000000" w:fill="CCCCCC"/>
            <w:vAlign w:val="center"/>
          </w:tcPr>
          <w:p w14:paraId="61FFFF8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34FABE6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“High” (1 year), S: “Low” (74 years). </w:t>
            </w:r>
          </w:p>
        </w:tc>
      </w:tr>
      <w:tr w:rsidR="00513939" w:rsidRPr="001A3F8F" w14:paraId="5F0CF641" w14:textId="77777777" w:rsidTr="00B74865">
        <w:trPr>
          <w:gridAfter w:val="2"/>
          <w:wAfter w:w="160" w:type="pct"/>
          <w:trHeight w:val="501"/>
          <w:jc w:val="center"/>
        </w:trPr>
        <w:sdt>
          <w:sdtPr>
            <w:rPr>
              <w:rFonts w:ascii="Times New Roman" w:hAnsi="Times New Roman" w:cs="Times New Roman"/>
              <w:sz w:val="20"/>
              <w:szCs w:val="20"/>
            </w:rPr>
            <w:tag w:val="MENDELEY_CITATION_v3_eyJjaXRhdGlvbklEIjoiTUVOREVMRVlfQ0lUQVRJT05fOWU4MTIwYjUtMjYzNi00MDgyLWEyMmQtMjZmYzZlZTVlZjFl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
            <w:id w:val="-829595777"/>
            <w:placeholder>
              <w:docPart w:val="1AD63C621C94467C8D0736B75DD18B10"/>
            </w:placeholder>
          </w:sdtPr>
          <w:sdtEndPr/>
          <w:sdtContent>
            <w:tc>
              <w:tcPr>
                <w:cnfStyle w:val="001000000000" w:firstRow="0" w:lastRow="0" w:firstColumn="1" w:lastColumn="0" w:oddVBand="0" w:evenVBand="0" w:oddHBand="0" w:evenHBand="0" w:firstRowFirstColumn="0" w:firstRowLastColumn="0" w:lastRowFirstColumn="0" w:lastRowLastColumn="0"/>
                <w:tcW w:w="670" w:type="pct"/>
                <w:vAlign w:val="center"/>
              </w:tcPr>
              <w:p w14:paraId="1DFCC3CF" w14:textId="20991550"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Stolzing</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sidR="00B74865">
                  <w:rPr>
                    <w:rFonts w:ascii="Times New Roman" w:hAnsi="Times New Roman" w:cs="Times New Roman"/>
                    <w:sz w:val="20"/>
                    <w:szCs w:val="20"/>
                  </w:rPr>
                  <w:t xml:space="preserve"> [28]</w:t>
                </w:r>
              </w:p>
            </w:tc>
          </w:sdtContent>
        </w:sdt>
        <w:tc>
          <w:tcPr>
            <w:tcW w:w="463" w:type="pct"/>
            <w:vAlign w:val="center"/>
          </w:tcPr>
          <w:p w14:paraId="04F0A4A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1EE98D5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00DEE61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481" w:type="pct"/>
            <w:vAlign w:val="center"/>
          </w:tcPr>
          <w:p w14:paraId="022DEAC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CPD</w:t>
            </w:r>
          </w:p>
        </w:tc>
        <w:tc>
          <w:tcPr>
            <w:tcW w:w="440" w:type="pct"/>
            <w:vAlign w:val="center"/>
          </w:tcPr>
          <w:p w14:paraId="3693C54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~32.25*</w:t>
            </w:r>
          </w:p>
        </w:tc>
        <w:tc>
          <w:tcPr>
            <w:tcW w:w="440" w:type="pct"/>
            <w:vAlign w:val="center"/>
          </w:tcPr>
          <w:p w14:paraId="5E033D7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~21.69*</w:t>
            </w:r>
          </w:p>
        </w:tc>
        <w:tc>
          <w:tcPr>
            <w:tcW w:w="369" w:type="pct"/>
            <w:vAlign w:val="center"/>
          </w:tcPr>
          <w:p w14:paraId="3D59F09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3E6EF1E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4143BF4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of two 18-year-old donors; S: mean of two 50-year-old donors. Cell cultures from donors ≤9 years old exhibited early proliferative arrest (CPD). CFU-f assay was performed and a significant decline was seen in the older age group (p=0.007).</w:t>
            </w:r>
          </w:p>
        </w:tc>
      </w:tr>
      <w:tr w:rsidR="00513939" w:rsidRPr="001A3F8F" w14:paraId="6A92385F"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DhlZTkwZGItMWY4Yi00YTk4LThlZDAtMzUwNjg0YWVkNWIw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
              <w:id w:val="-233089576"/>
              <w:placeholder>
                <w:docPart w:val="3BC3385719CB4135BC7956F718A48D7F"/>
              </w:placeholder>
            </w:sdtPr>
            <w:sdtEndPr/>
            <w:sdtContent>
              <w:p w14:paraId="0F500D0F" w14:textId="6A277089"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Wagner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sidR="00B74865">
                  <w:rPr>
                    <w:rFonts w:ascii="Times New Roman" w:hAnsi="Times New Roman" w:cs="Times New Roman"/>
                    <w:sz w:val="20"/>
                    <w:szCs w:val="20"/>
                  </w:rPr>
                  <w:t xml:space="preserve"> [29]</w:t>
                </w:r>
              </w:p>
            </w:sdtContent>
          </w:sdt>
        </w:tc>
        <w:tc>
          <w:tcPr>
            <w:tcW w:w="463" w:type="pct"/>
            <w:vAlign w:val="center"/>
          </w:tcPr>
          <w:p w14:paraId="0D11AC1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7A03348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680256B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481" w:type="pct"/>
            <w:vAlign w:val="center"/>
          </w:tcPr>
          <w:p w14:paraId="3CC65FB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CPD</w:t>
            </w:r>
          </w:p>
        </w:tc>
        <w:tc>
          <w:tcPr>
            <w:tcW w:w="440" w:type="pct"/>
            <w:vAlign w:val="center"/>
          </w:tcPr>
          <w:p w14:paraId="215294C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~9.06*</w:t>
            </w:r>
          </w:p>
        </w:tc>
        <w:tc>
          <w:tcPr>
            <w:tcW w:w="440" w:type="pct"/>
            <w:vAlign w:val="center"/>
          </w:tcPr>
          <w:p w14:paraId="78231B1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~7.84*</w:t>
            </w:r>
          </w:p>
        </w:tc>
        <w:tc>
          <w:tcPr>
            <w:tcW w:w="369" w:type="pct"/>
            <w:vAlign w:val="center"/>
          </w:tcPr>
          <w:p w14:paraId="75D432E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68B19C0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00BCEB0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donor 7 (25 years), S: mean of 44- and 42-years old donors. </w:t>
            </w:r>
          </w:p>
        </w:tc>
      </w:tr>
      <w:tr w:rsidR="00513939" w:rsidRPr="001A3F8F" w14:paraId="2ED08CC4" w14:textId="77777777" w:rsidTr="00B74865">
        <w:trPr>
          <w:gridAfter w:val="2"/>
          <w:wAfter w:w="160" w:type="pct"/>
          <w:trHeight w:val="48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NWQ5NGY5NWMtMjc3My00NjQxLWI4M2UtNDFiZjA4Yjc5MDRi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
              <w:id w:val="-1590310671"/>
              <w:placeholder>
                <w:docPart w:val="C905C7C4EC7847E3A3CEB09944C27475"/>
              </w:placeholder>
            </w:sdtPr>
            <w:sdtEndPr/>
            <w:sdtContent>
              <w:p w14:paraId="06898EE0" w14:textId="76A9A1C8"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Chen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sidR="00B74865">
                  <w:rPr>
                    <w:rFonts w:ascii="Times New Roman" w:hAnsi="Times New Roman" w:cs="Times New Roman"/>
                    <w:sz w:val="20"/>
                    <w:szCs w:val="20"/>
                  </w:rPr>
                  <w:t xml:space="preserve"> [23]</w:t>
                </w:r>
              </w:p>
            </w:sdtContent>
          </w:sdt>
        </w:tc>
        <w:tc>
          <w:tcPr>
            <w:tcW w:w="463" w:type="pct"/>
            <w:vAlign w:val="center"/>
          </w:tcPr>
          <w:p w14:paraId="663AD7B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7A71F44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00B5F4A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5F76A96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CCK-8 (450 nm)</w:t>
            </w:r>
          </w:p>
        </w:tc>
        <w:tc>
          <w:tcPr>
            <w:tcW w:w="440" w:type="pct"/>
            <w:vAlign w:val="center"/>
          </w:tcPr>
          <w:p w14:paraId="664E3B0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~2.28*</w:t>
            </w:r>
          </w:p>
        </w:tc>
        <w:tc>
          <w:tcPr>
            <w:tcW w:w="440" w:type="pct"/>
            <w:vAlign w:val="center"/>
          </w:tcPr>
          <w:p w14:paraId="623C241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~1.79*</w:t>
            </w:r>
          </w:p>
        </w:tc>
        <w:tc>
          <w:tcPr>
            <w:tcW w:w="369" w:type="pct"/>
            <w:vAlign w:val="center"/>
          </w:tcPr>
          <w:p w14:paraId="38421D7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534" w:type="pct"/>
            <w:tcBorders>
              <w:top w:val="nil"/>
              <w:left w:val="nil"/>
              <w:bottom w:val="nil"/>
              <w:right w:val="nil"/>
            </w:tcBorders>
            <w:vAlign w:val="center"/>
          </w:tcPr>
          <w:p w14:paraId="5B71292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1F44D5F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Data were extracted from day 9.</w:t>
            </w:r>
          </w:p>
        </w:tc>
      </w:tr>
      <w:tr w:rsidR="00513939" w:rsidRPr="001A3F8F" w14:paraId="13248E94"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DRlNTUxMGQtYWQ1Yy00NWMyLThkN2UtMzIxYTJkZjdhZTVlIiwicHJvcGVydGllcyI6eyJub3RlSW5kZXgiOjB9LCJpc0VkaXRlZCI6ZmFsc2UsIm1hbnVhbE92ZXJyaWRlIjp7ImlzTWFudWFsbHlPdmVycmlkZGVuIjp0cnVlLCJjaXRlcHJvY1RleHQiOiIoWC4gRmVuZywgWGluZywgZXQgYWwuLCAyMDE0KSIsIm1hbnVhbE92ZXJyaWRlVGV4dCI6IihGZW5nIGV0IGFsLiwgMjAxNCli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
              <w:id w:val="883370481"/>
              <w:placeholder>
                <w:docPart w:val="D74DA1A0E6F24D3D8583076458B40035"/>
              </w:placeholder>
            </w:sdtPr>
            <w:sdtEndPr/>
            <w:sdtContent>
              <w:p w14:paraId="11B50B9B" w14:textId="5FD1943D"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sidR="00B74865">
                  <w:rPr>
                    <w:rFonts w:ascii="Times New Roman" w:hAnsi="Times New Roman" w:cs="Times New Roman"/>
                    <w:sz w:val="20"/>
                    <w:szCs w:val="20"/>
                  </w:rPr>
                  <w:t xml:space="preserve"> [24]</w:t>
                </w:r>
              </w:p>
            </w:sdtContent>
          </w:sdt>
        </w:tc>
        <w:tc>
          <w:tcPr>
            <w:tcW w:w="463" w:type="pct"/>
            <w:vAlign w:val="center"/>
          </w:tcPr>
          <w:p w14:paraId="698AE8F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1118134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63A8C34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5C57E92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BrdU</w:t>
            </w:r>
            <w:proofErr w:type="spellEnd"/>
            <w:r w:rsidRPr="001A3F8F">
              <w:rPr>
                <w:rFonts w:ascii="Times New Roman" w:hAnsi="Times New Roman" w:cs="Times New Roman"/>
                <w:sz w:val="20"/>
                <w:szCs w:val="20"/>
              </w:rPr>
              <w:t xml:space="preserve"> (370 nm)</w:t>
            </w:r>
          </w:p>
        </w:tc>
        <w:tc>
          <w:tcPr>
            <w:tcW w:w="440" w:type="pct"/>
            <w:vAlign w:val="center"/>
          </w:tcPr>
          <w:p w14:paraId="339995F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~0.87 ± 0.15</w:t>
            </w:r>
          </w:p>
        </w:tc>
        <w:tc>
          <w:tcPr>
            <w:tcW w:w="440" w:type="pct"/>
            <w:vAlign w:val="center"/>
          </w:tcPr>
          <w:p w14:paraId="261B72D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~0.32± 0.05</w:t>
            </w:r>
          </w:p>
        </w:tc>
        <w:tc>
          <w:tcPr>
            <w:tcW w:w="369" w:type="pct"/>
            <w:vAlign w:val="center"/>
          </w:tcPr>
          <w:p w14:paraId="0612300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nil"/>
              <w:left w:val="nil"/>
              <w:bottom w:val="nil"/>
              <w:right w:val="nil"/>
            </w:tcBorders>
            <w:shd w:val="clear" w:color="000000" w:fill="CCCCCC"/>
            <w:vAlign w:val="center"/>
          </w:tcPr>
          <w:p w14:paraId="02C82DD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54927F2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5-12 years, S: &gt;50 years. Growth curve was performed and after day 4, cells from younger group exhibited more rapid proliferation rates compared to other groups. These results indicated that the </w:t>
            </w:r>
            <w:r w:rsidRPr="001A3F8F">
              <w:rPr>
                <w:rFonts w:ascii="Times New Roman" w:hAnsi="Times New Roman" w:cs="Times New Roman"/>
                <w:sz w:val="20"/>
                <w:szCs w:val="20"/>
              </w:rPr>
              <w:lastRenderedPageBreak/>
              <w:t>capacity of proliferation was gradually inhibited by age.</w:t>
            </w:r>
          </w:p>
        </w:tc>
      </w:tr>
      <w:tr w:rsidR="00513939" w:rsidRPr="001A3F8F" w14:paraId="012BEE9E"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
              <w:id w:val="1329856453"/>
              <w:placeholder>
                <w:docPart w:val="DF1EB74ED97E44BA9CB3A289CF77EF6A"/>
              </w:placeholder>
            </w:sdtPr>
            <w:sdtEndPr/>
            <w:sdtContent>
              <w:p w14:paraId="7C7E8FF7" w14:textId="183EA3C9"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Horibe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sidR="00B74865">
                  <w:rPr>
                    <w:rFonts w:ascii="Times New Roman" w:hAnsi="Times New Roman" w:cs="Times New Roman"/>
                    <w:sz w:val="20"/>
                    <w:szCs w:val="20"/>
                  </w:rPr>
                  <w:t xml:space="preserve"> [12]</w:t>
                </w:r>
              </w:p>
            </w:sdtContent>
          </w:sdt>
        </w:tc>
        <w:tc>
          <w:tcPr>
            <w:tcW w:w="463" w:type="pct"/>
            <w:vAlign w:val="center"/>
          </w:tcPr>
          <w:p w14:paraId="1E65EC8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472F727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024762B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481" w:type="pct"/>
            <w:vAlign w:val="center"/>
          </w:tcPr>
          <w:p w14:paraId="07A33A1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Cumulative Cell Number </w:t>
            </w:r>
          </w:p>
        </w:tc>
        <w:tc>
          <w:tcPr>
            <w:tcW w:w="440" w:type="pct"/>
            <w:vAlign w:val="center"/>
          </w:tcPr>
          <w:p w14:paraId="1BF8208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w:t>
            </w:r>
            <w:r w:rsidRPr="001A3F8F">
              <w:rPr>
                <w:rFonts w:ascii="Times New Roman" w:hAnsi="Times New Roman" w:cs="Times New Roman"/>
                <w:sz w:val="20"/>
                <w:szCs w:val="20"/>
                <w:vertAlign w:val="superscript"/>
              </w:rPr>
              <w:t>12</w:t>
            </w:r>
            <w:r w:rsidRPr="001A3F8F">
              <w:rPr>
                <w:rFonts w:ascii="Times New Roman" w:hAnsi="Times New Roman" w:cs="Times New Roman"/>
                <w:sz w:val="20"/>
                <w:szCs w:val="20"/>
              </w:rPr>
              <w:t>*</w:t>
            </w:r>
          </w:p>
        </w:tc>
        <w:tc>
          <w:tcPr>
            <w:tcW w:w="440" w:type="pct"/>
            <w:vAlign w:val="center"/>
          </w:tcPr>
          <w:p w14:paraId="1904D74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w:t>
            </w:r>
            <w:r w:rsidRPr="001A3F8F">
              <w:rPr>
                <w:rFonts w:ascii="Times New Roman" w:hAnsi="Times New Roman" w:cs="Times New Roman"/>
                <w:sz w:val="20"/>
                <w:szCs w:val="20"/>
                <w:vertAlign w:val="superscript"/>
              </w:rPr>
              <w:t>11</w:t>
            </w:r>
            <w:r w:rsidRPr="001A3F8F">
              <w:rPr>
                <w:rFonts w:ascii="Times New Roman" w:hAnsi="Times New Roman" w:cs="Times New Roman"/>
                <w:sz w:val="20"/>
                <w:szCs w:val="20"/>
              </w:rPr>
              <w:t>*</w:t>
            </w:r>
          </w:p>
        </w:tc>
        <w:tc>
          <w:tcPr>
            <w:tcW w:w="369" w:type="pct"/>
            <w:vAlign w:val="center"/>
          </w:tcPr>
          <w:p w14:paraId="69C31C7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7D26D6E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560E645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w:t>
            </w:r>
          </w:p>
        </w:tc>
      </w:tr>
      <w:tr w:rsidR="00513939" w:rsidRPr="001A3F8F" w14:paraId="3BDDC021"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lkYjE5MDQtZTBmMC00ZmFiLThkMDAtOWRkOTE2OGM3Zjky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
              <w:id w:val="-1670549621"/>
              <w:placeholder>
                <w:docPart w:val="4C41ABC6E0CB4CE4926568D2040DD725"/>
              </w:placeholder>
            </w:sdtPr>
            <w:sdtEndPr/>
            <w:sdtContent>
              <w:p w14:paraId="0D6DDFCB" w14:textId="3BE021F8"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Iezzi</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sidR="00B74865">
                  <w:rPr>
                    <w:rFonts w:ascii="Times New Roman" w:hAnsi="Times New Roman" w:cs="Times New Roman"/>
                    <w:sz w:val="20"/>
                    <w:szCs w:val="20"/>
                  </w:rPr>
                  <w:t xml:space="preserve"> [25]</w:t>
                </w:r>
              </w:p>
            </w:sdtContent>
          </w:sdt>
        </w:tc>
        <w:tc>
          <w:tcPr>
            <w:tcW w:w="463" w:type="pct"/>
            <w:vAlign w:val="center"/>
          </w:tcPr>
          <w:p w14:paraId="4B2F31A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vAlign w:val="center"/>
          </w:tcPr>
          <w:p w14:paraId="6C90E73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0E03F23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487006E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(days)</w:t>
            </w:r>
          </w:p>
        </w:tc>
        <w:tc>
          <w:tcPr>
            <w:tcW w:w="440" w:type="pct"/>
            <w:vAlign w:val="center"/>
          </w:tcPr>
          <w:p w14:paraId="0CC61E2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~4.84 ± 0.48</w:t>
            </w:r>
          </w:p>
        </w:tc>
        <w:tc>
          <w:tcPr>
            <w:tcW w:w="440" w:type="pct"/>
            <w:vAlign w:val="center"/>
          </w:tcPr>
          <w:p w14:paraId="2780255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~13.95 ± 1.06</w:t>
            </w:r>
          </w:p>
        </w:tc>
        <w:tc>
          <w:tcPr>
            <w:tcW w:w="369" w:type="pct"/>
            <w:vAlign w:val="center"/>
          </w:tcPr>
          <w:p w14:paraId="7A24A27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nil"/>
              <w:left w:val="nil"/>
              <w:bottom w:val="nil"/>
              <w:right w:val="nil"/>
            </w:tcBorders>
            <w:shd w:val="clear" w:color="000000" w:fill="CCCCCC"/>
            <w:vAlign w:val="center"/>
          </w:tcPr>
          <w:p w14:paraId="6A7A7E3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7849A22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Group C (62-66 years).</w:t>
            </w:r>
          </w:p>
        </w:tc>
      </w:tr>
      <w:tr w:rsidR="00513939" w:rsidRPr="001A3F8F" w14:paraId="344FE61B" w14:textId="77777777" w:rsidTr="00B74865">
        <w:trPr>
          <w:gridAfter w:val="2"/>
          <w:wAfter w:w="160" w:type="pct"/>
          <w:trHeight w:val="489"/>
          <w:jc w:val="center"/>
        </w:trPr>
        <w:tc>
          <w:tcPr>
            <w:cnfStyle w:val="001000000000" w:firstRow="0" w:lastRow="0" w:firstColumn="1" w:lastColumn="0" w:oddVBand="0" w:evenVBand="0" w:oddHBand="0" w:evenHBand="0" w:firstRowFirstColumn="0" w:firstRowLastColumn="0" w:lastRowFirstColumn="0" w:lastRowLastColumn="0"/>
            <w:tcW w:w="670" w:type="pct"/>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"/>
              <w:id w:val="-1934435176"/>
              <w:placeholder>
                <w:docPart w:val="C221946E72E74DA38F4AA9C6F074E010"/>
              </w:placeholder>
            </w:sdtPr>
            <w:sdtEndPr/>
            <w:sdtContent>
              <w:p w14:paraId="45207A72" w14:textId="0355804D"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sidR="00B74865">
                  <w:rPr>
                    <w:rFonts w:ascii="Times New Roman" w:hAnsi="Times New Roman" w:cs="Times New Roman"/>
                    <w:sz w:val="20"/>
                    <w:szCs w:val="20"/>
                  </w:rPr>
                  <w:t xml:space="preserve"> [26]</w:t>
                </w:r>
              </w:p>
            </w:sdtContent>
          </w:sdt>
        </w:tc>
        <w:tc>
          <w:tcPr>
            <w:tcW w:w="463" w:type="pct"/>
            <w:tcBorders>
              <w:bottom w:val="single" w:sz="12" w:space="0" w:color="auto"/>
            </w:tcBorders>
            <w:vAlign w:val="center"/>
          </w:tcPr>
          <w:p w14:paraId="0A0633B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356" w:type="pct"/>
            <w:tcBorders>
              <w:bottom w:val="single" w:sz="12" w:space="0" w:color="auto"/>
            </w:tcBorders>
            <w:vAlign w:val="center"/>
          </w:tcPr>
          <w:p w14:paraId="2AF9E3B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tcBorders>
              <w:bottom w:val="single" w:sz="12" w:space="0" w:color="auto"/>
            </w:tcBorders>
            <w:vAlign w:val="center"/>
          </w:tcPr>
          <w:p w14:paraId="4FA0E7B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tcBorders>
              <w:bottom w:val="single" w:sz="12" w:space="0" w:color="auto"/>
            </w:tcBorders>
            <w:vAlign w:val="center"/>
          </w:tcPr>
          <w:p w14:paraId="6AE5952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CCK-8 (450 nm)</w:t>
            </w:r>
          </w:p>
        </w:tc>
        <w:tc>
          <w:tcPr>
            <w:tcW w:w="440" w:type="pct"/>
            <w:tcBorders>
              <w:bottom w:val="single" w:sz="12" w:space="0" w:color="auto"/>
            </w:tcBorders>
            <w:vAlign w:val="center"/>
          </w:tcPr>
          <w:p w14:paraId="049875F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~3.23 ± 0.18</w:t>
            </w:r>
          </w:p>
        </w:tc>
        <w:tc>
          <w:tcPr>
            <w:tcW w:w="440" w:type="pct"/>
            <w:tcBorders>
              <w:bottom w:val="single" w:sz="12" w:space="0" w:color="auto"/>
            </w:tcBorders>
            <w:vAlign w:val="center"/>
          </w:tcPr>
          <w:p w14:paraId="67F2CC4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~1.29 ± 0.13</w:t>
            </w:r>
          </w:p>
        </w:tc>
        <w:tc>
          <w:tcPr>
            <w:tcW w:w="369" w:type="pct"/>
            <w:tcBorders>
              <w:bottom w:val="single" w:sz="12" w:space="0" w:color="auto"/>
            </w:tcBorders>
            <w:vAlign w:val="center"/>
          </w:tcPr>
          <w:p w14:paraId="68931B6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534" w:type="pct"/>
            <w:tcBorders>
              <w:top w:val="nil"/>
              <w:left w:val="nil"/>
              <w:bottom w:val="single" w:sz="12" w:space="0" w:color="auto"/>
              <w:right w:val="nil"/>
            </w:tcBorders>
            <w:vAlign w:val="center"/>
          </w:tcPr>
          <w:p w14:paraId="6E8E276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tcBorders>
              <w:bottom w:val="single" w:sz="12" w:space="0" w:color="auto"/>
            </w:tcBorders>
            <w:vAlign w:val="center"/>
          </w:tcPr>
          <w:p w14:paraId="5E8BCD4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Data were extracted from day 7.</w:t>
            </w:r>
          </w:p>
        </w:tc>
      </w:tr>
      <w:tr w:rsidR="00513939" w:rsidRPr="001A3F8F" w14:paraId="7AEB768D"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tcBorders>
              <w:top w:val="single" w:sz="12" w:space="0" w:color="auto"/>
            </w:tcBorders>
            <w:vAlign w:val="center"/>
          </w:tcPr>
          <w:sdt>
            <w:sdtPr>
              <w:rPr>
                <w:rFonts w:ascii="Times New Roman" w:hAnsi="Times New Roman" w:cs="Times New Roman"/>
                <w:sz w:val="20"/>
                <w:szCs w:val="20"/>
              </w:rPr>
              <w:tag w:val="MENDELEY_CITATION_v3_eyJjaXRhdGlvbklEIjoiTUVOREVMRVlfQ0lUQVRJT05fODc4OGJkY2ItNDEyZC00M2QwLTgxZDQtNWI5ODQyZmU3ODgw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
              <w:id w:val="-2124985451"/>
              <w:placeholder>
                <w:docPart w:val="75ED1EA1F05044E6A056EDED7DC03E46"/>
              </w:placeholder>
            </w:sdtPr>
            <w:sdtEndPr/>
            <w:sdtContent>
              <w:p w14:paraId="783B5932" w14:textId="4A8A4BB7"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Christodoulou</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2013</w:t>
                </w:r>
                <w:r w:rsidR="00B74865">
                  <w:rPr>
                    <w:rFonts w:ascii="Times New Roman" w:hAnsi="Times New Roman" w:cs="Times New Roman"/>
                    <w:sz w:val="20"/>
                    <w:szCs w:val="20"/>
                    <w:lang w:val="pt-BR"/>
                  </w:rPr>
                  <w:t xml:space="preserve"> [33]</w:t>
                </w:r>
              </w:p>
            </w:sdtContent>
          </w:sdt>
        </w:tc>
        <w:tc>
          <w:tcPr>
            <w:tcW w:w="463" w:type="pct"/>
            <w:tcBorders>
              <w:top w:val="single" w:sz="12" w:space="0" w:color="auto"/>
            </w:tcBorders>
            <w:vAlign w:val="center"/>
          </w:tcPr>
          <w:p w14:paraId="17D9C6A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tcBorders>
              <w:top w:val="single" w:sz="12" w:space="0" w:color="auto"/>
            </w:tcBorders>
            <w:vAlign w:val="center"/>
          </w:tcPr>
          <w:p w14:paraId="18A5E4E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tcBorders>
              <w:top w:val="single" w:sz="12" w:space="0" w:color="auto"/>
            </w:tcBorders>
            <w:vAlign w:val="center"/>
          </w:tcPr>
          <w:p w14:paraId="2F4A762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481" w:type="pct"/>
            <w:tcBorders>
              <w:top w:val="single" w:sz="12" w:space="0" w:color="auto"/>
            </w:tcBorders>
            <w:vAlign w:val="center"/>
          </w:tcPr>
          <w:p w14:paraId="56A2F3D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(hours)</w:t>
            </w:r>
          </w:p>
        </w:tc>
        <w:tc>
          <w:tcPr>
            <w:tcW w:w="440" w:type="pct"/>
            <w:tcBorders>
              <w:top w:val="single" w:sz="12" w:space="0" w:color="auto"/>
            </w:tcBorders>
            <w:vAlign w:val="center"/>
          </w:tcPr>
          <w:p w14:paraId="4471FBE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~210 ± 55,38</w:t>
            </w:r>
          </w:p>
        </w:tc>
        <w:tc>
          <w:tcPr>
            <w:tcW w:w="440" w:type="pct"/>
            <w:tcBorders>
              <w:top w:val="single" w:sz="12" w:space="0" w:color="auto"/>
            </w:tcBorders>
            <w:vAlign w:val="center"/>
          </w:tcPr>
          <w:p w14:paraId="63DA144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~623.07 ± 83.08</w:t>
            </w:r>
          </w:p>
        </w:tc>
        <w:tc>
          <w:tcPr>
            <w:tcW w:w="369" w:type="pct"/>
            <w:tcBorders>
              <w:top w:val="single" w:sz="12" w:space="0" w:color="auto"/>
            </w:tcBorders>
            <w:vAlign w:val="center"/>
          </w:tcPr>
          <w:p w14:paraId="4049B51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single" w:sz="12" w:space="0" w:color="auto"/>
              <w:left w:val="nil"/>
              <w:bottom w:val="nil"/>
              <w:right w:val="nil"/>
            </w:tcBorders>
            <w:shd w:val="clear" w:color="000000" w:fill="CCCCCC"/>
            <w:vAlign w:val="center"/>
          </w:tcPr>
          <w:p w14:paraId="66B4715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tcBorders>
              <w:top w:val="single" w:sz="12" w:space="0" w:color="auto"/>
            </w:tcBorders>
            <w:vAlign w:val="center"/>
          </w:tcPr>
          <w:p w14:paraId="336D15D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P10. CPD and Proliferation Index was performed and exhibited severely limited proliferative capacity, with an early plateau in cumulative PD and a rapid decline in proliferation index after passage 2. </w:t>
            </w:r>
          </w:p>
        </w:tc>
      </w:tr>
      <w:tr w:rsidR="00513939" w:rsidRPr="001A3F8F" w14:paraId="03EF60C3"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p w14:paraId="362FE7D3" w14:textId="087CDEAF"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Danisovic</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2017</w:t>
            </w:r>
            <w:r w:rsidR="00B74865">
              <w:rPr>
                <w:rFonts w:ascii="Times New Roman" w:hAnsi="Times New Roman" w:cs="Times New Roman"/>
                <w:sz w:val="20"/>
                <w:szCs w:val="20"/>
              </w:rPr>
              <w:t xml:space="preserve"> [30]</w:t>
            </w:r>
          </w:p>
        </w:tc>
        <w:tc>
          <w:tcPr>
            <w:tcW w:w="463" w:type="pct"/>
            <w:vAlign w:val="center"/>
          </w:tcPr>
          <w:p w14:paraId="66DD530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3C646E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789AB0D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vAlign w:val="center"/>
          </w:tcPr>
          <w:p w14:paraId="617FB0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Proliferation Index (%)</w:t>
            </w:r>
          </w:p>
        </w:tc>
        <w:tc>
          <w:tcPr>
            <w:tcW w:w="440" w:type="pct"/>
            <w:vAlign w:val="center"/>
          </w:tcPr>
          <w:p w14:paraId="7AA1256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~40.72 ± 0.43</w:t>
            </w:r>
          </w:p>
        </w:tc>
        <w:tc>
          <w:tcPr>
            <w:tcW w:w="440" w:type="pct"/>
            <w:vAlign w:val="center"/>
          </w:tcPr>
          <w:p w14:paraId="1324193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~34.78 ± 0.26</w:t>
            </w:r>
          </w:p>
        </w:tc>
        <w:tc>
          <w:tcPr>
            <w:tcW w:w="369" w:type="pct"/>
            <w:vAlign w:val="center"/>
          </w:tcPr>
          <w:p w14:paraId="6AE8FDB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534" w:type="pct"/>
            <w:tcBorders>
              <w:top w:val="nil"/>
              <w:left w:val="nil"/>
              <w:bottom w:val="nil"/>
              <w:right w:val="nil"/>
            </w:tcBorders>
            <w:vAlign w:val="center"/>
          </w:tcPr>
          <w:p w14:paraId="075A5D6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30BDFF1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P1, S: P30. The proliferation index increased until P10, slightly decreased, and remained stable until P25; by P30, proliferative activity was reduced to 32%.</w:t>
            </w:r>
          </w:p>
        </w:tc>
      </w:tr>
      <w:tr w:rsidR="00513939" w:rsidRPr="001A3F8F" w14:paraId="60F6B73B"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"/>
              <w:id w:val="1624883866"/>
              <w:placeholder>
                <w:docPart w:val="2D3C9B8CB75043E69D3978B243ADC880"/>
              </w:placeholder>
            </w:sdtPr>
            <w:sdtEndPr/>
            <w:sdtContent>
              <w:p w14:paraId="115FB8B0" w14:textId="3A097A23"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Figiel-Dabrowska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2022</w:t>
                </w:r>
                <w:r w:rsidR="00B74865">
                  <w:rPr>
                    <w:rFonts w:ascii="Times New Roman" w:hAnsi="Times New Roman" w:cs="Times New Roman"/>
                    <w:sz w:val="20"/>
                    <w:szCs w:val="20"/>
                  </w:rPr>
                  <w:t xml:space="preserve"> [57]</w:t>
                </w:r>
              </w:p>
            </w:sdtContent>
          </w:sdt>
        </w:tc>
        <w:tc>
          <w:tcPr>
            <w:tcW w:w="463" w:type="pct"/>
            <w:vAlign w:val="center"/>
          </w:tcPr>
          <w:p w14:paraId="203CF2F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D42661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57546C0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4-6</w:t>
            </w:r>
          </w:p>
        </w:tc>
        <w:tc>
          <w:tcPr>
            <w:tcW w:w="481" w:type="pct"/>
            <w:vAlign w:val="center"/>
          </w:tcPr>
          <w:p w14:paraId="5CC2492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(days)</w:t>
            </w:r>
          </w:p>
        </w:tc>
        <w:tc>
          <w:tcPr>
            <w:tcW w:w="440" w:type="pct"/>
            <w:vAlign w:val="center"/>
          </w:tcPr>
          <w:p w14:paraId="247D1E8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~3.81 ± 0.37 </w:t>
            </w:r>
          </w:p>
        </w:tc>
        <w:tc>
          <w:tcPr>
            <w:tcW w:w="440" w:type="pct"/>
            <w:vAlign w:val="center"/>
          </w:tcPr>
          <w:p w14:paraId="6F0823A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~13.53 ± 0.03</w:t>
            </w:r>
          </w:p>
        </w:tc>
        <w:tc>
          <w:tcPr>
            <w:tcW w:w="369" w:type="pct"/>
            <w:vAlign w:val="center"/>
          </w:tcPr>
          <w:p w14:paraId="264DF53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17C46C7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6582AB6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P20. The study evaluated different O₂ concentrations, however only data from the 21% O₂ group (standard </w:t>
            </w:r>
            <w:r w:rsidRPr="001A3F8F">
              <w:rPr>
                <w:rFonts w:ascii="Times New Roman" w:hAnsi="Times New Roman" w:cs="Times New Roman"/>
                <w:sz w:val="20"/>
                <w:szCs w:val="20"/>
              </w:rPr>
              <w:lastRenderedPageBreak/>
              <w:t>culture conditions) were extracted for analysis. Data from the 5% O₂ group were documented but excluded as an experimental intervention outside the scope of this review. Additional assays were performed but focused on different O₂ concentrations.</w:t>
            </w:r>
          </w:p>
        </w:tc>
      </w:tr>
      <w:tr w:rsidR="00513939" w:rsidRPr="001A3F8F" w14:paraId="6BDD8A02"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OTBkMzAzZDgtNjkxNi00MTFmLTg0YTktNGNhN2E3YzczOGVh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
              <w:id w:val="-1310328612"/>
              <w:placeholder>
                <w:docPart w:val="E31AC5A7C6924A27844D188DAD3224C7"/>
              </w:placeholder>
            </w:sdtPr>
            <w:sdtEndPr/>
            <w:sdtContent>
              <w:p w14:paraId="73E03556" w14:textId="38208BBD"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Gruber</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2012</w:t>
                </w:r>
                <w:r w:rsidR="00B74865">
                  <w:rPr>
                    <w:rFonts w:ascii="Times New Roman" w:hAnsi="Times New Roman" w:cs="Times New Roman"/>
                    <w:sz w:val="20"/>
                    <w:szCs w:val="20"/>
                    <w:lang w:val="pt-BR"/>
                  </w:rPr>
                  <w:t xml:space="preserve"> [10]</w:t>
                </w:r>
              </w:p>
            </w:sdtContent>
          </w:sdt>
        </w:tc>
        <w:tc>
          <w:tcPr>
            <w:tcW w:w="463" w:type="pct"/>
            <w:vAlign w:val="center"/>
          </w:tcPr>
          <w:p w14:paraId="7B6B1B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7090AA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10EB91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3837B34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Mean DT (hours)</w:t>
            </w:r>
          </w:p>
        </w:tc>
        <w:tc>
          <w:tcPr>
            <w:tcW w:w="440" w:type="pct"/>
            <w:vAlign w:val="center"/>
          </w:tcPr>
          <w:p w14:paraId="4BE4B39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~55.56 ± 4.2 </w:t>
            </w:r>
          </w:p>
        </w:tc>
        <w:tc>
          <w:tcPr>
            <w:tcW w:w="440" w:type="pct"/>
            <w:vAlign w:val="center"/>
          </w:tcPr>
          <w:p w14:paraId="1FCA355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~89.07 ± 10.63</w:t>
            </w:r>
          </w:p>
        </w:tc>
        <w:tc>
          <w:tcPr>
            <w:tcW w:w="369" w:type="pct"/>
            <w:vAlign w:val="center"/>
          </w:tcPr>
          <w:p w14:paraId="2B6D3F1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191B4D0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4767957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P1-P4, S: P5-P11. </w:t>
            </w:r>
          </w:p>
        </w:tc>
      </w:tr>
      <w:tr w:rsidR="00513939" w:rsidRPr="001A3F8F" w14:paraId="7F1C28C7"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mExM2Y2ZjAtNTM4Zi00MDY3LWExNDgtMWRjZjZiOGYyMTQw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199388474"/>
              <w:placeholder>
                <w:docPart w:val="6D0844CDB6F8483CAD63FE4959EE9A4E"/>
              </w:placeholder>
            </w:sdtPr>
            <w:sdtEndPr/>
            <w:sdtContent>
              <w:p w14:paraId="2D046D22" w14:textId="6358D8B4" w:rsidR="00513939" w:rsidRPr="00B74865" w:rsidRDefault="00513939" w:rsidP="00AE20BE">
                <w:pPr>
                  <w:jc w:val="both"/>
                  <w:rPr>
                    <w:rFonts w:ascii="Times New Roman" w:hAnsi="Times New Roman" w:cs="Times New Roman"/>
                    <w:b w:val="0"/>
                    <w:bCs w:val="0"/>
                    <w:sz w:val="20"/>
                    <w:szCs w:val="20"/>
                    <w:lang w:val="pt-BR"/>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sidR="00B74865">
                  <w:rPr>
                    <w:rFonts w:ascii="Times New Roman" w:hAnsi="Times New Roman" w:cs="Times New Roman"/>
                    <w:sz w:val="20"/>
                    <w:szCs w:val="20"/>
                    <w:lang w:val="pt-BR"/>
                  </w:rPr>
                  <w:t xml:space="preserve"> [14]</w:t>
                </w:r>
              </w:p>
            </w:sdtContent>
          </w:sdt>
        </w:tc>
        <w:tc>
          <w:tcPr>
            <w:tcW w:w="463" w:type="pct"/>
            <w:vAlign w:val="center"/>
          </w:tcPr>
          <w:p w14:paraId="1DDB755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07304E3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63363B4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vAlign w:val="center"/>
          </w:tcPr>
          <w:p w14:paraId="328CC05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Cell Count (10</w:t>
            </w:r>
            <w:r w:rsidRPr="001A3F8F">
              <w:rPr>
                <w:rFonts w:ascii="Times New Roman" w:hAnsi="Times New Roman" w:cs="Times New Roman"/>
                <w:sz w:val="20"/>
                <w:szCs w:val="20"/>
                <w:vertAlign w:val="superscript"/>
              </w:rPr>
              <w:t>5</w:t>
            </w:r>
            <w:r w:rsidRPr="001A3F8F">
              <w:rPr>
                <w:rFonts w:ascii="Times New Roman" w:hAnsi="Times New Roman" w:cs="Times New Roman"/>
                <w:sz w:val="20"/>
                <w:szCs w:val="20"/>
              </w:rPr>
              <w:t>)</w:t>
            </w:r>
          </w:p>
        </w:tc>
        <w:tc>
          <w:tcPr>
            <w:tcW w:w="440" w:type="pct"/>
            <w:vAlign w:val="center"/>
          </w:tcPr>
          <w:p w14:paraId="5CBC00F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~10.16*</w:t>
            </w:r>
          </w:p>
        </w:tc>
        <w:tc>
          <w:tcPr>
            <w:tcW w:w="440" w:type="pct"/>
            <w:vAlign w:val="center"/>
          </w:tcPr>
          <w:p w14:paraId="337D7CB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~18.14*</w:t>
            </w:r>
          </w:p>
        </w:tc>
        <w:tc>
          <w:tcPr>
            <w:tcW w:w="369" w:type="pct"/>
            <w:vAlign w:val="center"/>
          </w:tcPr>
          <w:p w14:paraId="702542E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608579E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7BA1894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Data from day 3.</w:t>
            </w:r>
          </w:p>
        </w:tc>
      </w:tr>
      <w:tr w:rsidR="00513939" w:rsidRPr="001A3F8F" w14:paraId="7F47AB55"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ODI5ODI5ODktOTE1NC00MWVkLWI3OGYtZjJiYmIxYThjMTY2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
              <w:id w:val="-928501219"/>
              <w:placeholder>
                <w:docPart w:val="592750D7A74747EF9E4F152EC72A97B3"/>
              </w:placeholder>
            </w:sdtPr>
            <w:sdtEndPr/>
            <w:sdtContent>
              <w:p w14:paraId="76555F4A" w14:textId="25A53F3E"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Wu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2022</w:t>
                </w:r>
                <w:r w:rsidR="00B74865">
                  <w:rPr>
                    <w:rFonts w:ascii="Times New Roman" w:hAnsi="Times New Roman" w:cs="Times New Roman"/>
                    <w:sz w:val="20"/>
                    <w:szCs w:val="20"/>
                    <w:lang w:val="pt-BR"/>
                  </w:rPr>
                  <w:t xml:space="preserve"> [21]</w:t>
                </w:r>
              </w:p>
            </w:sdtContent>
          </w:sdt>
        </w:tc>
        <w:tc>
          <w:tcPr>
            <w:tcW w:w="463" w:type="pct"/>
            <w:vAlign w:val="center"/>
          </w:tcPr>
          <w:p w14:paraId="4435839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406B68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20958ED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2494DB1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(days)</w:t>
            </w:r>
          </w:p>
        </w:tc>
        <w:tc>
          <w:tcPr>
            <w:tcW w:w="440" w:type="pct"/>
            <w:vAlign w:val="center"/>
          </w:tcPr>
          <w:p w14:paraId="7DA5E22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0.03</w:t>
            </w:r>
          </w:p>
          <w:p w14:paraId="5FE232C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~1.26 ± 0.09</w:t>
            </w:r>
          </w:p>
        </w:tc>
        <w:tc>
          <w:tcPr>
            <w:tcW w:w="440" w:type="pct"/>
            <w:vAlign w:val="center"/>
          </w:tcPr>
          <w:p w14:paraId="03C4090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~1.48 ± 0.04</w:t>
            </w:r>
          </w:p>
          <w:p w14:paraId="129B964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~2.67 ± 0.51</w:t>
            </w:r>
          </w:p>
        </w:tc>
        <w:tc>
          <w:tcPr>
            <w:tcW w:w="369" w:type="pct"/>
            <w:vAlign w:val="center"/>
          </w:tcPr>
          <w:p w14:paraId="75E207B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7B4F38C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2942B5D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P10. Infant and adult donors. Growth curve analysis showed higher fold increases in cell number at early versus late passages.</w:t>
            </w:r>
          </w:p>
        </w:tc>
      </w:tr>
      <w:tr w:rsidR="00513939" w:rsidRPr="001A3F8F" w14:paraId="551AE137"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"/>
              <w:id w:val="-1850020689"/>
              <w:placeholder>
                <w:docPart w:val="29FA4E7A8DFB4788B4078E246132BAE8"/>
              </w:placeholder>
            </w:sdtPr>
            <w:sdtEndPr/>
            <w:sdtContent>
              <w:p w14:paraId="7B84EA17" w14:textId="453ECBD4"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Zhang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sidR="00B74865">
                  <w:rPr>
                    <w:rFonts w:ascii="Times New Roman" w:hAnsi="Times New Roman" w:cs="Times New Roman"/>
                    <w:sz w:val="20"/>
                    <w:szCs w:val="20"/>
                  </w:rPr>
                  <w:t xml:space="preserve"> [13]</w:t>
                </w:r>
              </w:p>
            </w:sdtContent>
          </w:sdt>
        </w:tc>
        <w:tc>
          <w:tcPr>
            <w:tcW w:w="463" w:type="pct"/>
            <w:vAlign w:val="center"/>
          </w:tcPr>
          <w:p w14:paraId="35156B4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11C0F3B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407" w:type="pct"/>
            <w:vAlign w:val="center"/>
          </w:tcPr>
          <w:p w14:paraId="3253399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c>
          <w:tcPr>
            <w:tcW w:w="481" w:type="pct"/>
            <w:vAlign w:val="center"/>
          </w:tcPr>
          <w:p w14:paraId="3DD4CB2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BrdU</w:t>
            </w:r>
            <w:proofErr w:type="spellEnd"/>
            <w:r w:rsidRPr="001A3F8F">
              <w:rPr>
                <w:rFonts w:ascii="Times New Roman" w:hAnsi="Times New Roman" w:cs="Times New Roman"/>
                <w:sz w:val="20"/>
                <w:szCs w:val="20"/>
              </w:rPr>
              <w:t xml:space="preserve"> (360 nm)</w:t>
            </w:r>
          </w:p>
        </w:tc>
        <w:tc>
          <w:tcPr>
            <w:tcW w:w="440" w:type="pct"/>
            <w:vAlign w:val="center"/>
          </w:tcPr>
          <w:p w14:paraId="2781FEE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~0.25 ± 0.008</w:t>
            </w:r>
          </w:p>
        </w:tc>
        <w:tc>
          <w:tcPr>
            <w:tcW w:w="440" w:type="pct"/>
            <w:vAlign w:val="center"/>
          </w:tcPr>
          <w:p w14:paraId="411C505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~0.21 ± 0.006</w:t>
            </w:r>
          </w:p>
        </w:tc>
        <w:tc>
          <w:tcPr>
            <w:tcW w:w="369" w:type="pct"/>
            <w:vAlign w:val="center"/>
          </w:tcPr>
          <w:p w14:paraId="7643C9F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nil"/>
              <w:left w:val="nil"/>
              <w:bottom w:val="nil"/>
              <w:right w:val="nil"/>
            </w:tcBorders>
            <w:shd w:val="clear" w:color="000000" w:fill="CCCCCC"/>
            <w:vAlign w:val="center"/>
          </w:tcPr>
          <w:p w14:paraId="21A7DBD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3FA9186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P4, S: P10.</w:t>
            </w:r>
          </w:p>
        </w:tc>
      </w:tr>
      <w:tr w:rsidR="00513939" w:rsidRPr="001A3F8F" w14:paraId="5465DBA8" w14:textId="77777777" w:rsidTr="00B74865">
        <w:trPr>
          <w:gridAfter w:val="2"/>
          <w:wAfter w:w="160" w:type="pct"/>
          <w:trHeight w:val="501"/>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p w14:paraId="033EF019" w14:textId="46DB8510"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Bertolo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2016</w:t>
            </w:r>
            <w:r w:rsidR="00B74865">
              <w:rPr>
                <w:rFonts w:ascii="Times New Roman" w:hAnsi="Times New Roman" w:cs="Times New Roman"/>
                <w:sz w:val="20"/>
                <w:szCs w:val="20"/>
              </w:rPr>
              <w:t xml:space="preserve"> [</w:t>
            </w:r>
            <w:r w:rsidR="00515418">
              <w:rPr>
                <w:rFonts w:ascii="Times New Roman" w:hAnsi="Times New Roman" w:cs="Times New Roman"/>
                <w:sz w:val="20"/>
                <w:szCs w:val="20"/>
              </w:rPr>
              <w:t>42]</w:t>
            </w:r>
          </w:p>
        </w:tc>
        <w:tc>
          <w:tcPr>
            <w:tcW w:w="463" w:type="pct"/>
            <w:vAlign w:val="center"/>
          </w:tcPr>
          <w:p w14:paraId="208D9EE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74153FF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6E43948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c>
          <w:tcPr>
            <w:tcW w:w="481" w:type="pct"/>
            <w:vAlign w:val="center"/>
          </w:tcPr>
          <w:p w14:paraId="31A53ED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(hours)</w:t>
            </w:r>
          </w:p>
        </w:tc>
        <w:tc>
          <w:tcPr>
            <w:tcW w:w="440" w:type="pct"/>
            <w:vAlign w:val="center"/>
          </w:tcPr>
          <w:p w14:paraId="2B6831B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~4,309.63 ± 376.57</w:t>
            </w:r>
          </w:p>
        </w:tc>
        <w:tc>
          <w:tcPr>
            <w:tcW w:w="440" w:type="pct"/>
            <w:vAlign w:val="center"/>
          </w:tcPr>
          <w:p w14:paraId="574920F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~7,405.85 ± 1,317.99</w:t>
            </w:r>
          </w:p>
        </w:tc>
        <w:tc>
          <w:tcPr>
            <w:tcW w:w="369" w:type="pct"/>
            <w:vAlign w:val="center"/>
          </w:tcPr>
          <w:p w14:paraId="2B83510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534" w:type="pct"/>
            <w:tcBorders>
              <w:top w:val="nil"/>
              <w:left w:val="nil"/>
              <w:bottom w:val="nil"/>
              <w:right w:val="nil"/>
            </w:tcBorders>
            <w:vAlign w:val="center"/>
          </w:tcPr>
          <w:p w14:paraId="67C7EEC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7C1F35F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P10. P3 vs P9 (p&lt;0.05). CPD and CFU assays were performed, revealing marked inter-donor variability in cumulative population doublings and CFU </w:t>
            </w:r>
            <w:r w:rsidRPr="001A3F8F">
              <w:rPr>
                <w:rFonts w:ascii="Times New Roman" w:hAnsi="Times New Roman" w:cs="Times New Roman"/>
                <w:sz w:val="20"/>
                <w:szCs w:val="20"/>
              </w:rPr>
              <w:lastRenderedPageBreak/>
              <w:t>counts, with progressive decline in colony numbers from P3 to P11.</w:t>
            </w:r>
          </w:p>
        </w:tc>
      </w:tr>
      <w:tr w:rsidR="00513939" w:rsidRPr="001A3F8F" w14:paraId="7AAF6B10"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81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p w14:paraId="62A8AC59" w14:textId="1F5D01F3"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lastRenderedPageBreak/>
              <w:t>Bonab</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2006</w:t>
            </w:r>
            <w:r w:rsidR="00515418">
              <w:rPr>
                <w:rFonts w:ascii="Times New Roman" w:hAnsi="Times New Roman" w:cs="Times New Roman"/>
                <w:sz w:val="20"/>
                <w:szCs w:val="20"/>
              </w:rPr>
              <w:t xml:space="preserve"> [47]</w:t>
            </w:r>
          </w:p>
        </w:tc>
        <w:tc>
          <w:tcPr>
            <w:tcW w:w="463" w:type="pct"/>
            <w:vAlign w:val="center"/>
          </w:tcPr>
          <w:p w14:paraId="7BE8B6E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29BCF32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50C95DD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481" w:type="pct"/>
            <w:vAlign w:val="center"/>
          </w:tcPr>
          <w:p w14:paraId="5822A55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 (passage)</w:t>
            </w:r>
          </w:p>
        </w:tc>
        <w:tc>
          <w:tcPr>
            <w:tcW w:w="440" w:type="pct"/>
            <w:vAlign w:val="center"/>
          </w:tcPr>
          <w:p w14:paraId="442D4A4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2.6 ± 0.68</w:t>
            </w:r>
          </w:p>
        </w:tc>
        <w:tc>
          <w:tcPr>
            <w:tcW w:w="440" w:type="pct"/>
            <w:vAlign w:val="center"/>
          </w:tcPr>
          <w:p w14:paraId="1887599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P10: 1.2 ± 0.73</w:t>
            </w:r>
          </w:p>
        </w:tc>
        <w:tc>
          <w:tcPr>
            <w:tcW w:w="369" w:type="pct"/>
            <w:vAlign w:val="center"/>
          </w:tcPr>
          <w:p w14:paraId="1B83C60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534" w:type="pct"/>
            <w:tcBorders>
              <w:top w:val="nil"/>
              <w:left w:val="nil"/>
              <w:bottom w:val="nil"/>
              <w:right w:val="nil"/>
            </w:tcBorders>
            <w:shd w:val="clear" w:color="000000" w:fill="CCCCCC"/>
            <w:vAlign w:val="center"/>
          </w:tcPr>
          <w:p w14:paraId="294FBBE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681" w:type="pct"/>
            <w:vAlign w:val="center"/>
          </w:tcPr>
          <w:p w14:paraId="72E9495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P10. CPD analysis was performed and revealed a gradual decline in proliferative potential. After 120 days in culture, proliferative potential decreased more rapidly.</w:t>
            </w:r>
          </w:p>
        </w:tc>
      </w:tr>
      <w:tr w:rsidR="00513939" w:rsidRPr="001A3F8F" w14:paraId="05A5D134" w14:textId="77777777" w:rsidTr="00B74865">
        <w:trPr>
          <w:gridAfter w:val="2"/>
          <w:wAfter w:w="160" w:type="pct"/>
          <w:trHeight w:val="81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llZmU4ZDQtOTdkYy00ODY5LWExOGQtOTc5NGRjOTc4NGQ5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
              <w:id w:val="-334386403"/>
              <w:placeholder>
                <w:docPart w:val="889C8146F61A4703B3F954F1221EB1F3"/>
              </w:placeholder>
            </w:sdtPr>
            <w:sdtEndPr/>
            <w:sdtContent>
              <w:p w14:paraId="36AB4AB6" w14:textId="508D7EB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Kim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sidR="00515418">
                  <w:rPr>
                    <w:rFonts w:ascii="Times New Roman" w:hAnsi="Times New Roman" w:cs="Times New Roman"/>
                    <w:sz w:val="20"/>
                    <w:szCs w:val="20"/>
                  </w:rPr>
                  <w:t xml:space="preserve"> [35]</w:t>
                </w:r>
              </w:p>
            </w:sdtContent>
          </w:sdt>
        </w:tc>
        <w:tc>
          <w:tcPr>
            <w:tcW w:w="463" w:type="pct"/>
            <w:vAlign w:val="center"/>
          </w:tcPr>
          <w:p w14:paraId="645DF25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0328009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30AAEDF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481" w:type="pct"/>
            <w:vAlign w:val="center"/>
          </w:tcPr>
          <w:p w14:paraId="2878833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(days)</w:t>
            </w:r>
          </w:p>
        </w:tc>
        <w:tc>
          <w:tcPr>
            <w:tcW w:w="440" w:type="pct"/>
            <w:vAlign w:val="center"/>
          </w:tcPr>
          <w:p w14:paraId="324E94F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1.3±0.02</w:t>
            </w:r>
          </w:p>
          <w:p w14:paraId="0BB5CC9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1.9±0.03</w:t>
            </w:r>
          </w:p>
          <w:p w14:paraId="5876257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1.8±0.05</w:t>
            </w:r>
          </w:p>
        </w:tc>
        <w:tc>
          <w:tcPr>
            <w:tcW w:w="440" w:type="pct"/>
            <w:vAlign w:val="center"/>
          </w:tcPr>
          <w:p w14:paraId="47889FB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3.4±0.10</w:t>
            </w:r>
          </w:p>
          <w:p w14:paraId="5F6547D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5.6±0.82</w:t>
            </w:r>
          </w:p>
          <w:p w14:paraId="4B81DAB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22.2±3.48</w:t>
            </w:r>
          </w:p>
        </w:tc>
        <w:tc>
          <w:tcPr>
            <w:tcW w:w="369" w:type="pct"/>
            <w:vAlign w:val="center"/>
          </w:tcPr>
          <w:p w14:paraId="4FAFC57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2537482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54D8363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The acronyms LD, MD, and HD refer to Low-Density (50 cells/cm²), Medium-Density (1,000 cells/cm²), and High-Density (4,000 cells/cm²) cultures, respectively.</w:t>
            </w:r>
          </w:p>
        </w:tc>
      </w:tr>
      <w:tr w:rsidR="00513939" w:rsidRPr="001A3F8F" w14:paraId="47BF66B0"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81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WViNDVjNzYtMDNkZS00MDg0LTk2OGQtNzc2ZGVmMzU5OGJm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456217843"/>
              <w:placeholder>
                <w:docPart w:val="9476D9C8CF6343C5A5DC62F593B0049E"/>
              </w:placeholder>
            </w:sdtPr>
            <w:sdtEndPr/>
            <w:sdtContent>
              <w:p w14:paraId="455761DA" w14:textId="2922C423"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sidR="00515418">
                  <w:rPr>
                    <w:rFonts w:ascii="Times New Roman" w:hAnsi="Times New Roman" w:cs="Times New Roman"/>
                    <w:sz w:val="20"/>
                    <w:szCs w:val="20"/>
                    <w:lang w:val="pt-BR"/>
                  </w:rPr>
                  <w:t xml:space="preserve"> [14]</w:t>
                </w:r>
              </w:p>
            </w:sdtContent>
          </w:sdt>
        </w:tc>
        <w:tc>
          <w:tcPr>
            <w:tcW w:w="463" w:type="pct"/>
            <w:vAlign w:val="center"/>
          </w:tcPr>
          <w:p w14:paraId="4451B73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0DEFB79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4061FAA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vAlign w:val="center"/>
          </w:tcPr>
          <w:p w14:paraId="09DAF09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Cell Count (10</w:t>
            </w:r>
            <w:r w:rsidRPr="001A3F8F">
              <w:rPr>
                <w:rFonts w:ascii="Times New Roman" w:hAnsi="Times New Roman" w:cs="Times New Roman"/>
                <w:sz w:val="20"/>
                <w:szCs w:val="20"/>
                <w:vertAlign w:val="superscript"/>
              </w:rPr>
              <w:t>5</w:t>
            </w:r>
            <w:r w:rsidRPr="001A3F8F">
              <w:rPr>
                <w:rFonts w:ascii="Times New Roman" w:hAnsi="Times New Roman" w:cs="Times New Roman"/>
                <w:sz w:val="20"/>
                <w:szCs w:val="20"/>
              </w:rPr>
              <w:t>)</w:t>
            </w:r>
          </w:p>
        </w:tc>
        <w:tc>
          <w:tcPr>
            <w:tcW w:w="440" w:type="pct"/>
            <w:vAlign w:val="center"/>
          </w:tcPr>
          <w:p w14:paraId="2F4C31E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~6.94*</w:t>
            </w:r>
          </w:p>
        </w:tc>
        <w:tc>
          <w:tcPr>
            <w:tcW w:w="440" w:type="pct"/>
            <w:vAlign w:val="center"/>
          </w:tcPr>
          <w:p w14:paraId="192390D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~7.96*</w:t>
            </w:r>
          </w:p>
        </w:tc>
        <w:tc>
          <w:tcPr>
            <w:tcW w:w="369" w:type="pct"/>
            <w:vAlign w:val="center"/>
          </w:tcPr>
          <w:p w14:paraId="047734E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6C349A3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390D213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Data from day 3.</w:t>
            </w:r>
          </w:p>
        </w:tc>
      </w:tr>
      <w:tr w:rsidR="00513939" w:rsidRPr="001A3F8F" w14:paraId="3915165F" w14:textId="77777777" w:rsidTr="00B74865">
        <w:trPr>
          <w:gridAfter w:val="2"/>
          <w:wAfter w:w="160" w:type="pct"/>
          <w:trHeight w:val="819"/>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
              <w:id w:val="-1749793781"/>
              <w:placeholder>
                <w:docPart w:val="9FD17AE97D8F451F821176719C164B60"/>
              </w:placeholder>
            </w:sdtPr>
            <w:sdtEndPr/>
            <w:sdtContent>
              <w:p w14:paraId="14D33A84" w14:textId="507BD554"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Wenjing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sidR="00515418">
                  <w:rPr>
                    <w:rFonts w:ascii="Times New Roman" w:hAnsi="Times New Roman" w:cs="Times New Roman"/>
                    <w:sz w:val="20"/>
                    <w:szCs w:val="20"/>
                  </w:rPr>
                  <w:t xml:space="preserve"> [6]</w:t>
                </w:r>
              </w:p>
            </w:sdtContent>
          </w:sdt>
        </w:tc>
        <w:tc>
          <w:tcPr>
            <w:tcW w:w="463" w:type="pct"/>
            <w:vAlign w:val="center"/>
          </w:tcPr>
          <w:p w14:paraId="0678A5D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D7F9C7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407" w:type="pct"/>
            <w:vAlign w:val="center"/>
          </w:tcPr>
          <w:p w14:paraId="03A2A69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11DE10D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MTT (490 nm)</w:t>
            </w:r>
          </w:p>
        </w:tc>
        <w:tc>
          <w:tcPr>
            <w:tcW w:w="440" w:type="pct"/>
            <w:vAlign w:val="center"/>
          </w:tcPr>
          <w:p w14:paraId="0F3949C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~0.743</w:t>
            </w:r>
          </w:p>
        </w:tc>
        <w:tc>
          <w:tcPr>
            <w:tcW w:w="440" w:type="pct"/>
            <w:vAlign w:val="center"/>
          </w:tcPr>
          <w:p w14:paraId="23D0DF5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~0.447</w:t>
            </w:r>
          </w:p>
        </w:tc>
        <w:tc>
          <w:tcPr>
            <w:tcW w:w="369" w:type="pct"/>
            <w:vAlign w:val="center"/>
          </w:tcPr>
          <w:p w14:paraId="1F14EA5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006EEE5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3ABB28B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Data from day 7.</w:t>
            </w:r>
          </w:p>
        </w:tc>
      </w:tr>
      <w:tr w:rsidR="00513939" w:rsidRPr="001A3F8F" w14:paraId="1A9D7140"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1854562174"/>
              <w:placeholder>
                <w:docPart w:val="C6CBA30FBD714AC298E04F4187D08539"/>
              </w:placeholder>
            </w:sdtPr>
            <w:sdtEndPr/>
            <w:sdtContent>
              <w:p w14:paraId="79081A6B" w14:textId="4610F816"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sidR="00515418">
                  <w:rPr>
                    <w:rFonts w:ascii="Times New Roman" w:hAnsi="Times New Roman" w:cs="Times New Roman"/>
                    <w:sz w:val="20"/>
                    <w:szCs w:val="20"/>
                    <w:lang w:val="pt-BR"/>
                  </w:rPr>
                  <w:t xml:space="preserve"> [43]</w:t>
                </w:r>
              </w:p>
            </w:sdtContent>
          </w:sdt>
        </w:tc>
        <w:tc>
          <w:tcPr>
            <w:tcW w:w="463" w:type="pct"/>
            <w:vAlign w:val="center"/>
          </w:tcPr>
          <w:p w14:paraId="46EA67E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29A07AC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0C9231A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5F87B0F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MTT (650 nm)</w:t>
            </w:r>
          </w:p>
        </w:tc>
        <w:tc>
          <w:tcPr>
            <w:tcW w:w="440" w:type="pct"/>
            <w:vAlign w:val="center"/>
          </w:tcPr>
          <w:p w14:paraId="739C5FF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~18,666.45 ± 444.45</w:t>
            </w:r>
          </w:p>
        </w:tc>
        <w:tc>
          <w:tcPr>
            <w:tcW w:w="440" w:type="pct"/>
            <w:vAlign w:val="center"/>
          </w:tcPr>
          <w:p w14:paraId="5119C8E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~17.925.92 ± 641.98</w:t>
            </w:r>
          </w:p>
        </w:tc>
        <w:tc>
          <w:tcPr>
            <w:tcW w:w="369" w:type="pct"/>
            <w:vAlign w:val="center"/>
          </w:tcPr>
          <w:p w14:paraId="653D988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534" w:type="pct"/>
            <w:tcBorders>
              <w:top w:val="nil"/>
              <w:left w:val="nil"/>
              <w:bottom w:val="nil"/>
              <w:right w:val="nil"/>
            </w:tcBorders>
            <w:shd w:val="clear" w:color="000000" w:fill="CCCCCC"/>
            <w:vAlign w:val="center"/>
          </w:tcPr>
          <w:p w14:paraId="0711D6A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681" w:type="pct"/>
            <w:vAlign w:val="center"/>
          </w:tcPr>
          <w:p w14:paraId="52657DF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P2; S: P15. Data from day 7. The Trypan Blue exclusion test was performed and revealed no </w:t>
            </w:r>
            <w:r w:rsidRPr="001A3F8F">
              <w:rPr>
                <w:rFonts w:ascii="Times New Roman" w:hAnsi="Times New Roman" w:cs="Times New Roman"/>
                <w:sz w:val="20"/>
                <w:szCs w:val="20"/>
              </w:rPr>
              <w:lastRenderedPageBreak/>
              <w:t>statistically significant differences between passages.</w:t>
            </w:r>
          </w:p>
        </w:tc>
      </w:tr>
      <w:tr w:rsidR="00513939" w:rsidRPr="001A3F8F" w14:paraId="2CA28610" w14:textId="77777777" w:rsidTr="00B74865">
        <w:trPr>
          <w:gridAfter w:val="2"/>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2U3MzNlNmYtZDZmOC00ZWVlLTgwNDAtNmU3ZjM4MWQzZDdh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271774971"/>
              <w:placeholder>
                <w:docPart w:val="0BA461124ADB480B82F57487C27698B9"/>
              </w:placeholder>
            </w:sdtPr>
            <w:sdtEndPr/>
            <w:sdtContent>
              <w:p w14:paraId="250E70E7" w14:textId="6A3D4BAB"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sidR="00515418">
                  <w:rPr>
                    <w:rFonts w:ascii="Times New Roman" w:hAnsi="Times New Roman" w:cs="Times New Roman"/>
                    <w:sz w:val="20"/>
                    <w:szCs w:val="20"/>
                    <w:lang w:val="pt-BR"/>
                  </w:rPr>
                  <w:t xml:space="preserve"> [14]</w:t>
                </w:r>
              </w:p>
            </w:sdtContent>
          </w:sdt>
        </w:tc>
        <w:tc>
          <w:tcPr>
            <w:tcW w:w="463" w:type="pct"/>
            <w:vAlign w:val="center"/>
          </w:tcPr>
          <w:p w14:paraId="360E20C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70CBB2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407" w:type="pct"/>
            <w:vAlign w:val="center"/>
          </w:tcPr>
          <w:p w14:paraId="1E75865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vAlign w:val="center"/>
          </w:tcPr>
          <w:p w14:paraId="1DB06F8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Cell Count (10</w:t>
            </w:r>
            <w:r w:rsidRPr="001A3F8F">
              <w:rPr>
                <w:rFonts w:ascii="Times New Roman" w:hAnsi="Times New Roman" w:cs="Times New Roman"/>
                <w:sz w:val="20"/>
                <w:szCs w:val="20"/>
                <w:vertAlign w:val="superscript"/>
              </w:rPr>
              <w:t>5</w:t>
            </w:r>
            <w:r w:rsidRPr="001A3F8F">
              <w:rPr>
                <w:rFonts w:ascii="Times New Roman" w:hAnsi="Times New Roman" w:cs="Times New Roman"/>
                <w:sz w:val="20"/>
                <w:szCs w:val="20"/>
              </w:rPr>
              <w:t>)</w:t>
            </w:r>
          </w:p>
        </w:tc>
        <w:tc>
          <w:tcPr>
            <w:tcW w:w="440" w:type="pct"/>
            <w:vAlign w:val="center"/>
          </w:tcPr>
          <w:p w14:paraId="14B394C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~27.79 ± 2.04</w:t>
            </w:r>
          </w:p>
        </w:tc>
        <w:tc>
          <w:tcPr>
            <w:tcW w:w="440" w:type="pct"/>
            <w:vAlign w:val="center"/>
          </w:tcPr>
          <w:p w14:paraId="485EED4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~37.38*</w:t>
            </w:r>
          </w:p>
        </w:tc>
        <w:tc>
          <w:tcPr>
            <w:tcW w:w="369" w:type="pct"/>
            <w:vAlign w:val="center"/>
          </w:tcPr>
          <w:p w14:paraId="7CC2BBD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55AC7C7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552FFA4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Data from day 3.</w:t>
            </w:r>
          </w:p>
        </w:tc>
      </w:tr>
      <w:tr w:rsidR="00513939" w:rsidRPr="001A3F8F" w14:paraId="2A6D4D69"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TNlNDhhMzItZmIxYS00MzhhLTg4MjItNmYwMjI4ODg0NzAw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96688618"/>
              <w:placeholder>
                <w:docPart w:val="026232ADD8F94F4B88847CEAA2E91562"/>
              </w:placeholder>
            </w:sdtPr>
            <w:sdtEndPr/>
            <w:sdtContent>
              <w:p w14:paraId="71FDD3B9" w14:textId="4E0DC220"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sidR="00515418">
                  <w:rPr>
                    <w:rFonts w:ascii="Times New Roman" w:hAnsi="Times New Roman" w:cs="Times New Roman"/>
                    <w:sz w:val="20"/>
                    <w:szCs w:val="20"/>
                    <w:lang w:val="pt-BR"/>
                  </w:rPr>
                  <w:t xml:space="preserve"> [43]</w:t>
                </w:r>
              </w:p>
            </w:sdtContent>
          </w:sdt>
        </w:tc>
        <w:tc>
          <w:tcPr>
            <w:tcW w:w="463" w:type="pct"/>
            <w:vAlign w:val="center"/>
          </w:tcPr>
          <w:p w14:paraId="31B05E1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561651D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407" w:type="pct"/>
            <w:vAlign w:val="center"/>
          </w:tcPr>
          <w:p w14:paraId="314DF1B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163E6F5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MTT (650 nm)</w:t>
            </w:r>
          </w:p>
        </w:tc>
        <w:tc>
          <w:tcPr>
            <w:tcW w:w="440" w:type="pct"/>
            <w:vAlign w:val="center"/>
          </w:tcPr>
          <w:p w14:paraId="74432EF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~10,447.59 ± 425.77</w:t>
            </w:r>
          </w:p>
        </w:tc>
        <w:tc>
          <w:tcPr>
            <w:tcW w:w="440" w:type="pct"/>
            <w:vAlign w:val="center"/>
          </w:tcPr>
          <w:p w14:paraId="506E381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~9661.57 ± 425.76</w:t>
            </w:r>
          </w:p>
        </w:tc>
        <w:tc>
          <w:tcPr>
            <w:tcW w:w="369" w:type="pct"/>
            <w:vAlign w:val="center"/>
          </w:tcPr>
          <w:p w14:paraId="2F6B7DC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534" w:type="pct"/>
            <w:tcBorders>
              <w:top w:val="nil"/>
              <w:left w:val="nil"/>
              <w:bottom w:val="nil"/>
              <w:right w:val="nil"/>
            </w:tcBorders>
            <w:shd w:val="clear" w:color="000000" w:fill="CCCCCC"/>
            <w:vAlign w:val="center"/>
          </w:tcPr>
          <w:p w14:paraId="49C56C4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681" w:type="pct"/>
            <w:vAlign w:val="center"/>
          </w:tcPr>
          <w:p w14:paraId="35D7949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P2; S: P15. Data from day 7. The Trypan Blue exclusion test was performed and revealed no statistically significant differences between passages.</w:t>
            </w:r>
          </w:p>
        </w:tc>
      </w:tr>
      <w:tr w:rsidR="00513939" w:rsidRPr="001A3F8F" w14:paraId="0CABE05F" w14:textId="77777777" w:rsidTr="00B74865">
        <w:trPr>
          <w:gridAfter w:val="2"/>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"/>
              <w:id w:val="-799839177"/>
              <w:placeholder>
                <w:docPart w:val="4945989FDC504809B2165356D644EE0B"/>
              </w:placeholder>
            </w:sdtPr>
            <w:sdtEndPr/>
            <w:sdtContent>
              <w:p w14:paraId="3E3F9115" w14:textId="3D82F01C"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Hu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sidR="00515418">
                  <w:rPr>
                    <w:rFonts w:ascii="Times New Roman" w:hAnsi="Times New Roman" w:cs="Times New Roman"/>
                    <w:sz w:val="20"/>
                    <w:szCs w:val="20"/>
                  </w:rPr>
                  <w:t xml:space="preserve"> [31]</w:t>
                </w:r>
              </w:p>
            </w:sdtContent>
          </w:sdt>
        </w:tc>
        <w:tc>
          <w:tcPr>
            <w:tcW w:w="463" w:type="pct"/>
            <w:vAlign w:val="center"/>
          </w:tcPr>
          <w:p w14:paraId="27ADA79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4C0371A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407" w:type="pct"/>
            <w:vAlign w:val="center"/>
          </w:tcPr>
          <w:p w14:paraId="3B2CAC3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3BD6FCC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CCK-8 (450 nm)</w:t>
            </w:r>
          </w:p>
        </w:tc>
        <w:tc>
          <w:tcPr>
            <w:tcW w:w="440" w:type="pct"/>
            <w:vAlign w:val="center"/>
          </w:tcPr>
          <w:p w14:paraId="41ABB5A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~0.43 ± 0.03</w:t>
            </w:r>
          </w:p>
        </w:tc>
        <w:tc>
          <w:tcPr>
            <w:tcW w:w="440" w:type="pct"/>
            <w:vAlign w:val="center"/>
          </w:tcPr>
          <w:p w14:paraId="7365C32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~0.27 ± 0.02</w:t>
            </w:r>
          </w:p>
        </w:tc>
        <w:tc>
          <w:tcPr>
            <w:tcW w:w="369" w:type="pct"/>
            <w:vAlign w:val="center"/>
          </w:tcPr>
          <w:p w14:paraId="21FD95E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534" w:type="pct"/>
            <w:tcBorders>
              <w:top w:val="nil"/>
              <w:left w:val="nil"/>
              <w:bottom w:val="nil"/>
              <w:right w:val="nil"/>
            </w:tcBorders>
            <w:vAlign w:val="center"/>
          </w:tcPr>
          <w:p w14:paraId="186D734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39EB230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P4, S: P20. Data from day 7.</w:t>
            </w:r>
          </w:p>
        </w:tc>
      </w:tr>
      <w:tr w:rsidR="00513939" w:rsidRPr="001A3F8F" w14:paraId="303D2C06"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"/>
              <w:id w:val="-111520766"/>
              <w:placeholder>
                <w:docPart w:val="8F457E529CCD44CC80079BB53F53E5FD"/>
              </w:placeholder>
            </w:sdtPr>
            <w:sdtEndPr/>
            <w:sdtContent>
              <w:p w14:paraId="38CB56A8" w14:textId="7FD9D2A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Jia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sidR="00515418">
                  <w:rPr>
                    <w:rFonts w:ascii="Times New Roman" w:hAnsi="Times New Roman" w:cs="Times New Roman"/>
                    <w:sz w:val="20"/>
                    <w:szCs w:val="20"/>
                  </w:rPr>
                  <w:t xml:space="preserve"> [32]</w:t>
                </w:r>
              </w:p>
            </w:sdtContent>
          </w:sdt>
        </w:tc>
        <w:tc>
          <w:tcPr>
            <w:tcW w:w="463" w:type="pct"/>
            <w:vAlign w:val="center"/>
          </w:tcPr>
          <w:p w14:paraId="6BC8431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7CC1F3C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407" w:type="pct"/>
            <w:vAlign w:val="center"/>
          </w:tcPr>
          <w:p w14:paraId="37B255B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4F9006E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CCK-8 (450 nm)</w:t>
            </w:r>
          </w:p>
        </w:tc>
        <w:tc>
          <w:tcPr>
            <w:tcW w:w="440" w:type="pct"/>
            <w:vAlign w:val="center"/>
          </w:tcPr>
          <w:p w14:paraId="6365C48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~3.2*</w:t>
            </w:r>
          </w:p>
        </w:tc>
        <w:tc>
          <w:tcPr>
            <w:tcW w:w="440" w:type="pct"/>
            <w:vAlign w:val="center"/>
          </w:tcPr>
          <w:p w14:paraId="52323FF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~0.31 ± 0.05</w:t>
            </w:r>
          </w:p>
        </w:tc>
        <w:tc>
          <w:tcPr>
            <w:tcW w:w="369" w:type="pct"/>
            <w:vAlign w:val="center"/>
          </w:tcPr>
          <w:p w14:paraId="6CCDED4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534" w:type="pct"/>
            <w:tcBorders>
              <w:top w:val="nil"/>
              <w:left w:val="nil"/>
              <w:bottom w:val="nil"/>
              <w:right w:val="nil"/>
            </w:tcBorders>
            <w:shd w:val="clear" w:color="000000" w:fill="CCCCCC"/>
            <w:vAlign w:val="center"/>
          </w:tcPr>
          <w:p w14:paraId="3313CBB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681" w:type="pct"/>
            <w:vAlign w:val="center"/>
          </w:tcPr>
          <w:p w14:paraId="197B74D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P20. Data from day 6.</w:t>
            </w:r>
          </w:p>
        </w:tc>
      </w:tr>
      <w:tr w:rsidR="00513939" w:rsidRPr="001A3F8F" w14:paraId="30E5EF0A" w14:textId="77777777" w:rsidTr="00B74865">
        <w:trPr>
          <w:gridAfter w:val="2"/>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607032062"/>
              <w:placeholder>
                <w:docPart w:val="ABF38BA2E31141DD8BE56551C1312641"/>
              </w:placeholder>
            </w:sdtPr>
            <w:sdtEndPr/>
            <w:sdtContent>
              <w:p w14:paraId="35CEC190" w14:textId="7BF837EE"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sidR="00515418">
                  <w:rPr>
                    <w:rFonts w:ascii="Times New Roman" w:hAnsi="Times New Roman" w:cs="Times New Roman"/>
                    <w:sz w:val="20"/>
                    <w:szCs w:val="20"/>
                    <w:lang w:val="pt-BR"/>
                  </w:rPr>
                  <w:t xml:space="preserve"> [14]</w:t>
                </w:r>
              </w:p>
            </w:sdtContent>
          </w:sdt>
        </w:tc>
        <w:tc>
          <w:tcPr>
            <w:tcW w:w="463" w:type="pct"/>
            <w:vAlign w:val="center"/>
          </w:tcPr>
          <w:p w14:paraId="57E493E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770B79B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407" w:type="pct"/>
            <w:vAlign w:val="center"/>
          </w:tcPr>
          <w:p w14:paraId="0E48FEB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481" w:type="pct"/>
            <w:vAlign w:val="center"/>
          </w:tcPr>
          <w:p w14:paraId="2160133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Cell Count (10</w:t>
            </w:r>
            <w:r w:rsidRPr="001A3F8F">
              <w:rPr>
                <w:rFonts w:ascii="Times New Roman" w:hAnsi="Times New Roman" w:cs="Times New Roman"/>
                <w:sz w:val="20"/>
                <w:szCs w:val="20"/>
                <w:vertAlign w:val="superscript"/>
              </w:rPr>
              <w:t>5</w:t>
            </w:r>
            <w:r w:rsidRPr="001A3F8F">
              <w:rPr>
                <w:rFonts w:ascii="Times New Roman" w:hAnsi="Times New Roman" w:cs="Times New Roman"/>
                <w:sz w:val="20"/>
                <w:szCs w:val="20"/>
              </w:rPr>
              <w:t>)</w:t>
            </w:r>
          </w:p>
        </w:tc>
        <w:tc>
          <w:tcPr>
            <w:tcW w:w="440" w:type="pct"/>
            <w:vAlign w:val="center"/>
          </w:tcPr>
          <w:p w14:paraId="7DCEC8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~20.67 ± 2.71</w:t>
            </w:r>
          </w:p>
        </w:tc>
        <w:tc>
          <w:tcPr>
            <w:tcW w:w="440" w:type="pct"/>
            <w:vAlign w:val="center"/>
          </w:tcPr>
          <w:p w14:paraId="00ECD3F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~27.87 ± 1.77</w:t>
            </w:r>
          </w:p>
        </w:tc>
        <w:tc>
          <w:tcPr>
            <w:tcW w:w="369" w:type="pct"/>
            <w:vAlign w:val="center"/>
          </w:tcPr>
          <w:p w14:paraId="188BC19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vAlign w:val="center"/>
          </w:tcPr>
          <w:p w14:paraId="448F373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4546318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Data from day 3.</w:t>
            </w:r>
          </w:p>
        </w:tc>
      </w:tr>
      <w:tr w:rsidR="00513939" w:rsidRPr="001A3F8F" w14:paraId="60B20CF1"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M2U5MzI5M2ItMWFiNC00YjI2LWE4MTktYzA2Y2JiYzY5OWU5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
              <w:id w:val="-315650037"/>
              <w:placeholder>
                <w:docPart w:val="3DABE6543BAD42388908378D9EC4BE18"/>
              </w:placeholder>
            </w:sdtPr>
            <w:sdtEndPr/>
            <w:sdtContent>
              <w:p w14:paraId="00102FEC" w14:textId="5679C67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Yang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sidR="00515418">
                  <w:rPr>
                    <w:rFonts w:ascii="Times New Roman" w:hAnsi="Times New Roman" w:cs="Times New Roman"/>
                    <w:sz w:val="20"/>
                    <w:szCs w:val="20"/>
                  </w:rPr>
                  <w:t xml:space="preserve"> [40]</w:t>
                </w:r>
              </w:p>
            </w:sdtContent>
          </w:sdt>
        </w:tc>
        <w:tc>
          <w:tcPr>
            <w:tcW w:w="463" w:type="pct"/>
            <w:vAlign w:val="center"/>
          </w:tcPr>
          <w:p w14:paraId="080B29A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2F4AD3D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407" w:type="pct"/>
            <w:vAlign w:val="center"/>
          </w:tcPr>
          <w:p w14:paraId="64AE18F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05FFDFD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CCK-8 (450 nm)</w:t>
            </w:r>
          </w:p>
        </w:tc>
        <w:tc>
          <w:tcPr>
            <w:tcW w:w="440" w:type="pct"/>
            <w:vAlign w:val="center"/>
          </w:tcPr>
          <w:p w14:paraId="443C2D5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~2.46 ± 0.1</w:t>
            </w:r>
          </w:p>
        </w:tc>
        <w:tc>
          <w:tcPr>
            <w:tcW w:w="440" w:type="pct"/>
            <w:vAlign w:val="center"/>
          </w:tcPr>
          <w:p w14:paraId="53A3B5A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~1.5*</w:t>
            </w:r>
          </w:p>
        </w:tc>
        <w:tc>
          <w:tcPr>
            <w:tcW w:w="369" w:type="pct"/>
            <w:vAlign w:val="center"/>
          </w:tcPr>
          <w:p w14:paraId="4A7C7BB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24A40B1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4449DD0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3, S: P12. Data from day 7.</w:t>
            </w:r>
          </w:p>
        </w:tc>
      </w:tr>
      <w:tr w:rsidR="00513939" w:rsidRPr="001A3F8F" w14:paraId="395CA9E1" w14:textId="77777777" w:rsidTr="00B74865">
        <w:trPr>
          <w:gridAfter w:val="2"/>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Tg3ZjExNDEtY2YxYS00YzgzLWFjY2YtNmRlZTAyMmVhZDMx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
              <w:id w:val="1757485885"/>
              <w:placeholder>
                <w:docPart w:val="2C7D816EF45445BD8E7601EB68A40236"/>
              </w:placeholder>
            </w:sdtPr>
            <w:sdtEndPr/>
            <w:sdtContent>
              <w:p w14:paraId="29A775DC" w14:textId="09E28E40"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Christodoulou</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2013</w:t>
                </w:r>
                <w:r w:rsidR="00515418">
                  <w:rPr>
                    <w:rFonts w:ascii="Times New Roman" w:hAnsi="Times New Roman" w:cs="Times New Roman"/>
                    <w:sz w:val="20"/>
                    <w:szCs w:val="20"/>
                    <w:lang w:val="pt-BR"/>
                  </w:rPr>
                  <w:t xml:space="preserve"> [33]</w:t>
                </w:r>
              </w:p>
            </w:sdtContent>
          </w:sdt>
        </w:tc>
        <w:tc>
          <w:tcPr>
            <w:tcW w:w="463" w:type="pct"/>
            <w:vAlign w:val="center"/>
          </w:tcPr>
          <w:p w14:paraId="1861398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64E8201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407" w:type="pct"/>
            <w:vAlign w:val="center"/>
          </w:tcPr>
          <w:p w14:paraId="382419D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481" w:type="pct"/>
            <w:vAlign w:val="center"/>
          </w:tcPr>
          <w:p w14:paraId="5BFF9D1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PDT (hours)</w:t>
            </w:r>
          </w:p>
        </w:tc>
        <w:tc>
          <w:tcPr>
            <w:tcW w:w="440" w:type="pct"/>
            <w:vAlign w:val="center"/>
          </w:tcPr>
          <w:p w14:paraId="7839D18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~34.46 ± 7.5</w:t>
            </w:r>
          </w:p>
        </w:tc>
        <w:tc>
          <w:tcPr>
            <w:tcW w:w="440" w:type="pct"/>
            <w:vAlign w:val="center"/>
          </w:tcPr>
          <w:p w14:paraId="5D28B40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~38.98 ± 6.25</w:t>
            </w:r>
          </w:p>
        </w:tc>
        <w:tc>
          <w:tcPr>
            <w:tcW w:w="369" w:type="pct"/>
            <w:vAlign w:val="center"/>
          </w:tcPr>
          <w:p w14:paraId="7D90994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534" w:type="pct"/>
            <w:tcBorders>
              <w:top w:val="nil"/>
              <w:left w:val="nil"/>
              <w:bottom w:val="nil"/>
              <w:right w:val="nil"/>
            </w:tcBorders>
            <w:vAlign w:val="center"/>
          </w:tcPr>
          <w:p w14:paraId="2F56613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1FDB411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P10. CPD and Proliferation Index analysis demonstrated a high and sustained proliferative capacity, with continuous accumulation of PD over at least 15 passages and a peak Proliferation Index at passage 6.</w:t>
            </w:r>
          </w:p>
        </w:tc>
      </w:tr>
      <w:tr w:rsidR="00513939" w:rsidRPr="001A3F8F" w14:paraId="3F0C48FB"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"/>
              <w:id w:val="-588691962"/>
              <w:placeholder>
                <w:docPart w:val="E4FFA0A64E0A4D29B03B13252FE3ECED"/>
              </w:placeholder>
            </w:sdtPr>
            <w:sdtEndPr/>
            <w:sdtContent>
              <w:p w14:paraId="32EE021E" w14:textId="3814DB55"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Zhuang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2015</w:t>
                </w:r>
                <w:r w:rsidR="00515418">
                  <w:rPr>
                    <w:rFonts w:ascii="Times New Roman" w:hAnsi="Times New Roman" w:cs="Times New Roman"/>
                    <w:sz w:val="20"/>
                    <w:szCs w:val="20"/>
                  </w:rPr>
                  <w:t xml:space="preserve"> [36]</w:t>
                </w:r>
              </w:p>
            </w:sdtContent>
          </w:sdt>
        </w:tc>
        <w:tc>
          <w:tcPr>
            <w:tcW w:w="463" w:type="pct"/>
            <w:vAlign w:val="center"/>
          </w:tcPr>
          <w:p w14:paraId="6FD4098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347E1E3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407" w:type="pct"/>
            <w:vAlign w:val="center"/>
          </w:tcPr>
          <w:p w14:paraId="655AEBC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481" w:type="pct"/>
            <w:vAlign w:val="center"/>
          </w:tcPr>
          <w:p w14:paraId="6C14983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MTT (570 nm)</w:t>
            </w:r>
          </w:p>
        </w:tc>
        <w:tc>
          <w:tcPr>
            <w:tcW w:w="440" w:type="pct"/>
            <w:vAlign w:val="center"/>
          </w:tcPr>
          <w:p w14:paraId="6D20958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~0.64 ± 0.04</w:t>
            </w:r>
          </w:p>
        </w:tc>
        <w:tc>
          <w:tcPr>
            <w:tcW w:w="440" w:type="pct"/>
            <w:vAlign w:val="center"/>
          </w:tcPr>
          <w:p w14:paraId="161444C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~0.42 ± 0.04</w:t>
            </w:r>
          </w:p>
        </w:tc>
        <w:tc>
          <w:tcPr>
            <w:tcW w:w="369" w:type="pct"/>
            <w:vAlign w:val="center"/>
          </w:tcPr>
          <w:p w14:paraId="229ED10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534" w:type="pct"/>
            <w:tcBorders>
              <w:top w:val="nil"/>
              <w:left w:val="nil"/>
              <w:bottom w:val="nil"/>
              <w:right w:val="nil"/>
            </w:tcBorders>
            <w:shd w:val="clear" w:color="000000" w:fill="CCCCCC"/>
            <w:vAlign w:val="center"/>
          </w:tcPr>
          <w:p w14:paraId="41C5810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50F4166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P15. Data from day 6.</w:t>
            </w:r>
          </w:p>
        </w:tc>
      </w:tr>
      <w:tr w:rsidR="00513939" w:rsidRPr="001A3F8F" w14:paraId="5ABD1756" w14:textId="77777777" w:rsidTr="00B74865">
        <w:trPr>
          <w:gridAfter w:val="2"/>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Zjg5MzFhM2YtOTZiYi00ZjAxLThhZjctZjRjMGVhMTBmNzk4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
              <w:id w:val="209162046"/>
              <w:placeholder>
                <w:docPart w:val="BB01F7B659FD4DB7905E4A22F6EF457F"/>
              </w:placeholder>
            </w:sdtPr>
            <w:sdtEndPr/>
            <w:sdtContent>
              <w:p w14:paraId="55589DAC" w14:textId="0F237F6C"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Jin</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sidR="00515418">
                  <w:rPr>
                    <w:rFonts w:ascii="Times New Roman" w:hAnsi="Times New Roman" w:cs="Times New Roman"/>
                    <w:sz w:val="20"/>
                    <w:szCs w:val="20"/>
                  </w:rPr>
                  <w:t xml:space="preserve"> [34]</w:t>
                </w:r>
              </w:p>
            </w:sdtContent>
          </w:sdt>
        </w:tc>
        <w:tc>
          <w:tcPr>
            <w:tcW w:w="463" w:type="pct"/>
            <w:vAlign w:val="center"/>
          </w:tcPr>
          <w:p w14:paraId="43A5BD2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4857648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UC-MSCs-CB</w:t>
            </w:r>
          </w:p>
        </w:tc>
        <w:tc>
          <w:tcPr>
            <w:tcW w:w="407" w:type="pct"/>
            <w:vAlign w:val="center"/>
          </w:tcPr>
          <w:p w14:paraId="5BB9631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481" w:type="pct"/>
            <w:vAlign w:val="center"/>
          </w:tcPr>
          <w:p w14:paraId="721A67F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Fold Increase</w:t>
            </w:r>
          </w:p>
        </w:tc>
        <w:tc>
          <w:tcPr>
            <w:tcW w:w="440" w:type="pct"/>
            <w:vAlign w:val="center"/>
          </w:tcPr>
          <w:p w14:paraId="7A12E13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MSC1: ~1 ± 0.03</w:t>
            </w:r>
          </w:p>
          <w:p w14:paraId="4157ED0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MSC2: ~1 ± 0.1</w:t>
            </w:r>
          </w:p>
          <w:p w14:paraId="652DEA5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MSC3: ~1 ± 0.0</w:t>
            </w:r>
          </w:p>
        </w:tc>
        <w:tc>
          <w:tcPr>
            <w:tcW w:w="440" w:type="pct"/>
            <w:vAlign w:val="center"/>
          </w:tcPr>
          <w:p w14:paraId="2D848EB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MSC1: ~0.34 ± 0.04</w:t>
            </w:r>
          </w:p>
          <w:p w14:paraId="516393F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MSC2: ~0.22 ± 0.03</w:t>
            </w:r>
          </w:p>
          <w:p w14:paraId="742F446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MSC3: ~0.37 ± 0.09</w:t>
            </w:r>
          </w:p>
        </w:tc>
        <w:tc>
          <w:tcPr>
            <w:tcW w:w="369" w:type="pct"/>
            <w:vAlign w:val="center"/>
          </w:tcPr>
          <w:p w14:paraId="545F80E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534" w:type="pct"/>
            <w:tcBorders>
              <w:top w:val="nil"/>
              <w:left w:val="nil"/>
              <w:bottom w:val="nil"/>
              <w:right w:val="nil"/>
            </w:tcBorders>
            <w:vAlign w:val="center"/>
          </w:tcPr>
          <w:p w14:paraId="6EDFF56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20D65D1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P13.</w:t>
            </w:r>
          </w:p>
        </w:tc>
      </w:tr>
      <w:tr w:rsidR="00513939" w:rsidRPr="001A3F8F" w14:paraId="7BA84AAB" w14:textId="77777777" w:rsidTr="00B74865">
        <w:trPr>
          <w:gridAfter w:val="2"/>
          <w:cnfStyle w:val="000000100000" w:firstRow="0" w:lastRow="0" w:firstColumn="0" w:lastColumn="0" w:oddVBand="0" w:evenVBand="0" w:oddHBand="1" w:evenHBand="0" w:firstRowFirstColumn="0" w:firstRowLastColumn="0" w:lastRowFirstColumn="0" w:lastRowLastColumn="0"/>
          <w:wAfter w:w="160" w:type="pct"/>
          <w:trHeight w:val="268"/>
          <w:jc w:val="center"/>
        </w:trPr>
        <w:tc>
          <w:tcPr>
            <w:cnfStyle w:val="001000000000" w:firstRow="0" w:lastRow="0" w:firstColumn="1" w:lastColumn="0" w:oddVBand="0" w:evenVBand="0" w:oddHBand="0" w:evenHBand="0" w:firstRowFirstColumn="0" w:firstRowLastColumn="0" w:lastRowFirstColumn="0" w:lastRowLastColumn="0"/>
            <w:tcW w:w="670" w:type="pct"/>
            <w:vAlign w:val="center"/>
          </w:tcPr>
          <w:sdt>
            <w:sdtPr>
              <w:rPr>
                <w:rFonts w:ascii="Times New Roman" w:hAnsi="Times New Roman" w:cs="Times New Roman"/>
                <w:sz w:val="20"/>
                <w:szCs w:val="20"/>
              </w:rPr>
              <w:tag w:val="MENDELEY_CITATION_v3_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"/>
              <w:id w:val="-798527643"/>
              <w:placeholder>
                <w:docPart w:val="DFB9CF0E701F4DC8AD8A2EA707501F89"/>
              </w:placeholder>
            </w:sdtPr>
            <w:sdtEndPr/>
            <w:sdtContent>
              <w:p w14:paraId="233526FE" w14:textId="15A33680"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Kim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2020</w:t>
                </w:r>
                <w:r w:rsidR="00515418">
                  <w:rPr>
                    <w:rFonts w:ascii="Times New Roman" w:hAnsi="Times New Roman" w:cs="Times New Roman"/>
                    <w:sz w:val="20"/>
                    <w:szCs w:val="20"/>
                  </w:rPr>
                  <w:t xml:space="preserve"> [60]</w:t>
                </w:r>
              </w:p>
            </w:sdtContent>
          </w:sdt>
        </w:tc>
        <w:tc>
          <w:tcPr>
            <w:tcW w:w="463" w:type="pct"/>
            <w:vAlign w:val="center"/>
          </w:tcPr>
          <w:p w14:paraId="4925B59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356" w:type="pct"/>
            <w:vAlign w:val="center"/>
          </w:tcPr>
          <w:p w14:paraId="46B3469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UC-MSCs-CB</w:t>
            </w:r>
          </w:p>
        </w:tc>
        <w:tc>
          <w:tcPr>
            <w:tcW w:w="407" w:type="pct"/>
            <w:vAlign w:val="center"/>
          </w:tcPr>
          <w:p w14:paraId="66A8745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c>
          <w:tcPr>
            <w:tcW w:w="481" w:type="pct"/>
            <w:vAlign w:val="center"/>
          </w:tcPr>
          <w:p w14:paraId="6784D54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w:t>
            </w:r>
          </w:p>
        </w:tc>
        <w:tc>
          <w:tcPr>
            <w:tcW w:w="440" w:type="pct"/>
            <w:vAlign w:val="center"/>
          </w:tcPr>
          <w:p w14:paraId="6DF6AED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~4.05 ± 1.3</w:t>
            </w:r>
          </w:p>
        </w:tc>
        <w:tc>
          <w:tcPr>
            <w:tcW w:w="440" w:type="pct"/>
            <w:vAlign w:val="center"/>
          </w:tcPr>
          <w:p w14:paraId="2B9DD10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~1.74 ± 0.46</w:t>
            </w:r>
          </w:p>
        </w:tc>
        <w:tc>
          <w:tcPr>
            <w:tcW w:w="369" w:type="pct"/>
            <w:vAlign w:val="center"/>
          </w:tcPr>
          <w:p w14:paraId="60690DD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534" w:type="pct"/>
            <w:tcBorders>
              <w:top w:val="nil"/>
              <w:left w:val="nil"/>
              <w:bottom w:val="nil"/>
              <w:right w:val="nil"/>
            </w:tcBorders>
            <w:shd w:val="clear" w:color="000000" w:fill="CCCCCC"/>
            <w:vAlign w:val="center"/>
          </w:tcPr>
          <w:p w14:paraId="3944436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681" w:type="pct"/>
            <w:vAlign w:val="center"/>
          </w:tcPr>
          <w:p w14:paraId="0ADA818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P14.  Cells were grouped by size (heterogeneous, large, and small); the reported data refer to the heterogeneous group.</w:t>
            </w:r>
          </w:p>
        </w:tc>
      </w:tr>
    </w:tbl>
    <w:p w14:paraId="02458387" w14:textId="77777777" w:rsidR="00513939" w:rsidRPr="001A3F8F" w:rsidRDefault="00513939" w:rsidP="001A3F8F">
      <w:pPr>
        <w:jc w:val="both"/>
        <w:rPr>
          <w:rFonts w:ascii="Times New Roman" w:hAnsi="Times New Roman" w:cs="Times New Roman"/>
          <w:b/>
          <w:bCs/>
          <w:sz w:val="20"/>
          <w:szCs w:val="20"/>
        </w:rPr>
      </w:pPr>
    </w:p>
    <w:p w14:paraId="3FD379D5" w14:textId="17565FD5" w:rsidR="00513939" w:rsidRPr="001A3F8F" w:rsidRDefault="00513939" w:rsidP="001A3F8F">
      <w:pPr>
        <w:jc w:val="both"/>
        <w:rPr>
          <w:rFonts w:ascii="Times New Roman" w:hAnsi="Times New Roman" w:cs="Times New Roman"/>
          <w:sz w:val="20"/>
          <w:szCs w:val="20"/>
        </w:rPr>
        <w:sectPr w:rsidR="00513939" w:rsidRPr="001A3F8F" w:rsidSect="00324056">
          <w:pgSz w:w="16838" w:h="11906" w:orient="landscape" w:code="9"/>
          <w:pgMar w:top="1134" w:right="1134" w:bottom="1701" w:left="1701" w:header="709" w:footer="709" w:gutter="0"/>
          <w:cols w:space="708"/>
          <w:docGrid w:linePitch="360"/>
        </w:sectPr>
      </w:pPr>
      <w:r w:rsidRPr="001A3F8F">
        <w:rPr>
          <w:rFonts w:ascii="Times New Roman" w:hAnsi="Times New Roman" w:cs="Times New Roman"/>
          <w:b/>
          <w:bCs/>
          <w:sz w:val="20"/>
          <w:szCs w:val="20"/>
        </w:rPr>
        <w:t xml:space="preserve">Supplementary Table </w:t>
      </w:r>
      <w:r w:rsidR="001A3F8F" w:rsidRPr="001A3F8F">
        <w:rPr>
          <w:rFonts w:ascii="Times New Roman" w:hAnsi="Times New Roman" w:cs="Times New Roman"/>
          <w:b/>
          <w:bCs/>
          <w:sz w:val="20"/>
          <w:szCs w:val="20"/>
        </w:rPr>
        <w:t>3</w:t>
      </w:r>
      <w:r w:rsidRPr="001A3F8F">
        <w:rPr>
          <w:rFonts w:ascii="Times New Roman" w:hAnsi="Times New Roman" w:cs="Times New Roman"/>
          <w:b/>
          <w:bCs/>
          <w:sz w:val="20"/>
          <w:szCs w:val="20"/>
        </w:rPr>
        <w:t xml:space="preserve">. Individual results for the proliferation outcome. </w:t>
      </w:r>
      <w:r w:rsidRPr="001A3F8F">
        <w:rPr>
          <w:rFonts w:ascii="Times New Roman" w:hAnsi="Times New Roman" w:cs="Times New Roman"/>
          <w:sz w:val="20"/>
          <w:szCs w:val="20"/>
        </w:rPr>
        <w:t xml:space="preserve">This table summarizes individual study results evaluating proliferation-related outcomes in non-senescent (NS) and senescent (S) stem cell populations. Studies are first grouped according to the type of senescence induction (inflammatory stimuli, Chronological aging, and serial passaging) and then sub-grouped by cell type (AD-MSCs, BM-MSCs, DPSCs, PDLSCs, UC-MSCs-WJ and UC-MSCs-CB). Data are presented as mean ± SD or SEM, as reported in the original studies. Different assays were used to assess proliferative capacity, including </w:t>
      </w:r>
      <w:proofErr w:type="spellStart"/>
      <w:r w:rsidRPr="001A3F8F">
        <w:rPr>
          <w:rFonts w:ascii="Times New Roman" w:hAnsi="Times New Roman" w:cs="Times New Roman"/>
          <w:sz w:val="20"/>
          <w:szCs w:val="20"/>
        </w:rPr>
        <w:t>BrdU</w:t>
      </w:r>
      <w:proofErr w:type="spellEnd"/>
      <w:r w:rsidRPr="001A3F8F">
        <w:rPr>
          <w:rFonts w:ascii="Times New Roman" w:hAnsi="Times New Roman" w:cs="Times New Roman"/>
          <w:sz w:val="20"/>
          <w:szCs w:val="20"/>
        </w:rPr>
        <w:t xml:space="preserve"> incorporation, cell number, population doublings (PD), doubling time (DT), population doubling time (PDT), cumulative population doublings (CPD), and colony-forming unit (CFU) assays. When more than one assay was used to assess the same outcome, only one was included in the table. NR indicates not reported. Values preceded by a tilde (~) indicate data extracted manually from figures when numerical results were not reported in the text. An asterisk (*) indicates that SD or SEM was not reported in the original study. In some studies, NS and S groups represent different experimental controls (e.g., </w:t>
      </w:r>
      <w:proofErr w:type="spellStart"/>
      <w:r w:rsidRPr="001A3F8F">
        <w:rPr>
          <w:rFonts w:ascii="Times New Roman" w:hAnsi="Times New Roman" w:cs="Times New Roman"/>
          <w:sz w:val="20"/>
          <w:szCs w:val="20"/>
        </w:rPr>
        <w:t>Lenti</w:t>
      </w:r>
      <w:proofErr w:type="spellEnd"/>
      <w:r w:rsidRPr="001A3F8F">
        <w:rPr>
          <w:rFonts w:ascii="Times New Roman" w:hAnsi="Times New Roman" w:cs="Times New Roman"/>
          <w:sz w:val="20"/>
          <w:szCs w:val="20"/>
        </w:rPr>
        <w:t>-Control or Control-siRNA) and were not directly compared.</w:t>
      </w:r>
    </w:p>
    <w:p w14:paraId="2EF5A52B" w14:textId="1473E195"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b/>
          <w:bCs/>
          <w:sz w:val="20"/>
          <w:szCs w:val="20"/>
        </w:rPr>
        <w:lastRenderedPageBreak/>
        <w:t xml:space="preserve">SUPPLEMENTARY TABLE </w:t>
      </w:r>
      <w:r w:rsidR="001A3F8F" w:rsidRPr="001A3F8F">
        <w:rPr>
          <w:rFonts w:ascii="Times New Roman" w:hAnsi="Times New Roman" w:cs="Times New Roman"/>
          <w:b/>
          <w:bCs/>
          <w:sz w:val="20"/>
          <w:szCs w:val="20"/>
        </w:rPr>
        <w:t>4</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osteogenic differentiation outcome.</w:t>
      </w:r>
    </w:p>
    <w:tbl>
      <w:tblPr>
        <w:tblStyle w:val="TabeladeLista1Clara5"/>
        <w:tblW w:w="14459" w:type="dxa"/>
        <w:jc w:val="center"/>
        <w:tblLayout w:type="fixed"/>
        <w:tblLook w:val="04A0" w:firstRow="1" w:lastRow="0" w:firstColumn="1" w:lastColumn="0" w:noHBand="0" w:noVBand="1"/>
      </w:tblPr>
      <w:tblGrid>
        <w:gridCol w:w="1673"/>
        <w:gridCol w:w="1588"/>
        <w:gridCol w:w="1015"/>
        <w:gridCol w:w="1201"/>
        <w:gridCol w:w="1327"/>
        <w:gridCol w:w="1272"/>
        <w:gridCol w:w="1280"/>
        <w:gridCol w:w="1160"/>
        <w:gridCol w:w="1737"/>
        <w:gridCol w:w="2206"/>
      </w:tblGrid>
      <w:tr w:rsidR="00513939" w:rsidRPr="001A3F8F" w14:paraId="6BA6A99A" w14:textId="77777777" w:rsidTr="00241200">
        <w:trPr>
          <w:cnfStyle w:val="100000000000" w:firstRow="1" w:lastRow="0" w:firstColumn="0" w:lastColumn="0" w:oddVBand="0" w:evenVBand="0" w:oddHBand="0" w:evenHBand="0" w:firstRowFirstColumn="0" w:firstRowLastColumn="0" w:lastRowFirstColumn="0" w:lastRowLastColumn="0"/>
          <w:trHeight w:val="501"/>
          <w:tblHeader/>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p w14:paraId="20CE235D" w14:textId="7777777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1588" w:type="dxa"/>
            <w:vAlign w:val="center"/>
          </w:tcPr>
          <w:p w14:paraId="1F2F57DE"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1015" w:type="dxa"/>
            <w:vAlign w:val="center"/>
          </w:tcPr>
          <w:p w14:paraId="764A9226"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1201" w:type="dxa"/>
            <w:vAlign w:val="center"/>
          </w:tcPr>
          <w:p w14:paraId="25D5A5F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1327" w:type="dxa"/>
            <w:vAlign w:val="center"/>
          </w:tcPr>
          <w:p w14:paraId="104D5080"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1272" w:type="dxa"/>
            <w:vAlign w:val="center"/>
          </w:tcPr>
          <w:p w14:paraId="0115E877"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1280" w:type="dxa"/>
            <w:vAlign w:val="center"/>
          </w:tcPr>
          <w:p w14:paraId="4083C5E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1160" w:type="dxa"/>
            <w:vAlign w:val="center"/>
          </w:tcPr>
          <w:p w14:paraId="1A4C940D"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1737" w:type="dxa"/>
            <w:vAlign w:val="center"/>
          </w:tcPr>
          <w:p w14:paraId="06D8873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Lower Differentiation Potential</w:t>
            </w:r>
          </w:p>
        </w:tc>
        <w:tc>
          <w:tcPr>
            <w:tcW w:w="2206" w:type="dxa"/>
            <w:vAlign w:val="center"/>
          </w:tcPr>
          <w:p w14:paraId="3BC76627"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515418" w:rsidRPr="001A3F8F" w14:paraId="3985AD63"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2020818244"/>
              <w:placeholder>
                <w:docPart w:val="25711D59B72B484593BD4DF8950A042D"/>
              </w:placeholder>
            </w:sdtPr>
            <w:sdtContent>
              <w:p w14:paraId="73C56510" w14:textId="795852A9" w:rsidR="00515418"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76C31B3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 – LPS and TNF- α</w:t>
            </w:r>
          </w:p>
        </w:tc>
        <w:tc>
          <w:tcPr>
            <w:tcW w:w="1015" w:type="dxa"/>
            <w:vAlign w:val="center"/>
          </w:tcPr>
          <w:p w14:paraId="35F7BEF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7C659CD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613EA3C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3B1E8BDF"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~69.38 ± 5.28</w:t>
            </w:r>
          </w:p>
        </w:tc>
        <w:tc>
          <w:tcPr>
            <w:tcW w:w="1280" w:type="dxa"/>
            <w:vAlign w:val="center"/>
          </w:tcPr>
          <w:p w14:paraId="1DE8BDC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LPS: ~25.33 ± 2.32</w:t>
            </w:r>
          </w:p>
          <w:p w14:paraId="04C57E5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~22.24 ± 1.76</w:t>
            </w:r>
          </w:p>
        </w:tc>
        <w:tc>
          <w:tcPr>
            <w:tcW w:w="1160" w:type="dxa"/>
            <w:vAlign w:val="center"/>
          </w:tcPr>
          <w:p w14:paraId="278CC3E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single" w:sz="4" w:space="0" w:color="666666"/>
              <w:left w:val="nil"/>
              <w:bottom w:val="nil"/>
              <w:right w:val="nil"/>
            </w:tcBorders>
            <w:shd w:val="clear" w:color="000000" w:fill="CCCCCC"/>
            <w:vAlign w:val="center"/>
          </w:tcPr>
          <w:p w14:paraId="5E43FE6F"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7184C4C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LPS: 1 µg/mL</w:t>
            </w:r>
          </w:p>
          <w:p w14:paraId="0D7E326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100 ng/mL</w:t>
            </w:r>
          </w:p>
          <w:p w14:paraId="3D607C1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 weeks.</w:t>
            </w:r>
          </w:p>
        </w:tc>
      </w:tr>
      <w:tr w:rsidR="00515418" w:rsidRPr="001A3F8F" w14:paraId="7E493852"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637489384"/>
              <w:placeholder>
                <w:docPart w:val="1F9D19FD4B434387B4CA97E4DEFEC6C1"/>
              </w:placeholder>
            </w:sdtPr>
            <w:sdtContent>
              <w:p w14:paraId="585994CB" w14:textId="4D9B327D" w:rsidR="00515418"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7FAE03D0"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 – LPS and TNF- α</w:t>
            </w:r>
          </w:p>
        </w:tc>
        <w:tc>
          <w:tcPr>
            <w:tcW w:w="1015" w:type="dxa"/>
            <w:vAlign w:val="center"/>
          </w:tcPr>
          <w:p w14:paraId="51D53B1F"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7C49F82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3CC15BCA"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60EB1EA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~84.36 ± 8.15</w:t>
            </w:r>
          </w:p>
        </w:tc>
        <w:tc>
          <w:tcPr>
            <w:tcW w:w="1280" w:type="dxa"/>
            <w:vAlign w:val="center"/>
          </w:tcPr>
          <w:p w14:paraId="37032D48"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LPS: ~39.64 ± 4.41</w:t>
            </w:r>
          </w:p>
          <w:p w14:paraId="0FECE360"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~19.82 ± 3.52</w:t>
            </w:r>
          </w:p>
        </w:tc>
        <w:tc>
          <w:tcPr>
            <w:tcW w:w="1160" w:type="dxa"/>
            <w:vAlign w:val="center"/>
          </w:tcPr>
          <w:p w14:paraId="0DDB808B"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single" w:sz="12" w:space="0" w:color="auto"/>
              <w:right w:val="nil"/>
            </w:tcBorders>
            <w:vAlign w:val="center"/>
          </w:tcPr>
          <w:p w14:paraId="38DEFD7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tcBorders>
              <w:bottom w:val="single" w:sz="12" w:space="0" w:color="auto"/>
            </w:tcBorders>
            <w:vAlign w:val="center"/>
          </w:tcPr>
          <w:p w14:paraId="5DAF3F3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LPS: 1 µg/mL</w:t>
            </w:r>
          </w:p>
          <w:p w14:paraId="2719BBB0"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100 ng/mL</w:t>
            </w:r>
          </w:p>
          <w:p w14:paraId="21420F14"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 weeks.</w:t>
            </w:r>
          </w:p>
        </w:tc>
      </w:tr>
      <w:tr w:rsidR="00515418" w:rsidRPr="001A3F8F" w14:paraId="4BF6E172"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sdt>
          <w:sdtPr>
            <w:rPr>
              <w:rFonts w:ascii="Times New Roman" w:hAnsi="Times New Roman" w:cs="Times New Roman"/>
              <w:sz w:val="20"/>
              <w:szCs w:val="20"/>
            </w:rPr>
            <w:tag w:val="MENDELEY_CITATION_v3_eyJjaXRhdGlvbklEIjoiTUVOREVMRVlfQ0lUQVRJT05fODFkYTJmMmItNmUyYS00MTBhLWFlMTItODNhOWM1OGI2Yjdl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
            <w:id w:val="-2013903894"/>
            <w:placeholder>
              <w:docPart w:val="00A748D5802849E2A668E405B3F26013"/>
            </w:placeholder>
          </w:sdtPr>
          <w:sdtContent>
            <w:tc>
              <w:tcPr>
                <w:cnfStyle w:val="001000000000" w:firstRow="0" w:lastRow="0" w:firstColumn="1" w:lastColumn="0" w:oddVBand="0" w:evenVBand="0" w:oddHBand="0" w:evenHBand="0" w:firstRowFirstColumn="0" w:firstRowLastColumn="0" w:lastRowFirstColumn="0" w:lastRowLastColumn="0"/>
                <w:tcW w:w="1673" w:type="dxa"/>
                <w:tcBorders>
                  <w:top w:val="single" w:sz="12" w:space="0" w:color="auto"/>
                </w:tcBorders>
                <w:vAlign w:val="center"/>
              </w:tcPr>
              <w:p w14:paraId="5A029B9F" w14:textId="77889F60" w:rsidR="00515418" w:rsidRPr="001A3F8F" w:rsidRDefault="00515418"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Alt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2012</w:t>
                </w:r>
                <w:r>
                  <w:rPr>
                    <w:rFonts w:ascii="Times New Roman" w:hAnsi="Times New Roman" w:cs="Times New Roman"/>
                    <w:sz w:val="20"/>
                    <w:szCs w:val="20"/>
                  </w:rPr>
                  <w:t xml:space="preserve"> [19]</w:t>
                </w:r>
              </w:p>
            </w:tc>
          </w:sdtContent>
        </w:sdt>
        <w:tc>
          <w:tcPr>
            <w:tcW w:w="1588" w:type="dxa"/>
            <w:tcBorders>
              <w:top w:val="single" w:sz="12" w:space="0" w:color="auto"/>
            </w:tcBorders>
            <w:vAlign w:val="center"/>
          </w:tcPr>
          <w:p w14:paraId="31190A1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tcBorders>
              <w:top w:val="single" w:sz="12" w:space="0" w:color="auto"/>
            </w:tcBorders>
            <w:vAlign w:val="center"/>
          </w:tcPr>
          <w:p w14:paraId="28A4DA5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tcBorders>
              <w:top w:val="single" w:sz="12" w:space="0" w:color="auto"/>
            </w:tcBorders>
            <w:vAlign w:val="center"/>
          </w:tcPr>
          <w:p w14:paraId="5759081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tcBorders>
              <w:top w:val="single" w:sz="12" w:space="0" w:color="auto"/>
            </w:tcBorders>
            <w:vAlign w:val="center"/>
          </w:tcPr>
          <w:p w14:paraId="0D98DF1C"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ALP Concentration (ng)</w:t>
            </w:r>
          </w:p>
        </w:tc>
        <w:tc>
          <w:tcPr>
            <w:tcW w:w="1272" w:type="dxa"/>
            <w:tcBorders>
              <w:top w:val="single" w:sz="12" w:space="0" w:color="auto"/>
            </w:tcBorders>
            <w:vAlign w:val="center"/>
          </w:tcPr>
          <w:p w14:paraId="3CB3ECD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~48.73 ± 1.66</w:t>
            </w:r>
          </w:p>
        </w:tc>
        <w:tc>
          <w:tcPr>
            <w:tcW w:w="1280" w:type="dxa"/>
            <w:tcBorders>
              <w:top w:val="single" w:sz="12" w:space="0" w:color="auto"/>
            </w:tcBorders>
            <w:vAlign w:val="center"/>
          </w:tcPr>
          <w:p w14:paraId="5D91F2BC"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~21.34 ± 1.18</w:t>
            </w:r>
          </w:p>
        </w:tc>
        <w:tc>
          <w:tcPr>
            <w:tcW w:w="1160" w:type="dxa"/>
            <w:tcBorders>
              <w:top w:val="single" w:sz="12" w:space="0" w:color="auto"/>
            </w:tcBorders>
            <w:vAlign w:val="center"/>
          </w:tcPr>
          <w:p w14:paraId="4319EF16"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single" w:sz="12" w:space="0" w:color="auto"/>
              <w:left w:val="nil"/>
              <w:bottom w:val="nil"/>
              <w:right w:val="nil"/>
            </w:tcBorders>
            <w:shd w:val="clear" w:color="000000" w:fill="CCCCCC"/>
            <w:vAlign w:val="center"/>
          </w:tcPr>
          <w:p w14:paraId="54F60232"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tcBorders>
              <w:top w:val="single" w:sz="12" w:space="0" w:color="auto"/>
            </w:tcBorders>
            <w:vAlign w:val="center"/>
          </w:tcPr>
          <w:p w14:paraId="7CBF24E2"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group 1 (&lt;20 years), S: group 3 (&gt;50 years). 12 days. Significantly decreased with age; although the p-value was not reported, this finding was described in the results.</w:t>
            </w:r>
          </w:p>
        </w:tc>
      </w:tr>
      <w:tr w:rsidR="00515418" w:rsidRPr="001A3F8F" w14:paraId="487CAA4F"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DMzNWFmYzEtNzFjMy00YmZmLTkxNTUtNjkyNmIyMmI1N2U0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
              <w:id w:val="415302427"/>
              <w:placeholder>
                <w:docPart w:val="86EEF93092C24F3B909A44AC01387755"/>
              </w:placeholder>
            </w:sdtPr>
            <w:sdtContent>
              <w:p w14:paraId="5933A941" w14:textId="5AE15BAB" w:rsidR="00515418"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Choudhery</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[9]</w:t>
                </w:r>
              </w:p>
            </w:sdtContent>
          </w:sdt>
        </w:tc>
        <w:tc>
          <w:tcPr>
            <w:tcW w:w="1588" w:type="dxa"/>
            <w:vAlign w:val="center"/>
          </w:tcPr>
          <w:p w14:paraId="2DF11076"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14113D4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7468D8C2"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75507000"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Von </w:t>
            </w:r>
            <w:proofErr w:type="spellStart"/>
            <w:r w:rsidRPr="001A3F8F">
              <w:rPr>
                <w:rFonts w:ascii="Times New Roman" w:hAnsi="Times New Roman" w:cs="Times New Roman"/>
                <w:sz w:val="20"/>
                <w:szCs w:val="20"/>
              </w:rPr>
              <w:t>Kossa</w:t>
            </w:r>
            <w:proofErr w:type="spellEnd"/>
            <w:r w:rsidRPr="001A3F8F">
              <w:rPr>
                <w:rFonts w:ascii="Times New Roman" w:hAnsi="Times New Roman" w:cs="Times New Roman"/>
                <w:sz w:val="20"/>
                <w:szCs w:val="20"/>
              </w:rPr>
              <w:t xml:space="preserve"> staining (% positive area)</w:t>
            </w:r>
            <w:r w:rsidRPr="001A3F8F">
              <w:rPr>
                <w:rFonts w:ascii="Times New Roman" w:hAnsi="Times New Roman" w:cs="Times New Roman"/>
                <w:sz w:val="20"/>
                <w:szCs w:val="20"/>
              </w:rPr>
              <w:tab/>
            </w:r>
          </w:p>
        </w:tc>
        <w:tc>
          <w:tcPr>
            <w:tcW w:w="1272" w:type="dxa"/>
            <w:vAlign w:val="center"/>
          </w:tcPr>
          <w:p w14:paraId="29E5B500"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20.0% ± 1.7</w:t>
            </w:r>
          </w:p>
        </w:tc>
        <w:tc>
          <w:tcPr>
            <w:tcW w:w="1280" w:type="dxa"/>
            <w:vAlign w:val="center"/>
          </w:tcPr>
          <w:p w14:paraId="6C5D845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8.9% ± 2.2</w:t>
            </w:r>
            <w:r w:rsidRPr="001A3F8F">
              <w:rPr>
                <w:rFonts w:ascii="Times New Roman" w:hAnsi="Times New Roman" w:cs="Times New Roman"/>
                <w:sz w:val="20"/>
                <w:szCs w:val="20"/>
              </w:rPr>
              <w:tab/>
            </w:r>
          </w:p>
        </w:tc>
        <w:tc>
          <w:tcPr>
            <w:tcW w:w="1160" w:type="dxa"/>
            <w:vAlign w:val="center"/>
          </w:tcPr>
          <w:p w14:paraId="5AABA29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vAlign w:val="center"/>
          </w:tcPr>
          <w:p w14:paraId="0588C3A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6AC5FCB5"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group 1 (&lt;30 years), S: group 3 (&gt;60 years). Similar results were obtained when gene expression of OST and ALP was analyzed through quantitative RT-PCR. Induction time was not reported.</w:t>
            </w:r>
          </w:p>
        </w:tc>
      </w:tr>
      <w:tr w:rsidR="00513939" w:rsidRPr="001A3F8F" w14:paraId="4A0668C9"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NTU1ZTMzMzEtNjVhNS00ZWViLTg5ZjctNzczMmQ0OTM1Mjg5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
              <w:id w:val="-142117843"/>
              <w:placeholder>
                <w:docPart w:val="A0D291BD9E1B4BA68A054EED55695F4F"/>
              </w:placeholder>
            </w:sdtPr>
            <w:sdtEndPr/>
            <w:sdtContent>
              <w:sdt>
                <w:sdtPr>
                  <w:rPr>
                    <w:rFonts w:ascii="Times New Roman" w:hAnsi="Times New Roman" w:cs="Times New Roman"/>
                    <w:sz w:val="20"/>
                    <w:szCs w:val="20"/>
                  </w:rPr>
                  <w:tag w:val="MENDELEY_CITATION_v3_eyJjaXRhdGlvbklEIjoiTUVOREVMRVlfQ0lUQVRJT05fYjEzZjhmYmUtMzU2NS00NDA1LThiNDMtMmRiZGFiMmRkY2Iz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
                  <w:id w:val="1437328899"/>
                  <w:placeholder>
                    <w:docPart w:val="4D5C8AFF77CF4B769F0C2C16912788D6"/>
                  </w:placeholder>
                </w:sdtPr>
                <w:sdtContent>
                  <w:p w14:paraId="719E6A98" w14:textId="4EC830F6" w:rsidR="00513939"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Kornicka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2015</w:t>
                    </w:r>
                    <w:r>
                      <w:rPr>
                        <w:rFonts w:ascii="Times New Roman" w:hAnsi="Times New Roman" w:cs="Times New Roman"/>
                        <w:sz w:val="20"/>
                        <w:szCs w:val="20"/>
                      </w:rPr>
                      <w:t xml:space="preserve"> [20]</w:t>
                    </w:r>
                  </w:p>
                </w:sdtContent>
              </w:sdt>
            </w:sdtContent>
          </w:sdt>
        </w:tc>
        <w:tc>
          <w:tcPr>
            <w:tcW w:w="1588" w:type="dxa"/>
            <w:vAlign w:val="center"/>
          </w:tcPr>
          <w:p w14:paraId="656C378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039A84D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59E612C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1327" w:type="dxa"/>
            <w:vAlign w:val="center"/>
          </w:tcPr>
          <w:p w14:paraId="6A6C2A3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SEM/EDX (nº of bone nodules)</w:t>
            </w:r>
          </w:p>
        </w:tc>
        <w:tc>
          <w:tcPr>
            <w:tcW w:w="1272" w:type="dxa"/>
            <w:vAlign w:val="center"/>
          </w:tcPr>
          <w:p w14:paraId="529DA2A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~42.82 ±2.46</w:t>
            </w:r>
          </w:p>
        </w:tc>
        <w:tc>
          <w:tcPr>
            <w:tcW w:w="1280" w:type="dxa"/>
            <w:vAlign w:val="center"/>
          </w:tcPr>
          <w:p w14:paraId="0476C75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~4.51 ± 1.18</w:t>
            </w:r>
          </w:p>
        </w:tc>
        <w:tc>
          <w:tcPr>
            <w:tcW w:w="1160" w:type="dxa"/>
            <w:vAlign w:val="center"/>
          </w:tcPr>
          <w:p w14:paraId="5BCA8EE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shd w:val="clear" w:color="000000" w:fill="CCCCCC"/>
            <w:vAlign w:val="center"/>
          </w:tcPr>
          <w:p w14:paraId="04D816A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70E987A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&gt;20 years, S: &gt;70 years. 16 days. Cells from young donors exhibited greater osteogenic outcomes, including increased calcium and phosphorus deposition in the </w:t>
            </w:r>
            <w:r w:rsidRPr="001A3F8F">
              <w:rPr>
                <w:rFonts w:ascii="Times New Roman" w:hAnsi="Times New Roman" w:cs="Times New Roman"/>
                <w:sz w:val="20"/>
                <w:szCs w:val="20"/>
              </w:rPr>
              <w:lastRenderedPageBreak/>
              <w:t xml:space="preserve">extracellular matrix, enhanced formation of mineralized nodules, higher ALP activity, and elevated expression of osteogenic markers (such as </w:t>
            </w:r>
            <w:r w:rsidRPr="001A3F8F">
              <w:rPr>
                <w:rFonts w:ascii="Times New Roman" w:hAnsi="Times New Roman" w:cs="Times New Roman"/>
                <w:i/>
                <w:iCs/>
                <w:sz w:val="20"/>
                <w:szCs w:val="20"/>
              </w:rPr>
              <w:t>OPN</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OCN</w:t>
            </w:r>
            <w:r w:rsidRPr="001A3F8F">
              <w:rPr>
                <w:rFonts w:ascii="Times New Roman" w:hAnsi="Times New Roman" w:cs="Times New Roman"/>
                <w:sz w:val="20"/>
                <w:szCs w:val="20"/>
              </w:rPr>
              <w:t>). In contrast, these osteogenic features were progressively reduced in cells isolated from older donors.</w:t>
            </w:r>
          </w:p>
        </w:tc>
      </w:tr>
      <w:tr w:rsidR="00513939" w:rsidRPr="001A3F8F" w14:paraId="5B09EC0C"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Dc5MTk0N2EtNzg5ZC00NWY4LThlZDUtNGQyZjQzZDk5NjQ3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37736431"/>
              <w:placeholder>
                <w:docPart w:val="6A5C83B9671947E78D166F3C036FB82D"/>
              </w:placeholder>
            </w:sdtPr>
            <w:sdtEndPr/>
            <w:sdtContent>
              <w:sdt>
                <w:sdtPr>
                  <w:rPr>
                    <w:rFonts w:ascii="Times New Roman" w:hAnsi="Times New Roman" w:cs="Times New Roman"/>
                    <w:sz w:val="20"/>
                    <w:szCs w:val="20"/>
                  </w:rPr>
                  <w:tag w:val="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1835341104"/>
                  <w:placeholder>
                    <w:docPart w:val="79FA8055D2FD4947B4545C2DF350E50A"/>
                  </w:placeholder>
                </w:sdtPr>
                <w:sdtContent>
                  <w:p w14:paraId="72EED3BD" w14:textId="5392D1EF" w:rsidR="00513939"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Legzdina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[44]</w:t>
                    </w:r>
                  </w:p>
                </w:sdtContent>
              </w:sdt>
            </w:sdtContent>
          </w:sdt>
        </w:tc>
        <w:tc>
          <w:tcPr>
            <w:tcW w:w="1588" w:type="dxa"/>
            <w:vAlign w:val="center"/>
          </w:tcPr>
          <w:p w14:paraId="4F3DE90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1520A23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1FFB92B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11391B1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w:t>
            </w:r>
          </w:p>
          <w:p w14:paraId="56D08D8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(Calcium deposits)</w:t>
            </w:r>
          </w:p>
        </w:tc>
        <w:tc>
          <w:tcPr>
            <w:tcW w:w="1272" w:type="dxa"/>
            <w:vAlign w:val="center"/>
          </w:tcPr>
          <w:p w14:paraId="19D1736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vAlign w:val="center"/>
          </w:tcPr>
          <w:p w14:paraId="1344A1E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160" w:type="dxa"/>
            <w:vAlign w:val="center"/>
          </w:tcPr>
          <w:p w14:paraId="4B03642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vAlign w:val="center"/>
          </w:tcPr>
          <w:p w14:paraId="5C25C1B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2F86A23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CS-8 (27 years), S: CS-8 (63 years). 30 days. Alkaline phosphatase activity was positive in both age groups.</w:t>
            </w:r>
          </w:p>
        </w:tc>
      </w:tr>
      <w:tr w:rsidR="00513939" w:rsidRPr="001A3F8F" w14:paraId="76790594"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"/>
              <w:id w:val="126059478"/>
              <w:placeholder>
                <w:docPart w:val="23711F34D0524388A8FCAEB6A4AF215B"/>
              </w:placeholder>
            </w:sdtPr>
            <w:sdtEndPr/>
            <w:sdtContent>
              <w:p w14:paraId="26B180EC" w14:textId="287A9139"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Wu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2013</w:t>
                </w:r>
                <w:r w:rsidR="00515418">
                  <w:rPr>
                    <w:rFonts w:ascii="Times New Roman" w:hAnsi="Times New Roman" w:cs="Times New Roman"/>
                    <w:sz w:val="20"/>
                    <w:szCs w:val="20"/>
                  </w:rPr>
                  <w:t xml:space="preserve"> [37]</w:t>
                </w:r>
              </w:p>
            </w:sdtContent>
          </w:sdt>
        </w:tc>
        <w:tc>
          <w:tcPr>
            <w:tcW w:w="1588" w:type="dxa"/>
            <w:vAlign w:val="center"/>
          </w:tcPr>
          <w:p w14:paraId="02AB9B2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0C6CE51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489D71B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5B21039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Calcium content (µmol/µg)</w:t>
            </w:r>
          </w:p>
        </w:tc>
        <w:tc>
          <w:tcPr>
            <w:tcW w:w="1272" w:type="dxa"/>
            <w:vAlign w:val="center"/>
          </w:tcPr>
          <w:p w14:paraId="1C94962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~6.41 ± 0.59</w:t>
            </w:r>
          </w:p>
        </w:tc>
        <w:tc>
          <w:tcPr>
            <w:tcW w:w="1280" w:type="dxa"/>
            <w:vAlign w:val="center"/>
          </w:tcPr>
          <w:p w14:paraId="0B50E9C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~4.0.3 ± 0.13</w:t>
            </w:r>
          </w:p>
        </w:tc>
        <w:tc>
          <w:tcPr>
            <w:tcW w:w="1160" w:type="dxa"/>
            <w:vAlign w:val="center"/>
          </w:tcPr>
          <w:p w14:paraId="3A26279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737" w:type="dxa"/>
            <w:tcBorders>
              <w:top w:val="nil"/>
              <w:left w:val="nil"/>
              <w:bottom w:val="nil"/>
              <w:right w:val="nil"/>
            </w:tcBorders>
            <w:shd w:val="clear" w:color="000000" w:fill="CCCCCC"/>
            <w:vAlign w:val="center"/>
          </w:tcPr>
          <w:p w14:paraId="64C924E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13992DA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infant, S: adult. Data are shown for day 21; days 7 and 14 were also evaluated. Osteogenic differentiation decreased with age, with higher mineralized matrix deposition and </w:t>
            </w:r>
            <w:r w:rsidRPr="001A3F8F">
              <w:rPr>
                <w:rFonts w:ascii="Times New Roman" w:hAnsi="Times New Roman" w:cs="Times New Roman"/>
                <w:i/>
                <w:iCs/>
                <w:sz w:val="20"/>
                <w:szCs w:val="20"/>
              </w:rPr>
              <w:t>RUNX-2</w:t>
            </w:r>
            <w:r w:rsidRPr="001A3F8F">
              <w:rPr>
                <w:rFonts w:ascii="Times New Roman" w:hAnsi="Times New Roman" w:cs="Times New Roman"/>
                <w:sz w:val="20"/>
                <w:szCs w:val="20"/>
              </w:rPr>
              <w:t xml:space="preserve"> expression in infant donors and reduced calcium phosphate content in elderly donors. Paracrine </w:t>
            </w:r>
            <w:proofErr w:type="spellStart"/>
            <w:r w:rsidRPr="001A3F8F">
              <w:rPr>
                <w:rFonts w:ascii="Times New Roman" w:hAnsi="Times New Roman" w:cs="Times New Roman"/>
                <w:sz w:val="20"/>
                <w:szCs w:val="20"/>
              </w:rPr>
              <w:t>osteoinductive</w:t>
            </w:r>
            <w:proofErr w:type="spellEnd"/>
            <w:r w:rsidRPr="001A3F8F">
              <w:rPr>
                <w:rFonts w:ascii="Times New Roman" w:hAnsi="Times New Roman" w:cs="Times New Roman"/>
                <w:sz w:val="20"/>
                <w:szCs w:val="20"/>
              </w:rPr>
              <w:t xml:space="preserve"> factor expression, including </w:t>
            </w:r>
            <w:r w:rsidRPr="001A3F8F">
              <w:rPr>
                <w:rFonts w:ascii="Times New Roman" w:hAnsi="Times New Roman" w:cs="Times New Roman"/>
                <w:i/>
                <w:iCs/>
                <w:sz w:val="20"/>
                <w:szCs w:val="20"/>
              </w:rPr>
              <w:t>BMP-2</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TGF-β</w:t>
            </w:r>
            <w:r w:rsidRPr="001A3F8F">
              <w:rPr>
                <w:rFonts w:ascii="Times New Roman" w:hAnsi="Times New Roman" w:cs="Times New Roman"/>
                <w:sz w:val="20"/>
                <w:szCs w:val="20"/>
              </w:rPr>
              <w:t>, was preserved across ages.</w:t>
            </w:r>
          </w:p>
        </w:tc>
      </w:tr>
      <w:tr w:rsidR="00515418" w:rsidRPr="001A3F8F" w14:paraId="0E39B4C7"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GYzNTA4MmQtZGU0Yy00MTQ4LTkwNjctNDQ5YWYyOTRiZTQ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
              <w:id w:val="1438330688"/>
              <w:placeholder>
                <w:docPart w:val="B2DD6772AB25421F930AA83F6D35C661"/>
              </w:placeholder>
            </w:sdtPr>
            <w:sdtContent>
              <w:p w14:paraId="1BD7FB86" w14:textId="0F6A632D" w:rsidR="00515418" w:rsidRPr="001A3F8F" w:rsidRDefault="00515418" w:rsidP="00AE20BE">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Wu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2022</w:t>
                </w:r>
                <w:r>
                  <w:rPr>
                    <w:rFonts w:ascii="Times New Roman" w:hAnsi="Times New Roman" w:cs="Times New Roman"/>
                    <w:sz w:val="20"/>
                    <w:szCs w:val="20"/>
                    <w:lang w:val="pt-BR"/>
                  </w:rPr>
                  <w:t xml:space="preserve"> [21]</w:t>
                </w:r>
              </w:p>
            </w:sdtContent>
          </w:sdt>
        </w:tc>
        <w:tc>
          <w:tcPr>
            <w:tcW w:w="1588" w:type="dxa"/>
            <w:vAlign w:val="center"/>
          </w:tcPr>
          <w:p w14:paraId="47D907CA"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6C0CAE7E"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3D8EF702"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30A6DC7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OCN</w:t>
            </w:r>
          </w:p>
        </w:tc>
        <w:tc>
          <w:tcPr>
            <w:tcW w:w="1272" w:type="dxa"/>
            <w:vAlign w:val="center"/>
          </w:tcPr>
          <w:p w14:paraId="0C64D225"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~1.96 ± 0.51</w:t>
            </w:r>
          </w:p>
        </w:tc>
        <w:tc>
          <w:tcPr>
            <w:tcW w:w="1280" w:type="dxa"/>
            <w:vAlign w:val="center"/>
          </w:tcPr>
          <w:p w14:paraId="12DE942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~27.14 ± 3.08</w:t>
            </w:r>
          </w:p>
        </w:tc>
        <w:tc>
          <w:tcPr>
            <w:tcW w:w="1160" w:type="dxa"/>
            <w:vAlign w:val="center"/>
          </w:tcPr>
          <w:p w14:paraId="7FE69DA4"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vAlign w:val="center"/>
          </w:tcPr>
          <w:p w14:paraId="4D3A97F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2206" w:type="dxa"/>
            <w:vAlign w:val="center"/>
          </w:tcPr>
          <w:p w14:paraId="5BE57EAE"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Infant, S: Adult. 7 days. </w:t>
            </w:r>
            <w:r w:rsidRPr="001A3F8F">
              <w:rPr>
                <w:rFonts w:ascii="Times New Roman" w:hAnsi="Times New Roman" w:cs="Times New Roman"/>
                <w:i/>
                <w:iCs/>
                <w:sz w:val="20"/>
                <w:szCs w:val="20"/>
              </w:rPr>
              <w:t xml:space="preserve">RUNX </w:t>
            </w:r>
            <w:r w:rsidRPr="001A3F8F">
              <w:rPr>
                <w:rFonts w:ascii="Times New Roman" w:hAnsi="Times New Roman" w:cs="Times New Roman"/>
                <w:sz w:val="20"/>
                <w:szCs w:val="20"/>
              </w:rPr>
              <w:t xml:space="preserve">expression </w:t>
            </w:r>
            <w:r w:rsidRPr="001A3F8F">
              <w:rPr>
                <w:rFonts w:ascii="Times New Roman" w:hAnsi="Times New Roman" w:cs="Times New Roman"/>
                <w:sz w:val="20"/>
                <w:szCs w:val="20"/>
              </w:rPr>
              <w:lastRenderedPageBreak/>
              <w:t>was higher in the adult group.</w:t>
            </w:r>
          </w:p>
        </w:tc>
      </w:tr>
      <w:tr w:rsidR="00513939" w:rsidRPr="001A3F8F" w14:paraId="3FDCE987"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DI5MzI0ZDYtMzI3Ni00MjM3LTg3MWQtOGRlZWU1NWRiNzE0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
              <w:id w:val="-471221048"/>
              <w:placeholder>
                <w:docPart w:val="24DB025CE67D458DAB83588558334E5B"/>
              </w:placeholder>
            </w:sdtPr>
            <w:sdtEndPr/>
            <w:sdtContent>
              <w:p w14:paraId="56D8E86B" w14:textId="59F41D8B"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Ye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sidR="00515418">
                  <w:rPr>
                    <w:rFonts w:ascii="Times New Roman" w:hAnsi="Times New Roman" w:cs="Times New Roman"/>
                    <w:sz w:val="20"/>
                    <w:szCs w:val="20"/>
                  </w:rPr>
                  <w:t xml:space="preserve"> [38]</w:t>
                </w:r>
              </w:p>
            </w:sdtContent>
          </w:sdt>
        </w:tc>
        <w:tc>
          <w:tcPr>
            <w:tcW w:w="1588" w:type="dxa"/>
            <w:vAlign w:val="center"/>
          </w:tcPr>
          <w:p w14:paraId="5A593E9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2CC2178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2D0D10C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1327" w:type="dxa"/>
            <w:vAlign w:val="center"/>
          </w:tcPr>
          <w:p w14:paraId="694A46E3"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 positive area)</w:t>
            </w:r>
          </w:p>
        </w:tc>
        <w:tc>
          <w:tcPr>
            <w:tcW w:w="1272" w:type="dxa"/>
            <w:vAlign w:val="center"/>
          </w:tcPr>
          <w:p w14:paraId="618E581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86.7 ± 10.0</w:t>
            </w:r>
          </w:p>
        </w:tc>
        <w:tc>
          <w:tcPr>
            <w:tcW w:w="1280" w:type="dxa"/>
            <w:vAlign w:val="center"/>
          </w:tcPr>
          <w:p w14:paraId="2CD569B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65.1 ± 15.1</w:t>
            </w:r>
          </w:p>
        </w:tc>
        <w:tc>
          <w:tcPr>
            <w:tcW w:w="1160" w:type="dxa"/>
            <w:vAlign w:val="center"/>
          </w:tcPr>
          <w:p w14:paraId="1244FCF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737" w:type="dxa"/>
            <w:tcBorders>
              <w:top w:val="nil"/>
              <w:left w:val="nil"/>
              <w:bottom w:val="nil"/>
              <w:right w:val="nil"/>
            </w:tcBorders>
            <w:shd w:val="clear" w:color="000000" w:fill="CCCCCC"/>
            <w:vAlign w:val="center"/>
          </w:tcPr>
          <w:p w14:paraId="7BA8D8F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1798115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 weeks. Alizarin Red S solubilization (OD 562 nm) revealed a significant reduction in the S group (p &lt; 0.01).</w:t>
            </w:r>
          </w:p>
        </w:tc>
      </w:tr>
      <w:tr w:rsidR="00513939" w:rsidRPr="001A3F8F" w14:paraId="616E490F" w14:textId="77777777" w:rsidTr="00241200">
        <w:trPr>
          <w:trHeight w:val="501"/>
          <w:jc w:val="center"/>
        </w:trPr>
        <w:sdt>
          <w:sdtPr>
            <w:rPr>
              <w:rFonts w:ascii="Times New Roman" w:hAnsi="Times New Roman" w:cs="Times New Roman"/>
              <w:sz w:val="20"/>
              <w:szCs w:val="20"/>
            </w:rPr>
            <w:tag w:val="MENDELEY_CITATION_v3_eyJjaXRhdGlvbklEIjoiTUVOREVMRVlfQ0lUQVRJT05fZGZjYTI4MWQtNjhlNS00NjI2LTgwNWQtZThiMjlkZTc0ZTNh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
            <w:id w:val="-1684655316"/>
            <w:placeholder>
              <w:docPart w:val="B4E08A22472642958A754C8A2DB2D001"/>
            </w:placeholder>
          </w:sdtPr>
          <w:sdtEndPr/>
          <w:sdtContent>
            <w:tc>
              <w:tcPr>
                <w:cnfStyle w:val="001000000000" w:firstRow="0" w:lastRow="0" w:firstColumn="1" w:lastColumn="0" w:oddVBand="0" w:evenVBand="0" w:oddHBand="0" w:evenHBand="0" w:firstRowFirstColumn="0" w:firstRowLastColumn="0" w:lastRowFirstColumn="0" w:lastRowLastColumn="0"/>
                <w:tcW w:w="1673" w:type="dxa"/>
                <w:vAlign w:val="center"/>
              </w:tcPr>
              <w:p w14:paraId="18F7B41D" w14:textId="768AC9E4"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Stolzing</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sidR="00515418">
                  <w:rPr>
                    <w:rFonts w:ascii="Times New Roman" w:hAnsi="Times New Roman" w:cs="Times New Roman"/>
                    <w:sz w:val="20"/>
                    <w:szCs w:val="20"/>
                  </w:rPr>
                  <w:t xml:space="preserve"> [28]</w:t>
                </w:r>
              </w:p>
            </w:tc>
          </w:sdtContent>
        </w:sdt>
        <w:tc>
          <w:tcPr>
            <w:tcW w:w="1588" w:type="dxa"/>
            <w:vAlign w:val="center"/>
          </w:tcPr>
          <w:p w14:paraId="71C58EB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43017FB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2B8E4D6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0D3C36C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ALP activity (nmol p-NP/min/10⁴ cells)</w:t>
            </w:r>
          </w:p>
        </w:tc>
        <w:tc>
          <w:tcPr>
            <w:tcW w:w="1272" w:type="dxa"/>
            <w:vAlign w:val="center"/>
          </w:tcPr>
          <w:p w14:paraId="5A0EE36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1.45 ± 0.1</w:t>
            </w:r>
          </w:p>
        </w:tc>
        <w:tc>
          <w:tcPr>
            <w:tcW w:w="1280" w:type="dxa"/>
            <w:vAlign w:val="center"/>
          </w:tcPr>
          <w:p w14:paraId="0838036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0.54 ± 0.04</w:t>
            </w:r>
          </w:p>
        </w:tc>
        <w:tc>
          <w:tcPr>
            <w:tcW w:w="1160" w:type="dxa"/>
            <w:vAlign w:val="center"/>
          </w:tcPr>
          <w:p w14:paraId="67E827D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vAlign w:val="center"/>
          </w:tcPr>
          <w:p w14:paraId="504E3D2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648BC76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 days.</w:t>
            </w:r>
          </w:p>
        </w:tc>
      </w:tr>
      <w:tr w:rsidR="00515418" w:rsidRPr="001A3F8F" w14:paraId="23F2C07A"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NWQ5NGY5NWMtMjc3My00NjQxLWI4M2UtNDFiZjA4Yjc5MDRi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
              <w:id w:val="2097591555"/>
              <w:placeholder>
                <w:docPart w:val="49C2729EE7CE4AFC9E0806651A1569C9"/>
              </w:placeholder>
            </w:sdtPr>
            <w:sdtContent>
              <w:p w14:paraId="5EF5A195" w14:textId="78859BF7" w:rsidR="00515418" w:rsidRPr="001A3F8F" w:rsidRDefault="00515418"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Chen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[23]</w:t>
                </w:r>
              </w:p>
            </w:sdtContent>
          </w:sdt>
        </w:tc>
        <w:tc>
          <w:tcPr>
            <w:tcW w:w="1588" w:type="dxa"/>
            <w:vAlign w:val="center"/>
          </w:tcPr>
          <w:p w14:paraId="1044C8D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39DAAA2A"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14BEEBF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7B6F535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w:t>
            </w:r>
          </w:p>
        </w:tc>
        <w:tc>
          <w:tcPr>
            <w:tcW w:w="1272" w:type="dxa"/>
            <w:vAlign w:val="center"/>
          </w:tcPr>
          <w:p w14:paraId="78DD576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vAlign w:val="center"/>
          </w:tcPr>
          <w:p w14:paraId="5E6EA46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160" w:type="dxa"/>
            <w:vAlign w:val="center"/>
          </w:tcPr>
          <w:p w14:paraId="55A677E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6E52F3B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7F5CBE0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21 days. No quantitative analysis was performed.</w:t>
            </w:r>
          </w:p>
        </w:tc>
      </w:tr>
      <w:tr w:rsidR="00515418" w:rsidRPr="001A3F8F" w14:paraId="37007BC9"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DRlNTUxMGQtYWQ1Yy00NWMyLThkN2UtMzIxYTJkZjdhZTVlIiwicHJvcGVydGllcyI6eyJub3RlSW5kZXgiOjB9LCJpc0VkaXRlZCI6ZmFsc2UsIm1hbnVhbE92ZXJyaWRlIjp7ImlzTWFudWFsbHlPdmVycmlkZGVuIjp0cnVlLCJjaXRlcHJvY1RleHQiOiIoWC4gRmVuZywgWGluZywgZXQgYWwuLCAyMDE0KSIsIm1hbnVhbE92ZXJyaWRlVGV4dCI6IihGZW5nIGV0IGFsLiwgMjAxNCli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
              <w:id w:val="-798994904"/>
              <w:placeholder>
                <w:docPart w:val="9B7CEE1FA3154900B1C06831B16F7D86"/>
              </w:placeholder>
            </w:sdtPr>
            <w:sdtContent>
              <w:p w14:paraId="32CEC922" w14:textId="51239828" w:rsidR="00515418" w:rsidRPr="001A3F8F" w:rsidRDefault="00515418"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[24]</w:t>
                </w:r>
              </w:p>
            </w:sdtContent>
          </w:sdt>
        </w:tc>
        <w:tc>
          <w:tcPr>
            <w:tcW w:w="1588" w:type="dxa"/>
            <w:vAlign w:val="center"/>
          </w:tcPr>
          <w:p w14:paraId="4206FBC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20F53C96"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7B220AA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640073ED"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Alizarin Red Staining (OD) </w:t>
            </w:r>
          </w:p>
        </w:tc>
        <w:tc>
          <w:tcPr>
            <w:tcW w:w="1272" w:type="dxa"/>
            <w:vAlign w:val="center"/>
          </w:tcPr>
          <w:p w14:paraId="006C264A"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0.08</w:t>
            </w:r>
          </w:p>
        </w:tc>
        <w:tc>
          <w:tcPr>
            <w:tcW w:w="1280" w:type="dxa"/>
            <w:vAlign w:val="center"/>
          </w:tcPr>
          <w:p w14:paraId="50059A88"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~0.29 ± 0.04</w:t>
            </w:r>
          </w:p>
        </w:tc>
        <w:tc>
          <w:tcPr>
            <w:tcW w:w="1160" w:type="dxa"/>
            <w:vAlign w:val="center"/>
          </w:tcPr>
          <w:p w14:paraId="02062F5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737" w:type="dxa"/>
            <w:tcBorders>
              <w:top w:val="nil"/>
              <w:left w:val="nil"/>
              <w:bottom w:val="nil"/>
              <w:right w:val="nil"/>
            </w:tcBorders>
            <w:vAlign w:val="center"/>
          </w:tcPr>
          <w:p w14:paraId="42532367"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0A81F77F"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21 days.</w:t>
            </w:r>
          </w:p>
        </w:tc>
      </w:tr>
      <w:tr w:rsidR="00DC0A0B" w:rsidRPr="001A3F8F" w14:paraId="02D1FA16"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
              <w:id w:val="-585613033"/>
              <w:placeholder>
                <w:docPart w:val="2D24E83ADAFB48E0BD1C910AC0E32B61"/>
              </w:placeholder>
            </w:sdtPr>
            <w:sdtContent>
              <w:p w14:paraId="28998DC9" w14:textId="20AC8401"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Horibe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[12]</w:t>
                </w:r>
              </w:p>
            </w:sdtContent>
          </w:sdt>
        </w:tc>
        <w:tc>
          <w:tcPr>
            <w:tcW w:w="1588" w:type="dxa"/>
            <w:vAlign w:val="center"/>
          </w:tcPr>
          <w:p w14:paraId="25E1219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48D2D2A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5AE85C5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1327" w:type="dxa"/>
            <w:vAlign w:val="center"/>
          </w:tcPr>
          <w:p w14:paraId="1F2B18E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w:t>
            </w:r>
          </w:p>
        </w:tc>
        <w:tc>
          <w:tcPr>
            <w:tcW w:w="1272" w:type="dxa"/>
            <w:vAlign w:val="center"/>
          </w:tcPr>
          <w:p w14:paraId="5366F83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positive </w:t>
            </w:r>
          </w:p>
        </w:tc>
        <w:tc>
          <w:tcPr>
            <w:tcW w:w="1280" w:type="dxa"/>
            <w:vAlign w:val="center"/>
          </w:tcPr>
          <w:p w14:paraId="304DF6F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160" w:type="dxa"/>
            <w:vAlign w:val="center"/>
          </w:tcPr>
          <w:p w14:paraId="3A08C53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shd w:val="clear" w:color="000000" w:fill="CCCCCC"/>
            <w:vAlign w:val="center"/>
          </w:tcPr>
          <w:p w14:paraId="7D82942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1579F5A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28 days. </w:t>
            </w:r>
            <w:r w:rsidRPr="001A3F8F">
              <w:rPr>
                <w:rFonts w:ascii="Times New Roman" w:hAnsi="Times New Roman" w:cs="Times New Roman"/>
                <w:i/>
                <w:iCs/>
                <w:sz w:val="20"/>
                <w:szCs w:val="20"/>
              </w:rPr>
              <w:t xml:space="preserve">OCN </w:t>
            </w:r>
            <w:r w:rsidRPr="001A3F8F">
              <w:rPr>
                <w:rFonts w:ascii="Times New Roman" w:hAnsi="Times New Roman" w:cs="Times New Roman"/>
                <w:sz w:val="20"/>
                <w:szCs w:val="20"/>
              </w:rPr>
              <w:t>expression assessed by RT-PCR was similar in both groups.</w:t>
            </w:r>
          </w:p>
        </w:tc>
      </w:tr>
      <w:tr w:rsidR="00DC0A0B" w:rsidRPr="001A3F8F" w14:paraId="1C04FB6C"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lkYjE5MDQtZTBmMC00ZmFiLThkMDAtOWRkOTE2OGM3Zjky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
              <w:id w:val="-330604055"/>
              <w:placeholder>
                <w:docPart w:val="41EE947A68FF4BF8B83DFF48CB960042"/>
              </w:placeholder>
            </w:sdtPr>
            <w:sdtContent>
              <w:p w14:paraId="4C73DF7B" w14:textId="5CAFAC54"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Iezzi</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Pr>
                    <w:rFonts w:ascii="Times New Roman" w:hAnsi="Times New Roman" w:cs="Times New Roman"/>
                    <w:sz w:val="20"/>
                    <w:szCs w:val="20"/>
                  </w:rPr>
                  <w:t xml:space="preserve"> [25]</w:t>
                </w:r>
              </w:p>
            </w:sdtContent>
          </w:sdt>
        </w:tc>
        <w:tc>
          <w:tcPr>
            <w:tcW w:w="1588" w:type="dxa"/>
            <w:vAlign w:val="center"/>
          </w:tcPr>
          <w:p w14:paraId="1451421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vAlign w:val="center"/>
          </w:tcPr>
          <w:p w14:paraId="0C610CA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022F212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6517E81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(540 nm)</w:t>
            </w:r>
          </w:p>
        </w:tc>
        <w:tc>
          <w:tcPr>
            <w:tcW w:w="1272" w:type="dxa"/>
            <w:vAlign w:val="center"/>
          </w:tcPr>
          <w:p w14:paraId="61300ED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~5.40 ± 0.29</w:t>
            </w:r>
          </w:p>
        </w:tc>
        <w:tc>
          <w:tcPr>
            <w:tcW w:w="1280" w:type="dxa"/>
            <w:vAlign w:val="center"/>
          </w:tcPr>
          <w:p w14:paraId="0BB6B72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~2.32 ± 0.13</w:t>
            </w:r>
          </w:p>
        </w:tc>
        <w:tc>
          <w:tcPr>
            <w:tcW w:w="1160" w:type="dxa"/>
            <w:vAlign w:val="center"/>
          </w:tcPr>
          <w:p w14:paraId="7B9C697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737" w:type="dxa"/>
            <w:tcBorders>
              <w:top w:val="nil"/>
              <w:left w:val="nil"/>
              <w:bottom w:val="nil"/>
              <w:right w:val="nil"/>
            </w:tcBorders>
            <w:vAlign w:val="center"/>
          </w:tcPr>
          <w:p w14:paraId="3A8608F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4311C6D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group A (21 years), S: group C (64 years). 14 days. 3 weeks. Reduced ALP staining and significantly decreased osteogenesis-related gene expression were observed in aged group (</w:t>
            </w:r>
            <w:r w:rsidRPr="001A3F8F">
              <w:rPr>
                <w:rFonts w:ascii="Times New Roman" w:hAnsi="Times New Roman" w:cs="Times New Roman"/>
                <w:i/>
                <w:iCs/>
                <w:sz w:val="20"/>
                <w:szCs w:val="20"/>
              </w:rPr>
              <w:t>RUNX2, BGLAP, BMP2, β-catenin, DMP1, DSPP</w:t>
            </w:r>
            <w:r w:rsidRPr="001A3F8F">
              <w:rPr>
                <w:rFonts w:ascii="Times New Roman" w:hAnsi="Times New Roman" w:cs="Times New Roman"/>
                <w:sz w:val="20"/>
                <w:szCs w:val="20"/>
              </w:rPr>
              <w:t xml:space="preserve">). </w:t>
            </w:r>
          </w:p>
        </w:tc>
      </w:tr>
      <w:tr w:rsidR="00DC0A0B" w:rsidRPr="001A3F8F" w14:paraId="3345FEA6"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"/>
              <w:id w:val="1889224122"/>
              <w:placeholder>
                <w:docPart w:val="B747CEB4F2AB4FD18567E64AD2E14753"/>
              </w:placeholder>
            </w:sdtPr>
            <w:sdtContent>
              <w:p w14:paraId="062E1A41" w14:textId="0A461E2B"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Pr>
                    <w:rFonts w:ascii="Times New Roman" w:hAnsi="Times New Roman" w:cs="Times New Roman"/>
                    <w:sz w:val="20"/>
                    <w:szCs w:val="20"/>
                  </w:rPr>
                  <w:t xml:space="preserve"> [26]</w:t>
                </w:r>
              </w:p>
            </w:sdtContent>
          </w:sdt>
        </w:tc>
        <w:tc>
          <w:tcPr>
            <w:tcW w:w="1588" w:type="dxa"/>
            <w:tcBorders>
              <w:bottom w:val="single" w:sz="12" w:space="0" w:color="auto"/>
            </w:tcBorders>
            <w:vAlign w:val="center"/>
          </w:tcPr>
          <w:p w14:paraId="31B1F60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015" w:type="dxa"/>
            <w:tcBorders>
              <w:bottom w:val="single" w:sz="12" w:space="0" w:color="auto"/>
            </w:tcBorders>
            <w:vAlign w:val="center"/>
          </w:tcPr>
          <w:p w14:paraId="1338FA5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tcBorders>
              <w:bottom w:val="single" w:sz="12" w:space="0" w:color="auto"/>
            </w:tcBorders>
            <w:vAlign w:val="center"/>
          </w:tcPr>
          <w:p w14:paraId="0BE77B4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tcBorders>
              <w:bottom w:val="single" w:sz="12" w:space="0" w:color="auto"/>
            </w:tcBorders>
            <w:vAlign w:val="center"/>
          </w:tcPr>
          <w:p w14:paraId="4A70E65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w:t>
            </w:r>
          </w:p>
        </w:tc>
        <w:tc>
          <w:tcPr>
            <w:tcW w:w="1272" w:type="dxa"/>
            <w:tcBorders>
              <w:bottom w:val="single" w:sz="12" w:space="0" w:color="auto"/>
            </w:tcBorders>
            <w:vAlign w:val="center"/>
          </w:tcPr>
          <w:p w14:paraId="6841CDD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tcBorders>
              <w:bottom w:val="single" w:sz="12" w:space="0" w:color="auto"/>
            </w:tcBorders>
            <w:vAlign w:val="center"/>
          </w:tcPr>
          <w:p w14:paraId="3F8234A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160" w:type="dxa"/>
            <w:tcBorders>
              <w:bottom w:val="single" w:sz="12" w:space="0" w:color="auto"/>
            </w:tcBorders>
            <w:vAlign w:val="center"/>
          </w:tcPr>
          <w:p w14:paraId="0129CC9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1737" w:type="dxa"/>
            <w:tcBorders>
              <w:top w:val="nil"/>
              <w:left w:val="nil"/>
              <w:bottom w:val="single" w:sz="12" w:space="0" w:color="auto"/>
              <w:right w:val="nil"/>
            </w:tcBorders>
            <w:shd w:val="clear" w:color="000000" w:fill="CCCCCC"/>
            <w:vAlign w:val="center"/>
          </w:tcPr>
          <w:p w14:paraId="3B99CCD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tcBorders>
              <w:bottom w:val="single" w:sz="12" w:space="0" w:color="auto"/>
            </w:tcBorders>
            <w:vAlign w:val="center"/>
          </w:tcPr>
          <w:p w14:paraId="165418B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7 days. </w:t>
            </w:r>
          </w:p>
        </w:tc>
      </w:tr>
      <w:tr w:rsidR="00DC0A0B" w:rsidRPr="001A3F8F" w14:paraId="54DF751B"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tcBorders>
              <w:top w:val="single" w:sz="12" w:space="0" w:color="auto"/>
            </w:tcBorders>
            <w:vAlign w:val="center"/>
          </w:tcPr>
          <w:sdt>
            <w:sdtPr>
              <w:rPr>
                <w:rFonts w:ascii="Times New Roman" w:hAnsi="Times New Roman" w:cs="Times New Roman"/>
                <w:sz w:val="20"/>
                <w:szCs w:val="20"/>
              </w:rPr>
              <w:tag w:val="MENDELEY_CITATION_v3_eyJjaXRhdGlvbklEIjoiTUVOREVMRVlfQ0lUQVRJT05fYTg3ZjExNDEtY2YxYS00YzgzLWFjY2YtNmRlZTAyMmVhZDMx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
              <w:id w:val="-1540814648"/>
              <w:placeholder>
                <w:docPart w:val="2E5D62927DBD4C498537403C3A1FF41D"/>
              </w:placeholder>
            </w:sdtPr>
            <w:sdtContent>
              <w:p w14:paraId="1F47070A" w14:textId="7FA270A8"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Christodoulou</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2013</w:t>
                </w:r>
                <w:r>
                  <w:rPr>
                    <w:rFonts w:ascii="Times New Roman" w:hAnsi="Times New Roman" w:cs="Times New Roman"/>
                    <w:sz w:val="20"/>
                    <w:szCs w:val="20"/>
                    <w:lang w:val="pt-BR"/>
                  </w:rPr>
                  <w:t xml:space="preserve"> [33]</w:t>
                </w:r>
              </w:p>
            </w:sdtContent>
          </w:sdt>
        </w:tc>
        <w:tc>
          <w:tcPr>
            <w:tcW w:w="1588" w:type="dxa"/>
            <w:tcBorders>
              <w:top w:val="single" w:sz="12" w:space="0" w:color="auto"/>
            </w:tcBorders>
            <w:vAlign w:val="center"/>
          </w:tcPr>
          <w:p w14:paraId="02E5D13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tcBorders>
              <w:top w:val="single" w:sz="12" w:space="0" w:color="auto"/>
            </w:tcBorders>
            <w:vAlign w:val="center"/>
          </w:tcPr>
          <w:p w14:paraId="459808D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tcBorders>
              <w:top w:val="single" w:sz="12" w:space="0" w:color="auto"/>
            </w:tcBorders>
            <w:vAlign w:val="center"/>
          </w:tcPr>
          <w:p w14:paraId="7498F6F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tcBorders>
              <w:top w:val="single" w:sz="12" w:space="0" w:color="auto"/>
            </w:tcBorders>
            <w:vAlign w:val="center"/>
          </w:tcPr>
          <w:p w14:paraId="2B47CCD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w:t>
            </w:r>
          </w:p>
        </w:tc>
        <w:tc>
          <w:tcPr>
            <w:tcW w:w="1272" w:type="dxa"/>
            <w:tcBorders>
              <w:top w:val="single" w:sz="12" w:space="0" w:color="auto"/>
            </w:tcBorders>
            <w:vAlign w:val="center"/>
          </w:tcPr>
          <w:p w14:paraId="7C8AC71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&gt;50 nodules</w:t>
            </w:r>
          </w:p>
        </w:tc>
        <w:tc>
          <w:tcPr>
            <w:tcW w:w="1280" w:type="dxa"/>
            <w:tcBorders>
              <w:top w:val="single" w:sz="12" w:space="0" w:color="auto"/>
            </w:tcBorders>
            <w:vAlign w:val="center"/>
          </w:tcPr>
          <w:p w14:paraId="7304E63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&lt;20 nodules</w:t>
            </w:r>
          </w:p>
        </w:tc>
        <w:tc>
          <w:tcPr>
            <w:tcW w:w="1160" w:type="dxa"/>
            <w:tcBorders>
              <w:top w:val="single" w:sz="12" w:space="0" w:color="auto"/>
            </w:tcBorders>
            <w:vAlign w:val="center"/>
          </w:tcPr>
          <w:p w14:paraId="1E01C28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single" w:sz="12" w:space="0" w:color="auto"/>
              <w:left w:val="nil"/>
              <w:bottom w:val="nil"/>
              <w:right w:val="nil"/>
            </w:tcBorders>
            <w:vAlign w:val="center"/>
          </w:tcPr>
          <w:p w14:paraId="44914F9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tcBorders>
              <w:top w:val="single" w:sz="12" w:space="0" w:color="auto"/>
            </w:tcBorders>
            <w:vAlign w:val="center"/>
          </w:tcPr>
          <w:p w14:paraId="15A7792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P2, S: P10. 21 days. Early passage showed </w:t>
            </w:r>
            <w:r w:rsidRPr="001A3F8F">
              <w:rPr>
                <w:rFonts w:ascii="Times New Roman" w:hAnsi="Times New Roman" w:cs="Times New Roman"/>
                <w:sz w:val="20"/>
                <w:szCs w:val="20"/>
              </w:rPr>
              <w:lastRenderedPageBreak/>
              <w:t>robust osteogenic capacity assessed by calcium deposition, and CFU-ALP assays, whereas late passage (P10) cells exhibited reduced osteogenic outcomes.</w:t>
            </w:r>
          </w:p>
        </w:tc>
      </w:tr>
      <w:tr w:rsidR="00DC0A0B" w:rsidRPr="001A3F8F" w14:paraId="35BAEF57"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OTBkMzAzZDgtNjkxNi00MTFmLTg0YTktNGNhN2E3YzczOGVh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
              <w:id w:val="1269657229"/>
              <w:placeholder>
                <w:docPart w:val="C9C19752AFC5448AAF5879AD6C0EC842"/>
              </w:placeholder>
            </w:sdtPr>
            <w:sdtContent>
              <w:p w14:paraId="1B9C5F88" w14:textId="545DC9D1"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Gruber</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2012</w:t>
                </w:r>
                <w:r>
                  <w:rPr>
                    <w:rFonts w:ascii="Times New Roman" w:hAnsi="Times New Roman" w:cs="Times New Roman"/>
                    <w:sz w:val="20"/>
                    <w:szCs w:val="20"/>
                    <w:lang w:val="pt-BR"/>
                  </w:rPr>
                  <w:t xml:space="preserve"> [10]</w:t>
                </w:r>
              </w:p>
            </w:sdtContent>
          </w:sdt>
        </w:tc>
        <w:tc>
          <w:tcPr>
            <w:tcW w:w="1588" w:type="dxa"/>
            <w:vAlign w:val="center"/>
          </w:tcPr>
          <w:p w14:paraId="5909AC4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6322679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39ED299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5A60FA2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w:t>
            </w:r>
          </w:p>
        </w:tc>
        <w:tc>
          <w:tcPr>
            <w:tcW w:w="1272" w:type="dxa"/>
            <w:vAlign w:val="center"/>
          </w:tcPr>
          <w:p w14:paraId="556A109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vAlign w:val="center"/>
          </w:tcPr>
          <w:p w14:paraId="610A9FC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160" w:type="dxa"/>
            <w:vAlign w:val="center"/>
          </w:tcPr>
          <w:p w14:paraId="6FA0A75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shd w:val="clear" w:color="000000" w:fill="CCCCCC"/>
            <w:vAlign w:val="center"/>
          </w:tcPr>
          <w:p w14:paraId="01401C0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1380229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P1, S: P12. No quantitative analysis was performed; however, both passages analyzed tested positive for osteogenic potential by forming mineralized nodules in vitro. Induction time was not reported.</w:t>
            </w:r>
          </w:p>
        </w:tc>
      </w:tr>
      <w:tr w:rsidR="00513939" w:rsidRPr="001A3F8F" w14:paraId="298E295F"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NWU5NjlhNzgtMzJkNS00OTE2LWI0YjMtNTVmNzAyZmYyOGIy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1099180300"/>
              <w:placeholder>
                <w:docPart w:val="538C13A52E884BDDA3381611453CAF47"/>
              </w:placeholder>
            </w:sdtPr>
            <w:sdtEndPr/>
            <w:sdtContent>
              <w:sdt>
                <w:sdtPr>
                  <w:rPr>
                    <w:rFonts w:ascii="Times New Roman" w:hAnsi="Times New Roman" w:cs="Times New Roman"/>
                    <w:sz w:val="20"/>
                    <w:szCs w:val="20"/>
                  </w:rPr>
                  <w:tag w:val="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2095393623"/>
                  <w:placeholder>
                    <w:docPart w:val="D937AD1346FD4A33A6855E6213A2EA76"/>
                  </w:placeholder>
                </w:sdtPr>
                <w:sdtContent>
                  <w:p w14:paraId="5F7CB9B4" w14:textId="7E4B9695" w:rsidR="00513939" w:rsidRPr="001A3F8F" w:rsidRDefault="00515418"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Legzdina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[44]</w:t>
                    </w:r>
                  </w:p>
                </w:sdtContent>
              </w:sdt>
            </w:sdtContent>
          </w:sdt>
        </w:tc>
        <w:tc>
          <w:tcPr>
            <w:tcW w:w="1588" w:type="dxa"/>
            <w:vAlign w:val="center"/>
          </w:tcPr>
          <w:p w14:paraId="4EED0F7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7778648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60B6B19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5BC7E09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w:t>
            </w:r>
          </w:p>
          <w:p w14:paraId="1DFF1E6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(Calcium deposits)</w:t>
            </w:r>
          </w:p>
        </w:tc>
        <w:tc>
          <w:tcPr>
            <w:tcW w:w="1272" w:type="dxa"/>
            <w:vAlign w:val="center"/>
          </w:tcPr>
          <w:p w14:paraId="5F3E155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vAlign w:val="center"/>
          </w:tcPr>
          <w:p w14:paraId="6BC5356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160" w:type="dxa"/>
            <w:vAlign w:val="center"/>
          </w:tcPr>
          <w:p w14:paraId="079E438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vAlign w:val="center"/>
          </w:tcPr>
          <w:p w14:paraId="5D9151C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2AFC3BC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P9. CS-8 donor (27 years) Alkaline phosphatase activity was positive in both passages. Induction time was not reported.</w:t>
            </w:r>
          </w:p>
        </w:tc>
      </w:tr>
      <w:tr w:rsidR="00DC0A0B" w:rsidRPr="001A3F8F" w14:paraId="7A07EE91"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504584314"/>
              <w:placeholder>
                <w:docPart w:val="1E75F2BAC52B4B92857BD7F6449BE38B"/>
              </w:placeholder>
            </w:sdtPr>
            <w:sdtContent>
              <w:p w14:paraId="4DD5E073" w14:textId="15B1C1BC"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21108BC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12CFD9C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4AE2FB9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00D9B3B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3ACFEBE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~65.26 ± 9.92</w:t>
            </w:r>
          </w:p>
        </w:tc>
        <w:tc>
          <w:tcPr>
            <w:tcW w:w="1280" w:type="dxa"/>
            <w:vAlign w:val="center"/>
          </w:tcPr>
          <w:p w14:paraId="559A3C9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~43.92 ± 1.73</w:t>
            </w:r>
          </w:p>
        </w:tc>
        <w:tc>
          <w:tcPr>
            <w:tcW w:w="1160" w:type="dxa"/>
            <w:vAlign w:val="center"/>
          </w:tcPr>
          <w:p w14:paraId="19131DD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p≤0.01</w:t>
            </w:r>
          </w:p>
        </w:tc>
        <w:tc>
          <w:tcPr>
            <w:tcW w:w="1737" w:type="dxa"/>
            <w:tcBorders>
              <w:top w:val="nil"/>
              <w:left w:val="nil"/>
              <w:bottom w:val="nil"/>
              <w:right w:val="nil"/>
            </w:tcBorders>
            <w:shd w:val="clear" w:color="000000" w:fill="CCCCCC"/>
            <w:vAlign w:val="center"/>
          </w:tcPr>
          <w:p w14:paraId="0D6D52D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360F0A3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2 weeks.</w:t>
            </w:r>
          </w:p>
        </w:tc>
      </w:tr>
      <w:tr w:rsidR="00513939" w:rsidRPr="001A3F8F" w14:paraId="42D15D03"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OWFjZTAyODYtZjAyZC00MmMyLTliMjQtYzFlYTUzYzFmNmMz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
              <w:id w:val="-1453091299"/>
              <w:placeholder>
                <w:docPart w:val="B5EAE1BBA62E482D9A90FB8A13C108DC"/>
              </w:placeholder>
            </w:sdtPr>
            <w:sdtEndPr/>
            <w:sdtContent>
              <w:p w14:paraId="1D5823EB" w14:textId="50B480DD"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Truong,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sidR="00DC0A0B">
                  <w:rPr>
                    <w:rFonts w:ascii="Times New Roman" w:hAnsi="Times New Roman" w:cs="Times New Roman"/>
                    <w:sz w:val="20"/>
                    <w:szCs w:val="20"/>
                  </w:rPr>
                  <w:t xml:space="preserve"> [45]</w:t>
                </w:r>
              </w:p>
            </w:sdtContent>
          </w:sdt>
        </w:tc>
        <w:tc>
          <w:tcPr>
            <w:tcW w:w="1588" w:type="dxa"/>
            <w:vAlign w:val="center"/>
          </w:tcPr>
          <w:p w14:paraId="5966AFE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53783B3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468398B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4185D2F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w:t>
            </w:r>
          </w:p>
        </w:tc>
        <w:tc>
          <w:tcPr>
            <w:tcW w:w="1272" w:type="dxa"/>
            <w:vAlign w:val="center"/>
          </w:tcPr>
          <w:p w14:paraId="45FAE93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positive </w:t>
            </w:r>
          </w:p>
        </w:tc>
        <w:tc>
          <w:tcPr>
            <w:tcW w:w="1280" w:type="dxa"/>
            <w:vAlign w:val="center"/>
          </w:tcPr>
          <w:p w14:paraId="45D2494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reduced </w:t>
            </w:r>
          </w:p>
        </w:tc>
        <w:tc>
          <w:tcPr>
            <w:tcW w:w="1160" w:type="dxa"/>
            <w:vAlign w:val="center"/>
          </w:tcPr>
          <w:p w14:paraId="2F53437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vAlign w:val="center"/>
          </w:tcPr>
          <w:p w14:paraId="285068C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2FCF67E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P15. 30 days. </w:t>
            </w:r>
          </w:p>
        </w:tc>
      </w:tr>
      <w:tr w:rsidR="00513939" w:rsidRPr="001A3F8F" w14:paraId="12C4B003"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NGU2ZGYwMDktZGU0OC00MWRjLWI4YjEtMjAxODQ3NGJlMzBh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
              <w:id w:val="2091031945"/>
              <w:placeholder>
                <w:docPart w:val="2287D19BD4004CC980DE5C6EB88AFC97"/>
              </w:placeholder>
            </w:sdtPr>
            <w:sdtEndPr/>
            <w:sdtContent>
              <w:p w14:paraId="74EA04FE" w14:textId="6EAA8B56"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sidR="00DC0A0B">
                  <w:rPr>
                    <w:rFonts w:ascii="Times New Roman" w:hAnsi="Times New Roman" w:cs="Times New Roman"/>
                    <w:sz w:val="20"/>
                    <w:szCs w:val="20"/>
                  </w:rPr>
                  <w:t xml:space="preserve"> [46]</w:t>
                </w:r>
              </w:p>
            </w:sdtContent>
          </w:sdt>
        </w:tc>
        <w:tc>
          <w:tcPr>
            <w:tcW w:w="1588" w:type="dxa"/>
            <w:vAlign w:val="center"/>
          </w:tcPr>
          <w:p w14:paraId="50CE7A5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1C38FF7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1" w:type="dxa"/>
            <w:vAlign w:val="center"/>
          </w:tcPr>
          <w:p w14:paraId="51ACCB6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6D04D69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(405 nm)</w:t>
            </w:r>
          </w:p>
        </w:tc>
        <w:tc>
          <w:tcPr>
            <w:tcW w:w="1272" w:type="dxa"/>
            <w:vAlign w:val="center"/>
          </w:tcPr>
          <w:p w14:paraId="6DA9F97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~2.77 ± 0.89</w:t>
            </w:r>
          </w:p>
        </w:tc>
        <w:tc>
          <w:tcPr>
            <w:tcW w:w="1280" w:type="dxa"/>
            <w:vAlign w:val="center"/>
          </w:tcPr>
          <w:p w14:paraId="2CD4E99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~3.12 ± 0.18</w:t>
            </w:r>
          </w:p>
        </w:tc>
        <w:tc>
          <w:tcPr>
            <w:tcW w:w="1160" w:type="dxa"/>
            <w:vAlign w:val="center"/>
          </w:tcPr>
          <w:p w14:paraId="7F11C36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678160A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6966407B"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P4, S: P8. 3 weeks. </w:t>
            </w:r>
          </w:p>
        </w:tc>
      </w:tr>
      <w:tr w:rsidR="00DC0A0B" w:rsidRPr="001A3F8F" w14:paraId="00C646EC"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p w14:paraId="1EA12A33" w14:textId="4B1CB3FD"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Bertolo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2016</w:t>
            </w:r>
            <w:r>
              <w:rPr>
                <w:rFonts w:ascii="Times New Roman" w:hAnsi="Times New Roman" w:cs="Times New Roman"/>
                <w:sz w:val="20"/>
                <w:szCs w:val="20"/>
              </w:rPr>
              <w:t xml:space="preserve"> [42]</w:t>
            </w:r>
          </w:p>
        </w:tc>
        <w:tc>
          <w:tcPr>
            <w:tcW w:w="1588" w:type="dxa"/>
            <w:vAlign w:val="center"/>
          </w:tcPr>
          <w:p w14:paraId="27DCA87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5737B11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0E91098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c>
          <w:tcPr>
            <w:tcW w:w="1327" w:type="dxa"/>
            <w:vAlign w:val="center"/>
          </w:tcPr>
          <w:p w14:paraId="6D287CC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RT-PCR - </w:t>
            </w:r>
            <w:r w:rsidRPr="001A3F8F">
              <w:rPr>
                <w:rFonts w:ascii="Times New Roman" w:hAnsi="Times New Roman" w:cs="Times New Roman"/>
                <w:i/>
                <w:iCs/>
                <w:sz w:val="20"/>
                <w:szCs w:val="20"/>
              </w:rPr>
              <w:t>OPN</w:t>
            </w:r>
          </w:p>
        </w:tc>
        <w:tc>
          <w:tcPr>
            <w:tcW w:w="1272" w:type="dxa"/>
            <w:vAlign w:val="center"/>
          </w:tcPr>
          <w:p w14:paraId="4546CEB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0.01</w:t>
            </w:r>
          </w:p>
        </w:tc>
        <w:tc>
          <w:tcPr>
            <w:tcW w:w="1280" w:type="dxa"/>
            <w:vAlign w:val="center"/>
          </w:tcPr>
          <w:p w14:paraId="4875B4E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~0.58 ± 0.63</w:t>
            </w:r>
          </w:p>
        </w:tc>
        <w:tc>
          <w:tcPr>
            <w:tcW w:w="1160" w:type="dxa"/>
            <w:vAlign w:val="center"/>
          </w:tcPr>
          <w:p w14:paraId="66A8C02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vAlign w:val="center"/>
          </w:tcPr>
          <w:p w14:paraId="72E07CA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291AB60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P11. 21 days. Mineralized matrix deposition assessed by von </w:t>
            </w:r>
            <w:proofErr w:type="spellStart"/>
            <w:r w:rsidRPr="001A3F8F">
              <w:rPr>
                <w:rFonts w:ascii="Times New Roman" w:hAnsi="Times New Roman" w:cs="Times New Roman"/>
                <w:sz w:val="20"/>
                <w:szCs w:val="20"/>
              </w:rPr>
              <w:t>Kossa</w:t>
            </w:r>
            <w:proofErr w:type="spellEnd"/>
            <w:r w:rsidRPr="001A3F8F">
              <w:rPr>
                <w:rFonts w:ascii="Times New Roman" w:hAnsi="Times New Roman" w:cs="Times New Roman"/>
                <w:sz w:val="20"/>
                <w:szCs w:val="20"/>
              </w:rPr>
              <w:t xml:space="preserve"> staining was </w:t>
            </w:r>
            <w:r w:rsidRPr="001A3F8F">
              <w:rPr>
                <w:rFonts w:ascii="Times New Roman" w:hAnsi="Times New Roman" w:cs="Times New Roman"/>
                <w:sz w:val="20"/>
                <w:szCs w:val="20"/>
              </w:rPr>
              <w:lastRenderedPageBreak/>
              <w:t>higher in early passages and decreased with in vitro aging, with significant inter-donor variability (P3 vs P9).</w:t>
            </w:r>
          </w:p>
        </w:tc>
      </w:tr>
      <w:tr w:rsidR="00DC0A0B" w:rsidRPr="001A3F8F" w14:paraId="36600451"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p w14:paraId="519B826E" w14:textId="3BD19E35"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lastRenderedPageBreak/>
              <w:t>Bonab</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2006</w:t>
            </w:r>
            <w:r>
              <w:rPr>
                <w:rFonts w:ascii="Times New Roman" w:hAnsi="Times New Roman" w:cs="Times New Roman"/>
                <w:sz w:val="20"/>
                <w:szCs w:val="20"/>
              </w:rPr>
              <w:t xml:space="preserve"> [47]</w:t>
            </w:r>
          </w:p>
        </w:tc>
        <w:tc>
          <w:tcPr>
            <w:tcW w:w="1588" w:type="dxa"/>
            <w:vAlign w:val="center"/>
          </w:tcPr>
          <w:p w14:paraId="55E7A6B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32F4210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5AA42C9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674F59E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Von </w:t>
            </w:r>
            <w:proofErr w:type="spellStart"/>
            <w:r w:rsidRPr="001A3F8F">
              <w:rPr>
                <w:rFonts w:ascii="Times New Roman" w:hAnsi="Times New Roman" w:cs="Times New Roman"/>
                <w:sz w:val="20"/>
                <w:szCs w:val="20"/>
              </w:rPr>
              <w:t>Kossa</w:t>
            </w:r>
            <w:proofErr w:type="spellEnd"/>
            <w:r w:rsidRPr="001A3F8F">
              <w:rPr>
                <w:rFonts w:ascii="Times New Roman" w:hAnsi="Times New Roman" w:cs="Times New Roman"/>
                <w:sz w:val="20"/>
                <w:szCs w:val="20"/>
              </w:rPr>
              <w:t xml:space="preserve"> and ALP (%)</w:t>
            </w:r>
          </w:p>
        </w:tc>
        <w:tc>
          <w:tcPr>
            <w:tcW w:w="1272" w:type="dxa"/>
            <w:vAlign w:val="center"/>
          </w:tcPr>
          <w:p w14:paraId="6A398DF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100</w:t>
            </w:r>
          </w:p>
        </w:tc>
        <w:tc>
          <w:tcPr>
            <w:tcW w:w="1280" w:type="dxa"/>
            <w:vAlign w:val="center"/>
          </w:tcPr>
          <w:p w14:paraId="3D09529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w:t>
            </w:r>
          </w:p>
        </w:tc>
        <w:tc>
          <w:tcPr>
            <w:tcW w:w="1160" w:type="dxa"/>
            <w:vAlign w:val="center"/>
          </w:tcPr>
          <w:p w14:paraId="29B34F3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5EF2C65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22AF33B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P1-4, S: P10. 2-3 weeks. </w:t>
            </w:r>
          </w:p>
        </w:tc>
      </w:tr>
      <w:tr w:rsidR="00513939" w:rsidRPr="001A3F8F" w14:paraId="2D061D27" w14:textId="77777777" w:rsidTr="00241200">
        <w:trPr>
          <w:trHeight w:val="501"/>
          <w:jc w:val="center"/>
        </w:trPr>
        <w:sdt>
          <w:sdtPr>
            <w:rPr>
              <w:rFonts w:ascii="Times New Roman" w:hAnsi="Times New Roman" w:cs="Times New Roman"/>
              <w:sz w:val="20"/>
              <w:szCs w:val="20"/>
            </w:rPr>
            <w:tag w:val="MENDELEY_CITATION_v3_eyJjaXRhdGlvbklEIjoiTUVOREVMRVlfQ0lUQVRJT05fMWUyOWMwMjctNGQ2NS00N2FkLWExYTktYTgzOTc5YmY0NzNl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
            <w:id w:val="-878929570"/>
            <w:placeholder>
              <w:docPart w:val="01E32945FF2C484FB8C25C3C502BE196"/>
            </w:placeholder>
          </w:sdtPr>
          <w:sdtEndPr/>
          <w:sdtContent>
            <w:tc>
              <w:tcPr>
                <w:cnfStyle w:val="001000000000" w:firstRow="0" w:lastRow="0" w:firstColumn="1" w:lastColumn="0" w:oddVBand="0" w:evenVBand="0" w:oddHBand="0" w:evenHBand="0" w:firstRowFirstColumn="0" w:firstRowLastColumn="0" w:lastRowFirstColumn="0" w:lastRowLastColumn="0"/>
                <w:tcW w:w="1673" w:type="dxa"/>
                <w:vAlign w:val="center"/>
              </w:tcPr>
              <w:p w14:paraId="1C92758A" w14:textId="22C499DA"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Cheng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2011</w:t>
                </w:r>
                <w:r w:rsidR="00DC0A0B">
                  <w:rPr>
                    <w:rFonts w:ascii="Times New Roman" w:hAnsi="Times New Roman" w:cs="Times New Roman"/>
                    <w:sz w:val="20"/>
                    <w:szCs w:val="20"/>
                  </w:rPr>
                  <w:t xml:space="preserve"> [39]</w:t>
                </w:r>
              </w:p>
            </w:tc>
          </w:sdtContent>
        </w:sdt>
        <w:tc>
          <w:tcPr>
            <w:tcW w:w="1588" w:type="dxa"/>
            <w:vAlign w:val="center"/>
          </w:tcPr>
          <w:p w14:paraId="39B3E80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45D8430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14906D7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03C5174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(595 nm)</w:t>
            </w:r>
          </w:p>
        </w:tc>
        <w:tc>
          <w:tcPr>
            <w:tcW w:w="1272" w:type="dxa"/>
            <w:vAlign w:val="center"/>
          </w:tcPr>
          <w:p w14:paraId="3B19A6A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~0.32 ± 0.03</w:t>
            </w:r>
          </w:p>
        </w:tc>
        <w:tc>
          <w:tcPr>
            <w:tcW w:w="1280" w:type="dxa"/>
            <w:vAlign w:val="center"/>
          </w:tcPr>
          <w:p w14:paraId="621A20B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~0.54 ± 0.04</w:t>
            </w:r>
          </w:p>
        </w:tc>
        <w:tc>
          <w:tcPr>
            <w:tcW w:w="1160" w:type="dxa"/>
            <w:vAlign w:val="center"/>
          </w:tcPr>
          <w:p w14:paraId="1F64F49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1737" w:type="dxa"/>
            <w:tcBorders>
              <w:top w:val="nil"/>
              <w:left w:val="nil"/>
              <w:bottom w:val="nil"/>
              <w:right w:val="nil"/>
            </w:tcBorders>
            <w:vAlign w:val="center"/>
          </w:tcPr>
          <w:p w14:paraId="7F088AA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05BC89F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P4, S: P12. 21 days. </w:t>
            </w:r>
            <w:r w:rsidRPr="001A3F8F">
              <w:rPr>
                <w:rFonts w:ascii="Times New Roman" w:hAnsi="Times New Roman" w:cs="Times New Roman"/>
                <w:i/>
                <w:iCs/>
                <w:sz w:val="20"/>
                <w:szCs w:val="20"/>
              </w:rPr>
              <w:t xml:space="preserve">ALPL </w:t>
            </w:r>
            <w:r w:rsidRPr="001A3F8F">
              <w:rPr>
                <w:rFonts w:ascii="Times New Roman" w:hAnsi="Times New Roman" w:cs="Times New Roman"/>
                <w:sz w:val="20"/>
                <w:szCs w:val="20"/>
              </w:rPr>
              <w:t>expression was higher in late passage group.</w:t>
            </w:r>
          </w:p>
        </w:tc>
      </w:tr>
      <w:tr w:rsidR="00DC0A0B" w:rsidRPr="001A3F8F" w14:paraId="715CC930"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llZmU4ZDQtOTdkYy00ODY5LWExOGQtOTc5NGRjOTc4NGQ5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
              <w:id w:val="-1493476171"/>
              <w:placeholder>
                <w:docPart w:val="5ABD60108E564E63A12F91C7FB8DD392"/>
              </w:placeholder>
            </w:sdtPr>
            <w:sdtContent>
              <w:p w14:paraId="5E993922" w14:textId="4F14DD16"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Kim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Pr>
                    <w:rFonts w:ascii="Times New Roman" w:hAnsi="Times New Roman" w:cs="Times New Roman"/>
                    <w:sz w:val="20"/>
                    <w:szCs w:val="20"/>
                  </w:rPr>
                  <w:t xml:space="preserve"> [35]</w:t>
                </w:r>
              </w:p>
            </w:sdtContent>
          </w:sdt>
        </w:tc>
        <w:tc>
          <w:tcPr>
            <w:tcW w:w="1588" w:type="dxa"/>
            <w:vAlign w:val="center"/>
          </w:tcPr>
          <w:p w14:paraId="3731B0A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0852042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4D771D9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6DB6411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(405 nm)</w:t>
            </w:r>
          </w:p>
        </w:tc>
        <w:tc>
          <w:tcPr>
            <w:tcW w:w="1272" w:type="dxa"/>
            <w:vAlign w:val="center"/>
          </w:tcPr>
          <w:p w14:paraId="03EC853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~0.49 ± 0.05</w:t>
            </w:r>
          </w:p>
          <w:p w14:paraId="23BEA7A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~0.54 ± 0.1</w:t>
            </w:r>
          </w:p>
          <w:p w14:paraId="64329F5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~0.48 ± 0.03</w:t>
            </w:r>
          </w:p>
        </w:tc>
        <w:tc>
          <w:tcPr>
            <w:tcW w:w="1280" w:type="dxa"/>
            <w:vAlign w:val="center"/>
          </w:tcPr>
          <w:p w14:paraId="051889A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~0.23 ± 0.03</w:t>
            </w:r>
          </w:p>
          <w:p w14:paraId="1964ACF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~0.24 ± 0.02</w:t>
            </w:r>
          </w:p>
          <w:p w14:paraId="464C8AD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~0.11 ± 0.02</w:t>
            </w:r>
          </w:p>
        </w:tc>
        <w:tc>
          <w:tcPr>
            <w:tcW w:w="1160" w:type="dxa"/>
            <w:vAlign w:val="center"/>
          </w:tcPr>
          <w:p w14:paraId="0178729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04D1D69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012130E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P15. Alizarin Red S mineralization decreased in a passage-dependent manner, with reduced </w:t>
            </w:r>
            <w:r w:rsidRPr="001A3F8F">
              <w:rPr>
                <w:rFonts w:ascii="Times New Roman" w:hAnsi="Times New Roman" w:cs="Times New Roman"/>
                <w:i/>
                <w:iCs/>
                <w:sz w:val="20"/>
                <w:szCs w:val="20"/>
              </w:rPr>
              <w:t>ALPP</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SPP1</w:t>
            </w:r>
            <w:r w:rsidRPr="001A3F8F">
              <w:rPr>
                <w:rFonts w:ascii="Times New Roman" w:hAnsi="Times New Roman" w:cs="Times New Roman"/>
                <w:sz w:val="20"/>
                <w:szCs w:val="20"/>
              </w:rPr>
              <w:t xml:space="preserve"> in late passage; no direct statistical test between P5 and P15 was performed (described in text). LD, MD, and HD denote low-, medium-, and high-density cultures. Induction time was not reported.</w:t>
            </w:r>
          </w:p>
        </w:tc>
      </w:tr>
      <w:tr w:rsidR="00DC0A0B" w:rsidRPr="001A3F8F" w14:paraId="3313D3E3"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295367458"/>
              <w:placeholder>
                <w:docPart w:val="666049D1D4774A2DA64BF204589F3A71"/>
              </w:placeholder>
            </w:sdtPr>
            <w:sdtContent>
              <w:p w14:paraId="0F9F1FC5" w14:textId="38A520F2"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6692705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1AED17D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14B8899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0682603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52B0C31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~83.63 ± 6.94</w:t>
            </w:r>
          </w:p>
        </w:tc>
        <w:tc>
          <w:tcPr>
            <w:tcW w:w="1280" w:type="dxa"/>
            <w:vAlign w:val="center"/>
          </w:tcPr>
          <w:p w14:paraId="623A19C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~52.60 ± 6.95</w:t>
            </w:r>
          </w:p>
        </w:tc>
        <w:tc>
          <w:tcPr>
            <w:tcW w:w="1160" w:type="dxa"/>
            <w:vAlign w:val="center"/>
          </w:tcPr>
          <w:p w14:paraId="69FBFD3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p≤0.01</w:t>
            </w:r>
          </w:p>
        </w:tc>
        <w:tc>
          <w:tcPr>
            <w:tcW w:w="1737" w:type="dxa"/>
            <w:tcBorders>
              <w:top w:val="nil"/>
              <w:left w:val="nil"/>
              <w:bottom w:val="nil"/>
              <w:right w:val="nil"/>
            </w:tcBorders>
            <w:vAlign w:val="center"/>
          </w:tcPr>
          <w:p w14:paraId="032E5F4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250B06E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2 weeks.</w:t>
            </w:r>
          </w:p>
        </w:tc>
      </w:tr>
      <w:tr w:rsidR="00DC0A0B" w:rsidRPr="001A3F8F" w14:paraId="1A9CD19C"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DhlZTkwZGItMWY4Yi00YTk4LThlZDAtMzUwNjg0YWVkNWIw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
              <w:id w:val="-803624689"/>
              <w:placeholder>
                <w:docPart w:val="C55A27AFBA6F4623929453B506C1FD44"/>
              </w:placeholder>
            </w:sdtPr>
            <w:sdtContent>
              <w:p w14:paraId="1AB47665" w14:textId="085069E5"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Wagner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Pr>
                    <w:rFonts w:ascii="Times New Roman" w:hAnsi="Times New Roman" w:cs="Times New Roman"/>
                    <w:sz w:val="20"/>
                    <w:szCs w:val="20"/>
                  </w:rPr>
                  <w:t xml:space="preserve"> [29]</w:t>
                </w:r>
              </w:p>
            </w:sdtContent>
          </w:sdt>
        </w:tc>
        <w:tc>
          <w:tcPr>
            <w:tcW w:w="1588" w:type="dxa"/>
            <w:vAlign w:val="center"/>
          </w:tcPr>
          <w:p w14:paraId="182ECCB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56717CD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5AD06DC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09101AF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(595 nm)</w:t>
            </w:r>
          </w:p>
        </w:tc>
        <w:tc>
          <w:tcPr>
            <w:tcW w:w="1272" w:type="dxa"/>
            <w:vAlign w:val="center"/>
          </w:tcPr>
          <w:p w14:paraId="49E6A3D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~0.22 ± 0.02</w:t>
            </w:r>
          </w:p>
        </w:tc>
        <w:tc>
          <w:tcPr>
            <w:tcW w:w="1280" w:type="dxa"/>
            <w:vAlign w:val="center"/>
          </w:tcPr>
          <w:p w14:paraId="30280E2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~0.42 ± 0.13</w:t>
            </w:r>
          </w:p>
        </w:tc>
        <w:tc>
          <w:tcPr>
            <w:tcW w:w="1160" w:type="dxa"/>
            <w:vAlign w:val="center"/>
          </w:tcPr>
          <w:p w14:paraId="0BB2C31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right w:val="nil"/>
            </w:tcBorders>
            <w:shd w:val="clear" w:color="000000" w:fill="CCCCCC"/>
            <w:vAlign w:val="center"/>
          </w:tcPr>
          <w:p w14:paraId="63F3C8B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1A67C92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P11. 21 days. Von </w:t>
            </w:r>
            <w:proofErr w:type="spellStart"/>
            <w:r w:rsidRPr="001A3F8F">
              <w:rPr>
                <w:rFonts w:ascii="Times New Roman" w:hAnsi="Times New Roman" w:cs="Times New Roman"/>
                <w:sz w:val="20"/>
                <w:szCs w:val="20"/>
              </w:rPr>
              <w:t>Kossa</w:t>
            </w:r>
            <w:proofErr w:type="spellEnd"/>
            <w:r w:rsidRPr="001A3F8F">
              <w:rPr>
                <w:rFonts w:ascii="Times New Roman" w:hAnsi="Times New Roman" w:cs="Times New Roman"/>
                <w:sz w:val="20"/>
                <w:szCs w:val="20"/>
              </w:rPr>
              <w:t xml:space="preserve"> Staining showed higher mineralization in late passage.</w:t>
            </w:r>
          </w:p>
        </w:tc>
      </w:tr>
      <w:tr w:rsidR="00DC0A0B" w:rsidRPr="001A3F8F" w14:paraId="4BFA7D31"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
              <w:id w:val="219405863"/>
              <w:placeholder>
                <w:docPart w:val="926BA5D07C7D41E8BD6313F9F3E76831"/>
              </w:placeholder>
            </w:sdtPr>
            <w:sdtContent>
              <w:p w14:paraId="0D220B7E" w14:textId="2EFC3381"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Wenjing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[6]</w:t>
                </w:r>
              </w:p>
            </w:sdtContent>
          </w:sdt>
        </w:tc>
        <w:tc>
          <w:tcPr>
            <w:tcW w:w="1588" w:type="dxa"/>
            <w:vAlign w:val="center"/>
          </w:tcPr>
          <w:p w14:paraId="6E1F8EA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4BAF969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1" w:type="dxa"/>
            <w:vAlign w:val="center"/>
          </w:tcPr>
          <w:p w14:paraId="2A322D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6204818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ALP Staining (Positive Cell Rate-%)</w:t>
            </w:r>
          </w:p>
        </w:tc>
        <w:tc>
          <w:tcPr>
            <w:tcW w:w="1272" w:type="dxa"/>
            <w:vAlign w:val="center"/>
          </w:tcPr>
          <w:p w14:paraId="61E9682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94.1 ± 3.3</w:t>
            </w:r>
          </w:p>
        </w:tc>
        <w:tc>
          <w:tcPr>
            <w:tcW w:w="1280" w:type="dxa"/>
            <w:vAlign w:val="center"/>
          </w:tcPr>
          <w:p w14:paraId="524DEA7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82.4 ± 8.7</w:t>
            </w:r>
          </w:p>
        </w:tc>
        <w:tc>
          <w:tcPr>
            <w:tcW w:w="1160" w:type="dxa"/>
            <w:vAlign w:val="center"/>
          </w:tcPr>
          <w:p w14:paraId="12290E4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vAlign w:val="center"/>
          </w:tcPr>
          <w:p w14:paraId="4C15B05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771A6DF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Induction time was not reported.</w:t>
            </w:r>
          </w:p>
        </w:tc>
      </w:tr>
      <w:tr w:rsidR="00DC0A0B" w:rsidRPr="001A3F8F" w14:paraId="7A03457A"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1746098714"/>
              <w:placeholder>
                <w:docPart w:val="4868483C8EFC45DEA07FC9458C36640A"/>
              </w:placeholder>
            </w:sdtPr>
            <w:sdtContent>
              <w:p w14:paraId="63A1AB6C" w14:textId="5E6616ED"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Pr>
                    <w:rFonts w:ascii="Times New Roman" w:hAnsi="Times New Roman" w:cs="Times New Roman"/>
                    <w:sz w:val="20"/>
                    <w:szCs w:val="20"/>
                    <w:lang w:val="pt-BR"/>
                  </w:rPr>
                  <w:t xml:space="preserve"> [43]</w:t>
                </w:r>
              </w:p>
            </w:sdtContent>
          </w:sdt>
        </w:tc>
        <w:tc>
          <w:tcPr>
            <w:tcW w:w="1588" w:type="dxa"/>
            <w:vAlign w:val="center"/>
          </w:tcPr>
          <w:p w14:paraId="4C3A3A4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70DAB32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11178E3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1327" w:type="dxa"/>
            <w:vAlign w:val="center"/>
          </w:tcPr>
          <w:p w14:paraId="4FB7FD3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qRT</w:t>
            </w:r>
            <w:proofErr w:type="spellEnd"/>
            <w:r w:rsidRPr="001A3F8F">
              <w:rPr>
                <w:rFonts w:ascii="Times New Roman" w:hAnsi="Times New Roman" w:cs="Times New Roman"/>
                <w:sz w:val="20"/>
                <w:szCs w:val="20"/>
              </w:rPr>
              <w:t xml:space="preserve">-PCR - </w:t>
            </w:r>
            <w:r w:rsidRPr="001A3F8F">
              <w:rPr>
                <w:rFonts w:ascii="Times New Roman" w:hAnsi="Times New Roman" w:cs="Times New Roman"/>
                <w:i/>
                <w:iCs/>
                <w:sz w:val="20"/>
                <w:szCs w:val="20"/>
              </w:rPr>
              <w:t>ALP</w:t>
            </w:r>
          </w:p>
        </w:tc>
        <w:tc>
          <w:tcPr>
            <w:tcW w:w="1272" w:type="dxa"/>
            <w:vAlign w:val="center"/>
          </w:tcPr>
          <w:p w14:paraId="607B19E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~0.9 ± 0.05</w:t>
            </w:r>
          </w:p>
        </w:tc>
        <w:tc>
          <w:tcPr>
            <w:tcW w:w="1280" w:type="dxa"/>
            <w:vAlign w:val="center"/>
          </w:tcPr>
          <w:p w14:paraId="6D9C84D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~1.1 ± 0.08</w:t>
            </w:r>
          </w:p>
        </w:tc>
        <w:tc>
          <w:tcPr>
            <w:tcW w:w="1160" w:type="dxa"/>
            <w:vAlign w:val="center"/>
          </w:tcPr>
          <w:p w14:paraId="28A1C7A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left w:val="nil"/>
              <w:bottom w:val="nil"/>
              <w:right w:val="nil"/>
            </w:tcBorders>
            <w:shd w:val="clear" w:color="000000" w:fill="CCCCCC"/>
            <w:vAlign w:val="center"/>
          </w:tcPr>
          <w:p w14:paraId="6174784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4C37213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1A3F8F">
              <w:rPr>
                <w:rFonts w:ascii="Times New Roman" w:hAnsi="Times New Roman" w:cs="Times New Roman"/>
                <w:sz w:val="20"/>
                <w:szCs w:val="20"/>
              </w:rPr>
              <w:t xml:space="preserve">NS: P2, S: P15. 28 days. </w:t>
            </w:r>
            <w:r w:rsidRPr="001A3F8F">
              <w:rPr>
                <w:rFonts w:ascii="Times New Roman" w:hAnsi="Times New Roman" w:cs="Times New Roman"/>
                <w:i/>
                <w:iCs/>
                <w:sz w:val="20"/>
                <w:szCs w:val="20"/>
              </w:rPr>
              <w:t xml:space="preserve">RUNX </w:t>
            </w:r>
            <w:r w:rsidRPr="001A3F8F">
              <w:rPr>
                <w:rFonts w:ascii="Times New Roman" w:hAnsi="Times New Roman" w:cs="Times New Roman"/>
                <w:sz w:val="20"/>
                <w:szCs w:val="20"/>
              </w:rPr>
              <w:t>expression was assessed and showed higher levels in early passage; however, no significant difference was observed. Alizarin Red S staining revealed mineralized nodules in both passages.</w:t>
            </w:r>
          </w:p>
        </w:tc>
      </w:tr>
      <w:tr w:rsidR="00513939" w:rsidRPr="001A3F8F" w14:paraId="452857B7" w14:textId="77777777" w:rsidTr="00241200">
        <w:trPr>
          <w:trHeight w:val="501"/>
          <w:jc w:val="center"/>
        </w:trPr>
        <w:sdt>
          <w:sdtPr>
            <w:rPr>
              <w:rFonts w:ascii="Times New Roman" w:hAnsi="Times New Roman" w:cs="Times New Roman"/>
              <w:sz w:val="20"/>
              <w:szCs w:val="20"/>
            </w:rPr>
            <w:tag w:val="MENDELEY_CITATION_v3_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"/>
            <w:id w:val="-1500037258"/>
            <w:placeholder>
              <w:docPart w:val="90FF6A44BB724946966D45E455B1BA65"/>
            </w:placeholder>
          </w:sdtPr>
          <w:sdtEndPr/>
          <w:sdtContent>
            <w:tc>
              <w:tcPr>
                <w:cnfStyle w:val="001000000000" w:firstRow="0" w:lastRow="0" w:firstColumn="1" w:lastColumn="0" w:oddVBand="0" w:evenVBand="0" w:oddHBand="0" w:evenHBand="0" w:firstRowFirstColumn="0" w:firstRowLastColumn="0" w:lastRowFirstColumn="0" w:lastRowLastColumn="0"/>
                <w:tcW w:w="1673" w:type="dxa"/>
                <w:vAlign w:val="center"/>
              </w:tcPr>
              <w:p w14:paraId="6A8D401F" w14:textId="10071716"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Li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sidR="00DC0A0B">
                  <w:rPr>
                    <w:rFonts w:ascii="Times New Roman" w:hAnsi="Times New Roman" w:cs="Times New Roman"/>
                    <w:sz w:val="20"/>
                    <w:szCs w:val="20"/>
                  </w:rPr>
                  <w:t xml:space="preserve"> [61]</w:t>
                </w:r>
              </w:p>
            </w:tc>
          </w:sdtContent>
        </w:sdt>
        <w:tc>
          <w:tcPr>
            <w:tcW w:w="1588" w:type="dxa"/>
            <w:vAlign w:val="center"/>
          </w:tcPr>
          <w:p w14:paraId="47E1C73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3BA38C27"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0C44767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39821D0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(562 nm)</w:t>
            </w:r>
          </w:p>
        </w:tc>
        <w:tc>
          <w:tcPr>
            <w:tcW w:w="1272" w:type="dxa"/>
            <w:vAlign w:val="center"/>
          </w:tcPr>
          <w:p w14:paraId="4F9FA4C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~2.24 ± 0.34</w:t>
            </w:r>
          </w:p>
        </w:tc>
        <w:tc>
          <w:tcPr>
            <w:tcW w:w="1280" w:type="dxa"/>
            <w:vAlign w:val="center"/>
          </w:tcPr>
          <w:p w14:paraId="3A8131F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~0.66 ± 0.12</w:t>
            </w:r>
          </w:p>
        </w:tc>
        <w:tc>
          <w:tcPr>
            <w:tcW w:w="1160" w:type="dxa"/>
            <w:vAlign w:val="center"/>
          </w:tcPr>
          <w:p w14:paraId="0966E27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vAlign w:val="center"/>
          </w:tcPr>
          <w:p w14:paraId="4B0AD43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797CD5F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P12. 21 days.</w:t>
            </w:r>
          </w:p>
        </w:tc>
      </w:tr>
      <w:tr w:rsidR="00DC0A0B" w:rsidRPr="001A3F8F" w14:paraId="07348349"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972447268"/>
              <w:placeholder>
                <w:docPart w:val="53D0D31AAD774CC19DEA7A0DBE05631A"/>
              </w:placeholder>
            </w:sdtPr>
            <w:sdtContent>
              <w:p w14:paraId="37B9E751" w14:textId="4C4E6881"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71EBCE1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7E4F178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1" w:type="dxa"/>
            <w:vAlign w:val="center"/>
          </w:tcPr>
          <w:p w14:paraId="3B45C28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7E436E1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7BE3F83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~80.14 ± 5.21</w:t>
            </w:r>
          </w:p>
        </w:tc>
        <w:tc>
          <w:tcPr>
            <w:tcW w:w="1280" w:type="dxa"/>
            <w:vAlign w:val="center"/>
          </w:tcPr>
          <w:p w14:paraId="73B56FB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~71.46 ± 5.71</w:t>
            </w:r>
          </w:p>
        </w:tc>
        <w:tc>
          <w:tcPr>
            <w:tcW w:w="1160" w:type="dxa"/>
            <w:vAlign w:val="center"/>
          </w:tcPr>
          <w:p w14:paraId="128B28A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shd w:val="clear" w:color="000000" w:fill="CCCCCC"/>
            <w:vAlign w:val="center"/>
          </w:tcPr>
          <w:p w14:paraId="7FA2730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16243C9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 2 weeks.</w:t>
            </w:r>
          </w:p>
        </w:tc>
      </w:tr>
      <w:tr w:rsidR="00DC0A0B" w:rsidRPr="001A3F8F" w14:paraId="2C8DB5A5"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692541600"/>
              <w:placeholder>
                <w:docPart w:val="5F8B1D47E9D8456B808D7C926D620806"/>
              </w:placeholder>
            </w:sdtPr>
            <w:sdtContent>
              <w:p w14:paraId="049D3D9F" w14:textId="2182A360"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Pr>
                    <w:rFonts w:ascii="Times New Roman" w:hAnsi="Times New Roman" w:cs="Times New Roman"/>
                    <w:sz w:val="20"/>
                    <w:szCs w:val="20"/>
                    <w:lang w:val="pt-BR"/>
                  </w:rPr>
                  <w:t xml:space="preserve"> [43]</w:t>
                </w:r>
              </w:p>
            </w:sdtContent>
          </w:sdt>
        </w:tc>
        <w:tc>
          <w:tcPr>
            <w:tcW w:w="1588" w:type="dxa"/>
            <w:vAlign w:val="center"/>
          </w:tcPr>
          <w:p w14:paraId="1F51B5C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1CB79C4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1201" w:type="dxa"/>
            <w:vAlign w:val="center"/>
          </w:tcPr>
          <w:p w14:paraId="4AF291A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1327" w:type="dxa"/>
            <w:vAlign w:val="center"/>
          </w:tcPr>
          <w:p w14:paraId="56CB83C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qRT</w:t>
            </w:r>
            <w:proofErr w:type="spellEnd"/>
            <w:r w:rsidRPr="001A3F8F">
              <w:rPr>
                <w:rFonts w:ascii="Times New Roman" w:hAnsi="Times New Roman" w:cs="Times New Roman"/>
                <w:sz w:val="20"/>
                <w:szCs w:val="20"/>
              </w:rPr>
              <w:t xml:space="preserve">-PCR - </w:t>
            </w:r>
            <w:r w:rsidRPr="001A3F8F">
              <w:rPr>
                <w:rFonts w:ascii="Times New Roman" w:hAnsi="Times New Roman" w:cs="Times New Roman"/>
                <w:i/>
                <w:iCs/>
                <w:sz w:val="20"/>
                <w:szCs w:val="20"/>
              </w:rPr>
              <w:t>ALP</w:t>
            </w:r>
          </w:p>
        </w:tc>
        <w:tc>
          <w:tcPr>
            <w:tcW w:w="1272" w:type="dxa"/>
            <w:vAlign w:val="center"/>
          </w:tcPr>
          <w:p w14:paraId="588BFCC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~0.98 ± 0.04</w:t>
            </w:r>
          </w:p>
        </w:tc>
        <w:tc>
          <w:tcPr>
            <w:tcW w:w="1280" w:type="dxa"/>
            <w:vAlign w:val="center"/>
          </w:tcPr>
          <w:p w14:paraId="0D6E408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~1.06 ± 0.09</w:t>
            </w:r>
          </w:p>
        </w:tc>
        <w:tc>
          <w:tcPr>
            <w:tcW w:w="1160" w:type="dxa"/>
            <w:vAlign w:val="center"/>
          </w:tcPr>
          <w:p w14:paraId="59AF59A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vAlign w:val="center"/>
          </w:tcPr>
          <w:p w14:paraId="370E71B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1A3F8F">
              <w:rPr>
                <w:rFonts w:ascii="Times New Roman" w:hAnsi="Times New Roman" w:cs="Times New Roman"/>
                <w:sz w:val="20"/>
                <w:szCs w:val="20"/>
              </w:rPr>
              <w:t>not-significant</w:t>
            </w:r>
          </w:p>
        </w:tc>
        <w:tc>
          <w:tcPr>
            <w:tcW w:w="2206" w:type="dxa"/>
            <w:vAlign w:val="center"/>
          </w:tcPr>
          <w:p w14:paraId="402D7FD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 xml:space="preserve">RUNX </w:t>
            </w:r>
            <w:r w:rsidRPr="001A3F8F">
              <w:rPr>
                <w:rFonts w:ascii="Times New Roman" w:hAnsi="Times New Roman" w:cs="Times New Roman"/>
                <w:sz w:val="20"/>
                <w:szCs w:val="20"/>
              </w:rPr>
              <w:t>expression was assessed and showed higher levels in late passage; however, no significant difference was observed. Alizarin Red S staining revealed mineralized nodules in both passages.</w:t>
            </w:r>
          </w:p>
        </w:tc>
      </w:tr>
      <w:tr w:rsidR="00DC0A0B" w:rsidRPr="001A3F8F" w14:paraId="5DC124C4"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"/>
              <w:id w:val="1616022884"/>
              <w:placeholder>
                <w:docPart w:val="91809704F6EA4E44B1BF7E0589FF463C"/>
              </w:placeholder>
            </w:sdtPr>
            <w:sdtContent>
              <w:p w14:paraId="537E354F" w14:textId="59A535C7"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Jia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Pr>
                    <w:rFonts w:ascii="Times New Roman" w:hAnsi="Times New Roman" w:cs="Times New Roman"/>
                    <w:sz w:val="20"/>
                    <w:szCs w:val="20"/>
                  </w:rPr>
                  <w:t xml:space="preserve"> [32]</w:t>
                </w:r>
              </w:p>
            </w:sdtContent>
          </w:sdt>
        </w:tc>
        <w:tc>
          <w:tcPr>
            <w:tcW w:w="1588" w:type="dxa"/>
            <w:vAlign w:val="center"/>
          </w:tcPr>
          <w:p w14:paraId="2BD004A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664F0BD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1201" w:type="dxa"/>
            <w:vAlign w:val="center"/>
          </w:tcPr>
          <w:p w14:paraId="01858E5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7BB2A6F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ALP Activity Assay (U/mg protein)</w:t>
            </w:r>
          </w:p>
        </w:tc>
        <w:tc>
          <w:tcPr>
            <w:tcW w:w="1272" w:type="dxa"/>
            <w:vAlign w:val="center"/>
          </w:tcPr>
          <w:p w14:paraId="0FBD8D7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~81.94*</w:t>
            </w:r>
          </w:p>
        </w:tc>
        <w:tc>
          <w:tcPr>
            <w:tcW w:w="1280" w:type="dxa"/>
            <w:vAlign w:val="center"/>
          </w:tcPr>
          <w:p w14:paraId="75E89A7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~14.85 ± 0.96</w:t>
            </w:r>
          </w:p>
        </w:tc>
        <w:tc>
          <w:tcPr>
            <w:tcW w:w="1160" w:type="dxa"/>
            <w:vAlign w:val="center"/>
          </w:tcPr>
          <w:p w14:paraId="7779D23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737" w:type="dxa"/>
            <w:tcBorders>
              <w:top w:val="nil"/>
              <w:left w:val="nil"/>
              <w:bottom w:val="nil"/>
              <w:right w:val="nil"/>
            </w:tcBorders>
            <w:shd w:val="clear" w:color="000000" w:fill="CCCCCC"/>
            <w:vAlign w:val="center"/>
          </w:tcPr>
          <w:p w14:paraId="1781866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5F0F01B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P20. 21 days. </w:t>
            </w:r>
            <w:r w:rsidRPr="001A3F8F">
              <w:rPr>
                <w:rFonts w:ascii="Times New Roman" w:hAnsi="Times New Roman" w:cs="Times New Roman"/>
                <w:i/>
                <w:iCs/>
                <w:sz w:val="20"/>
                <w:szCs w:val="20"/>
              </w:rPr>
              <w:t>COL1, ALP, and RUNX2</w:t>
            </w:r>
            <w:r w:rsidRPr="001A3F8F">
              <w:rPr>
                <w:rFonts w:ascii="Times New Roman" w:hAnsi="Times New Roman" w:cs="Times New Roman"/>
                <w:sz w:val="20"/>
                <w:szCs w:val="20"/>
              </w:rPr>
              <w:t xml:space="preserve"> expression was assessed and showed decreased levels at late passages, along with fewer mineralized nodules observed in the Alizarin Red S staining assay.</w:t>
            </w:r>
          </w:p>
        </w:tc>
      </w:tr>
      <w:tr w:rsidR="00DC0A0B" w:rsidRPr="001A3F8F" w14:paraId="5A91A356"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1149892631"/>
              <w:placeholder>
                <w:docPart w:val="F91CF58E0FE24D61B1886B01DD844272"/>
              </w:placeholder>
            </w:sdtPr>
            <w:sdtContent>
              <w:p w14:paraId="55AC4CE4" w14:textId="371FA9EF"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1588" w:type="dxa"/>
            <w:vAlign w:val="center"/>
          </w:tcPr>
          <w:p w14:paraId="4E0EB0E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24A655B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1201" w:type="dxa"/>
            <w:vAlign w:val="center"/>
          </w:tcPr>
          <w:p w14:paraId="1C33B46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069CF2F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(area - %)</w:t>
            </w:r>
          </w:p>
        </w:tc>
        <w:tc>
          <w:tcPr>
            <w:tcW w:w="1272" w:type="dxa"/>
            <w:vAlign w:val="center"/>
          </w:tcPr>
          <w:p w14:paraId="4E20D66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~70.22 ± 6.2</w:t>
            </w:r>
          </w:p>
        </w:tc>
        <w:tc>
          <w:tcPr>
            <w:tcW w:w="1280" w:type="dxa"/>
            <w:vAlign w:val="center"/>
          </w:tcPr>
          <w:p w14:paraId="5CCCFE0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~55.83 ± 3.97</w:t>
            </w:r>
          </w:p>
        </w:tc>
        <w:tc>
          <w:tcPr>
            <w:tcW w:w="1160" w:type="dxa"/>
            <w:vAlign w:val="center"/>
          </w:tcPr>
          <w:p w14:paraId="3F398A7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737" w:type="dxa"/>
            <w:tcBorders>
              <w:top w:val="nil"/>
              <w:left w:val="nil"/>
              <w:bottom w:val="nil"/>
              <w:right w:val="nil"/>
            </w:tcBorders>
            <w:vAlign w:val="center"/>
          </w:tcPr>
          <w:p w14:paraId="1D81B4C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not-significant</w:t>
            </w:r>
          </w:p>
        </w:tc>
        <w:tc>
          <w:tcPr>
            <w:tcW w:w="2206" w:type="dxa"/>
            <w:vAlign w:val="center"/>
          </w:tcPr>
          <w:p w14:paraId="13FFE21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P6.</w:t>
            </w:r>
          </w:p>
        </w:tc>
      </w:tr>
      <w:tr w:rsidR="00DC0A0B" w:rsidRPr="001A3F8F" w14:paraId="4E5538D6"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M2U5MzI5M2ItMWFiNC00YjI2LWE4MTktYzA2Y2JiYzY5OWU5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
              <w:id w:val="-651066459"/>
              <w:placeholder>
                <w:docPart w:val="293F4CE71CD7478784B2F7142AF20F85"/>
              </w:placeholder>
            </w:sdtPr>
            <w:sdtContent>
              <w:p w14:paraId="2033F44F" w14:textId="748B3499"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Yang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Pr>
                    <w:rFonts w:ascii="Times New Roman" w:hAnsi="Times New Roman" w:cs="Times New Roman"/>
                    <w:sz w:val="20"/>
                    <w:szCs w:val="20"/>
                  </w:rPr>
                  <w:t xml:space="preserve"> [40]</w:t>
                </w:r>
              </w:p>
            </w:sdtContent>
          </w:sdt>
        </w:tc>
        <w:tc>
          <w:tcPr>
            <w:tcW w:w="1588" w:type="dxa"/>
            <w:vAlign w:val="center"/>
          </w:tcPr>
          <w:p w14:paraId="04303AE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4950F00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1201" w:type="dxa"/>
            <w:vAlign w:val="center"/>
          </w:tcPr>
          <w:p w14:paraId="4115589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6AF58CF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 Staining (562 nm)</w:t>
            </w:r>
          </w:p>
        </w:tc>
        <w:tc>
          <w:tcPr>
            <w:tcW w:w="1272" w:type="dxa"/>
            <w:vAlign w:val="center"/>
          </w:tcPr>
          <w:p w14:paraId="692D212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0.09</w:t>
            </w:r>
          </w:p>
        </w:tc>
        <w:tc>
          <w:tcPr>
            <w:tcW w:w="1280" w:type="dxa"/>
            <w:vAlign w:val="center"/>
          </w:tcPr>
          <w:p w14:paraId="035E2ED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~0.46 ± 0.07</w:t>
            </w:r>
          </w:p>
        </w:tc>
        <w:tc>
          <w:tcPr>
            <w:tcW w:w="1160" w:type="dxa"/>
            <w:vAlign w:val="center"/>
          </w:tcPr>
          <w:p w14:paraId="4F3794C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1737" w:type="dxa"/>
            <w:tcBorders>
              <w:top w:val="nil"/>
              <w:left w:val="nil"/>
              <w:bottom w:val="nil"/>
              <w:right w:val="nil"/>
            </w:tcBorders>
            <w:shd w:val="clear" w:color="000000" w:fill="CCCCCC"/>
            <w:vAlign w:val="center"/>
          </w:tcPr>
          <w:p w14:paraId="225318E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68EFB08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P12. 28 days. ALP activity was reduced, as indicated by quantitative assessment and weaker staining. Expression of osteogenic genes (</w:t>
            </w:r>
            <w:r w:rsidRPr="001A3F8F">
              <w:rPr>
                <w:rFonts w:ascii="Times New Roman" w:hAnsi="Times New Roman" w:cs="Times New Roman"/>
                <w:i/>
                <w:iCs/>
                <w:sz w:val="20"/>
                <w:szCs w:val="20"/>
              </w:rPr>
              <w:t>ALP, RUNX2, OCN, COL-I</w:t>
            </w:r>
            <w:r w:rsidRPr="001A3F8F">
              <w:rPr>
                <w:rFonts w:ascii="Times New Roman" w:hAnsi="Times New Roman" w:cs="Times New Roman"/>
                <w:sz w:val="20"/>
                <w:szCs w:val="20"/>
              </w:rPr>
              <w:t>) was lower compared with late passage.</w:t>
            </w:r>
          </w:p>
        </w:tc>
      </w:tr>
      <w:tr w:rsidR="00DC0A0B" w:rsidRPr="001A3F8F" w14:paraId="1A4B9DE2" w14:textId="77777777" w:rsidTr="00241200">
        <w:trPr>
          <w:trHeight w:val="501"/>
          <w:jc w:val="center"/>
        </w:trPr>
        <w:sdt>
          <w:sdtPr>
            <w:rPr>
              <w:rFonts w:ascii="Times New Roman" w:hAnsi="Times New Roman" w:cs="Times New Roman"/>
              <w:sz w:val="20"/>
              <w:szCs w:val="20"/>
            </w:rPr>
            <w:tag w:val="MENDELEY_CITATION_v3_eyJjaXRhdGlvbklEIjoiTUVOREVMRVlfQ0lUQVRJT05fMWUyOWMwMjctNGQ2NS00N2FkLWExYTktYTgzOTc5YmY0NzNl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
            <w:id w:val="-1958469597"/>
            <w:placeholder>
              <w:docPart w:val="EC81DB6111AC48C5A973E35B25018CD7"/>
            </w:placeholder>
          </w:sdtPr>
          <w:sdtContent>
            <w:tc>
              <w:tcPr>
                <w:cnfStyle w:val="001000000000" w:firstRow="0" w:lastRow="0" w:firstColumn="1" w:lastColumn="0" w:oddVBand="0" w:evenVBand="0" w:oddHBand="0" w:evenHBand="0" w:firstRowFirstColumn="0" w:firstRowLastColumn="0" w:lastRowFirstColumn="0" w:lastRowLastColumn="0"/>
                <w:tcW w:w="1673" w:type="dxa"/>
                <w:vAlign w:val="center"/>
              </w:tcPr>
              <w:p w14:paraId="3672503F" w14:textId="5E132967" w:rsidR="00DC0A0B" w:rsidRPr="001A3F8F" w:rsidRDefault="00DC0A0B" w:rsidP="00AE20BE">
                <w:pPr>
                  <w:jc w:val="both"/>
                  <w:rPr>
                    <w:rFonts w:ascii="Times New Roman" w:hAnsi="Times New Roman" w:cs="Times New Roman"/>
                    <w:sz w:val="20"/>
                    <w:szCs w:val="20"/>
                    <w:lang w:val="nb-NO"/>
                  </w:rPr>
                </w:pPr>
                <w:r w:rsidRPr="001A3F8F">
                  <w:rPr>
                    <w:rFonts w:ascii="Times New Roman" w:hAnsi="Times New Roman" w:cs="Times New Roman"/>
                    <w:sz w:val="20"/>
                    <w:szCs w:val="20"/>
                  </w:rPr>
                  <w:t xml:space="preserve">Cheng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2011</w:t>
                </w:r>
                <w:r>
                  <w:rPr>
                    <w:rFonts w:ascii="Times New Roman" w:hAnsi="Times New Roman" w:cs="Times New Roman"/>
                    <w:sz w:val="20"/>
                    <w:szCs w:val="20"/>
                  </w:rPr>
                  <w:t xml:space="preserve"> [39]</w:t>
                </w:r>
              </w:p>
            </w:tc>
          </w:sdtContent>
        </w:sdt>
        <w:tc>
          <w:tcPr>
            <w:tcW w:w="1588" w:type="dxa"/>
            <w:vAlign w:val="center"/>
          </w:tcPr>
          <w:p w14:paraId="5A7D46F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1317856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1201" w:type="dxa"/>
            <w:vAlign w:val="center"/>
          </w:tcPr>
          <w:p w14:paraId="0864E7C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221C9BB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(595 nm)</w:t>
            </w:r>
          </w:p>
        </w:tc>
        <w:tc>
          <w:tcPr>
            <w:tcW w:w="1272" w:type="dxa"/>
            <w:vAlign w:val="center"/>
          </w:tcPr>
          <w:p w14:paraId="3E8E1D2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~0.43 ± 0.03</w:t>
            </w:r>
          </w:p>
        </w:tc>
        <w:tc>
          <w:tcPr>
            <w:tcW w:w="1280" w:type="dxa"/>
            <w:vAlign w:val="center"/>
          </w:tcPr>
          <w:p w14:paraId="6D008BE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~1.18 ± 0.03</w:t>
            </w:r>
          </w:p>
        </w:tc>
        <w:tc>
          <w:tcPr>
            <w:tcW w:w="1160" w:type="dxa"/>
            <w:vAlign w:val="center"/>
          </w:tcPr>
          <w:p w14:paraId="4903DBA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1737" w:type="dxa"/>
            <w:tcBorders>
              <w:top w:val="nil"/>
              <w:left w:val="nil"/>
              <w:right w:val="nil"/>
            </w:tcBorders>
            <w:vAlign w:val="center"/>
          </w:tcPr>
          <w:p w14:paraId="340DB10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2206" w:type="dxa"/>
            <w:vAlign w:val="center"/>
          </w:tcPr>
          <w:p w14:paraId="0C4DA8A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P4, S: P23. 21 days. </w:t>
            </w:r>
            <w:r w:rsidRPr="001A3F8F">
              <w:rPr>
                <w:rFonts w:ascii="Times New Roman" w:hAnsi="Times New Roman" w:cs="Times New Roman"/>
                <w:i/>
                <w:iCs/>
                <w:sz w:val="20"/>
                <w:szCs w:val="20"/>
              </w:rPr>
              <w:t xml:space="preserve">ALPL </w:t>
            </w:r>
            <w:r w:rsidRPr="001A3F8F">
              <w:rPr>
                <w:rFonts w:ascii="Times New Roman" w:hAnsi="Times New Roman" w:cs="Times New Roman"/>
                <w:sz w:val="20"/>
                <w:szCs w:val="20"/>
              </w:rPr>
              <w:t>expression was higher in late passage group.</w:t>
            </w:r>
          </w:p>
        </w:tc>
      </w:tr>
      <w:tr w:rsidR="00DC0A0B" w:rsidRPr="001A3F8F" w14:paraId="46CDFE08"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YTg3ZjExNDEtY2YxYS00YzgzLWFjY2YtNmRlZTAyMmVhZDMx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
              <w:id w:val="17901645"/>
              <w:placeholder>
                <w:docPart w:val="28003BB8350E45EE882EF97977777C46"/>
              </w:placeholder>
            </w:sdtPr>
            <w:sdtContent>
              <w:p w14:paraId="61F495B5" w14:textId="4554942B"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Christodoulou</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2013</w:t>
                </w:r>
                <w:r>
                  <w:rPr>
                    <w:rFonts w:ascii="Times New Roman" w:hAnsi="Times New Roman" w:cs="Times New Roman"/>
                    <w:sz w:val="20"/>
                    <w:szCs w:val="20"/>
                    <w:lang w:val="pt-BR"/>
                  </w:rPr>
                  <w:t xml:space="preserve"> [33]</w:t>
                </w:r>
              </w:p>
            </w:sdtContent>
          </w:sdt>
        </w:tc>
        <w:tc>
          <w:tcPr>
            <w:tcW w:w="1588" w:type="dxa"/>
            <w:vAlign w:val="center"/>
          </w:tcPr>
          <w:p w14:paraId="7F2019D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0D8C4C3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1201" w:type="dxa"/>
            <w:vAlign w:val="center"/>
          </w:tcPr>
          <w:p w14:paraId="5A53834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50E15E8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w:t>
            </w:r>
          </w:p>
        </w:tc>
        <w:tc>
          <w:tcPr>
            <w:tcW w:w="1272" w:type="dxa"/>
            <w:vAlign w:val="center"/>
          </w:tcPr>
          <w:p w14:paraId="70F4C31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&gt;50 nodules</w:t>
            </w:r>
          </w:p>
        </w:tc>
        <w:tc>
          <w:tcPr>
            <w:tcW w:w="1280" w:type="dxa"/>
            <w:vAlign w:val="center"/>
          </w:tcPr>
          <w:p w14:paraId="78ED96A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&lt;20 nodules</w:t>
            </w:r>
          </w:p>
        </w:tc>
        <w:tc>
          <w:tcPr>
            <w:tcW w:w="1160" w:type="dxa"/>
            <w:vAlign w:val="center"/>
          </w:tcPr>
          <w:p w14:paraId="4DB99F8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652A82B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2AE5A3E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P2, S: P20. 21 days. Early passage showed robust osteogenic capacity assessed by calcium deposition, and CFU-ALP assays, whereas late passage (P20) cells exhibited reduced osteogenic outcomes.</w:t>
            </w:r>
          </w:p>
        </w:tc>
      </w:tr>
      <w:tr w:rsidR="00513939" w:rsidRPr="001A3F8F" w14:paraId="3ED7ED0F"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"/>
              <w:id w:val="1935246341"/>
              <w:placeholder>
                <w:docPart w:val="8AD3D1383E5148DC864A378194ACC86F"/>
              </w:placeholder>
            </w:sdtPr>
            <w:sdtEndPr/>
            <w:sdtContent>
              <w:p w14:paraId="67975152" w14:textId="1A6219E1"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Govarthanan</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sidR="00DC0A0B">
                  <w:rPr>
                    <w:rFonts w:ascii="Times New Roman" w:hAnsi="Times New Roman" w:cs="Times New Roman"/>
                    <w:sz w:val="20"/>
                    <w:szCs w:val="20"/>
                  </w:rPr>
                  <w:t xml:space="preserve"> [41]</w:t>
                </w:r>
              </w:p>
            </w:sdtContent>
          </w:sdt>
        </w:tc>
        <w:tc>
          <w:tcPr>
            <w:tcW w:w="1588" w:type="dxa"/>
            <w:vAlign w:val="center"/>
          </w:tcPr>
          <w:p w14:paraId="33179D8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2C02ABE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1201" w:type="dxa"/>
            <w:vAlign w:val="center"/>
          </w:tcPr>
          <w:p w14:paraId="7D8A1D7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27" w:type="dxa"/>
            <w:vAlign w:val="center"/>
          </w:tcPr>
          <w:p w14:paraId="3699B99F"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OPN</w:t>
            </w:r>
          </w:p>
        </w:tc>
        <w:tc>
          <w:tcPr>
            <w:tcW w:w="1272" w:type="dxa"/>
            <w:vAlign w:val="center"/>
          </w:tcPr>
          <w:p w14:paraId="4272DC9B"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~8.09 ± 0.57</w:t>
            </w:r>
          </w:p>
        </w:tc>
        <w:tc>
          <w:tcPr>
            <w:tcW w:w="1280" w:type="dxa"/>
            <w:vAlign w:val="center"/>
          </w:tcPr>
          <w:p w14:paraId="4B8609F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~2.03 ± 0.11</w:t>
            </w:r>
          </w:p>
        </w:tc>
        <w:tc>
          <w:tcPr>
            <w:tcW w:w="1160" w:type="dxa"/>
            <w:vAlign w:val="center"/>
          </w:tcPr>
          <w:p w14:paraId="7039128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p&lt;0.0001</w:t>
            </w:r>
          </w:p>
        </w:tc>
        <w:tc>
          <w:tcPr>
            <w:tcW w:w="1737" w:type="dxa"/>
            <w:tcBorders>
              <w:left w:val="nil"/>
              <w:bottom w:val="nil"/>
              <w:right w:val="nil"/>
            </w:tcBorders>
            <w:vAlign w:val="center"/>
          </w:tcPr>
          <w:p w14:paraId="5888E86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206" w:type="dxa"/>
            <w:vAlign w:val="center"/>
          </w:tcPr>
          <w:p w14:paraId="1747F6E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P15. 21 days. </w:t>
            </w:r>
            <w:r w:rsidRPr="001A3F8F">
              <w:rPr>
                <w:rFonts w:ascii="Times New Roman" w:hAnsi="Times New Roman" w:cs="Times New Roman"/>
                <w:i/>
                <w:iCs/>
                <w:sz w:val="20"/>
                <w:szCs w:val="20"/>
              </w:rPr>
              <w:t xml:space="preserve">COL1A1, RUNX2 </w:t>
            </w:r>
            <w:r w:rsidRPr="001A3F8F">
              <w:rPr>
                <w:rFonts w:ascii="Times New Roman" w:hAnsi="Times New Roman" w:cs="Times New Roman"/>
                <w:sz w:val="20"/>
                <w:szCs w:val="20"/>
              </w:rPr>
              <w:t>expression were assessed and showed reduced levels in late passage, along with fewer mineralized nodules observed in the Alizarin Red S staining assay.</w:t>
            </w:r>
          </w:p>
        </w:tc>
      </w:tr>
      <w:tr w:rsidR="00513939" w:rsidRPr="001A3F8F" w14:paraId="5069E83D"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"/>
              <w:id w:val="-1192918434"/>
              <w:placeholder>
                <w:docPart w:val="D3590EE436FD489C8025D8DD4C29AC0F"/>
              </w:placeholder>
            </w:sdtPr>
            <w:sdtEndPr/>
            <w:sdtContent>
              <w:p w14:paraId="7CAE3CED" w14:textId="2AC15EF9" w:rsidR="00513939" w:rsidRPr="001A3F8F" w:rsidRDefault="00513939"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Scheers</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2013</w:t>
                </w:r>
                <w:r w:rsidR="00DC0A0B">
                  <w:rPr>
                    <w:rFonts w:ascii="Times New Roman" w:hAnsi="Times New Roman" w:cs="Times New Roman"/>
                    <w:sz w:val="20"/>
                    <w:szCs w:val="20"/>
                  </w:rPr>
                  <w:t xml:space="preserve"> [48]</w:t>
                </w:r>
              </w:p>
            </w:sdtContent>
          </w:sdt>
        </w:tc>
        <w:tc>
          <w:tcPr>
            <w:tcW w:w="1588" w:type="dxa"/>
            <w:vAlign w:val="center"/>
          </w:tcPr>
          <w:p w14:paraId="4364403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77FF6772"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1201" w:type="dxa"/>
            <w:vAlign w:val="center"/>
          </w:tcPr>
          <w:p w14:paraId="1C3083D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27" w:type="dxa"/>
            <w:vAlign w:val="center"/>
          </w:tcPr>
          <w:p w14:paraId="0C3E99A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Alizarin Red Staining (bone matrix deposition area - %)</w:t>
            </w:r>
          </w:p>
        </w:tc>
        <w:tc>
          <w:tcPr>
            <w:tcW w:w="1272" w:type="dxa"/>
            <w:vAlign w:val="center"/>
          </w:tcPr>
          <w:p w14:paraId="5899B7F8"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~91.36 ± 1.36</w:t>
            </w:r>
          </w:p>
        </w:tc>
        <w:tc>
          <w:tcPr>
            <w:tcW w:w="1280" w:type="dxa"/>
            <w:vAlign w:val="center"/>
          </w:tcPr>
          <w:p w14:paraId="1C337B30"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~1.36 ± 0.45</w:t>
            </w:r>
          </w:p>
        </w:tc>
        <w:tc>
          <w:tcPr>
            <w:tcW w:w="1160" w:type="dxa"/>
            <w:vAlign w:val="center"/>
          </w:tcPr>
          <w:p w14:paraId="7E09AEF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737" w:type="dxa"/>
            <w:tcBorders>
              <w:top w:val="nil"/>
              <w:left w:val="nil"/>
              <w:bottom w:val="nil"/>
              <w:right w:val="nil"/>
            </w:tcBorders>
            <w:shd w:val="clear" w:color="000000" w:fill="CCCCCC"/>
            <w:vAlign w:val="center"/>
          </w:tcPr>
          <w:p w14:paraId="5489FAF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4C6EC434"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P21. A significant difference was observed between P9 and P21 (p &lt; 0.001). The percentage of area with bone matrix deposition was similar at passages 3, 9, and 18.</w:t>
            </w:r>
          </w:p>
        </w:tc>
      </w:tr>
      <w:tr w:rsidR="00DC0A0B" w:rsidRPr="001A3F8F" w14:paraId="277FE385"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1673" w:type="dxa"/>
            <w:vAlign w:val="center"/>
          </w:tcPr>
          <w:sdt>
            <w:sdtPr>
              <w:rPr>
                <w:rFonts w:ascii="Times New Roman" w:hAnsi="Times New Roman" w:cs="Times New Roman"/>
                <w:sz w:val="20"/>
                <w:szCs w:val="20"/>
              </w:rPr>
              <w:tag w:val="MENDELEY_CITATION_v3_eyJjaXRhdGlvbklEIjoiTUVOREVMRVlfQ0lUQVRJT05fZjg5MzFhM2YtOTZiYi00ZjAxLThhZjctZjRjMGVhMTBmNzk4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
              <w:id w:val="1162360182"/>
              <w:placeholder>
                <w:docPart w:val="C549D861AD2C411AA1AF96687FA7798B"/>
              </w:placeholder>
            </w:sdtPr>
            <w:sdtContent>
              <w:p w14:paraId="09FF54D7" w14:textId="5FC71ED4"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Jin</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[34]</w:t>
                </w:r>
              </w:p>
            </w:sdtContent>
          </w:sdt>
        </w:tc>
        <w:tc>
          <w:tcPr>
            <w:tcW w:w="1588" w:type="dxa"/>
            <w:vAlign w:val="center"/>
          </w:tcPr>
          <w:p w14:paraId="2366661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015" w:type="dxa"/>
            <w:vAlign w:val="center"/>
          </w:tcPr>
          <w:p w14:paraId="2A66693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UC-MSCs-CB</w:t>
            </w:r>
          </w:p>
        </w:tc>
        <w:tc>
          <w:tcPr>
            <w:tcW w:w="1201" w:type="dxa"/>
            <w:vAlign w:val="center"/>
          </w:tcPr>
          <w:p w14:paraId="35DFA1C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27" w:type="dxa"/>
            <w:vAlign w:val="center"/>
          </w:tcPr>
          <w:p w14:paraId="5F4D07C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ALP staining </w:t>
            </w:r>
          </w:p>
        </w:tc>
        <w:tc>
          <w:tcPr>
            <w:tcW w:w="1272" w:type="dxa"/>
            <w:vAlign w:val="center"/>
          </w:tcPr>
          <w:p w14:paraId="292F827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280" w:type="dxa"/>
            <w:vAlign w:val="center"/>
          </w:tcPr>
          <w:p w14:paraId="1EAD7CD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160" w:type="dxa"/>
            <w:vAlign w:val="center"/>
          </w:tcPr>
          <w:p w14:paraId="009AAA2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1737" w:type="dxa"/>
            <w:tcBorders>
              <w:top w:val="nil"/>
              <w:left w:val="nil"/>
              <w:bottom w:val="nil"/>
              <w:right w:val="nil"/>
            </w:tcBorders>
            <w:vAlign w:val="center"/>
          </w:tcPr>
          <w:p w14:paraId="487F866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206" w:type="dxa"/>
            <w:vAlign w:val="center"/>
          </w:tcPr>
          <w:p w14:paraId="5F53A8C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P13. 14 days. </w:t>
            </w:r>
          </w:p>
        </w:tc>
      </w:tr>
    </w:tbl>
    <w:p w14:paraId="70482261" w14:textId="77777777" w:rsidR="00513939" w:rsidRPr="001A3F8F" w:rsidRDefault="00513939" w:rsidP="001A3F8F">
      <w:pPr>
        <w:jc w:val="both"/>
        <w:rPr>
          <w:rFonts w:ascii="Times New Roman" w:hAnsi="Times New Roman" w:cs="Times New Roman"/>
          <w:b/>
          <w:bCs/>
          <w:sz w:val="20"/>
          <w:szCs w:val="20"/>
        </w:rPr>
      </w:pPr>
    </w:p>
    <w:p w14:paraId="1A5BE4DE" w14:textId="77777777" w:rsidR="00513939" w:rsidRPr="001A3F8F" w:rsidRDefault="00513939" w:rsidP="001A3F8F">
      <w:pPr>
        <w:jc w:val="both"/>
        <w:rPr>
          <w:rFonts w:ascii="Times New Roman" w:hAnsi="Times New Roman" w:cs="Times New Roman"/>
          <w:b/>
          <w:bCs/>
          <w:sz w:val="20"/>
          <w:szCs w:val="20"/>
        </w:rPr>
      </w:pPr>
    </w:p>
    <w:p w14:paraId="5267D56A" w14:textId="280B3CEF"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b/>
          <w:bCs/>
          <w:sz w:val="20"/>
          <w:szCs w:val="20"/>
        </w:rPr>
        <w:t xml:space="preserve">Supplementary Table </w:t>
      </w:r>
      <w:r w:rsidR="001A3F8F" w:rsidRPr="001A3F8F">
        <w:rPr>
          <w:rFonts w:ascii="Times New Roman" w:hAnsi="Times New Roman" w:cs="Times New Roman"/>
          <w:b/>
          <w:bCs/>
          <w:sz w:val="20"/>
          <w:szCs w:val="20"/>
        </w:rPr>
        <w:t>4</w:t>
      </w:r>
      <w:r w:rsidRPr="001A3F8F">
        <w:rPr>
          <w:rFonts w:ascii="Times New Roman" w:hAnsi="Times New Roman" w:cs="Times New Roman"/>
          <w:b/>
          <w:bCs/>
          <w:sz w:val="20"/>
          <w:szCs w:val="20"/>
        </w:rPr>
        <w:t xml:space="preserve">. Individual results for the osteogenic differentiation outcome. </w:t>
      </w:r>
      <w:r w:rsidRPr="001A3F8F">
        <w:rPr>
          <w:rFonts w:ascii="Times New Roman" w:hAnsi="Times New Roman" w:cs="Times New Roman"/>
          <w:sz w:val="20"/>
          <w:szCs w:val="20"/>
        </w:rPr>
        <w:t>This table summarizes individual study results evaluating osteogenic differentiation capacity in non</w:t>
      </w:r>
      <w:r w:rsidRPr="001A3F8F">
        <w:rPr>
          <w:rFonts w:ascii="Times New Roman" w:hAnsi="Times New Roman" w:cs="Times New Roman"/>
          <w:sz w:val="20"/>
          <w:szCs w:val="20"/>
        </w:rPr>
        <w:noBreakHyphen/>
        <w:t>senescent (NS) and senescent (S) mesenchymal stem cell populations. Studies are grouped by senescence induction method (inflammatory stimuli, Chronological aging, serial passaging) and sub</w:t>
      </w:r>
      <w:r w:rsidRPr="001A3F8F">
        <w:rPr>
          <w:rFonts w:ascii="Times New Roman" w:hAnsi="Times New Roman" w:cs="Times New Roman"/>
          <w:sz w:val="20"/>
          <w:szCs w:val="20"/>
        </w:rPr>
        <w:noBreakHyphen/>
        <w:t>grouped by cell type (AD</w:t>
      </w:r>
      <w:r w:rsidRPr="001A3F8F">
        <w:rPr>
          <w:rFonts w:ascii="Times New Roman" w:hAnsi="Times New Roman" w:cs="Times New Roman"/>
          <w:sz w:val="20"/>
          <w:szCs w:val="20"/>
        </w:rPr>
        <w:noBreakHyphen/>
        <w:t>MSCs, BM</w:t>
      </w:r>
      <w:r w:rsidRPr="001A3F8F">
        <w:rPr>
          <w:rFonts w:ascii="Times New Roman" w:hAnsi="Times New Roman" w:cs="Times New Roman"/>
          <w:sz w:val="20"/>
          <w:szCs w:val="20"/>
        </w:rPr>
        <w:noBreakHyphen/>
        <w:t>MSCs, DPSCs, PDLSCs, UC</w:t>
      </w:r>
      <w:r w:rsidRPr="001A3F8F">
        <w:rPr>
          <w:rFonts w:ascii="Times New Roman" w:hAnsi="Times New Roman" w:cs="Times New Roman"/>
          <w:sz w:val="20"/>
          <w:szCs w:val="20"/>
        </w:rPr>
        <w:noBreakHyphen/>
        <w:t>MSCs-WJ, UC</w:t>
      </w:r>
      <w:r w:rsidRPr="001A3F8F">
        <w:rPr>
          <w:rFonts w:ascii="Times New Roman" w:hAnsi="Times New Roman" w:cs="Times New Roman"/>
          <w:sz w:val="20"/>
          <w:szCs w:val="20"/>
        </w:rPr>
        <w:noBreakHyphen/>
        <w:t xml:space="preserve">MSCs-CB). Data are presented as mean ± SD or SEM, as reported in the original studies. A variety of osteogenic assays were used, including Alizarin Red staining (area, optical density), von </w:t>
      </w:r>
      <w:proofErr w:type="spellStart"/>
      <w:r w:rsidRPr="001A3F8F">
        <w:rPr>
          <w:rFonts w:ascii="Times New Roman" w:hAnsi="Times New Roman" w:cs="Times New Roman"/>
          <w:sz w:val="20"/>
          <w:szCs w:val="20"/>
        </w:rPr>
        <w:t>Kossa</w:t>
      </w:r>
      <w:proofErr w:type="spellEnd"/>
      <w:r w:rsidRPr="001A3F8F">
        <w:rPr>
          <w:rFonts w:ascii="Times New Roman" w:hAnsi="Times New Roman" w:cs="Times New Roman"/>
          <w:sz w:val="20"/>
          <w:szCs w:val="20"/>
        </w:rPr>
        <w:t xml:space="preserve"> staining, alkaline phosphatase (ALP) activity, calcium content, RT</w:t>
      </w:r>
      <w:r w:rsidRPr="001A3F8F">
        <w:rPr>
          <w:rFonts w:ascii="Times New Roman" w:hAnsi="Times New Roman" w:cs="Times New Roman"/>
          <w:sz w:val="20"/>
          <w:szCs w:val="20"/>
        </w:rPr>
        <w:noBreakHyphen/>
        <w:t xml:space="preserve">qPCR of osteogenic markers (e.g., </w:t>
      </w:r>
      <w:r w:rsidRPr="001A3F8F">
        <w:rPr>
          <w:rFonts w:ascii="Times New Roman" w:hAnsi="Times New Roman" w:cs="Times New Roman"/>
          <w:i/>
          <w:iCs/>
          <w:sz w:val="20"/>
          <w:szCs w:val="20"/>
        </w:rPr>
        <w:t>OCN, OPN, RUNX2</w:t>
      </w:r>
      <w:r w:rsidRPr="001A3F8F">
        <w:rPr>
          <w:rFonts w:ascii="Times New Roman" w:hAnsi="Times New Roman" w:cs="Times New Roman"/>
          <w:sz w:val="20"/>
          <w:szCs w:val="20"/>
        </w:rPr>
        <w:t>), and others. When multiple assays were reported for the same outcome, only one representative assay was included. NR indicates “not reported”. Values preceded by a tilde (~) indicate data extracted manually from figures when numerical results were not reported in the text. An asterisk (*) denotes that SD or SEM was not provided in the original article.</w:t>
      </w:r>
    </w:p>
    <w:p w14:paraId="74732942" w14:textId="77777777"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br w:type="page"/>
      </w:r>
    </w:p>
    <w:p w14:paraId="0102BC72" w14:textId="625BCF09"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lastRenderedPageBreak/>
        <w:t xml:space="preserve">SUPPLEMENTARY TABLE </w:t>
      </w:r>
      <w:r w:rsidR="001A3F8F">
        <w:rPr>
          <w:rFonts w:ascii="Times New Roman" w:hAnsi="Times New Roman" w:cs="Times New Roman"/>
          <w:b/>
          <w:bCs/>
          <w:sz w:val="20"/>
          <w:szCs w:val="20"/>
        </w:rPr>
        <w:t>5</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adipogenesis differentiation outcome.</w:t>
      </w:r>
    </w:p>
    <w:tbl>
      <w:tblPr>
        <w:tblStyle w:val="TabeladeLista1Clara6"/>
        <w:tblW w:w="14742" w:type="dxa"/>
        <w:jc w:val="center"/>
        <w:tblLook w:val="04A0" w:firstRow="1" w:lastRow="0" w:firstColumn="1" w:lastColumn="0" w:noHBand="0" w:noVBand="1"/>
      </w:tblPr>
      <w:tblGrid>
        <w:gridCol w:w="1351"/>
        <w:gridCol w:w="1552"/>
        <w:gridCol w:w="998"/>
        <w:gridCol w:w="1140"/>
        <w:gridCol w:w="1558"/>
        <w:gridCol w:w="1048"/>
        <w:gridCol w:w="1029"/>
        <w:gridCol w:w="1361"/>
        <w:gridCol w:w="1672"/>
        <w:gridCol w:w="3033"/>
      </w:tblGrid>
      <w:tr w:rsidR="00513939" w:rsidRPr="001A3F8F" w14:paraId="6ECFA136" w14:textId="77777777" w:rsidTr="00241200">
        <w:trPr>
          <w:cnfStyle w:val="100000000000" w:firstRow="1" w:lastRow="0" w:firstColumn="0" w:lastColumn="0" w:oddVBand="0" w:evenVBand="0" w:oddHBand="0" w:evenHBand="0" w:firstRowFirstColumn="0" w:firstRowLastColumn="0" w:lastRowFirstColumn="0" w:lastRowLastColumn="0"/>
          <w:trHeight w:val="501"/>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041171"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0" w:type="auto"/>
            <w:vAlign w:val="center"/>
          </w:tcPr>
          <w:p w14:paraId="741E067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0" w:type="auto"/>
            <w:vAlign w:val="center"/>
          </w:tcPr>
          <w:p w14:paraId="3EEA4C62"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0" w:type="auto"/>
            <w:vAlign w:val="center"/>
          </w:tcPr>
          <w:p w14:paraId="3D8126F1"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0" w:type="auto"/>
            <w:vAlign w:val="center"/>
          </w:tcPr>
          <w:p w14:paraId="1EBFAF2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0" w:type="auto"/>
            <w:vAlign w:val="center"/>
          </w:tcPr>
          <w:p w14:paraId="3AAEA569"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0" w:type="auto"/>
            <w:vAlign w:val="center"/>
          </w:tcPr>
          <w:p w14:paraId="590C82DC"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0" w:type="auto"/>
            <w:vAlign w:val="center"/>
          </w:tcPr>
          <w:p w14:paraId="50052A55"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0" w:type="auto"/>
            <w:vAlign w:val="center"/>
          </w:tcPr>
          <w:p w14:paraId="7135D4BE"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Lower Differentiation Potential</w:t>
            </w:r>
          </w:p>
        </w:tc>
        <w:tc>
          <w:tcPr>
            <w:tcW w:w="3033" w:type="dxa"/>
            <w:vAlign w:val="center"/>
          </w:tcPr>
          <w:p w14:paraId="392F835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DC0A0B" w:rsidRPr="001A3F8F" w14:paraId="2612D86C"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sdt>
          <w:sdtPr>
            <w:rPr>
              <w:rFonts w:ascii="Times New Roman" w:hAnsi="Times New Roman" w:cs="Times New Roman"/>
              <w:sz w:val="20"/>
              <w:szCs w:val="20"/>
            </w:rPr>
            <w:tag w:val="MENDELEY_CITATION_v3_eyJjaXRhdGlvbklEIjoiTUVOREVMRVlfQ0lUQVRJT05fODFkYTJmMmItNmUyYS00MTBhLWFlMTItODNhOWM1OGI2Yjdl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
            <w:id w:val="690336036"/>
            <w:placeholder>
              <w:docPart w:val="83450D225B40460DB197478E88B84D37"/>
            </w:placeholder>
          </w:sdtPr>
          <w:sdtContent>
            <w:tc>
              <w:tcPr>
                <w:cnfStyle w:val="001000000000" w:firstRow="0" w:lastRow="0" w:firstColumn="1" w:lastColumn="0" w:oddVBand="0" w:evenVBand="0" w:oddHBand="0" w:evenHBand="0" w:firstRowFirstColumn="0" w:firstRowLastColumn="0" w:lastRowFirstColumn="0" w:lastRowLastColumn="0"/>
                <w:tcW w:w="0" w:type="auto"/>
                <w:vAlign w:val="center"/>
              </w:tcPr>
              <w:p w14:paraId="2E687C52" w14:textId="34DFC2DB"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Alt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2012</w:t>
                </w:r>
                <w:r>
                  <w:rPr>
                    <w:rFonts w:ascii="Times New Roman" w:hAnsi="Times New Roman" w:cs="Times New Roman"/>
                    <w:sz w:val="20"/>
                    <w:szCs w:val="20"/>
                  </w:rPr>
                  <w:t xml:space="preserve"> [19]</w:t>
                </w:r>
              </w:p>
            </w:tc>
          </w:sdtContent>
        </w:sdt>
        <w:tc>
          <w:tcPr>
            <w:tcW w:w="0" w:type="auto"/>
            <w:vAlign w:val="center"/>
          </w:tcPr>
          <w:p w14:paraId="7976183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428D2D8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3D17C18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0" w:type="auto"/>
            <w:vAlign w:val="center"/>
          </w:tcPr>
          <w:p w14:paraId="5368F23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Oil Red O Staining </w:t>
            </w:r>
          </w:p>
          <w:p w14:paraId="7C2150C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positive cells)</w:t>
            </w:r>
          </w:p>
        </w:tc>
        <w:tc>
          <w:tcPr>
            <w:tcW w:w="0" w:type="auto"/>
            <w:vAlign w:val="center"/>
          </w:tcPr>
          <w:p w14:paraId="25255EA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~33.29 ± 2.6</w:t>
            </w:r>
          </w:p>
        </w:tc>
        <w:tc>
          <w:tcPr>
            <w:tcW w:w="0" w:type="auto"/>
            <w:vAlign w:val="center"/>
          </w:tcPr>
          <w:p w14:paraId="25ACFD8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~9.78 ± 2.21</w:t>
            </w:r>
          </w:p>
        </w:tc>
        <w:tc>
          <w:tcPr>
            <w:tcW w:w="0" w:type="auto"/>
            <w:vAlign w:val="center"/>
          </w:tcPr>
          <w:p w14:paraId="78868A6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tcBorders>
              <w:top w:val="single" w:sz="4" w:space="0" w:color="666666"/>
              <w:left w:val="nil"/>
              <w:bottom w:val="nil"/>
              <w:right w:val="nil"/>
            </w:tcBorders>
            <w:shd w:val="clear" w:color="000000" w:fill="CCCCCC"/>
            <w:vAlign w:val="center"/>
          </w:tcPr>
          <w:p w14:paraId="5C79001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290453E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group 1 (&lt;20 years), S: group 3 (&gt;50 years). 12 days. Reduced</w:t>
            </w:r>
            <w:r w:rsidRPr="001A3F8F">
              <w:rPr>
                <w:rFonts w:ascii="Times New Roman" w:hAnsi="Times New Roman" w:cs="Times New Roman"/>
                <w:i/>
                <w:iCs/>
                <w:sz w:val="20"/>
                <w:szCs w:val="20"/>
              </w:rPr>
              <w:t xml:space="preserve"> LPL</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 xml:space="preserve">CEBPA </w:t>
            </w:r>
            <w:r w:rsidRPr="001A3F8F">
              <w:rPr>
                <w:rFonts w:ascii="Times New Roman" w:hAnsi="Times New Roman" w:cs="Times New Roman"/>
                <w:sz w:val="20"/>
                <w:szCs w:val="20"/>
              </w:rPr>
              <w:t xml:space="preserve">expression and increased </w:t>
            </w:r>
            <w:r w:rsidRPr="001A3F8F">
              <w:rPr>
                <w:rFonts w:ascii="Times New Roman" w:hAnsi="Times New Roman" w:cs="Times New Roman"/>
                <w:i/>
                <w:iCs/>
                <w:sz w:val="20"/>
                <w:szCs w:val="20"/>
              </w:rPr>
              <w:t xml:space="preserve">LEP </w:t>
            </w:r>
            <w:r w:rsidRPr="001A3F8F">
              <w:rPr>
                <w:rFonts w:ascii="Times New Roman" w:hAnsi="Times New Roman" w:cs="Times New Roman"/>
                <w:sz w:val="20"/>
                <w:szCs w:val="20"/>
              </w:rPr>
              <w:t>expression were observed in the elderly group.</w:t>
            </w:r>
          </w:p>
        </w:tc>
      </w:tr>
      <w:tr w:rsidR="00515418" w:rsidRPr="001A3F8F" w14:paraId="7B7DBF7C"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DMzNWFmYzEtNzFjMy00YmZmLTkxNTUtNjkyNmIyMmI1N2U0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
              <w:id w:val="729119059"/>
              <w:placeholder>
                <w:docPart w:val="C939F6ABF0A44755911DE452E9776EB3"/>
              </w:placeholder>
            </w:sdtPr>
            <w:sdtContent>
              <w:p w14:paraId="3C058079" w14:textId="3307ADDF" w:rsidR="00515418" w:rsidRPr="001A3F8F" w:rsidRDefault="00515418" w:rsidP="00515418">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Choudhery</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[9]</w:t>
                </w:r>
              </w:p>
            </w:sdtContent>
          </w:sdt>
        </w:tc>
        <w:tc>
          <w:tcPr>
            <w:tcW w:w="0" w:type="auto"/>
            <w:vAlign w:val="center"/>
          </w:tcPr>
          <w:p w14:paraId="3A1E889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406B9CAB"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7B66175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169A9943"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 (% positive cells)</w:t>
            </w:r>
            <w:r w:rsidRPr="001A3F8F">
              <w:rPr>
                <w:rFonts w:ascii="Times New Roman" w:hAnsi="Times New Roman" w:cs="Times New Roman"/>
                <w:sz w:val="20"/>
                <w:szCs w:val="20"/>
              </w:rPr>
              <w:tab/>
            </w:r>
          </w:p>
        </w:tc>
        <w:tc>
          <w:tcPr>
            <w:tcW w:w="0" w:type="auto"/>
            <w:vAlign w:val="center"/>
          </w:tcPr>
          <w:p w14:paraId="43F6506B"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67.4% ± 7.1%</w:t>
            </w:r>
          </w:p>
        </w:tc>
        <w:tc>
          <w:tcPr>
            <w:tcW w:w="0" w:type="auto"/>
            <w:vAlign w:val="center"/>
          </w:tcPr>
          <w:p w14:paraId="5B77F1B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62.2% ± 13.0%</w:t>
            </w:r>
          </w:p>
        </w:tc>
        <w:tc>
          <w:tcPr>
            <w:tcW w:w="0" w:type="auto"/>
            <w:vAlign w:val="center"/>
          </w:tcPr>
          <w:p w14:paraId="2381A37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0" w:type="auto"/>
            <w:tcBorders>
              <w:top w:val="nil"/>
              <w:left w:val="nil"/>
              <w:bottom w:val="nil"/>
              <w:right w:val="nil"/>
            </w:tcBorders>
            <w:vAlign w:val="center"/>
          </w:tcPr>
          <w:p w14:paraId="3F691B32"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033" w:type="dxa"/>
            <w:vAlign w:val="center"/>
          </w:tcPr>
          <w:p w14:paraId="3E451685"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group 1 (&lt;30 years), S: group 3 (&gt;60 years). 21 days. </w:t>
            </w:r>
            <w:r w:rsidRPr="001A3F8F">
              <w:rPr>
                <w:rFonts w:ascii="Times New Roman" w:hAnsi="Times New Roman" w:cs="Times New Roman"/>
                <w:i/>
                <w:iCs/>
                <w:sz w:val="20"/>
                <w:szCs w:val="20"/>
              </w:rPr>
              <w:t xml:space="preserve">PPAR-ү, LPL </w:t>
            </w:r>
            <w:r w:rsidRPr="001A3F8F">
              <w:rPr>
                <w:rFonts w:ascii="Times New Roman" w:hAnsi="Times New Roman" w:cs="Times New Roman"/>
                <w:sz w:val="20"/>
                <w:szCs w:val="20"/>
              </w:rPr>
              <w:t>expression showed no difference between groups.</w:t>
            </w:r>
          </w:p>
        </w:tc>
      </w:tr>
      <w:tr w:rsidR="00513939" w:rsidRPr="001A3F8F" w14:paraId="52E88022"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2UzMjg2N2EtMjA2MS00NWUzLWFiODEtMDZkM2JlNGJkMDRl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
              <w:id w:val="-582529244"/>
              <w:placeholder>
                <w:docPart w:val="908BDC931BCF4B22AF51829441735E8B"/>
              </w:placeholder>
            </w:sdtPr>
            <w:sdtEndPr/>
            <w:sdtContent>
              <w:sdt>
                <w:sdtPr>
                  <w:rPr>
                    <w:rFonts w:ascii="Times New Roman" w:hAnsi="Times New Roman" w:cs="Times New Roman"/>
                    <w:sz w:val="20"/>
                    <w:szCs w:val="20"/>
                  </w:rPr>
                  <w:tag w:val="MENDELEY_CITATION_v3_eyJjaXRhdGlvbklEIjoiTUVOREVMRVlfQ0lUQVRJT05fYjEzZjhmYmUtMzU2NS00NDA1LThiNDMtMmRiZGFiMmRkY2Iz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
                  <w:id w:val="1279452144"/>
                  <w:placeholder>
                    <w:docPart w:val="91017331423948059EC45653A829C36D"/>
                  </w:placeholder>
                </w:sdtPr>
                <w:sdtContent>
                  <w:p w14:paraId="2227E9B7" w14:textId="2413F110" w:rsidR="00513939" w:rsidRPr="001A3F8F" w:rsidRDefault="00515418" w:rsidP="00515418">
                    <w:pPr>
                      <w:rPr>
                        <w:rFonts w:ascii="Times New Roman" w:hAnsi="Times New Roman" w:cs="Times New Roman"/>
                        <w:sz w:val="20"/>
                        <w:szCs w:val="20"/>
                      </w:rPr>
                    </w:pPr>
                    <w:proofErr w:type="spellStart"/>
                    <w:r w:rsidRPr="001A3F8F">
                      <w:rPr>
                        <w:rFonts w:ascii="Times New Roman" w:hAnsi="Times New Roman" w:cs="Times New Roman"/>
                        <w:sz w:val="20"/>
                        <w:szCs w:val="20"/>
                      </w:rPr>
                      <w:t>Kornicka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2015</w:t>
                    </w:r>
                    <w:r>
                      <w:rPr>
                        <w:rFonts w:ascii="Times New Roman" w:hAnsi="Times New Roman" w:cs="Times New Roman"/>
                        <w:sz w:val="20"/>
                        <w:szCs w:val="20"/>
                      </w:rPr>
                      <w:t xml:space="preserve"> [20]</w:t>
                    </w:r>
                  </w:p>
                </w:sdtContent>
              </w:sdt>
            </w:sdtContent>
          </w:sdt>
        </w:tc>
        <w:tc>
          <w:tcPr>
            <w:tcW w:w="0" w:type="auto"/>
            <w:vAlign w:val="center"/>
          </w:tcPr>
          <w:p w14:paraId="703DDA1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0FE4583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4618B767"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0" w:type="auto"/>
            <w:vAlign w:val="center"/>
          </w:tcPr>
          <w:p w14:paraId="3D40D59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positive area (%)</w:t>
            </w:r>
          </w:p>
        </w:tc>
        <w:tc>
          <w:tcPr>
            <w:tcW w:w="0" w:type="auto"/>
            <w:vAlign w:val="center"/>
          </w:tcPr>
          <w:p w14:paraId="7B4DEBC5"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~21.53 ± 1.95 </w:t>
            </w:r>
          </w:p>
        </w:tc>
        <w:tc>
          <w:tcPr>
            <w:tcW w:w="0" w:type="auto"/>
            <w:vAlign w:val="center"/>
          </w:tcPr>
          <w:p w14:paraId="775AEB6F"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~39.27 ± 2.93</w:t>
            </w:r>
          </w:p>
        </w:tc>
        <w:tc>
          <w:tcPr>
            <w:tcW w:w="0" w:type="auto"/>
            <w:vAlign w:val="center"/>
          </w:tcPr>
          <w:p w14:paraId="7606FFBA"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0" w:type="auto"/>
            <w:tcBorders>
              <w:top w:val="nil"/>
              <w:left w:val="nil"/>
              <w:bottom w:val="nil"/>
              <w:right w:val="nil"/>
            </w:tcBorders>
            <w:shd w:val="clear" w:color="000000" w:fill="CCCCCC"/>
            <w:vAlign w:val="center"/>
          </w:tcPr>
          <w:p w14:paraId="058D6CE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3033" w:type="dxa"/>
            <w:vAlign w:val="center"/>
          </w:tcPr>
          <w:p w14:paraId="1D975D7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&gt;20 years, S: &gt;70 years. 14 days. </w:t>
            </w:r>
            <w:r w:rsidRPr="001A3F8F">
              <w:rPr>
                <w:rFonts w:ascii="Times New Roman" w:hAnsi="Times New Roman" w:cs="Times New Roman"/>
                <w:i/>
                <w:iCs/>
                <w:sz w:val="20"/>
                <w:szCs w:val="20"/>
              </w:rPr>
              <w:t>LPL</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CEBPA</w:t>
            </w:r>
            <w:r w:rsidRPr="001A3F8F">
              <w:rPr>
                <w:rFonts w:ascii="Times New Roman" w:hAnsi="Times New Roman" w:cs="Times New Roman"/>
                <w:sz w:val="20"/>
                <w:szCs w:val="20"/>
              </w:rPr>
              <w:t xml:space="preserve"> expression were reduced and </w:t>
            </w:r>
            <w:r w:rsidRPr="001A3F8F">
              <w:rPr>
                <w:rFonts w:ascii="Times New Roman" w:hAnsi="Times New Roman" w:cs="Times New Roman"/>
                <w:i/>
                <w:iCs/>
                <w:sz w:val="20"/>
                <w:szCs w:val="20"/>
              </w:rPr>
              <w:t>LEP</w:t>
            </w:r>
            <w:r w:rsidRPr="001A3F8F">
              <w:rPr>
                <w:rFonts w:ascii="Times New Roman" w:hAnsi="Times New Roman" w:cs="Times New Roman"/>
                <w:sz w:val="20"/>
                <w:szCs w:val="20"/>
              </w:rPr>
              <w:t xml:space="preserve"> expression was increased in the senescent group. Lipid droplet formation was higher at early time points and similar between groups by day 14.</w:t>
            </w:r>
          </w:p>
        </w:tc>
      </w:tr>
      <w:tr w:rsidR="00513939" w:rsidRPr="001A3F8F" w14:paraId="04360D1E"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GExMmEwMGUtODFkMC00MjI0LThmYjUtZWE0YzU4ZjRhMGMz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1843114497"/>
              <w:placeholder>
                <w:docPart w:val="C8E982C96D2449B6A6562E1050A8AF25"/>
              </w:placeholder>
            </w:sdtPr>
            <w:sdtEndPr/>
            <w:sdtContent>
              <w:sdt>
                <w:sdtPr>
                  <w:rPr>
                    <w:rFonts w:ascii="Times New Roman" w:hAnsi="Times New Roman" w:cs="Times New Roman"/>
                    <w:sz w:val="20"/>
                    <w:szCs w:val="20"/>
                  </w:rPr>
                  <w:tag w:val="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1081416032"/>
                  <w:placeholder>
                    <w:docPart w:val="574160A617684276947C75E92EBB42AB"/>
                  </w:placeholder>
                </w:sdtPr>
                <w:sdtContent>
                  <w:p w14:paraId="3C886827" w14:textId="0DDB7D23" w:rsidR="00513939" w:rsidRPr="001A3F8F" w:rsidRDefault="00515418" w:rsidP="00515418">
                    <w:pPr>
                      <w:rPr>
                        <w:rFonts w:ascii="Times New Roman" w:hAnsi="Times New Roman" w:cs="Times New Roman"/>
                        <w:sz w:val="20"/>
                        <w:szCs w:val="20"/>
                      </w:rPr>
                    </w:pPr>
                    <w:proofErr w:type="spellStart"/>
                    <w:r w:rsidRPr="001A3F8F">
                      <w:rPr>
                        <w:rFonts w:ascii="Times New Roman" w:hAnsi="Times New Roman" w:cs="Times New Roman"/>
                        <w:sz w:val="20"/>
                        <w:szCs w:val="20"/>
                      </w:rPr>
                      <w:t>Legzdina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[44]</w:t>
                    </w:r>
                  </w:p>
                </w:sdtContent>
              </w:sdt>
            </w:sdtContent>
          </w:sdt>
        </w:tc>
        <w:tc>
          <w:tcPr>
            <w:tcW w:w="0" w:type="auto"/>
            <w:vAlign w:val="center"/>
          </w:tcPr>
          <w:p w14:paraId="581064C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07F7F50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4E7EC36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vAlign w:val="center"/>
          </w:tcPr>
          <w:p w14:paraId="701A8441"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w:t>
            </w:r>
          </w:p>
        </w:tc>
        <w:tc>
          <w:tcPr>
            <w:tcW w:w="0" w:type="auto"/>
            <w:vAlign w:val="center"/>
          </w:tcPr>
          <w:p w14:paraId="4450A2E8"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64866A5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13AA26B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nil"/>
              <w:right w:val="nil"/>
            </w:tcBorders>
            <w:vAlign w:val="center"/>
          </w:tcPr>
          <w:p w14:paraId="019CA45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715926E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CS-8 (27 years), S: CS-8 (63 years). 16 days. </w:t>
            </w:r>
          </w:p>
        </w:tc>
      </w:tr>
      <w:tr w:rsidR="00515418" w:rsidRPr="001A3F8F" w14:paraId="573873B3"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GYzNTA4MmQtZGU0Yy00MTQ4LTkwNjctNDQ5YWYyOTRiZTQ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
              <w:id w:val="768896116"/>
              <w:placeholder>
                <w:docPart w:val="533230F3B54B482B83FD296E13EECC2A"/>
              </w:placeholder>
            </w:sdtPr>
            <w:sdtContent>
              <w:p w14:paraId="28A1E289" w14:textId="4BD26513" w:rsidR="00515418" w:rsidRPr="001A3F8F" w:rsidRDefault="00515418" w:rsidP="00515418">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Wu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2022</w:t>
                </w:r>
                <w:r>
                  <w:rPr>
                    <w:rFonts w:ascii="Times New Roman" w:hAnsi="Times New Roman" w:cs="Times New Roman"/>
                    <w:sz w:val="20"/>
                    <w:szCs w:val="20"/>
                    <w:lang w:val="pt-BR"/>
                  </w:rPr>
                  <w:t xml:space="preserve"> [21]</w:t>
                </w:r>
              </w:p>
            </w:sdtContent>
          </w:sdt>
        </w:tc>
        <w:tc>
          <w:tcPr>
            <w:tcW w:w="0" w:type="auto"/>
            <w:vAlign w:val="center"/>
          </w:tcPr>
          <w:p w14:paraId="657C62C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6FE76C26"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1C2CDC8D"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vAlign w:val="center"/>
          </w:tcPr>
          <w:p w14:paraId="0015D2AF"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LPL</w:t>
            </w:r>
            <w:r w:rsidRPr="001A3F8F">
              <w:rPr>
                <w:rFonts w:ascii="Times New Roman" w:hAnsi="Times New Roman" w:cs="Times New Roman"/>
                <w:sz w:val="20"/>
                <w:szCs w:val="20"/>
              </w:rPr>
              <w:t xml:space="preserve">  </w:t>
            </w:r>
          </w:p>
        </w:tc>
        <w:tc>
          <w:tcPr>
            <w:tcW w:w="0" w:type="auto"/>
            <w:vAlign w:val="center"/>
          </w:tcPr>
          <w:p w14:paraId="604045A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~42.25 ± 3.59 </w:t>
            </w:r>
          </w:p>
        </w:tc>
        <w:tc>
          <w:tcPr>
            <w:tcW w:w="0" w:type="auto"/>
            <w:vAlign w:val="center"/>
          </w:tcPr>
          <w:p w14:paraId="1CBD462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~75.56 ± 9.35</w:t>
            </w:r>
          </w:p>
        </w:tc>
        <w:tc>
          <w:tcPr>
            <w:tcW w:w="0" w:type="auto"/>
            <w:vAlign w:val="center"/>
          </w:tcPr>
          <w:p w14:paraId="243A1566"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0" w:type="auto"/>
            <w:tcBorders>
              <w:top w:val="nil"/>
              <w:left w:val="nil"/>
              <w:bottom w:val="nil"/>
              <w:right w:val="nil"/>
            </w:tcBorders>
            <w:shd w:val="clear" w:color="000000" w:fill="CCCCCC"/>
            <w:vAlign w:val="center"/>
          </w:tcPr>
          <w:p w14:paraId="6353B6D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3033" w:type="dxa"/>
            <w:vAlign w:val="center"/>
          </w:tcPr>
          <w:p w14:paraId="1D9AD05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Infant, S: Adult. 14 days. </w:t>
            </w:r>
            <w:proofErr w:type="spellStart"/>
            <w:r w:rsidRPr="001A3F8F">
              <w:rPr>
                <w:rFonts w:ascii="Times New Roman" w:hAnsi="Times New Roman" w:cs="Times New Roman"/>
                <w:i/>
                <w:iCs/>
                <w:sz w:val="20"/>
                <w:szCs w:val="20"/>
              </w:rPr>
              <w:t>PPARγ</w:t>
            </w:r>
            <w:proofErr w:type="spellEnd"/>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expression was increased in adult group.</w:t>
            </w:r>
          </w:p>
        </w:tc>
      </w:tr>
      <w:tr w:rsidR="00513939" w:rsidRPr="001A3F8F" w14:paraId="1A7780A7"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jJlMzIyNTEtODA2Zi00N2IwLTlhZmItNTY3MzM2ZWU0YzA0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
              <w:id w:val="-1287732884"/>
              <w:placeholder>
                <w:docPart w:val="38707B607B154B4F93D7D13EF301FB28"/>
              </w:placeholder>
            </w:sdtPr>
            <w:sdtEndPr/>
            <w:sdtContent>
              <w:p w14:paraId="2BBB73CB" w14:textId="7B5349F8"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Ye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2016</w:t>
                </w:r>
                <w:r w:rsidR="00DC0A0B">
                  <w:rPr>
                    <w:rFonts w:ascii="Times New Roman" w:hAnsi="Times New Roman" w:cs="Times New Roman"/>
                    <w:sz w:val="20"/>
                    <w:szCs w:val="20"/>
                    <w:lang w:val="pt-BR"/>
                  </w:rPr>
                  <w:t xml:space="preserve"> [38]</w:t>
                </w:r>
              </w:p>
            </w:sdtContent>
          </w:sdt>
        </w:tc>
        <w:tc>
          <w:tcPr>
            <w:tcW w:w="0" w:type="auto"/>
            <w:vAlign w:val="center"/>
          </w:tcPr>
          <w:p w14:paraId="5155FD73"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6AE90249"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08099EBD"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0" w:type="auto"/>
            <w:vAlign w:val="center"/>
          </w:tcPr>
          <w:p w14:paraId="741B61A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 (% positive cells)</w:t>
            </w:r>
          </w:p>
        </w:tc>
        <w:tc>
          <w:tcPr>
            <w:tcW w:w="0" w:type="auto"/>
            <w:vAlign w:val="center"/>
          </w:tcPr>
          <w:p w14:paraId="597DDE7E"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~78.7% ± 9.8</w:t>
            </w:r>
          </w:p>
        </w:tc>
        <w:tc>
          <w:tcPr>
            <w:tcW w:w="0" w:type="auto"/>
            <w:vAlign w:val="center"/>
          </w:tcPr>
          <w:p w14:paraId="4CCD62D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~59.4% ± 12.7</w:t>
            </w:r>
          </w:p>
        </w:tc>
        <w:tc>
          <w:tcPr>
            <w:tcW w:w="0" w:type="auto"/>
            <w:vAlign w:val="center"/>
          </w:tcPr>
          <w:p w14:paraId="7E5493A2"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0" w:type="auto"/>
            <w:tcBorders>
              <w:top w:val="nil"/>
              <w:left w:val="nil"/>
              <w:bottom w:val="nil"/>
              <w:right w:val="nil"/>
            </w:tcBorders>
            <w:vAlign w:val="center"/>
          </w:tcPr>
          <w:p w14:paraId="0DB0B866"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033" w:type="dxa"/>
            <w:vAlign w:val="center"/>
          </w:tcPr>
          <w:p w14:paraId="4F9ECEFC"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14 days. </w:t>
            </w:r>
            <w:r w:rsidRPr="001A3F8F">
              <w:rPr>
                <w:rFonts w:ascii="Times New Roman" w:hAnsi="Times New Roman" w:cs="Times New Roman"/>
                <w:i/>
                <w:iCs/>
                <w:sz w:val="20"/>
                <w:szCs w:val="20"/>
              </w:rPr>
              <w:t xml:space="preserve">PPARγ2 </w:t>
            </w:r>
            <w:r w:rsidRPr="001A3F8F">
              <w:rPr>
                <w:rFonts w:ascii="Times New Roman" w:hAnsi="Times New Roman" w:cs="Times New Roman"/>
                <w:sz w:val="20"/>
                <w:szCs w:val="20"/>
              </w:rPr>
              <w:t>and</w:t>
            </w:r>
            <w:r w:rsidRPr="001A3F8F">
              <w:rPr>
                <w:rFonts w:ascii="Times New Roman" w:hAnsi="Times New Roman" w:cs="Times New Roman"/>
                <w:i/>
                <w:iCs/>
                <w:sz w:val="20"/>
                <w:szCs w:val="20"/>
              </w:rPr>
              <w:t xml:space="preserve"> LPL </w:t>
            </w:r>
            <w:r w:rsidRPr="001A3F8F">
              <w:rPr>
                <w:rFonts w:ascii="Times New Roman" w:hAnsi="Times New Roman" w:cs="Times New Roman"/>
                <w:sz w:val="20"/>
                <w:szCs w:val="20"/>
              </w:rPr>
              <w:t>expression were</w:t>
            </w:r>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significantly reduced in old group.</w:t>
            </w:r>
          </w:p>
        </w:tc>
      </w:tr>
      <w:tr w:rsidR="00515418" w:rsidRPr="001A3F8F" w14:paraId="4BD9EE69"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sdt>
          <w:sdtPr>
            <w:rPr>
              <w:rFonts w:ascii="Times New Roman" w:hAnsi="Times New Roman" w:cs="Times New Roman"/>
              <w:sz w:val="20"/>
              <w:szCs w:val="20"/>
            </w:rPr>
            <w:tag w:val="MENDELEY_CITATION_v3_eyJjaXRhdGlvbklEIjoiTUVOREVMRVlfQ0lUQVRJT05fZGZjYTI4MWQtNjhlNS00NjI2LTgwNWQtZThiMjlkZTc0ZTNh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
            <w:id w:val="-1291741251"/>
            <w:placeholder>
              <w:docPart w:val="A19E9912F1AF473F84E05A65873EB3B8"/>
            </w:placeholder>
          </w:sdtPr>
          <w:sdtContent>
            <w:tc>
              <w:tcPr>
                <w:cnfStyle w:val="001000000000" w:firstRow="0" w:lastRow="0" w:firstColumn="1" w:lastColumn="0" w:oddVBand="0" w:evenVBand="0" w:oddHBand="0" w:evenHBand="0" w:firstRowFirstColumn="0" w:firstRowLastColumn="0" w:lastRowFirstColumn="0" w:lastRowLastColumn="0"/>
                <w:tcW w:w="0" w:type="auto"/>
                <w:vAlign w:val="center"/>
              </w:tcPr>
              <w:p w14:paraId="758F37BE" w14:textId="360D9169" w:rsidR="00515418" w:rsidRPr="001A3F8F" w:rsidRDefault="00515418" w:rsidP="00515418">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Stolzing</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Pr>
                    <w:rFonts w:ascii="Times New Roman" w:hAnsi="Times New Roman" w:cs="Times New Roman"/>
                    <w:sz w:val="20"/>
                    <w:szCs w:val="20"/>
                  </w:rPr>
                  <w:t xml:space="preserve"> [28]</w:t>
                </w:r>
              </w:p>
            </w:tc>
          </w:sdtContent>
        </w:sdt>
        <w:tc>
          <w:tcPr>
            <w:tcW w:w="0" w:type="auto"/>
            <w:vAlign w:val="center"/>
          </w:tcPr>
          <w:p w14:paraId="125A7341"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0" w:type="auto"/>
            <w:vAlign w:val="center"/>
          </w:tcPr>
          <w:p w14:paraId="33044893"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4660FF93"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vAlign w:val="center"/>
          </w:tcPr>
          <w:p w14:paraId="123991E2"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 (% positive cells)</w:t>
            </w:r>
          </w:p>
        </w:tc>
        <w:tc>
          <w:tcPr>
            <w:tcW w:w="0" w:type="auto"/>
            <w:vAlign w:val="center"/>
          </w:tcPr>
          <w:p w14:paraId="459E38A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66% ± 12</w:t>
            </w:r>
          </w:p>
        </w:tc>
        <w:tc>
          <w:tcPr>
            <w:tcW w:w="0" w:type="auto"/>
            <w:vAlign w:val="center"/>
          </w:tcPr>
          <w:p w14:paraId="61F06FA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59% ± 9.5</w:t>
            </w:r>
          </w:p>
        </w:tc>
        <w:tc>
          <w:tcPr>
            <w:tcW w:w="0" w:type="auto"/>
            <w:vAlign w:val="center"/>
          </w:tcPr>
          <w:p w14:paraId="5FF845B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0" w:type="auto"/>
            <w:tcBorders>
              <w:top w:val="nil"/>
              <w:left w:val="nil"/>
              <w:bottom w:val="nil"/>
              <w:right w:val="nil"/>
            </w:tcBorders>
            <w:shd w:val="clear" w:color="000000" w:fill="CCCCCC"/>
            <w:vAlign w:val="center"/>
          </w:tcPr>
          <w:p w14:paraId="5297547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033" w:type="dxa"/>
            <w:vAlign w:val="center"/>
          </w:tcPr>
          <w:p w14:paraId="12907B61"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young (7-18 years), S: aged (&gt;40 years). </w:t>
            </w:r>
          </w:p>
        </w:tc>
      </w:tr>
      <w:tr w:rsidR="00515418" w:rsidRPr="001A3F8F" w14:paraId="57857294"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DRlNTUxMGQtYWQ1Yy00NWMyLThkN2UtMzIxYTJkZjdhZTVlIiwicHJvcGVydGllcyI6eyJub3RlSW5kZXgiOjB9LCJpc0VkaXRlZCI6ZmFsc2UsIm1hbnVhbE92ZXJyaWRlIjp7ImlzTWFudWFsbHlPdmVycmlkZGVuIjp0cnVlLCJjaXRlcHJvY1RleHQiOiIoWC4gRmVuZywgWGluZywgZXQgYWwuLCAyMDE0KSIsIm1hbnVhbE92ZXJyaWRlVGV4dCI6IihGZW5nIGV0IGFsLiwgMjAxNCli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
              <w:id w:val="-1177502530"/>
              <w:placeholder>
                <w:docPart w:val="52214633BD9A4B1A8A500CF5912E068E"/>
              </w:placeholder>
            </w:sdtPr>
            <w:sdtContent>
              <w:p w14:paraId="029C1880" w14:textId="549D83C8" w:rsidR="00515418" w:rsidRPr="001A3F8F" w:rsidRDefault="00515418" w:rsidP="00515418">
                <w:pPr>
                  <w:jc w:val="both"/>
                  <w:rPr>
                    <w:rFonts w:ascii="Times New Roman" w:hAnsi="Times New Roman" w:cs="Times New Roman"/>
                    <w:sz w:val="20"/>
                    <w:szCs w:val="20"/>
                  </w:rPr>
                </w:pPr>
                <w:r w:rsidRPr="001A3F8F">
                  <w:rPr>
                    <w:rFonts w:ascii="Times New Roman" w:hAnsi="Times New Roman" w:cs="Times New Roman"/>
                    <w:sz w:val="20"/>
                    <w:szCs w:val="20"/>
                  </w:rPr>
                  <w:t xml:space="preserve">Feng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[24]</w:t>
                </w:r>
              </w:p>
            </w:sdtContent>
          </w:sdt>
        </w:tc>
        <w:tc>
          <w:tcPr>
            <w:tcW w:w="0" w:type="auto"/>
            <w:vAlign w:val="center"/>
          </w:tcPr>
          <w:p w14:paraId="39649E9F"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vAlign w:val="center"/>
          </w:tcPr>
          <w:p w14:paraId="6426157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2412C064"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7E6B7259"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 (OD)</w:t>
            </w:r>
            <w:r w:rsidRPr="001A3F8F">
              <w:rPr>
                <w:rFonts w:ascii="Times New Roman" w:hAnsi="Times New Roman" w:cs="Times New Roman"/>
                <w:sz w:val="20"/>
                <w:szCs w:val="20"/>
              </w:rPr>
              <w:tab/>
            </w:r>
          </w:p>
        </w:tc>
        <w:tc>
          <w:tcPr>
            <w:tcW w:w="0" w:type="auto"/>
            <w:vAlign w:val="center"/>
          </w:tcPr>
          <w:p w14:paraId="7B0EBF1B"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~0.76 ± 0.08</w:t>
            </w:r>
          </w:p>
        </w:tc>
        <w:tc>
          <w:tcPr>
            <w:tcW w:w="0" w:type="auto"/>
            <w:vAlign w:val="center"/>
          </w:tcPr>
          <w:p w14:paraId="7FC67BE5"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~0.16 ± 0.04</w:t>
            </w:r>
          </w:p>
        </w:tc>
        <w:tc>
          <w:tcPr>
            <w:tcW w:w="0" w:type="auto"/>
            <w:vAlign w:val="center"/>
          </w:tcPr>
          <w:p w14:paraId="7C8C0197"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0" w:type="auto"/>
            <w:tcBorders>
              <w:top w:val="nil"/>
              <w:left w:val="nil"/>
              <w:bottom w:val="nil"/>
              <w:right w:val="nil"/>
            </w:tcBorders>
            <w:vAlign w:val="center"/>
          </w:tcPr>
          <w:p w14:paraId="2225F25F"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033" w:type="dxa"/>
            <w:vAlign w:val="center"/>
          </w:tcPr>
          <w:p w14:paraId="24CFEB5F"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3 weeks. </w:t>
            </w:r>
          </w:p>
        </w:tc>
      </w:tr>
      <w:tr w:rsidR="00DC0A0B" w:rsidRPr="001A3F8F" w14:paraId="7808ED6E"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
              <w:id w:val="1874031232"/>
              <w:placeholder>
                <w:docPart w:val="F642508233264A03918A297124134E0A"/>
              </w:placeholder>
            </w:sdtPr>
            <w:sdtContent>
              <w:p w14:paraId="35897427" w14:textId="4BA19A48"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Horibe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[12]</w:t>
                </w:r>
              </w:p>
            </w:sdtContent>
          </w:sdt>
        </w:tc>
        <w:tc>
          <w:tcPr>
            <w:tcW w:w="0" w:type="auto"/>
            <w:vAlign w:val="center"/>
          </w:tcPr>
          <w:p w14:paraId="7539D49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vAlign w:val="center"/>
          </w:tcPr>
          <w:p w14:paraId="469D3ED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1981329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0" w:type="auto"/>
            <w:vAlign w:val="center"/>
          </w:tcPr>
          <w:p w14:paraId="0C7EE5A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w:t>
            </w:r>
          </w:p>
        </w:tc>
        <w:tc>
          <w:tcPr>
            <w:tcW w:w="0" w:type="auto"/>
            <w:vAlign w:val="center"/>
          </w:tcPr>
          <w:p w14:paraId="7B3D423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positive </w:t>
            </w:r>
          </w:p>
        </w:tc>
        <w:tc>
          <w:tcPr>
            <w:tcW w:w="0" w:type="auto"/>
            <w:vAlign w:val="center"/>
          </w:tcPr>
          <w:p w14:paraId="7821E5D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477B22E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0" w:type="auto"/>
            <w:tcBorders>
              <w:top w:val="nil"/>
              <w:left w:val="nil"/>
              <w:right w:val="nil"/>
            </w:tcBorders>
            <w:shd w:val="clear" w:color="000000" w:fill="CCCCCC"/>
            <w:vAlign w:val="center"/>
          </w:tcPr>
          <w:p w14:paraId="59F5C70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1A3F8F">
              <w:rPr>
                <w:rFonts w:ascii="Times New Roman" w:hAnsi="Times New Roman" w:cs="Times New Roman"/>
                <w:sz w:val="20"/>
                <w:szCs w:val="20"/>
              </w:rPr>
              <w:t>not significant</w:t>
            </w:r>
          </w:p>
        </w:tc>
        <w:tc>
          <w:tcPr>
            <w:tcW w:w="3033" w:type="dxa"/>
            <w:vAlign w:val="center"/>
          </w:tcPr>
          <w:p w14:paraId="44E09D8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i/>
                <w:iCs/>
                <w:sz w:val="20"/>
                <w:szCs w:val="20"/>
              </w:rPr>
              <w:t>PPARγ</w:t>
            </w:r>
            <w:proofErr w:type="spellEnd"/>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 xml:space="preserve">and </w:t>
            </w:r>
            <w:r w:rsidRPr="001A3F8F">
              <w:rPr>
                <w:rFonts w:ascii="Times New Roman" w:hAnsi="Times New Roman" w:cs="Times New Roman"/>
                <w:i/>
                <w:iCs/>
                <w:sz w:val="20"/>
                <w:szCs w:val="20"/>
              </w:rPr>
              <w:t>aP2</w:t>
            </w:r>
            <w:r w:rsidRPr="001A3F8F">
              <w:rPr>
                <w:rFonts w:ascii="Times New Roman" w:hAnsi="Times New Roman" w:cs="Times New Roman"/>
                <w:sz w:val="20"/>
                <w:szCs w:val="20"/>
              </w:rPr>
              <w:t xml:space="preserve"> expression were similar in both groups.</w:t>
            </w:r>
          </w:p>
        </w:tc>
      </w:tr>
      <w:tr w:rsidR="00DC0A0B" w:rsidRPr="001A3F8F" w14:paraId="6173F2A5"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ZjlkYjE5MDQtZTBmMC00ZmFiLThkMDAtOWRkOTE2OGM3Zjky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
              <w:id w:val="1504233548"/>
              <w:placeholder>
                <w:docPart w:val="8616DDD7595C417AB738F4E3AA207BFE"/>
              </w:placeholder>
            </w:sdtPr>
            <w:sdtContent>
              <w:p w14:paraId="0989928B" w14:textId="0CDF7A2E"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Iezzi</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Pr>
                    <w:rFonts w:ascii="Times New Roman" w:hAnsi="Times New Roman" w:cs="Times New Roman"/>
                    <w:sz w:val="20"/>
                    <w:szCs w:val="20"/>
                  </w:rPr>
                  <w:t xml:space="preserve"> [25]</w:t>
                </w:r>
              </w:p>
            </w:sdtContent>
          </w:sdt>
        </w:tc>
        <w:tc>
          <w:tcPr>
            <w:tcW w:w="0" w:type="auto"/>
            <w:tcBorders>
              <w:bottom w:val="single" w:sz="12" w:space="0" w:color="auto"/>
            </w:tcBorders>
            <w:vAlign w:val="center"/>
          </w:tcPr>
          <w:p w14:paraId="7DC7A27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tcBorders>
              <w:bottom w:val="single" w:sz="12" w:space="0" w:color="auto"/>
            </w:tcBorders>
            <w:vAlign w:val="center"/>
          </w:tcPr>
          <w:p w14:paraId="6EB032A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tcBorders>
              <w:bottom w:val="single" w:sz="12" w:space="0" w:color="auto"/>
            </w:tcBorders>
            <w:vAlign w:val="center"/>
          </w:tcPr>
          <w:p w14:paraId="7894FE7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bottom w:val="single" w:sz="12" w:space="0" w:color="auto"/>
            </w:tcBorders>
            <w:vAlign w:val="center"/>
          </w:tcPr>
          <w:p w14:paraId="06F349E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w:t>
            </w:r>
          </w:p>
        </w:tc>
        <w:tc>
          <w:tcPr>
            <w:tcW w:w="0" w:type="auto"/>
            <w:tcBorders>
              <w:bottom w:val="single" w:sz="12" w:space="0" w:color="auto"/>
            </w:tcBorders>
            <w:vAlign w:val="center"/>
          </w:tcPr>
          <w:p w14:paraId="3E6672E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tcBorders>
              <w:bottom w:val="single" w:sz="12" w:space="0" w:color="auto"/>
            </w:tcBorders>
            <w:vAlign w:val="center"/>
          </w:tcPr>
          <w:p w14:paraId="7B525E1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0" w:type="auto"/>
            <w:tcBorders>
              <w:bottom w:val="single" w:sz="12" w:space="0" w:color="auto"/>
            </w:tcBorders>
            <w:vAlign w:val="center"/>
          </w:tcPr>
          <w:p w14:paraId="21F1246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single" w:sz="12" w:space="0" w:color="auto"/>
              <w:right w:val="nil"/>
            </w:tcBorders>
            <w:vAlign w:val="center"/>
          </w:tcPr>
          <w:p w14:paraId="3B0D466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tcBorders>
              <w:bottom w:val="single" w:sz="12" w:space="0" w:color="auto"/>
            </w:tcBorders>
            <w:vAlign w:val="center"/>
          </w:tcPr>
          <w:p w14:paraId="0751A00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group A (21 years), S: group C (64 years). 14 days.</w:t>
            </w:r>
          </w:p>
        </w:tc>
      </w:tr>
      <w:tr w:rsidR="00513939" w:rsidRPr="001A3F8F" w14:paraId="74172437"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vAlign w:val="center"/>
          </w:tcPr>
          <w:sdt>
            <w:sdtPr>
              <w:rPr>
                <w:rFonts w:ascii="Times New Roman" w:hAnsi="Times New Roman" w:cs="Times New Roman"/>
                <w:sz w:val="20"/>
                <w:szCs w:val="20"/>
              </w:rPr>
              <w:tag w:val="MENDELEY_CITATION_v3_eyJjaXRhdGlvbklEIjoiTUVOREVMRVlfQ0lUQVRJT05fMjRlYWZkYzMtODJlNC00YTRjLTg2NjYtODIwYWJhY2RmMDlh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522793087"/>
              <w:placeholder>
                <w:docPart w:val="00C258F01C9041098B1F14677586826D"/>
              </w:placeholder>
            </w:sdtPr>
            <w:sdtEndPr/>
            <w:sdtContent>
              <w:sdt>
                <w:sdtPr>
                  <w:rPr>
                    <w:rFonts w:ascii="Times New Roman" w:hAnsi="Times New Roman" w:cs="Times New Roman"/>
                    <w:sz w:val="20"/>
                    <w:szCs w:val="20"/>
                  </w:rPr>
                  <w:tag w:val="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
                  <w:id w:val="496231620"/>
                  <w:placeholder>
                    <w:docPart w:val="5FA43D83D3E94E72A45579C5E9C8F964"/>
                  </w:placeholder>
                </w:sdtPr>
                <w:sdtContent>
                  <w:p w14:paraId="38308B32" w14:textId="7AB5094D" w:rsidR="00513939" w:rsidRPr="001A3F8F" w:rsidRDefault="00515418" w:rsidP="00515418">
                    <w:pPr>
                      <w:rPr>
                        <w:rFonts w:ascii="Times New Roman" w:hAnsi="Times New Roman" w:cs="Times New Roman"/>
                        <w:sz w:val="20"/>
                        <w:szCs w:val="20"/>
                      </w:rPr>
                    </w:pPr>
                    <w:proofErr w:type="spellStart"/>
                    <w:r w:rsidRPr="001A3F8F">
                      <w:rPr>
                        <w:rFonts w:ascii="Times New Roman" w:hAnsi="Times New Roman" w:cs="Times New Roman"/>
                        <w:sz w:val="20"/>
                        <w:szCs w:val="20"/>
                      </w:rPr>
                      <w:t>Legzdina</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[44]</w:t>
                    </w:r>
                  </w:p>
                </w:sdtContent>
              </w:sdt>
            </w:sdtContent>
          </w:sdt>
        </w:tc>
        <w:tc>
          <w:tcPr>
            <w:tcW w:w="0" w:type="auto"/>
            <w:tcBorders>
              <w:top w:val="single" w:sz="12" w:space="0" w:color="auto"/>
            </w:tcBorders>
            <w:vAlign w:val="center"/>
          </w:tcPr>
          <w:p w14:paraId="3958BC2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tcBorders>
              <w:top w:val="single" w:sz="12" w:space="0" w:color="auto"/>
            </w:tcBorders>
            <w:vAlign w:val="center"/>
          </w:tcPr>
          <w:p w14:paraId="1C380156"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tcBorders>
              <w:top w:val="single" w:sz="12" w:space="0" w:color="auto"/>
            </w:tcBorders>
            <w:vAlign w:val="center"/>
          </w:tcPr>
          <w:p w14:paraId="2B9804CE"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single" w:sz="12" w:space="0" w:color="auto"/>
            </w:tcBorders>
            <w:vAlign w:val="center"/>
          </w:tcPr>
          <w:p w14:paraId="01FD0E0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w:t>
            </w:r>
          </w:p>
        </w:tc>
        <w:tc>
          <w:tcPr>
            <w:tcW w:w="0" w:type="auto"/>
            <w:tcBorders>
              <w:top w:val="single" w:sz="12" w:space="0" w:color="auto"/>
            </w:tcBorders>
            <w:vAlign w:val="center"/>
          </w:tcPr>
          <w:p w14:paraId="64100F69"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tcBorders>
              <w:top w:val="single" w:sz="12" w:space="0" w:color="auto"/>
            </w:tcBorders>
            <w:vAlign w:val="center"/>
          </w:tcPr>
          <w:p w14:paraId="572C2C6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0" w:type="auto"/>
            <w:tcBorders>
              <w:top w:val="single" w:sz="12" w:space="0" w:color="auto"/>
            </w:tcBorders>
            <w:vAlign w:val="center"/>
          </w:tcPr>
          <w:p w14:paraId="54B1370D"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single" w:sz="12" w:space="0" w:color="auto"/>
              <w:left w:val="nil"/>
              <w:right w:val="nil"/>
            </w:tcBorders>
            <w:shd w:val="clear" w:color="000000" w:fill="CCCCCC"/>
            <w:vAlign w:val="center"/>
          </w:tcPr>
          <w:p w14:paraId="2D99C551"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tcBorders>
              <w:top w:val="single" w:sz="12" w:space="0" w:color="auto"/>
            </w:tcBorders>
            <w:vAlign w:val="center"/>
          </w:tcPr>
          <w:p w14:paraId="7F3374DC" w14:textId="77777777" w:rsidR="00513939" w:rsidRPr="001A3F8F" w:rsidRDefault="00513939" w:rsidP="001A3F8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P9. CS-8 donor (27 years). 16 days. </w:t>
            </w:r>
          </w:p>
        </w:tc>
      </w:tr>
      <w:tr w:rsidR="00DC0A0B" w:rsidRPr="001A3F8F" w14:paraId="52EEB7B9"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OWFjZTAyODYtZjAyZC00MmMyLTliMjQtYzFlYTUzYzFmNmMz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
              <w:id w:val="-1376840474"/>
              <w:placeholder>
                <w:docPart w:val="74104200444543888D03D0BBFA4312C8"/>
              </w:placeholder>
            </w:sdtPr>
            <w:sdtContent>
              <w:p w14:paraId="36D53B68" w14:textId="4DA78A14"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Truong,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Pr>
                    <w:rFonts w:ascii="Times New Roman" w:hAnsi="Times New Roman" w:cs="Times New Roman"/>
                    <w:sz w:val="20"/>
                    <w:szCs w:val="20"/>
                  </w:rPr>
                  <w:t xml:space="preserve"> [45]</w:t>
                </w:r>
              </w:p>
            </w:sdtContent>
          </w:sdt>
        </w:tc>
        <w:tc>
          <w:tcPr>
            <w:tcW w:w="0" w:type="auto"/>
            <w:vAlign w:val="center"/>
          </w:tcPr>
          <w:p w14:paraId="2D54CE2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2974E7E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04F0BAC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vAlign w:val="center"/>
          </w:tcPr>
          <w:p w14:paraId="2239E01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w:t>
            </w:r>
          </w:p>
        </w:tc>
        <w:tc>
          <w:tcPr>
            <w:tcW w:w="0" w:type="auto"/>
            <w:vAlign w:val="center"/>
          </w:tcPr>
          <w:p w14:paraId="2156F25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1F9B52C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24C3D3C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left w:val="nil"/>
              <w:bottom w:val="nil"/>
              <w:right w:val="nil"/>
            </w:tcBorders>
            <w:vAlign w:val="center"/>
          </w:tcPr>
          <w:p w14:paraId="07A0E65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42B272E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P15. 7 days. Qualitative analyses showed almost no difference. </w:t>
            </w:r>
          </w:p>
        </w:tc>
      </w:tr>
      <w:tr w:rsidR="00DC0A0B" w:rsidRPr="001A3F8F" w14:paraId="0BFF4768"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NGU2ZGYwMDktZGU0OC00MWRjLWI4YjEtMjAxODQ3NGJlMzBh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
              <w:id w:val="1196271238"/>
              <w:placeholder>
                <w:docPart w:val="5D2058C0B7964B92A13C78064EC59792"/>
              </w:placeholder>
            </w:sdtPr>
            <w:sdtContent>
              <w:p w14:paraId="2B0B09B4" w14:textId="694AEE6B"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Pr>
                    <w:rFonts w:ascii="Times New Roman" w:hAnsi="Times New Roman" w:cs="Times New Roman"/>
                    <w:sz w:val="20"/>
                    <w:szCs w:val="20"/>
                  </w:rPr>
                  <w:t xml:space="preserve"> [46]</w:t>
                </w:r>
              </w:p>
            </w:sdtContent>
          </w:sdt>
        </w:tc>
        <w:tc>
          <w:tcPr>
            <w:tcW w:w="0" w:type="auto"/>
            <w:vAlign w:val="center"/>
          </w:tcPr>
          <w:p w14:paraId="617FFB8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05E172A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0" w:type="auto"/>
            <w:vAlign w:val="center"/>
          </w:tcPr>
          <w:p w14:paraId="34F7B61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1E10CF1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staining (450 nm)</w:t>
            </w:r>
          </w:p>
        </w:tc>
        <w:tc>
          <w:tcPr>
            <w:tcW w:w="0" w:type="auto"/>
            <w:vAlign w:val="center"/>
          </w:tcPr>
          <w:p w14:paraId="05E59D8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54D99E7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0" w:type="auto"/>
            <w:vAlign w:val="center"/>
          </w:tcPr>
          <w:p w14:paraId="3BA0DAD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nil"/>
              <w:right w:val="nil"/>
            </w:tcBorders>
            <w:shd w:val="clear" w:color="000000" w:fill="CCCCCC"/>
            <w:vAlign w:val="center"/>
          </w:tcPr>
          <w:p w14:paraId="24F8A9B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7292FCF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P4, S: P8. 2 weeks. Qualitative analyses showed dramatically decayed in late passage.</w:t>
            </w:r>
          </w:p>
        </w:tc>
      </w:tr>
      <w:tr w:rsidR="00DC0A0B" w:rsidRPr="001A3F8F" w14:paraId="008E371B"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B6312C2" w14:textId="512F8816"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Bertolo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2016</w:t>
            </w:r>
            <w:r>
              <w:rPr>
                <w:rFonts w:ascii="Times New Roman" w:hAnsi="Times New Roman" w:cs="Times New Roman"/>
                <w:sz w:val="20"/>
                <w:szCs w:val="20"/>
              </w:rPr>
              <w:t xml:space="preserve"> [42]</w:t>
            </w:r>
          </w:p>
        </w:tc>
        <w:tc>
          <w:tcPr>
            <w:tcW w:w="0" w:type="auto"/>
            <w:vAlign w:val="center"/>
          </w:tcPr>
          <w:p w14:paraId="02D37C3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0651E8E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0F5FECD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w:t>
            </w:r>
          </w:p>
        </w:tc>
        <w:tc>
          <w:tcPr>
            <w:tcW w:w="0" w:type="auto"/>
            <w:vAlign w:val="center"/>
          </w:tcPr>
          <w:p w14:paraId="6E0DAA3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RT-qPCR</w:t>
            </w:r>
            <w:r w:rsidRPr="001A3F8F">
              <w:rPr>
                <w:rFonts w:ascii="Times New Roman" w:hAnsi="Times New Roman" w:cs="Times New Roman"/>
                <w:i/>
                <w:iCs/>
                <w:sz w:val="20"/>
                <w:szCs w:val="20"/>
              </w:rPr>
              <w:t xml:space="preserve"> - PPAR-ɣ</w:t>
            </w:r>
          </w:p>
        </w:tc>
        <w:tc>
          <w:tcPr>
            <w:tcW w:w="0" w:type="auto"/>
            <w:vAlign w:val="center"/>
          </w:tcPr>
          <w:p w14:paraId="1D47104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~0.98 ± 0.08</w:t>
            </w:r>
          </w:p>
        </w:tc>
        <w:tc>
          <w:tcPr>
            <w:tcW w:w="0" w:type="auto"/>
            <w:vAlign w:val="center"/>
          </w:tcPr>
          <w:p w14:paraId="4A492AD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~6.44 ± 1.66</w:t>
            </w:r>
          </w:p>
        </w:tc>
        <w:tc>
          <w:tcPr>
            <w:tcW w:w="0" w:type="auto"/>
            <w:vAlign w:val="center"/>
          </w:tcPr>
          <w:p w14:paraId="73FC93C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0" w:type="auto"/>
            <w:tcBorders>
              <w:top w:val="nil"/>
              <w:left w:val="nil"/>
              <w:bottom w:val="nil"/>
              <w:right w:val="nil"/>
            </w:tcBorders>
            <w:vAlign w:val="center"/>
          </w:tcPr>
          <w:p w14:paraId="3BBD284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3033" w:type="dxa"/>
            <w:vAlign w:val="center"/>
          </w:tcPr>
          <w:p w14:paraId="62C026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P11. 3 weeks</w:t>
            </w:r>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Qualitative analysis of Oil Red O staining showed increased lipid accumulation at late passages.</w:t>
            </w:r>
          </w:p>
        </w:tc>
      </w:tr>
      <w:tr w:rsidR="00DC0A0B" w:rsidRPr="001A3F8F" w14:paraId="524CB580"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E4B9AF" w14:textId="23533547"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Bonab</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2006</w:t>
            </w:r>
            <w:r>
              <w:rPr>
                <w:rFonts w:ascii="Times New Roman" w:hAnsi="Times New Roman" w:cs="Times New Roman"/>
                <w:sz w:val="20"/>
                <w:szCs w:val="20"/>
              </w:rPr>
              <w:t xml:space="preserve"> [47]</w:t>
            </w:r>
          </w:p>
        </w:tc>
        <w:tc>
          <w:tcPr>
            <w:tcW w:w="0" w:type="auto"/>
            <w:vAlign w:val="center"/>
          </w:tcPr>
          <w:p w14:paraId="63B4553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1836719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7BB1117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52F8BB8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Staining with Oil red O (lipid vacuoles – %)</w:t>
            </w:r>
          </w:p>
        </w:tc>
        <w:tc>
          <w:tcPr>
            <w:tcW w:w="0" w:type="auto"/>
            <w:vAlign w:val="center"/>
          </w:tcPr>
          <w:p w14:paraId="2B3E2EA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100</w:t>
            </w:r>
          </w:p>
        </w:tc>
        <w:tc>
          <w:tcPr>
            <w:tcW w:w="0" w:type="auto"/>
            <w:vAlign w:val="center"/>
          </w:tcPr>
          <w:p w14:paraId="0B8FF6D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40</w:t>
            </w:r>
          </w:p>
        </w:tc>
        <w:tc>
          <w:tcPr>
            <w:tcW w:w="0" w:type="auto"/>
            <w:vAlign w:val="center"/>
          </w:tcPr>
          <w:p w14:paraId="2CFD3E7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tcBorders>
              <w:top w:val="nil"/>
              <w:left w:val="nil"/>
              <w:bottom w:val="nil"/>
              <w:right w:val="nil"/>
            </w:tcBorders>
            <w:shd w:val="clear" w:color="000000" w:fill="CCCCCC"/>
            <w:vAlign w:val="center"/>
          </w:tcPr>
          <w:p w14:paraId="0A533DF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367C1C0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PQ-P4, S: P9. 2-3 weeks. </w:t>
            </w:r>
          </w:p>
        </w:tc>
      </w:tr>
      <w:tr w:rsidR="00DC0A0B" w:rsidRPr="001A3F8F" w14:paraId="065531D0" w14:textId="77777777" w:rsidTr="00241200">
        <w:trPr>
          <w:trHeight w:val="501"/>
          <w:jc w:val="center"/>
        </w:trPr>
        <w:sdt>
          <w:sdtPr>
            <w:rPr>
              <w:rFonts w:ascii="Times New Roman" w:hAnsi="Times New Roman" w:cs="Times New Roman"/>
              <w:sz w:val="20"/>
              <w:szCs w:val="20"/>
            </w:rPr>
            <w:tag w:val="MENDELEY_CITATION_v3_eyJjaXRhdGlvbklEIjoiTUVOREVMRVlfQ0lUQVRJT05fMWUyOWMwMjctNGQ2NS00N2FkLWExYTktYTgzOTc5YmY0NzNl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
            <w:id w:val="1297030352"/>
            <w:placeholder>
              <w:docPart w:val="9A2906ADCEDA45149A1AAD04AA8AAEAF"/>
            </w:placeholder>
          </w:sdtPr>
          <w:sdtContent>
            <w:tc>
              <w:tcPr>
                <w:cnfStyle w:val="001000000000" w:firstRow="0" w:lastRow="0" w:firstColumn="1" w:lastColumn="0" w:oddVBand="0" w:evenVBand="0" w:oddHBand="0" w:evenHBand="0" w:firstRowFirstColumn="0" w:firstRowLastColumn="0" w:lastRowFirstColumn="0" w:lastRowLastColumn="0"/>
                <w:tcW w:w="0" w:type="auto"/>
                <w:vAlign w:val="center"/>
              </w:tcPr>
              <w:p w14:paraId="63DBD1BB" w14:textId="39F58B73"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Cheng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2011</w:t>
                </w:r>
                <w:r>
                  <w:rPr>
                    <w:rFonts w:ascii="Times New Roman" w:hAnsi="Times New Roman" w:cs="Times New Roman"/>
                    <w:sz w:val="20"/>
                    <w:szCs w:val="20"/>
                  </w:rPr>
                  <w:t xml:space="preserve"> [39]</w:t>
                </w:r>
              </w:p>
            </w:tc>
          </w:sdtContent>
        </w:sdt>
        <w:tc>
          <w:tcPr>
            <w:tcW w:w="0" w:type="auto"/>
            <w:vAlign w:val="center"/>
          </w:tcPr>
          <w:p w14:paraId="0309D1C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2AC230F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76DC390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7984000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Red-O staining (490 nm)</w:t>
            </w:r>
          </w:p>
        </w:tc>
        <w:tc>
          <w:tcPr>
            <w:tcW w:w="0" w:type="auto"/>
            <w:vAlign w:val="center"/>
          </w:tcPr>
          <w:p w14:paraId="5802FC8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~0.65 ± 0.06</w:t>
            </w:r>
          </w:p>
        </w:tc>
        <w:tc>
          <w:tcPr>
            <w:tcW w:w="0" w:type="auto"/>
            <w:vAlign w:val="center"/>
          </w:tcPr>
          <w:p w14:paraId="059E2F4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 ± 0.05</w:t>
            </w:r>
          </w:p>
        </w:tc>
        <w:tc>
          <w:tcPr>
            <w:tcW w:w="0" w:type="auto"/>
            <w:vAlign w:val="center"/>
          </w:tcPr>
          <w:p w14:paraId="208913D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0" w:type="auto"/>
            <w:tcBorders>
              <w:top w:val="nil"/>
              <w:left w:val="nil"/>
              <w:bottom w:val="nil"/>
              <w:right w:val="nil"/>
            </w:tcBorders>
            <w:vAlign w:val="center"/>
          </w:tcPr>
          <w:p w14:paraId="45CAA61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033" w:type="dxa"/>
            <w:vAlign w:val="center"/>
          </w:tcPr>
          <w:p w14:paraId="0A51FCA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P4, S: P12. 21 days.  </w:t>
            </w:r>
            <w:r w:rsidRPr="001A3F8F">
              <w:rPr>
                <w:rFonts w:ascii="Times New Roman" w:hAnsi="Times New Roman" w:cs="Times New Roman"/>
                <w:i/>
                <w:iCs/>
                <w:sz w:val="20"/>
                <w:szCs w:val="20"/>
              </w:rPr>
              <w:t xml:space="preserve">CEBPα, </w:t>
            </w:r>
            <w:proofErr w:type="spellStart"/>
            <w:r w:rsidRPr="001A3F8F">
              <w:rPr>
                <w:rFonts w:ascii="Times New Roman" w:hAnsi="Times New Roman" w:cs="Times New Roman"/>
                <w:i/>
                <w:iCs/>
                <w:sz w:val="20"/>
                <w:szCs w:val="20"/>
              </w:rPr>
              <w:t>PPARRɣ</w:t>
            </w:r>
            <w:proofErr w:type="spellEnd"/>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expression was significantly higher at early passages.</w:t>
            </w:r>
          </w:p>
        </w:tc>
      </w:tr>
      <w:tr w:rsidR="00DC0A0B" w:rsidRPr="001A3F8F" w14:paraId="58F0E810"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jllZmU4ZDQtOTdkYy00ODY5LWExOGQtOTc5NGRjOTc4NGQ5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
              <w:id w:val="1043327646"/>
              <w:placeholder>
                <w:docPart w:val="2214BA02F6EF40D395F2B1333B2CED92"/>
              </w:placeholder>
            </w:sdtPr>
            <w:sdtContent>
              <w:p w14:paraId="0D64A812" w14:textId="261DB66C"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Kim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Pr>
                    <w:rFonts w:ascii="Times New Roman" w:hAnsi="Times New Roman" w:cs="Times New Roman"/>
                    <w:sz w:val="20"/>
                    <w:szCs w:val="20"/>
                  </w:rPr>
                  <w:t xml:space="preserve"> [35]</w:t>
                </w:r>
              </w:p>
            </w:sdtContent>
          </w:sdt>
        </w:tc>
        <w:tc>
          <w:tcPr>
            <w:tcW w:w="0" w:type="auto"/>
            <w:vAlign w:val="center"/>
          </w:tcPr>
          <w:p w14:paraId="6990742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65C5168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54FDCD0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27B0324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(500 nm)</w:t>
            </w:r>
          </w:p>
        </w:tc>
        <w:tc>
          <w:tcPr>
            <w:tcW w:w="0" w:type="auto"/>
            <w:vAlign w:val="center"/>
          </w:tcPr>
          <w:p w14:paraId="2D86B83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~0.98 ± 0.05</w:t>
            </w:r>
          </w:p>
          <w:p w14:paraId="24562D0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~1.05 ± 0.14</w:t>
            </w:r>
          </w:p>
          <w:p w14:paraId="190A934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~1.05 ± 0.14</w:t>
            </w:r>
          </w:p>
        </w:tc>
        <w:tc>
          <w:tcPr>
            <w:tcW w:w="0" w:type="auto"/>
            <w:vAlign w:val="center"/>
          </w:tcPr>
          <w:p w14:paraId="45C1D36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LD: ~0.55 ± 0.03</w:t>
            </w:r>
          </w:p>
          <w:p w14:paraId="37D8F05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MD: ~0.48 ± 0.05</w:t>
            </w:r>
          </w:p>
          <w:p w14:paraId="1889EB9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HD: ~0.53 ± 0.05</w:t>
            </w:r>
          </w:p>
        </w:tc>
        <w:tc>
          <w:tcPr>
            <w:tcW w:w="0" w:type="auto"/>
            <w:vAlign w:val="center"/>
          </w:tcPr>
          <w:p w14:paraId="7E20B8F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NR </w:t>
            </w:r>
          </w:p>
        </w:tc>
        <w:tc>
          <w:tcPr>
            <w:tcW w:w="0" w:type="auto"/>
            <w:tcBorders>
              <w:top w:val="nil"/>
              <w:left w:val="nil"/>
              <w:bottom w:val="nil"/>
              <w:right w:val="nil"/>
            </w:tcBorders>
            <w:shd w:val="clear" w:color="000000" w:fill="CCCCCC"/>
            <w:vAlign w:val="center"/>
          </w:tcPr>
          <w:p w14:paraId="486551F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720585F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P15. Oil Red O staining decreased in a passage-dependent manner; however, no direct statistical test between P5 and P15 was performed (described in the text). </w:t>
            </w:r>
            <w:proofErr w:type="spellStart"/>
            <w:r w:rsidRPr="001A3F8F">
              <w:rPr>
                <w:rFonts w:ascii="Times New Roman" w:hAnsi="Times New Roman" w:cs="Times New Roman"/>
                <w:i/>
                <w:iCs/>
                <w:sz w:val="20"/>
                <w:szCs w:val="20"/>
              </w:rPr>
              <w:t>PPARγ</w:t>
            </w:r>
            <w:proofErr w:type="spellEnd"/>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FABP4</w:t>
            </w:r>
            <w:r w:rsidRPr="001A3F8F">
              <w:rPr>
                <w:rFonts w:ascii="Times New Roman" w:hAnsi="Times New Roman" w:cs="Times New Roman"/>
                <w:sz w:val="20"/>
                <w:szCs w:val="20"/>
              </w:rPr>
              <w:t xml:space="preserve"> expression appeared similar across passages. LD, MD, and HD denote low-, medium-, and high-density cultures. Induction time was not reported.</w:t>
            </w:r>
          </w:p>
        </w:tc>
      </w:tr>
      <w:tr w:rsidR="00DC0A0B" w:rsidRPr="001A3F8F" w14:paraId="78CE8C44"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DhlZTkwZGItMWY4Yi00YTk4LThlZDAtMzUwNjg0YWVkNWIw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
              <w:id w:val="2005629213"/>
              <w:placeholder>
                <w:docPart w:val="A014CA5A379D497288800A992D7861D8"/>
              </w:placeholder>
            </w:sdtPr>
            <w:sdtContent>
              <w:p w14:paraId="2D03828F" w14:textId="4B6CED18"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Wagner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Pr>
                    <w:rFonts w:ascii="Times New Roman" w:hAnsi="Times New Roman" w:cs="Times New Roman"/>
                    <w:sz w:val="20"/>
                    <w:szCs w:val="20"/>
                  </w:rPr>
                  <w:t xml:space="preserve"> [29]</w:t>
                </w:r>
              </w:p>
            </w:sdtContent>
          </w:sdt>
        </w:tc>
        <w:tc>
          <w:tcPr>
            <w:tcW w:w="0" w:type="auto"/>
            <w:vAlign w:val="center"/>
          </w:tcPr>
          <w:p w14:paraId="7AB46C2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76A5396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3B990C2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7973E9E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(595 nm)</w:t>
            </w:r>
          </w:p>
        </w:tc>
        <w:tc>
          <w:tcPr>
            <w:tcW w:w="0" w:type="auto"/>
            <w:vAlign w:val="center"/>
          </w:tcPr>
          <w:p w14:paraId="6EE0B2B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~0.48 ± 0.02</w:t>
            </w:r>
          </w:p>
        </w:tc>
        <w:tc>
          <w:tcPr>
            <w:tcW w:w="0" w:type="auto"/>
            <w:vAlign w:val="center"/>
          </w:tcPr>
          <w:p w14:paraId="3D35A72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~0.17 ± 0.14</w:t>
            </w:r>
          </w:p>
        </w:tc>
        <w:tc>
          <w:tcPr>
            <w:tcW w:w="0" w:type="auto"/>
            <w:vAlign w:val="center"/>
          </w:tcPr>
          <w:p w14:paraId="4E5A0FF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nil"/>
              <w:right w:val="nil"/>
            </w:tcBorders>
            <w:vAlign w:val="center"/>
          </w:tcPr>
          <w:p w14:paraId="7023EC5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2D2ED5D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P11. 21 days. </w:t>
            </w:r>
          </w:p>
        </w:tc>
      </w:tr>
      <w:tr w:rsidR="00DC0A0B" w:rsidRPr="001A3F8F" w14:paraId="508CE3B8"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
              <w:id w:val="1458758127"/>
              <w:placeholder>
                <w:docPart w:val="48CF20E4D1A046A49E1D9F738F23A130"/>
              </w:placeholder>
            </w:sdtPr>
            <w:sdtContent>
              <w:p w14:paraId="26E813E0" w14:textId="6029943C"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Wenjing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[6]</w:t>
                </w:r>
              </w:p>
            </w:sdtContent>
          </w:sdt>
        </w:tc>
        <w:tc>
          <w:tcPr>
            <w:tcW w:w="0" w:type="auto"/>
            <w:vAlign w:val="center"/>
          </w:tcPr>
          <w:p w14:paraId="304F45E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6C3A6ED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18BBDEF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7A666D7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Oil Red O Staining </w:t>
            </w:r>
            <w:r w:rsidRPr="001A3F8F">
              <w:rPr>
                <w:rFonts w:ascii="Times New Roman" w:hAnsi="Times New Roman" w:cs="Times New Roman"/>
                <w:sz w:val="20"/>
                <w:szCs w:val="20"/>
              </w:rPr>
              <w:lastRenderedPageBreak/>
              <w:t>(Positive Cell Rate - %)</w:t>
            </w:r>
          </w:p>
        </w:tc>
        <w:tc>
          <w:tcPr>
            <w:tcW w:w="0" w:type="auto"/>
            <w:vAlign w:val="center"/>
          </w:tcPr>
          <w:p w14:paraId="468375F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lastRenderedPageBreak/>
              <w:t>40.8 ± 2.0</w:t>
            </w:r>
          </w:p>
        </w:tc>
        <w:tc>
          <w:tcPr>
            <w:tcW w:w="0" w:type="auto"/>
            <w:vAlign w:val="center"/>
          </w:tcPr>
          <w:p w14:paraId="3C51032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34.2 ± 1.8</w:t>
            </w:r>
          </w:p>
        </w:tc>
        <w:tc>
          <w:tcPr>
            <w:tcW w:w="0" w:type="auto"/>
            <w:vAlign w:val="center"/>
          </w:tcPr>
          <w:p w14:paraId="0AF2F67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Not significant </w:t>
            </w:r>
          </w:p>
        </w:tc>
        <w:tc>
          <w:tcPr>
            <w:tcW w:w="0" w:type="auto"/>
            <w:tcBorders>
              <w:top w:val="nil"/>
              <w:left w:val="nil"/>
              <w:bottom w:val="nil"/>
              <w:right w:val="nil"/>
            </w:tcBorders>
            <w:shd w:val="clear" w:color="000000" w:fill="CCCCCC"/>
            <w:vAlign w:val="center"/>
          </w:tcPr>
          <w:p w14:paraId="25E6F4E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033" w:type="dxa"/>
            <w:vAlign w:val="center"/>
          </w:tcPr>
          <w:p w14:paraId="284DED1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Induction time was not reported.</w:t>
            </w:r>
          </w:p>
        </w:tc>
      </w:tr>
      <w:tr w:rsidR="00DC0A0B" w:rsidRPr="001A3F8F" w14:paraId="4E15AB26"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802531974"/>
              <w:placeholder>
                <w:docPart w:val="33067E5055664C84ACC8D373363F0128"/>
              </w:placeholder>
            </w:sdtPr>
            <w:sdtContent>
              <w:p w14:paraId="4808E050" w14:textId="4687C14A"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Pr>
                    <w:rFonts w:ascii="Times New Roman" w:hAnsi="Times New Roman" w:cs="Times New Roman"/>
                    <w:sz w:val="20"/>
                    <w:szCs w:val="20"/>
                    <w:lang w:val="pt-BR"/>
                  </w:rPr>
                  <w:t xml:space="preserve"> [43]</w:t>
                </w:r>
              </w:p>
            </w:sdtContent>
          </w:sdt>
        </w:tc>
        <w:tc>
          <w:tcPr>
            <w:tcW w:w="0" w:type="auto"/>
            <w:vAlign w:val="center"/>
          </w:tcPr>
          <w:p w14:paraId="1792281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5D17E73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790D4CE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0" w:type="auto"/>
            <w:vAlign w:val="center"/>
          </w:tcPr>
          <w:p w14:paraId="0E4BBDF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PPAR-ɣ</w:t>
            </w:r>
          </w:p>
        </w:tc>
        <w:tc>
          <w:tcPr>
            <w:tcW w:w="0" w:type="auto"/>
            <w:vAlign w:val="center"/>
          </w:tcPr>
          <w:p w14:paraId="0AC37F6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0.06</w:t>
            </w:r>
          </w:p>
        </w:tc>
        <w:tc>
          <w:tcPr>
            <w:tcW w:w="0" w:type="auto"/>
            <w:vAlign w:val="center"/>
          </w:tcPr>
          <w:p w14:paraId="08FA6D2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~1.06 ± 0.08</w:t>
            </w:r>
          </w:p>
        </w:tc>
        <w:tc>
          <w:tcPr>
            <w:tcW w:w="0" w:type="auto"/>
            <w:vAlign w:val="center"/>
          </w:tcPr>
          <w:p w14:paraId="0A394A0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0" w:type="auto"/>
            <w:tcBorders>
              <w:top w:val="nil"/>
              <w:left w:val="nil"/>
              <w:right w:val="nil"/>
            </w:tcBorders>
            <w:vAlign w:val="center"/>
          </w:tcPr>
          <w:p w14:paraId="52D8D8F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033" w:type="dxa"/>
            <w:vAlign w:val="center"/>
          </w:tcPr>
          <w:p w14:paraId="6409267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P2, S: P15. 28 days. Oil red solution staining demonstrates the presence of lipid vacuoles at cytoplasmic level in both passages. </w:t>
            </w:r>
            <w:r w:rsidRPr="001A3F8F">
              <w:rPr>
                <w:rFonts w:ascii="Times New Roman" w:hAnsi="Times New Roman" w:cs="Times New Roman"/>
                <w:i/>
                <w:iCs/>
                <w:sz w:val="20"/>
                <w:szCs w:val="20"/>
              </w:rPr>
              <w:t xml:space="preserve">FABP4 </w:t>
            </w:r>
            <w:r w:rsidRPr="001A3F8F">
              <w:rPr>
                <w:rFonts w:ascii="Times New Roman" w:hAnsi="Times New Roman" w:cs="Times New Roman"/>
                <w:sz w:val="20"/>
                <w:szCs w:val="20"/>
              </w:rPr>
              <w:t>expression showed no difference.</w:t>
            </w:r>
          </w:p>
        </w:tc>
      </w:tr>
      <w:tr w:rsidR="00DC0A0B" w:rsidRPr="001A3F8F" w14:paraId="0F980B21"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
              <w:id w:val="907575963"/>
              <w:placeholder>
                <w:docPart w:val="DA77C96C789F4E7297A3E8F64BC0672E"/>
              </w:placeholder>
            </w:sdtPr>
            <w:sdtContent>
              <w:p w14:paraId="3053BDAD" w14:textId="26BE310C"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Diomede</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2017</w:t>
                </w:r>
                <w:r>
                  <w:rPr>
                    <w:rFonts w:ascii="Times New Roman" w:hAnsi="Times New Roman" w:cs="Times New Roman"/>
                    <w:sz w:val="20"/>
                    <w:szCs w:val="20"/>
                    <w:lang w:val="pt-BR"/>
                  </w:rPr>
                  <w:t xml:space="preserve"> [43]</w:t>
                </w:r>
              </w:p>
            </w:sdtContent>
          </w:sdt>
        </w:tc>
        <w:tc>
          <w:tcPr>
            <w:tcW w:w="0" w:type="auto"/>
            <w:vAlign w:val="center"/>
          </w:tcPr>
          <w:p w14:paraId="17A06CC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007969A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0" w:type="auto"/>
            <w:vAlign w:val="center"/>
          </w:tcPr>
          <w:p w14:paraId="4CD70C5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w:t>
            </w:r>
          </w:p>
        </w:tc>
        <w:tc>
          <w:tcPr>
            <w:tcW w:w="0" w:type="auto"/>
            <w:vAlign w:val="center"/>
          </w:tcPr>
          <w:p w14:paraId="7100B22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PPAR-ɣ</w:t>
            </w:r>
          </w:p>
        </w:tc>
        <w:tc>
          <w:tcPr>
            <w:tcW w:w="0" w:type="auto"/>
            <w:vAlign w:val="center"/>
          </w:tcPr>
          <w:p w14:paraId="42BE897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~1.31 ± 0.1</w:t>
            </w:r>
          </w:p>
        </w:tc>
        <w:tc>
          <w:tcPr>
            <w:tcW w:w="0" w:type="auto"/>
            <w:vAlign w:val="center"/>
          </w:tcPr>
          <w:p w14:paraId="22AC35E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~1.32 ± 0.12</w:t>
            </w:r>
          </w:p>
        </w:tc>
        <w:tc>
          <w:tcPr>
            <w:tcW w:w="0" w:type="auto"/>
            <w:vAlign w:val="center"/>
          </w:tcPr>
          <w:p w14:paraId="439BD38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0" w:type="auto"/>
            <w:tcBorders>
              <w:left w:val="nil"/>
              <w:bottom w:val="nil"/>
              <w:right w:val="nil"/>
            </w:tcBorders>
            <w:shd w:val="clear" w:color="auto" w:fill="D0CECE" w:themeFill="background2" w:themeFillShade="E6"/>
            <w:vAlign w:val="center"/>
          </w:tcPr>
          <w:p w14:paraId="4C0FA7C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033" w:type="dxa"/>
            <w:vAlign w:val="center"/>
          </w:tcPr>
          <w:p w14:paraId="0FA387A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P2, S: P15. 28 days. Oil red solution staining demonstrates the presence of lipid vacuoles at cytoplasmic level in both passages. </w:t>
            </w:r>
            <w:r w:rsidRPr="001A3F8F">
              <w:rPr>
                <w:rFonts w:ascii="Times New Roman" w:hAnsi="Times New Roman" w:cs="Times New Roman"/>
                <w:i/>
                <w:iCs/>
                <w:sz w:val="20"/>
                <w:szCs w:val="20"/>
              </w:rPr>
              <w:t xml:space="preserve">FABP4 </w:t>
            </w:r>
            <w:r w:rsidRPr="001A3F8F">
              <w:rPr>
                <w:rFonts w:ascii="Times New Roman" w:hAnsi="Times New Roman" w:cs="Times New Roman"/>
                <w:sz w:val="20"/>
                <w:szCs w:val="20"/>
              </w:rPr>
              <w:t>expression showed no difference.</w:t>
            </w:r>
          </w:p>
        </w:tc>
      </w:tr>
      <w:tr w:rsidR="00DC0A0B" w:rsidRPr="001A3F8F" w14:paraId="2834FF63" w14:textId="77777777" w:rsidTr="00241200">
        <w:trPr>
          <w:trHeight w:val="501"/>
          <w:jc w:val="center"/>
        </w:trPr>
        <w:sdt>
          <w:sdtPr>
            <w:rPr>
              <w:rFonts w:ascii="Times New Roman" w:hAnsi="Times New Roman" w:cs="Times New Roman"/>
              <w:sz w:val="20"/>
              <w:szCs w:val="20"/>
            </w:rPr>
            <w:tag w:val="MENDELEY_CITATION_v3_eyJjaXRhdGlvbklEIjoiTUVOREVMRVlfQ0lUQVRJT05fMWUyOWMwMjctNGQ2NS00N2FkLWExYTktYTgzOTc5YmY0NzNl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
            <w:id w:val="-1652753777"/>
            <w:placeholder>
              <w:docPart w:val="8D44DAC9A50446D6905951BD7D0D77EB"/>
            </w:placeholder>
          </w:sdtPr>
          <w:sdtContent>
            <w:tc>
              <w:tcPr>
                <w:cnfStyle w:val="001000000000" w:firstRow="0" w:lastRow="0" w:firstColumn="1" w:lastColumn="0" w:oddVBand="0" w:evenVBand="0" w:oddHBand="0" w:evenHBand="0" w:firstRowFirstColumn="0" w:firstRowLastColumn="0" w:lastRowFirstColumn="0" w:lastRowLastColumn="0"/>
                <w:tcW w:w="0" w:type="auto"/>
                <w:vAlign w:val="center"/>
              </w:tcPr>
              <w:p w14:paraId="56EFB552" w14:textId="7451E6DA"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Cheng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2011</w:t>
                </w:r>
                <w:r>
                  <w:rPr>
                    <w:rFonts w:ascii="Times New Roman" w:hAnsi="Times New Roman" w:cs="Times New Roman"/>
                    <w:sz w:val="20"/>
                    <w:szCs w:val="20"/>
                  </w:rPr>
                  <w:t xml:space="preserve"> [39]</w:t>
                </w:r>
              </w:p>
            </w:tc>
          </w:sdtContent>
        </w:sdt>
        <w:tc>
          <w:tcPr>
            <w:tcW w:w="0" w:type="auto"/>
            <w:vAlign w:val="center"/>
          </w:tcPr>
          <w:p w14:paraId="450BFDC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78149AB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0" w:type="auto"/>
            <w:vAlign w:val="center"/>
          </w:tcPr>
          <w:p w14:paraId="497FE78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4AE2BEF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Red-O staining (490 nm)</w:t>
            </w:r>
          </w:p>
        </w:tc>
        <w:tc>
          <w:tcPr>
            <w:tcW w:w="0" w:type="auto"/>
            <w:vAlign w:val="center"/>
          </w:tcPr>
          <w:p w14:paraId="77C448F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~0.27 ± 0.06</w:t>
            </w:r>
          </w:p>
        </w:tc>
        <w:tc>
          <w:tcPr>
            <w:tcW w:w="0" w:type="auto"/>
            <w:vAlign w:val="center"/>
          </w:tcPr>
          <w:p w14:paraId="4031148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~0.11 ± 0.04</w:t>
            </w:r>
          </w:p>
        </w:tc>
        <w:tc>
          <w:tcPr>
            <w:tcW w:w="0" w:type="auto"/>
            <w:shd w:val="clear" w:color="auto" w:fill="FFFFFF" w:themeFill="background1"/>
            <w:vAlign w:val="center"/>
          </w:tcPr>
          <w:p w14:paraId="35ECB02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0" w:type="auto"/>
            <w:tcBorders>
              <w:top w:val="nil"/>
              <w:left w:val="nil"/>
              <w:bottom w:val="nil"/>
              <w:right w:val="nil"/>
            </w:tcBorders>
            <w:shd w:val="clear" w:color="auto" w:fill="FFFFFF" w:themeFill="background1"/>
            <w:vAlign w:val="center"/>
          </w:tcPr>
          <w:p w14:paraId="542E4B0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033" w:type="dxa"/>
            <w:shd w:val="clear" w:color="auto" w:fill="FFFFFF" w:themeFill="background1"/>
            <w:vAlign w:val="center"/>
          </w:tcPr>
          <w:p w14:paraId="0F00AE8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P4, S: P12. 21 days. </w:t>
            </w:r>
            <w:r w:rsidRPr="001A3F8F">
              <w:rPr>
                <w:rFonts w:ascii="Times New Roman" w:hAnsi="Times New Roman" w:cs="Times New Roman"/>
                <w:i/>
                <w:iCs/>
                <w:sz w:val="20"/>
                <w:szCs w:val="20"/>
              </w:rPr>
              <w:t xml:space="preserve">CEBPα </w:t>
            </w:r>
            <w:r w:rsidRPr="001A3F8F">
              <w:rPr>
                <w:rFonts w:ascii="Times New Roman" w:hAnsi="Times New Roman" w:cs="Times New Roman"/>
                <w:sz w:val="20"/>
                <w:szCs w:val="20"/>
              </w:rPr>
              <w:t xml:space="preserve">increased at late passages, while </w:t>
            </w:r>
            <w:proofErr w:type="spellStart"/>
            <w:r w:rsidRPr="001A3F8F">
              <w:rPr>
                <w:rFonts w:ascii="Times New Roman" w:hAnsi="Times New Roman" w:cs="Times New Roman"/>
                <w:i/>
                <w:iCs/>
                <w:sz w:val="20"/>
                <w:szCs w:val="20"/>
              </w:rPr>
              <w:t>PPARγ</w:t>
            </w:r>
            <w:proofErr w:type="spellEnd"/>
            <w:r w:rsidRPr="001A3F8F">
              <w:rPr>
                <w:rFonts w:ascii="Times New Roman" w:hAnsi="Times New Roman" w:cs="Times New Roman"/>
                <w:i/>
                <w:iCs/>
                <w:sz w:val="20"/>
                <w:szCs w:val="20"/>
              </w:rPr>
              <w:t xml:space="preserve"> </w:t>
            </w:r>
            <w:r w:rsidRPr="001A3F8F">
              <w:rPr>
                <w:rFonts w:ascii="Times New Roman" w:hAnsi="Times New Roman" w:cs="Times New Roman"/>
                <w:sz w:val="20"/>
                <w:szCs w:val="20"/>
              </w:rPr>
              <w:t>was higher at early passages.</w:t>
            </w:r>
          </w:p>
        </w:tc>
      </w:tr>
      <w:tr w:rsidR="00DC0A0B" w:rsidRPr="001A3F8F" w14:paraId="351A6E3D" w14:textId="77777777" w:rsidTr="00241200">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"/>
              <w:id w:val="1515103875"/>
              <w:placeholder>
                <w:docPart w:val="CCBB2FBA31C24455B1411C8C46E22506"/>
              </w:placeholder>
            </w:sdtPr>
            <w:sdtContent>
              <w:p w14:paraId="14363A3B" w14:textId="4C7B0FBA"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Scheers</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2013</w:t>
                </w:r>
                <w:r>
                  <w:rPr>
                    <w:rFonts w:ascii="Times New Roman" w:hAnsi="Times New Roman" w:cs="Times New Roman"/>
                    <w:sz w:val="20"/>
                    <w:szCs w:val="20"/>
                  </w:rPr>
                  <w:t xml:space="preserve"> [48]</w:t>
                </w:r>
              </w:p>
            </w:sdtContent>
          </w:sdt>
        </w:tc>
        <w:tc>
          <w:tcPr>
            <w:tcW w:w="0" w:type="auto"/>
            <w:vAlign w:val="center"/>
          </w:tcPr>
          <w:p w14:paraId="7F64A4E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5317FA7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0" w:type="auto"/>
            <w:vAlign w:val="center"/>
          </w:tcPr>
          <w:p w14:paraId="59F1073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0" w:type="auto"/>
            <w:vAlign w:val="center"/>
          </w:tcPr>
          <w:p w14:paraId="0EADB9B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Oil Red O staining (% of cells containing lipid droplets)</w:t>
            </w:r>
          </w:p>
        </w:tc>
        <w:tc>
          <w:tcPr>
            <w:tcW w:w="0" w:type="auto"/>
            <w:vAlign w:val="center"/>
          </w:tcPr>
          <w:p w14:paraId="39BA964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~69.23 ± 2.41</w:t>
            </w:r>
          </w:p>
        </w:tc>
        <w:tc>
          <w:tcPr>
            <w:tcW w:w="0" w:type="auto"/>
            <w:vAlign w:val="center"/>
          </w:tcPr>
          <w:p w14:paraId="46249BE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~7.9 ± 2.64</w:t>
            </w:r>
          </w:p>
        </w:tc>
        <w:tc>
          <w:tcPr>
            <w:tcW w:w="0" w:type="auto"/>
            <w:vAlign w:val="center"/>
          </w:tcPr>
          <w:p w14:paraId="057DD2E6"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nil"/>
              <w:right w:val="nil"/>
            </w:tcBorders>
            <w:shd w:val="clear" w:color="auto" w:fill="D0CECE" w:themeFill="background2" w:themeFillShade="E6"/>
            <w:vAlign w:val="center"/>
          </w:tcPr>
          <w:p w14:paraId="47107D3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vAlign w:val="center"/>
          </w:tcPr>
          <w:p w14:paraId="5E9FD77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P21. A significant difference was observed between P9 and P21 (p &lt; 0.001). The percentage of area with lipid droplets was similar at passages 3, 9, and 18.</w:t>
            </w:r>
          </w:p>
        </w:tc>
      </w:tr>
      <w:tr w:rsidR="00DC0A0B" w:rsidRPr="001A3F8F" w14:paraId="3D75A103" w14:textId="77777777" w:rsidTr="00241200">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jg5MzFhM2YtOTZiYi00ZjAxLThhZjctZjRjMGVhMTBmNzk4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
              <w:id w:val="-1721813724"/>
              <w:placeholder>
                <w:docPart w:val="DB170EB0B2C14EC0A8FFDC483F828701"/>
              </w:placeholder>
            </w:sdtPr>
            <w:sdtContent>
              <w:p w14:paraId="5203EADB" w14:textId="7C3B3FAA"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Jin</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2016</w:t>
                </w:r>
                <w:r>
                  <w:rPr>
                    <w:rFonts w:ascii="Times New Roman" w:hAnsi="Times New Roman" w:cs="Times New Roman"/>
                    <w:sz w:val="20"/>
                    <w:szCs w:val="20"/>
                  </w:rPr>
                  <w:t xml:space="preserve"> [34]</w:t>
                </w:r>
              </w:p>
            </w:sdtContent>
          </w:sdt>
        </w:tc>
        <w:tc>
          <w:tcPr>
            <w:tcW w:w="0" w:type="auto"/>
            <w:vAlign w:val="center"/>
          </w:tcPr>
          <w:p w14:paraId="7B55C57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2484AA3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UC-MSCs-CB</w:t>
            </w:r>
          </w:p>
        </w:tc>
        <w:tc>
          <w:tcPr>
            <w:tcW w:w="0" w:type="auto"/>
            <w:vAlign w:val="center"/>
          </w:tcPr>
          <w:p w14:paraId="1082C6F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0416BF8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Oil Red O staining </w:t>
            </w:r>
          </w:p>
        </w:tc>
        <w:tc>
          <w:tcPr>
            <w:tcW w:w="0" w:type="auto"/>
            <w:vAlign w:val="center"/>
          </w:tcPr>
          <w:p w14:paraId="77BF604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03DE999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0" w:type="auto"/>
            <w:vAlign w:val="center"/>
          </w:tcPr>
          <w:p w14:paraId="0DB7A02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tcBorders>
              <w:top w:val="nil"/>
              <w:left w:val="nil"/>
              <w:bottom w:val="nil"/>
              <w:right w:val="nil"/>
            </w:tcBorders>
            <w:shd w:val="clear" w:color="auto" w:fill="FFFFFF" w:themeFill="background1"/>
            <w:vAlign w:val="center"/>
          </w:tcPr>
          <w:p w14:paraId="5887F7F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033" w:type="dxa"/>
            <w:shd w:val="clear" w:color="auto" w:fill="FFFFFF" w:themeFill="background1"/>
            <w:vAlign w:val="center"/>
          </w:tcPr>
          <w:p w14:paraId="7341C6D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P13. Induction time was not reported.</w:t>
            </w:r>
          </w:p>
        </w:tc>
      </w:tr>
    </w:tbl>
    <w:p w14:paraId="64AEBC71" w14:textId="77777777" w:rsidR="00513939" w:rsidRPr="001A3F8F" w:rsidRDefault="00513939" w:rsidP="001A3F8F">
      <w:pPr>
        <w:jc w:val="both"/>
        <w:rPr>
          <w:rFonts w:ascii="Times New Roman" w:hAnsi="Times New Roman" w:cs="Times New Roman"/>
          <w:b/>
          <w:bCs/>
          <w:sz w:val="20"/>
          <w:szCs w:val="20"/>
        </w:rPr>
      </w:pPr>
    </w:p>
    <w:p w14:paraId="1E80186A" w14:textId="029399B8"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 xml:space="preserve">Supplementary Table </w:t>
      </w:r>
      <w:r w:rsidR="001A3F8F">
        <w:rPr>
          <w:rFonts w:ascii="Times New Roman" w:hAnsi="Times New Roman" w:cs="Times New Roman"/>
          <w:b/>
          <w:bCs/>
          <w:sz w:val="20"/>
          <w:szCs w:val="20"/>
        </w:rPr>
        <w:t>5</w:t>
      </w:r>
      <w:r w:rsidRPr="001A3F8F">
        <w:rPr>
          <w:rFonts w:ascii="Times New Roman" w:hAnsi="Times New Roman" w:cs="Times New Roman"/>
          <w:b/>
          <w:bCs/>
          <w:sz w:val="20"/>
          <w:szCs w:val="20"/>
        </w:rPr>
        <w:t xml:space="preserve">. Individual results for the </w:t>
      </w:r>
      <w:proofErr w:type="spellStart"/>
      <w:r w:rsidRPr="001A3F8F">
        <w:rPr>
          <w:rFonts w:ascii="Times New Roman" w:hAnsi="Times New Roman" w:cs="Times New Roman"/>
          <w:b/>
          <w:bCs/>
          <w:sz w:val="20"/>
          <w:szCs w:val="20"/>
        </w:rPr>
        <w:t>adipogenic</w:t>
      </w:r>
      <w:proofErr w:type="spellEnd"/>
      <w:r w:rsidRPr="001A3F8F">
        <w:rPr>
          <w:rFonts w:ascii="Times New Roman" w:hAnsi="Times New Roman" w:cs="Times New Roman"/>
          <w:b/>
          <w:bCs/>
          <w:sz w:val="20"/>
          <w:szCs w:val="20"/>
        </w:rPr>
        <w:t xml:space="preserve"> differentiation outcome. </w:t>
      </w:r>
      <w:r w:rsidRPr="001A3F8F">
        <w:rPr>
          <w:rFonts w:ascii="Times New Roman" w:hAnsi="Times New Roman" w:cs="Times New Roman"/>
          <w:sz w:val="20"/>
          <w:szCs w:val="20"/>
        </w:rPr>
        <w:t xml:space="preserve">This table summarizes individual study results evaluating </w:t>
      </w:r>
      <w:proofErr w:type="spellStart"/>
      <w:r w:rsidRPr="001A3F8F">
        <w:rPr>
          <w:rFonts w:ascii="Times New Roman" w:hAnsi="Times New Roman" w:cs="Times New Roman"/>
          <w:sz w:val="20"/>
          <w:szCs w:val="20"/>
        </w:rPr>
        <w:t>adipogenic</w:t>
      </w:r>
      <w:proofErr w:type="spellEnd"/>
      <w:r w:rsidRPr="001A3F8F">
        <w:rPr>
          <w:rFonts w:ascii="Times New Roman" w:hAnsi="Times New Roman" w:cs="Times New Roman"/>
          <w:sz w:val="20"/>
          <w:szCs w:val="20"/>
        </w:rPr>
        <w:t xml:space="preserve"> differentiation capacity in non</w:t>
      </w:r>
      <w:r w:rsidRPr="001A3F8F">
        <w:rPr>
          <w:rFonts w:ascii="Times New Roman" w:hAnsi="Times New Roman" w:cs="Times New Roman"/>
          <w:sz w:val="20"/>
          <w:szCs w:val="20"/>
        </w:rPr>
        <w:noBreakHyphen/>
        <w:t>senescent (NS) and senescent (S) mesenchymal stem cell populations. Studies are grouped by senescence induction method (Chronological aging, serial passaging) and sub</w:t>
      </w:r>
      <w:r w:rsidRPr="001A3F8F">
        <w:rPr>
          <w:rFonts w:ascii="Times New Roman" w:hAnsi="Times New Roman" w:cs="Times New Roman"/>
          <w:sz w:val="20"/>
          <w:szCs w:val="20"/>
        </w:rPr>
        <w:noBreakHyphen/>
        <w:t>grouped by cell type (AD</w:t>
      </w:r>
      <w:r w:rsidRPr="001A3F8F">
        <w:rPr>
          <w:rFonts w:ascii="Times New Roman" w:hAnsi="Times New Roman" w:cs="Times New Roman"/>
          <w:sz w:val="20"/>
          <w:szCs w:val="20"/>
        </w:rPr>
        <w:noBreakHyphen/>
        <w:t>MSCs, BM</w:t>
      </w:r>
      <w:r w:rsidRPr="001A3F8F">
        <w:rPr>
          <w:rFonts w:ascii="Times New Roman" w:hAnsi="Times New Roman" w:cs="Times New Roman"/>
          <w:sz w:val="20"/>
          <w:szCs w:val="20"/>
        </w:rPr>
        <w:noBreakHyphen/>
        <w:t>MSCs, DPSCs, PDLSCs, UC</w:t>
      </w:r>
      <w:r w:rsidRPr="001A3F8F">
        <w:rPr>
          <w:rFonts w:ascii="Times New Roman" w:hAnsi="Times New Roman" w:cs="Times New Roman"/>
          <w:sz w:val="20"/>
          <w:szCs w:val="20"/>
        </w:rPr>
        <w:noBreakHyphen/>
        <w:t>MSCs-WJ, UC</w:t>
      </w:r>
      <w:r w:rsidRPr="001A3F8F">
        <w:rPr>
          <w:rFonts w:ascii="Times New Roman" w:hAnsi="Times New Roman" w:cs="Times New Roman"/>
          <w:sz w:val="20"/>
          <w:szCs w:val="20"/>
        </w:rPr>
        <w:noBreakHyphen/>
        <w:t xml:space="preserve">MSCs-CB). Data are presented as mean ± SD or SEM, as reported in the original studies. </w:t>
      </w:r>
      <w:proofErr w:type="spellStart"/>
      <w:r w:rsidRPr="001A3F8F">
        <w:rPr>
          <w:rFonts w:ascii="Times New Roman" w:hAnsi="Times New Roman" w:cs="Times New Roman"/>
          <w:sz w:val="20"/>
          <w:szCs w:val="20"/>
        </w:rPr>
        <w:t>Adipogenic</w:t>
      </w:r>
      <w:proofErr w:type="spellEnd"/>
      <w:r w:rsidRPr="001A3F8F">
        <w:rPr>
          <w:rFonts w:ascii="Times New Roman" w:hAnsi="Times New Roman" w:cs="Times New Roman"/>
          <w:sz w:val="20"/>
          <w:szCs w:val="20"/>
        </w:rPr>
        <w:t xml:space="preserve"> assays included Oil Red O staining (positive area, optical density, percentage of positive cells) and RT</w:t>
      </w:r>
      <w:r w:rsidRPr="001A3F8F">
        <w:rPr>
          <w:rFonts w:ascii="Times New Roman" w:hAnsi="Times New Roman" w:cs="Times New Roman"/>
          <w:sz w:val="20"/>
          <w:szCs w:val="20"/>
        </w:rPr>
        <w:noBreakHyphen/>
        <w:t xml:space="preserve">qPCR of </w:t>
      </w:r>
      <w:proofErr w:type="spellStart"/>
      <w:r w:rsidRPr="001A3F8F">
        <w:rPr>
          <w:rFonts w:ascii="Times New Roman" w:hAnsi="Times New Roman" w:cs="Times New Roman"/>
          <w:sz w:val="20"/>
          <w:szCs w:val="20"/>
        </w:rPr>
        <w:t>adipogenic</w:t>
      </w:r>
      <w:proofErr w:type="spellEnd"/>
      <w:r w:rsidRPr="001A3F8F">
        <w:rPr>
          <w:rFonts w:ascii="Times New Roman" w:hAnsi="Times New Roman" w:cs="Times New Roman"/>
          <w:sz w:val="20"/>
          <w:szCs w:val="20"/>
        </w:rPr>
        <w:t xml:space="preserve"> markers (e.g., </w:t>
      </w:r>
      <w:proofErr w:type="spellStart"/>
      <w:r w:rsidRPr="001A3F8F">
        <w:rPr>
          <w:rFonts w:ascii="Times New Roman" w:hAnsi="Times New Roman" w:cs="Times New Roman"/>
          <w:i/>
          <w:iCs/>
          <w:sz w:val="20"/>
          <w:szCs w:val="20"/>
        </w:rPr>
        <w:t>PPARγ</w:t>
      </w:r>
      <w:proofErr w:type="spellEnd"/>
      <w:r w:rsidRPr="001A3F8F">
        <w:rPr>
          <w:rFonts w:ascii="Times New Roman" w:hAnsi="Times New Roman" w:cs="Times New Roman"/>
          <w:i/>
          <w:iCs/>
          <w:sz w:val="20"/>
          <w:szCs w:val="20"/>
        </w:rPr>
        <w:t>, LPL, CEBPA</w:t>
      </w:r>
      <w:r w:rsidRPr="001A3F8F">
        <w:rPr>
          <w:rFonts w:ascii="Times New Roman" w:hAnsi="Times New Roman" w:cs="Times New Roman"/>
          <w:sz w:val="20"/>
          <w:szCs w:val="20"/>
        </w:rPr>
        <w:t>). When multiple assays were reported for the same outcome, only one representative assay was included. NR indicates “not reported”. Values preceded by a tilde (~) indicate data extracted manually from figures when numerical results were not reported in the text. An asterisk (*) denotes that SD or SEM was not provided in the original article.</w:t>
      </w:r>
    </w:p>
    <w:p w14:paraId="33355A6C"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br w:type="page"/>
      </w:r>
    </w:p>
    <w:p w14:paraId="20DAB8C1" w14:textId="1A131227"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lastRenderedPageBreak/>
        <w:t xml:space="preserve">SUPPLEMENTARY TABLE </w:t>
      </w:r>
      <w:r w:rsidR="001A3F8F">
        <w:rPr>
          <w:rFonts w:ascii="Times New Roman" w:hAnsi="Times New Roman" w:cs="Times New Roman"/>
          <w:b/>
          <w:bCs/>
          <w:sz w:val="20"/>
          <w:szCs w:val="20"/>
        </w:rPr>
        <w:t>6</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chondrogenic differentiation outcome.</w:t>
      </w:r>
    </w:p>
    <w:tbl>
      <w:tblPr>
        <w:tblStyle w:val="TabeladeLista1Clara7"/>
        <w:tblpPr w:leftFromText="180" w:rightFromText="180" w:vertAnchor="text" w:tblpXSpec="center" w:tblpY="1"/>
        <w:tblOverlap w:val="never"/>
        <w:tblW w:w="14459" w:type="dxa"/>
        <w:tblLayout w:type="fixed"/>
        <w:tblLook w:val="04A0" w:firstRow="1" w:lastRow="0" w:firstColumn="1" w:lastColumn="0" w:noHBand="0" w:noVBand="1"/>
      </w:tblPr>
      <w:tblGrid>
        <w:gridCol w:w="1671"/>
        <w:gridCol w:w="1592"/>
        <w:gridCol w:w="911"/>
        <w:gridCol w:w="1200"/>
        <w:gridCol w:w="1315"/>
        <w:gridCol w:w="1006"/>
        <w:gridCol w:w="979"/>
        <w:gridCol w:w="1458"/>
        <w:gridCol w:w="1067"/>
        <w:gridCol w:w="3260"/>
      </w:tblGrid>
      <w:tr w:rsidR="00513939" w:rsidRPr="001A3F8F" w14:paraId="27C0266B" w14:textId="77777777" w:rsidTr="00241200">
        <w:trPr>
          <w:cnfStyle w:val="100000000000" w:firstRow="1" w:lastRow="0" w:firstColumn="0" w:lastColumn="0" w:oddVBand="0" w:evenVBand="0" w:oddHBand="0" w:evenHBand="0" w:firstRowFirstColumn="0" w:firstRowLastColumn="0" w:lastRowFirstColumn="0" w:lastRowLastColumn="0"/>
          <w:trHeight w:val="492"/>
          <w:tblHeader/>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01EE7D96"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1592" w:type="dxa"/>
            <w:vAlign w:val="center"/>
          </w:tcPr>
          <w:p w14:paraId="3554A32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911" w:type="dxa"/>
            <w:vAlign w:val="center"/>
          </w:tcPr>
          <w:p w14:paraId="0B0504B1"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1200" w:type="dxa"/>
            <w:vAlign w:val="center"/>
          </w:tcPr>
          <w:p w14:paraId="5A91B0C6"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1315" w:type="dxa"/>
            <w:vAlign w:val="center"/>
          </w:tcPr>
          <w:p w14:paraId="223777C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1006" w:type="dxa"/>
            <w:vAlign w:val="center"/>
          </w:tcPr>
          <w:p w14:paraId="44FB74B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979" w:type="dxa"/>
            <w:vAlign w:val="center"/>
          </w:tcPr>
          <w:p w14:paraId="7DBAA098"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1458" w:type="dxa"/>
            <w:vAlign w:val="center"/>
          </w:tcPr>
          <w:p w14:paraId="7BAFE5E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1067" w:type="dxa"/>
            <w:vAlign w:val="center"/>
          </w:tcPr>
          <w:p w14:paraId="26146E92"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Lower Differentiation Potential</w:t>
            </w:r>
          </w:p>
        </w:tc>
        <w:tc>
          <w:tcPr>
            <w:tcW w:w="3260" w:type="dxa"/>
            <w:vAlign w:val="center"/>
          </w:tcPr>
          <w:p w14:paraId="78E296CD"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DC0A0B" w:rsidRPr="001A3F8F" w14:paraId="07C750FD" w14:textId="77777777" w:rsidTr="00241200">
        <w:trPr>
          <w:cnfStyle w:val="000000100000" w:firstRow="0" w:lastRow="0" w:firstColumn="0" w:lastColumn="0" w:oddVBand="0" w:evenVBand="0" w:oddHBand="1" w:evenHBand="0" w:firstRowFirstColumn="0" w:firstRowLastColumn="0" w:lastRowFirstColumn="0" w:lastRowLastColumn="0"/>
          <w:trHeight w:val="492"/>
        </w:trPr>
        <w:sdt>
          <w:sdtPr>
            <w:rPr>
              <w:rFonts w:ascii="Times New Roman" w:hAnsi="Times New Roman" w:cs="Times New Roman"/>
              <w:sz w:val="20"/>
              <w:szCs w:val="20"/>
            </w:rPr>
            <w:tag w:val="MENDELEY_CITATION_v3_eyJjaXRhdGlvbklEIjoiTUVOREVMRVlfQ0lUQVRJT05fODFkYTJmMmItNmUyYS00MTBhLWFlMTItODNhOWM1OGI2Yjdl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
            <w:id w:val="-539511358"/>
            <w:placeholder>
              <w:docPart w:val="C9A0E595E5F74B4B969B1B7E6A5FA084"/>
            </w:placeholder>
          </w:sdtPr>
          <w:sdtContent>
            <w:tc>
              <w:tcPr>
                <w:cnfStyle w:val="001000000000" w:firstRow="0" w:lastRow="0" w:firstColumn="1" w:lastColumn="0" w:oddVBand="0" w:evenVBand="0" w:oddHBand="0" w:evenHBand="0" w:firstRowFirstColumn="0" w:firstRowLastColumn="0" w:lastRowFirstColumn="0" w:lastRowLastColumn="0"/>
                <w:tcW w:w="1671" w:type="dxa"/>
                <w:vAlign w:val="center"/>
              </w:tcPr>
              <w:p w14:paraId="118E98BC" w14:textId="69E13FED"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Alt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2012</w:t>
                </w:r>
                <w:r>
                  <w:rPr>
                    <w:rFonts w:ascii="Times New Roman" w:hAnsi="Times New Roman" w:cs="Times New Roman"/>
                    <w:sz w:val="20"/>
                    <w:szCs w:val="20"/>
                  </w:rPr>
                  <w:t xml:space="preserve"> [19]</w:t>
                </w:r>
              </w:p>
            </w:tc>
          </w:sdtContent>
        </w:sdt>
        <w:tc>
          <w:tcPr>
            <w:tcW w:w="1592" w:type="dxa"/>
            <w:vAlign w:val="center"/>
          </w:tcPr>
          <w:p w14:paraId="2686312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911" w:type="dxa"/>
            <w:vAlign w:val="center"/>
          </w:tcPr>
          <w:p w14:paraId="05194CC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36A29E4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15" w:type="dxa"/>
            <w:vAlign w:val="center"/>
          </w:tcPr>
          <w:p w14:paraId="179E973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rPr>
            </w:pPr>
            <w:r w:rsidRPr="001A3F8F">
              <w:rPr>
                <w:rFonts w:ascii="Times New Roman" w:hAnsi="Times New Roman" w:cs="Times New Roman"/>
                <w:sz w:val="20"/>
                <w:szCs w:val="20"/>
              </w:rPr>
              <w:t xml:space="preserve">RT-PCR – </w:t>
            </w:r>
            <w:r w:rsidRPr="001A3F8F">
              <w:rPr>
                <w:rFonts w:ascii="Times New Roman" w:hAnsi="Times New Roman" w:cs="Times New Roman"/>
                <w:i/>
                <w:iCs/>
                <w:sz w:val="20"/>
                <w:szCs w:val="20"/>
              </w:rPr>
              <w:t>COL2A</w:t>
            </w:r>
          </w:p>
        </w:tc>
        <w:tc>
          <w:tcPr>
            <w:tcW w:w="1006" w:type="dxa"/>
            <w:vAlign w:val="center"/>
          </w:tcPr>
          <w:p w14:paraId="3A1B937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baseline</w:t>
            </w:r>
          </w:p>
        </w:tc>
        <w:tc>
          <w:tcPr>
            <w:tcW w:w="979" w:type="dxa"/>
            <w:vAlign w:val="center"/>
          </w:tcPr>
          <w:p w14:paraId="4EF3F89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-3±0.4</w:t>
            </w:r>
          </w:p>
        </w:tc>
        <w:tc>
          <w:tcPr>
            <w:tcW w:w="1458" w:type="dxa"/>
            <w:vAlign w:val="center"/>
          </w:tcPr>
          <w:p w14:paraId="0094AEF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067" w:type="dxa"/>
            <w:tcBorders>
              <w:top w:val="single" w:sz="4" w:space="0" w:color="666666"/>
              <w:left w:val="nil"/>
              <w:bottom w:val="nil"/>
              <w:right w:val="nil"/>
            </w:tcBorders>
            <w:shd w:val="clear" w:color="000000" w:fill="CCCCCC"/>
            <w:vAlign w:val="center"/>
          </w:tcPr>
          <w:p w14:paraId="6308379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60" w:type="dxa"/>
            <w:vAlign w:val="center"/>
          </w:tcPr>
          <w:p w14:paraId="4D49156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S: group 3 (&gt;50 years). 21 days. </w:t>
            </w:r>
            <w:r w:rsidRPr="001A3F8F">
              <w:rPr>
                <w:rFonts w:ascii="Times New Roman" w:hAnsi="Times New Roman" w:cs="Times New Roman"/>
                <w:i/>
                <w:iCs/>
                <w:sz w:val="20"/>
                <w:szCs w:val="20"/>
              </w:rPr>
              <w:t xml:space="preserve">BMP-6 </w:t>
            </w:r>
            <w:r w:rsidRPr="001A3F8F">
              <w:rPr>
                <w:rFonts w:ascii="Times New Roman" w:hAnsi="Times New Roman" w:cs="Times New Roman"/>
                <w:sz w:val="20"/>
                <w:szCs w:val="20"/>
              </w:rPr>
              <w:t xml:space="preserve">and </w:t>
            </w:r>
            <w:r w:rsidRPr="001A3F8F">
              <w:rPr>
                <w:rFonts w:ascii="Times New Roman" w:hAnsi="Times New Roman" w:cs="Times New Roman"/>
                <w:i/>
                <w:iCs/>
                <w:sz w:val="20"/>
                <w:szCs w:val="20"/>
              </w:rPr>
              <w:t>COL10A</w:t>
            </w:r>
            <w:r w:rsidRPr="001A3F8F">
              <w:rPr>
                <w:rFonts w:ascii="Times New Roman" w:hAnsi="Times New Roman" w:cs="Times New Roman"/>
                <w:sz w:val="20"/>
                <w:szCs w:val="20"/>
              </w:rPr>
              <w:t xml:space="preserve"> expression were reduced in aged group.</w:t>
            </w:r>
          </w:p>
        </w:tc>
      </w:tr>
      <w:tr w:rsidR="00515418" w:rsidRPr="001A3F8F" w14:paraId="43865FCA" w14:textId="77777777" w:rsidTr="00241200">
        <w:trPr>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MDMzNWFmYzEtNzFjMy00YmZmLTkxNTUtNjkyNmIyMmI1N2U0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
              <w:id w:val="-1010916149"/>
              <w:placeholder>
                <w:docPart w:val="4EDA81B3AB804D07B0525768EBD87419"/>
              </w:placeholder>
            </w:sdtPr>
            <w:sdtContent>
              <w:p w14:paraId="047AA659" w14:textId="511292CC" w:rsidR="00515418" w:rsidRPr="001A3F8F" w:rsidRDefault="00515418" w:rsidP="00515418">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Choudhery</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[9]</w:t>
                </w:r>
              </w:p>
            </w:sdtContent>
          </w:sdt>
        </w:tc>
        <w:tc>
          <w:tcPr>
            <w:tcW w:w="1592" w:type="dxa"/>
            <w:vAlign w:val="center"/>
          </w:tcPr>
          <w:p w14:paraId="704C4CCA"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911" w:type="dxa"/>
            <w:vAlign w:val="center"/>
          </w:tcPr>
          <w:p w14:paraId="3A2AE4E2"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1A9B838D"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15" w:type="dxa"/>
            <w:vAlign w:val="center"/>
          </w:tcPr>
          <w:p w14:paraId="5B127CB5"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 (620 nm)</w:t>
            </w:r>
          </w:p>
        </w:tc>
        <w:tc>
          <w:tcPr>
            <w:tcW w:w="1006" w:type="dxa"/>
            <w:vAlign w:val="center"/>
          </w:tcPr>
          <w:p w14:paraId="6F470657"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0.51 ± 0.06</w:t>
            </w:r>
            <w:r w:rsidRPr="001A3F8F">
              <w:rPr>
                <w:rFonts w:ascii="Times New Roman" w:hAnsi="Times New Roman" w:cs="Times New Roman"/>
                <w:sz w:val="20"/>
                <w:szCs w:val="20"/>
              </w:rPr>
              <w:tab/>
            </w:r>
          </w:p>
        </w:tc>
        <w:tc>
          <w:tcPr>
            <w:tcW w:w="979" w:type="dxa"/>
            <w:vAlign w:val="center"/>
          </w:tcPr>
          <w:p w14:paraId="12CB289A"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0.17 ± 0.02</w:t>
            </w:r>
            <w:r w:rsidRPr="001A3F8F">
              <w:rPr>
                <w:rFonts w:ascii="Times New Roman" w:hAnsi="Times New Roman" w:cs="Times New Roman"/>
                <w:sz w:val="20"/>
                <w:szCs w:val="20"/>
              </w:rPr>
              <w:tab/>
            </w:r>
          </w:p>
        </w:tc>
        <w:tc>
          <w:tcPr>
            <w:tcW w:w="1458" w:type="dxa"/>
            <w:vAlign w:val="center"/>
          </w:tcPr>
          <w:p w14:paraId="16E14C21"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1067" w:type="dxa"/>
            <w:tcBorders>
              <w:top w:val="nil"/>
              <w:left w:val="nil"/>
              <w:bottom w:val="nil"/>
              <w:right w:val="nil"/>
            </w:tcBorders>
            <w:vAlign w:val="center"/>
          </w:tcPr>
          <w:p w14:paraId="5C323998"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260" w:type="dxa"/>
            <w:vAlign w:val="center"/>
          </w:tcPr>
          <w:p w14:paraId="0DD8717C" w14:textId="77777777" w:rsidR="00515418" w:rsidRPr="001A3F8F" w:rsidRDefault="00515418" w:rsidP="0051541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S: group 3 (&gt;60 years). 3 weeks. </w:t>
            </w:r>
            <w:r w:rsidRPr="001A3F8F">
              <w:rPr>
                <w:rFonts w:ascii="Times New Roman" w:hAnsi="Times New Roman" w:cs="Times New Roman"/>
                <w:i/>
                <w:iCs/>
                <w:sz w:val="20"/>
                <w:szCs w:val="20"/>
              </w:rPr>
              <w:t xml:space="preserve">AGGRECAN </w:t>
            </w:r>
            <w:r w:rsidRPr="001A3F8F">
              <w:rPr>
                <w:rFonts w:ascii="Times New Roman" w:hAnsi="Times New Roman" w:cs="Times New Roman"/>
                <w:sz w:val="20"/>
                <w:szCs w:val="20"/>
              </w:rPr>
              <w:t xml:space="preserve">and </w:t>
            </w:r>
            <w:r w:rsidRPr="001A3F8F">
              <w:rPr>
                <w:rFonts w:ascii="Times New Roman" w:hAnsi="Times New Roman" w:cs="Times New Roman"/>
                <w:i/>
                <w:iCs/>
                <w:sz w:val="20"/>
                <w:szCs w:val="20"/>
              </w:rPr>
              <w:t xml:space="preserve">COL2 </w:t>
            </w:r>
            <w:r w:rsidRPr="001A3F8F">
              <w:rPr>
                <w:rFonts w:ascii="Times New Roman" w:hAnsi="Times New Roman" w:cs="Times New Roman"/>
                <w:sz w:val="20"/>
                <w:szCs w:val="20"/>
              </w:rPr>
              <w:t>expression were significantly reduced in aged group.</w:t>
            </w:r>
          </w:p>
        </w:tc>
      </w:tr>
      <w:tr w:rsidR="00515418" w:rsidRPr="001A3F8F" w14:paraId="37A15AC1" w14:textId="77777777" w:rsidTr="0024120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ZGYzNTA4MmQtZGU0Yy00MTQ4LTkwNjctNDQ5YWYyOTRiZTQ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
              <w:id w:val="-211266323"/>
              <w:placeholder>
                <w:docPart w:val="08DDF4AA91774F3D8187225DC003CF9D"/>
              </w:placeholder>
            </w:sdtPr>
            <w:sdtContent>
              <w:p w14:paraId="151595A3" w14:textId="2C4C115E" w:rsidR="00515418" w:rsidRPr="001A3F8F" w:rsidRDefault="00515418" w:rsidP="00515418">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Wu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2022</w:t>
                </w:r>
                <w:r>
                  <w:rPr>
                    <w:rFonts w:ascii="Times New Roman" w:hAnsi="Times New Roman" w:cs="Times New Roman"/>
                    <w:sz w:val="20"/>
                    <w:szCs w:val="20"/>
                    <w:lang w:val="pt-BR"/>
                  </w:rPr>
                  <w:t xml:space="preserve"> [21]</w:t>
                </w:r>
              </w:p>
            </w:sdtContent>
          </w:sdt>
        </w:tc>
        <w:tc>
          <w:tcPr>
            <w:tcW w:w="1592" w:type="dxa"/>
            <w:vAlign w:val="center"/>
          </w:tcPr>
          <w:p w14:paraId="781A4C1A"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911" w:type="dxa"/>
            <w:vAlign w:val="center"/>
          </w:tcPr>
          <w:p w14:paraId="23E68300"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5D3C4CB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15" w:type="dxa"/>
            <w:vAlign w:val="center"/>
          </w:tcPr>
          <w:p w14:paraId="6D58381C"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 diameter of pellets (mm)</w:t>
            </w:r>
          </w:p>
        </w:tc>
        <w:tc>
          <w:tcPr>
            <w:tcW w:w="1006" w:type="dxa"/>
            <w:vAlign w:val="center"/>
          </w:tcPr>
          <w:p w14:paraId="6C6D8161"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~2.01 ± 0.06</w:t>
            </w:r>
          </w:p>
        </w:tc>
        <w:tc>
          <w:tcPr>
            <w:tcW w:w="979" w:type="dxa"/>
            <w:vAlign w:val="center"/>
          </w:tcPr>
          <w:p w14:paraId="40096624"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~2.47 ± 0.13</w:t>
            </w:r>
          </w:p>
        </w:tc>
        <w:tc>
          <w:tcPr>
            <w:tcW w:w="1458" w:type="dxa"/>
            <w:vAlign w:val="center"/>
          </w:tcPr>
          <w:p w14:paraId="43A04F51"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067" w:type="dxa"/>
            <w:tcBorders>
              <w:top w:val="nil"/>
              <w:left w:val="nil"/>
              <w:bottom w:val="nil"/>
              <w:right w:val="nil"/>
            </w:tcBorders>
            <w:shd w:val="clear" w:color="000000" w:fill="CCCCCC"/>
            <w:vAlign w:val="center"/>
          </w:tcPr>
          <w:p w14:paraId="780FA0E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Non-Senescent</w:t>
            </w:r>
          </w:p>
        </w:tc>
        <w:tc>
          <w:tcPr>
            <w:tcW w:w="3260" w:type="dxa"/>
            <w:vAlign w:val="center"/>
          </w:tcPr>
          <w:p w14:paraId="0A9CACE4"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infant, S: adult. Day 21. </w:t>
            </w:r>
            <w:r w:rsidRPr="001A3F8F">
              <w:rPr>
                <w:rFonts w:ascii="Times New Roman" w:hAnsi="Times New Roman" w:cs="Times New Roman"/>
                <w:i/>
                <w:iCs/>
                <w:sz w:val="20"/>
                <w:szCs w:val="20"/>
              </w:rPr>
              <w:t>SOX9, COL2</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COL10</w:t>
            </w:r>
            <w:r w:rsidRPr="001A3F8F">
              <w:rPr>
                <w:rFonts w:ascii="Times New Roman" w:hAnsi="Times New Roman" w:cs="Times New Roman"/>
                <w:sz w:val="20"/>
                <w:szCs w:val="20"/>
              </w:rPr>
              <w:t xml:space="preserve"> expression were significantly reduced in adult group.</w:t>
            </w:r>
          </w:p>
        </w:tc>
      </w:tr>
      <w:tr w:rsidR="00DC0A0B" w:rsidRPr="001A3F8F" w14:paraId="79493299" w14:textId="77777777" w:rsidTr="00241200">
        <w:trPr>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MjJlMzIyNTEtODA2Zi00N2IwLTlhZmItNTY3MzM2ZWU0YzA0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
              <w:id w:val="1551878659"/>
              <w:placeholder>
                <w:docPart w:val="7C8FCE494AAE4A72AB0FE7E53C705D7F"/>
              </w:placeholder>
            </w:sdtPr>
            <w:sdtContent>
              <w:p w14:paraId="4423733B" w14:textId="1E7A9ECD"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Ye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2016</w:t>
                </w:r>
                <w:r>
                  <w:rPr>
                    <w:rFonts w:ascii="Times New Roman" w:hAnsi="Times New Roman" w:cs="Times New Roman"/>
                    <w:sz w:val="20"/>
                    <w:szCs w:val="20"/>
                    <w:lang w:val="pt-BR"/>
                  </w:rPr>
                  <w:t xml:space="preserve"> [38]</w:t>
                </w:r>
              </w:p>
            </w:sdtContent>
          </w:sdt>
        </w:tc>
        <w:tc>
          <w:tcPr>
            <w:tcW w:w="1592" w:type="dxa"/>
            <w:vAlign w:val="center"/>
          </w:tcPr>
          <w:p w14:paraId="1F08857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Chronological Aging </w:t>
            </w:r>
          </w:p>
        </w:tc>
        <w:tc>
          <w:tcPr>
            <w:tcW w:w="911" w:type="dxa"/>
            <w:vAlign w:val="center"/>
          </w:tcPr>
          <w:p w14:paraId="24F4D05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5EE9769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1315" w:type="dxa"/>
            <w:vAlign w:val="center"/>
          </w:tcPr>
          <w:p w14:paraId="3D7768A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 (620 nm)</w:t>
            </w:r>
          </w:p>
        </w:tc>
        <w:tc>
          <w:tcPr>
            <w:tcW w:w="1006" w:type="dxa"/>
            <w:vAlign w:val="center"/>
          </w:tcPr>
          <w:p w14:paraId="28F6BAC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0.76 ± 0.29</w:t>
            </w:r>
          </w:p>
        </w:tc>
        <w:tc>
          <w:tcPr>
            <w:tcW w:w="979" w:type="dxa"/>
            <w:vAlign w:val="center"/>
          </w:tcPr>
          <w:p w14:paraId="1C68B55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0.25 ± 0.16</w:t>
            </w:r>
          </w:p>
        </w:tc>
        <w:tc>
          <w:tcPr>
            <w:tcW w:w="1458" w:type="dxa"/>
            <w:vAlign w:val="center"/>
          </w:tcPr>
          <w:p w14:paraId="7801C24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067" w:type="dxa"/>
            <w:tcBorders>
              <w:top w:val="nil"/>
              <w:left w:val="nil"/>
              <w:bottom w:val="nil"/>
              <w:right w:val="nil"/>
            </w:tcBorders>
            <w:vAlign w:val="center"/>
          </w:tcPr>
          <w:p w14:paraId="7686879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260" w:type="dxa"/>
            <w:vAlign w:val="center"/>
          </w:tcPr>
          <w:p w14:paraId="220D74D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 weeks. AGGRECAN and</w:t>
            </w:r>
            <w:r w:rsidRPr="001A3F8F">
              <w:rPr>
                <w:rFonts w:ascii="Times New Roman" w:hAnsi="Times New Roman" w:cs="Times New Roman"/>
                <w:i/>
                <w:iCs/>
                <w:sz w:val="20"/>
                <w:szCs w:val="20"/>
              </w:rPr>
              <w:t xml:space="preserve"> COL2</w:t>
            </w:r>
            <w:r w:rsidRPr="001A3F8F">
              <w:rPr>
                <w:rFonts w:ascii="Times New Roman" w:hAnsi="Times New Roman" w:cs="Times New Roman"/>
                <w:sz w:val="20"/>
                <w:szCs w:val="20"/>
              </w:rPr>
              <w:t xml:space="preserve"> were significantly reduced in aged group.</w:t>
            </w:r>
          </w:p>
        </w:tc>
      </w:tr>
      <w:tr w:rsidR="00515418" w:rsidRPr="001A3F8F" w14:paraId="529EFF7A" w14:textId="77777777" w:rsidTr="00241200">
        <w:trPr>
          <w:cnfStyle w:val="000000100000" w:firstRow="0" w:lastRow="0" w:firstColumn="0" w:lastColumn="0" w:oddVBand="0" w:evenVBand="0" w:oddHBand="1" w:evenHBand="0" w:firstRowFirstColumn="0" w:firstRowLastColumn="0" w:lastRowFirstColumn="0" w:lastRowLastColumn="0"/>
          <w:trHeight w:val="492"/>
        </w:trPr>
        <w:sdt>
          <w:sdtPr>
            <w:rPr>
              <w:rFonts w:ascii="Times New Roman" w:hAnsi="Times New Roman" w:cs="Times New Roman"/>
              <w:sz w:val="20"/>
              <w:szCs w:val="20"/>
            </w:rPr>
            <w:tag w:val="MENDELEY_CITATION_v3_eyJjaXRhdGlvbklEIjoiTUVOREVMRVlfQ0lUQVRJT05fZGZjYTI4MWQtNjhlNS00NjI2LTgwNWQtZThiMjlkZTc0ZTNh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
            <w:id w:val="-798913636"/>
            <w:placeholder>
              <w:docPart w:val="142D4BEB6A404AB595AABE5F0063AB61"/>
            </w:placeholder>
          </w:sdtPr>
          <w:sdtContent>
            <w:tc>
              <w:tcPr>
                <w:cnfStyle w:val="001000000000" w:firstRow="0" w:lastRow="0" w:firstColumn="1" w:lastColumn="0" w:oddVBand="0" w:evenVBand="0" w:oddHBand="0" w:evenHBand="0" w:firstRowFirstColumn="0" w:firstRowLastColumn="0" w:lastRowFirstColumn="0" w:lastRowLastColumn="0"/>
                <w:tcW w:w="1671" w:type="dxa"/>
                <w:vAlign w:val="center"/>
              </w:tcPr>
              <w:p w14:paraId="08272281" w14:textId="7FDAEAA1" w:rsidR="00515418" w:rsidRPr="001A3F8F" w:rsidRDefault="00515418" w:rsidP="00515418">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Stolzing</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2008</w:t>
                </w:r>
                <w:r>
                  <w:rPr>
                    <w:rFonts w:ascii="Times New Roman" w:hAnsi="Times New Roman" w:cs="Times New Roman"/>
                    <w:sz w:val="20"/>
                    <w:szCs w:val="20"/>
                  </w:rPr>
                  <w:t xml:space="preserve"> [28]</w:t>
                </w:r>
              </w:p>
            </w:tc>
          </w:sdtContent>
        </w:sdt>
        <w:tc>
          <w:tcPr>
            <w:tcW w:w="1592" w:type="dxa"/>
            <w:vAlign w:val="center"/>
          </w:tcPr>
          <w:p w14:paraId="6063595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911" w:type="dxa"/>
            <w:vAlign w:val="center"/>
          </w:tcPr>
          <w:p w14:paraId="5E6784C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0" w:type="dxa"/>
            <w:vAlign w:val="center"/>
          </w:tcPr>
          <w:p w14:paraId="445E5B4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1315" w:type="dxa"/>
            <w:vAlign w:val="center"/>
          </w:tcPr>
          <w:p w14:paraId="72E186F7"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binding assay (630 nm)</w:t>
            </w:r>
          </w:p>
        </w:tc>
        <w:tc>
          <w:tcPr>
            <w:tcW w:w="1006" w:type="dxa"/>
            <w:vAlign w:val="center"/>
          </w:tcPr>
          <w:p w14:paraId="5103A472"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3.2 ± 3</w:t>
            </w:r>
          </w:p>
        </w:tc>
        <w:tc>
          <w:tcPr>
            <w:tcW w:w="979" w:type="dxa"/>
            <w:vAlign w:val="center"/>
          </w:tcPr>
          <w:p w14:paraId="13C886DA"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1.6 ± 1.9</w:t>
            </w:r>
          </w:p>
        </w:tc>
        <w:tc>
          <w:tcPr>
            <w:tcW w:w="1458" w:type="dxa"/>
            <w:vAlign w:val="center"/>
          </w:tcPr>
          <w:p w14:paraId="0EEA201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Not significant </w:t>
            </w:r>
          </w:p>
        </w:tc>
        <w:tc>
          <w:tcPr>
            <w:tcW w:w="1067" w:type="dxa"/>
            <w:tcBorders>
              <w:top w:val="nil"/>
              <w:left w:val="nil"/>
              <w:bottom w:val="nil"/>
              <w:right w:val="nil"/>
            </w:tcBorders>
            <w:shd w:val="clear" w:color="000000" w:fill="CCCCCC"/>
            <w:vAlign w:val="center"/>
          </w:tcPr>
          <w:p w14:paraId="46DD72A9"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260" w:type="dxa"/>
            <w:vAlign w:val="center"/>
          </w:tcPr>
          <w:p w14:paraId="38849D9A"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aged. 21 days.</w:t>
            </w:r>
          </w:p>
        </w:tc>
      </w:tr>
      <w:tr w:rsidR="00DC0A0B" w:rsidRPr="001A3F8F" w14:paraId="0A95725D" w14:textId="77777777" w:rsidTr="00241200">
        <w:trPr>
          <w:trHeight w:val="492"/>
        </w:trPr>
        <w:tc>
          <w:tcPr>
            <w:cnfStyle w:val="001000000000" w:firstRow="0" w:lastRow="0" w:firstColumn="1" w:lastColumn="0" w:oddVBand="0" w:evenVBand="0" w:oddHBand="0" w:evenHBand="0" w:firstRowFirstColumn="0" w:firstRowLastColumn="0" w:lastRowFirstColumn="0" w:lastRowLastColumn="0"/>
            <w:tcW w:w="1671" w:type="dxa"/>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ZjlkYjE5MDQtZTBmMC00ZmFiLThkMDAtOWRkOTE2OGM3Zjky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
              <w:id w:val="-335535398"/>
              <w:placeholder>
                <w:docPart w:val="AFB620A3FFDC436D820B4DC25D630CB0"/>
              </w:placeholder>
            </w:sdtPr>
            <w:sdtContent>
              <w:p w14:paraId="38BBBFB1" w14:textId="308A6794"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Iezzi</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Pr>
                    <w:rFonts w:ascii="Times New Roman" w:hAnsi="Times New Roman" w:cs="Times New Roman"/>
                    <w:sz w:val="20"/>
                    <w:szCs w:val="20"/>
                  </w:rPr>
                  <w:t xml:space="preserve"> [25]</w:t>
                </w:r>
              </w:p>
            </w:sdtContent>
          </w:sdt>
        </w:tc>
        <w:tc>
          <w:tcPr>
            <w:tcW w:w="1592" w:type="dxa"/>
            <w:tcBorders>
              <w:bottom w:val="single" w:sz="12" w:space="0" w:color="auto"/>
            </w:tcBorders>
            <w:vAlign w:val="center"/>
          </w:tcPr>
          <w:p w14:paraId="15B5B10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911" w:type="dxa"/>
            <w:tcBorders>
              <w:bottom w:val="single" w:sz="12" w:space="0" w:color="auto"/>
            </w:tcBorders>
            <w:vAlign w:val="center"/>
          </w:tcPr>
          <w:p w14:paraId="76546D0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200" w:type="dxa"/>
            <w:tcBorders>
              <w:bottom w:val="single" w:sz="12" w:space="0" w:color="auto"/>
            </w:tcBorders>
            <w:vAlign w:val="center"/>
          </w:tcPr>
          <w:p w14:paraId="1FE83E9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15" w:type="dxa"/>
            <w:tcBorders>
              <w:bottom w:val="single" w:sz="12" w:space="0" w:color="auto"/>
            </w:tcBorders>
            <w:vAlign w:val="center"/>
          </w:tcPr>
          <w:p w14:paraId="2BB65A4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w:t>
            </w:r>
          </w:p>
        </w:tc>
        <w:tc>
          <w:tcPr>
            <w:tcW w:w="1006" w:type="dxa"/>
            <w:tcBorders>
              <w:bottom w:val="single" w:sz="12" w:space="0" w:color="auto"/>
            </w:tcBorders>
            <w:vAlign w:val="center"/>
          </w:tcPr>
          <w:p w14:paraId="0DB363A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979" w:type="dxa"/>
            <w:tcBorders>
              <w:bottom w:val="single" w:sz="12" w:space="0" w:color="auto"/>
            </w:tcBorders>
            <w:vAlign w:val="center"/>
          </w:tcPr>
          <w:p w14:paraId="360337D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458" w:type="dxa"/>
            <w:tcBorders>
              <w:bottom w:val="single" w:sz="12" w:space="0" w:color="auto"/>
            </w:tcBorders>
            <w:vAlign w:val="center"/>
          </w:tcPr>
          <w:p w14:paraId="3483019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067" w:type="dxa"/>
            <w:tcBorders>
              <w:top w:val="nil"/>
              <w:left w:val="nil"/>
              <w:bottom w:val="single" w:sz="12" w:space="0" w:color="auto"/>
              <w:right w:val="nil"/>
            </w:tcBorders>
            <w:vAlign w:val="center"/>
          </w:tcPr>
          <w:p w14:paraId="20E0AB5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260" w:type="dxa"/>
            <w:tcBorders>
              <w:bottom w:val="single" w:sz="12" w:space="0" w:color="auto"/>
            </w:tcBorders>
            <w:vAlign w:val="center"/>
          </w:tcPr>
          <w:p w14:paraId="6619E5E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group C (64 years). 14 days.</w:t>
            </w:r>
          </w:p>
        </w:tc>
      </w:tr>
      <w:tr w:rsidR="00DC0A0B" w:rsidRPr="001A3F8F" w14:paraId="7CE9AAD0" w14:textId="77777777" w:rsidTr="0024120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71" w:type="dxa"/>
            <w:tcBorders>
              <w:top w:val="single" w:sz="12" w:space="0" w:color="auto"/>
            </w:tcBorders>
            <w:vAlign w:val="center"/>
          </w:tcPr>
          <w:sdt>
            <w:sdtPr>
              <w:rPr>
                <w:rFonts w:ascii="Times New Roman" w:hAnsi="Times New Roman" w:cs="Times New Roman"/>
                <w:sz w:val="20"/>
                <w:szCs w:val="20"/>
              </w:rPr>
              <w:tag w:val="MENDELEY_CITATION_v3_eyJjaXRhdGlvbklEIjoiTUVOREVMRVlfQ0lUQVRJT05fOTBkMzAzZDgtNjkxNi00MTFmLTg0YTktNGNhN2E3YzczOGVh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
              <w:id w:val="-714339991"/>
              <w:placeholder>
                <w:docPart w:val="A909959C50A9470090D546837D228913"/>
              </w:placeholder>
            </w:sdtPr>
            <w:sdtContent>
              <w:p w14:paraId="22510A0B" w14:textId="04719CB9"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Gruber</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2012</w:t>
                </w:r>
                <w:r>
                  <w:rPr>
                    <w:rFonts w:ascii="Times New Roman" w:hAnsi="Times New Roman" w:cs="Times New Roman"/>
                    <w:sz w:val="20"/>
                    <w:szCs w:val="20"/>
                    <w:lang w:val="pt-BR"/>
                  </w:rPr>
                  <w:t xml:space="preserve"> [10]</w:t>
                </w:r>
              </w:p>
            </w:sdtContent>
          </w:sdt>
        </w:tc>
        <w:tc>
          <w:tcPr>
            <w:tcW w:w="1592" w:type="dxa"/>
            <w:tcBorders>
              <w:top w:val="single" w:sz="12" w:space="0" w:color="auto"/>
            </w:tcBorders>
            <w:vAlign w:val="center"/>
          </w:tcPr>
          <w:p w14:paraId="19FAFA9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tcBorders>
              <w:top w:val="single" w:sz="12" w:space="0" w:color="auto"/>
            </w:tcBorders>
            <w:vAlign w:val="center"/>
          </w:tcPr>
          <w:p w14:paraId="4C6BA42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tcBorders>
              <w:top w:val="single" w:sz="12" w:space="0" w:color="auto"/>
            </w:tcBorders>
            <w:vAlign w:val="center"/>
          </w:tcPr>
          <w:p w14:paraId="58865D3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15" w:type="dxa"/>
            <w:tcBorders>
              <w:top w:val="single" w:sz="12" w:space="0" w:color="auto"/>
            </w:tcBorders>
            <w:vAlign w:val="center"/>
          </w:tcPr>
          <w:p w14:paraId="35B1EA8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w:t>
            </w:r>
          </w:p>
        </w:tc>
        <w:tc>
          <w:tcPr>
            <w:tcW w:w="1006" w:type="dxa"/>
            <w:tcBorders>
              <w:top w:val="single" w:sz="12" w:space="0" w:color="auto"/>
            </w:tcBorders>
            <w:vAlign w:val="center"/>
          </w:tcPr>
          <w:p w14:paraId="057F330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979" w:type="dxa"/>
            <w:tcBorders>
              <w:top w:val="single" w:sz="12" w:space="0" w:color="auto"/>
            </w:tcBorders>
            <w:vAlign w:val="center"/>
          </w:tcPr>
          <w:p w14:paraId="7BD67D2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1458" w:type="dxa"/>
            <w:tcBorders>
              <w:top w:val="single" w:sz="12" w:space="0" w:color="auto"/>
            </w:tcBorders>
            <w:vAlign w:val="center"/>
          </w:tcPr>
          <w:p w14:paraId="6E8BE53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Not significant </w:t>
            </w:r>
          </w:p>
        </w:tc>
        <w:tc>
          <w:tcPr>
            <w:tcW w:w="1067" w:type="dxa"/>
            <w:tcBorders>
              <w:top w:val="single" w:sz="12" w:space="0" w:color="auto"/>
              <w:left w:val="nil"/>
              <w:bottom w:val="nil"/>
              <w:right w:val="nil"/>
            </w:tcBorders>
            <w:shd w:val="clear" w:color="000000" w:fill="CCCCCC"/>
            <w:vAlign w:val="center"/>
          </w:tcPr>
          <w:p w14:paraId="07E50A5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260" w:type="dxa"/>
            <w:tcBorders>
              <w:top w:val="single" w:sz="12" w:space="0" w:color="auto"/>
            </w:tcBorders>
            <w:vAlign w:val="center"/>
          </w:tcPr>
          <w:p w14:paraId="78CA1DE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P1, S: P12. No quantitative analysis was performed; however, both passages analyzed tested positive for chondrogenic potential by forming </w:t>
            </w:r>
            <w:proofErr w:type="spellStart"/>
            <w:r w:rsidRPr="001A3F8F">
              <w:rPr>
                <w:rFonts w:ascii="Times New Roman" w:hAnsi="Times New Roman" w:cs="Times New Roman"/>
                <w:sz w:val="20"/>
                <w:szCs w:val="20"/>
              </w:rPr>
              <w:t>micromass</w:t>
            </w:r>
            <w:proofErr w:type="spellEnd"/>
            <w:r w:rsidRPr="001A3F8F">
              <w:rPr>
                <w:rFonts w:ascii="Times New Roman" w:hAnsi="Times New Roman" w:cs="Times New Roman"/>
                <w:sz w:val="20"/>
                <w:szCs w:val="20"/>
              </w:rPr>
              <w:t xml:space="preserve"> formation </w:t>
            </w:r>
            <w:r w:rsidRPr="001A3F8F">
              <w:rPr>
                <w:rFonts w:ascii="Times New Roman" w:hAnsi="Times New Roman" w:cs="Times New Roman"/>
                <w:i/>
                <w:iCs/>
                <w:sz w:val="20"/>
                <w:szCs w:val="20"/>
              </w:rPr>
              <w:t>in vitro</w:t>
            </w:r>
            <w:r w:rsidRPr="001A3F8F">
              <w:rPr>
                <w:rFonts w:ascii="Times New Roman" w:hAnsi="Times New Roman" w:cs="Times New Roman"/>
                <w:sz w:val="20"/>
                <w:szCs w:val="20"/>
              </w:rPr>
              <w:t>. Induction time was not reported.</w:t>
            </w:r>
          </w:p>
        </w:tc>
      </w:tr>
      <w:tr w:rsidR="00DC0A0B" w:rsidRPr="001A3F8F" w14:paraId="437444CE" w14:textId="77777777" w:rsidTr="00241200">
        <w:trPr>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OWFjZTAyODYtZjAyZC00MmMyLTliMjQtYzFlYTUzYzFmNmMz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
              <w:id w:val="-1095086029"/>
              <w:placeholder>
                <w:docPart w:val="9879F6561B31463899F8B344BA234AC1"/>
              </w:placeholder>
            </w:sdtPr>
            <w:sdtContent>
              <w:p w14:paraId="2B4AD87D" w14:textId="729FB9A3"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Truong,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2019</w:t>
                </w:r>
                <w:r>
                  <w:rPr>
                    <w:rFonts w:ascii="Times New Roman" w:hAnsi="Times New Roman" w:cs="Times New Roman"/>
                    <w:sz w:val="20"/>
                    <w:szCs w:val="20"/>
                  </w:rPr>
                  <w:t xml:space="preserve"> [45]</w:t>
                </w:r>
              </w:p>
            </w:sdtContent>
          </w:sdt>
        </w:tc>
        <w:tc>
          <w:tcPr>
            <w:tcW w:w="1592" w:type="dxa"/>
            <w:vAlign w:val="center"/>
          </w:tcPr>
          <w:p w14:paraId="715FEEA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vAlign w:val="center"/>
          </w:tcPr>
          <w:p w14:paraId="085456B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268E70E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15" w:type="dxa"/>
            <w:vAlign w:val="center"/>
          </w:tcPr>
          <w:p w14:paraId="418D6AD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Safranin O staining</w:t>
            </w:r>
          </w:p>
        </w:tc>
        <w:tc>
          <w:tcPr>
            <w:tcW w:w="1006" w:type="dxa"/>
            <w:vAlign w:val="center"/>
          </w:tcPr>
          <w:p w14:paraId="6949752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979" w:type="dxa"/>
            <w:vAlign w:val="center"/>
          </w:tcPr>
          <w:p w14:paraId="422137D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458" w:type="dxa"/>
            <w:vAlign w:val="center"/>
          </w:tcPr>
          <w:p w14:paraId="0F67C33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067" w:type="dxa"/>
            <w:tcBorders>
              <w:top w:val="nil"/>
              <w:left w:val="nil"/>
              <w:bottom w:val="nil"/>
              <w:right w:val="nil"/>
            </w:tcBorders>
            <w:vAlign w:val="center"/>
          </w:tcPr>
          <w:p w14:paraId="1AB8F0D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60" w:type="dxa"/>
            <w:vAlign w:val="center"/>
          </w:tcPr>
          <w:p w14:paraId="43FC5C7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 S: P15. 21 days. </w:t>
            </w:r>
          </w:p>
        </w:tc>
      </w:tr>
      <w:tr w:rsidR="00DC0A0B" w:rsidRPr="001A3F8F" w14:paraId="6186175A" w14:textId="77777777" w:rsidTr="0024120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NGU2ZGYwMDktZGU0OC00MWRjLWI4YjEtMjAxODQ3NGJlMzBh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
              <w:id w:val="-1541436354"/>
              <w:placeholder>
                <w:docPart w:val="890D5F13C79B43A8AA2F2963C7984B77"/>
              </w:placeholder>
            </w:sdtPr>
            <w:sdtContent>
              <w:p w14:paraId="5E806B2D" w14:textId="2008310A"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Pr>
                    <w:rFonts w:ascii="Times New Roman" w:hAnsi="Times New Roman" w:cs="Times New Roman"/>
                    <w:sz w:val="20"/>
                    <w:szCs w:val="20"/>
                  </w:rPr>
                  <w:t xml:space="preserve"> [46]</w:t>
                </w:r>
              </w:p>
            </w:sdtContent>
          </w:sdt>
        </w:tc>
        <w:tc>
          <w:tcPr>
            <w:tcW w:w="1592" w:type="dxa"/>
            <w:vAlign w:val="center"/>
          </w:tcPr>
          <w:p w14:paraId="7F9C7D1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vAlign w:val="center"/>
          </w:tcPr>
          <w:p w14:paraId="317853E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AD-MSCs</w:t>
            </w:r>
          </w:p>
        </w:tc>
        <w:tc>
          <w:tcPr>
            <w:tcW w:w="1200" w:type="dxa"/>
            <w:vAlign w:val="center"/>
          </w:tcPr>
          <w:p w14:paraId="70373EF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315" w:type="dxa"/>
            <w:vAlign w:val="center"/>
          </w:tcPr>
          <w:p w14:paraId="1278AF6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w:t>
            </w:r>
          </w:p>
        </w:tc>
        <w:tc>
          <w:tcPr>
            <w:tcW w:w="1006" w:type="dxa"/>
            <w:vAlign w:val="center"/>
          </w:tcPr>
          <w:p w14:paraId="3AEECCE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979" w:type="dxa"/>
            <w:vAlign w:val="center"/>
          </w:tcPr>
          <w:p w14:paraId="7638824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1458" w:type="dxa"/>
            <w:vAlign w:val="center"/>
          </w:tcPr>
          <w:p w14:paraId="70E9CF8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1067" w:type="dxa"/>
            <w:tcBorders>
              <w:top w:val="nil"/>
              <w:left w:val="nil"/>
              <w:bottom w:val="nil"/>
              <w:right w:val="nil"/>
            </w:tcBorders>
            <w:shd w:val="clear" w:color="000000" w:fill="CCCCCC"/>
            <w:vAlign w:val="center"/>
          </w:tcPr>
          <w:p w14:paraId="54CA644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60" w:type="dxa"/>
            <w:vAlign w:val="center"/>
          </w:tcPr>
          <w:p w14:paraId="7374C3B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P4, S: P8. 14 days</w:t>
            </w:r>
          </w:p>
        </w:tc>
      </w:tr>
      <w:tr w:rsidR="00DC0A0B" w:rsidRPr="001A3F8F" w14:paraId="6AF90D85" w14:textId="77777777" w:rsidTr="00241200">
        <w:trPr>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p w14:paraId="703AD4E6" w14:textId="1D5198E0"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Bertolo </w:t>
            </w:r>
            <w:r w:rsidR="00AE20BE" w:rsidRPr="00AE20BE">
              <w:rPr>
                <w:rFonts w:ascii="Times New Roman" w:hAnsi="Times New Roman" w:cs="Times New Roman"/>
                <w:i/>
                <w:iCs/>
                <w:sz w:val="20"/>
                <w:szCs w:val="20"/>
              </w:rPr>
              <w:t>et al</w:t>
            </w:r>
            <w:r w:rsidRPr="001A3F8F">
              <w:rPr>
                <w:rFonts w:ascii="Times New Roman" w:hAnsi="Times New Roman" w:cs="Times New Roman"/>
                <w:i/>
                <w:iCs/>
                <w:sz w:val="20"/>
                <w:szCs w:val="20"/>
              </w:rPr>
              <w:t>.</w:t>
            </w:r>
            <w:r w:rsidRPr="001A3F8F">
              <w:rPr>
                <w:rFonts w:ascii="Times New Roman" w:hAnsi="Times New Roman" w:cs="Times New Roman"/>
                <w:sz w:val="20"/>
                <w:szCs w:val="20"/>
              </w:rPr>
              <w:t>, 2016</w:t>
            </w:r>
            <w:r>
              <w:rPr>
                <w:rFonts w:ascii="Times New Roman" w:hAnsi="Times New Roman" w:cs="Times New Roman"/>
                <w:sz w:val="20"/>
                <w:szCs w:val="20"/>
              </w:rPr>
              <w:t xml:space="preserve"> [42]</w:t>
            </w:r>
          </w:p>
        </w:tc>
        <w:tc>
          <w:tcPr>
            <w:tcW w:w="1592" w:type="dxa"/>
            <w:vAlign w:val="center"/>
          </w:tcPr>
          <w:p w14:paraId="1C0669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vAlign w:val="center"/>
          </w:tcPr>
          <w:p w14:paraId="3D0652F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0" w:type="dxa"/>
            <w:vAlign w:val="center"/>
          </w:tcPr>
          <w:p w14:paraId="36AA5AB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15" w:type="dxa"/>
            <w:vAlign w:val="center"/>
          </w:tcPr>
          <w:p w14:paraId="4067487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GAG/DNA (µg/µg)</w:t>
            </w:r>
          </w:p>
        </w:tc>
        <w:tc>
          <w:tcPr>
            <w:tcW w:w="1006" w:type="dxa"/>
            <w:vAlign w:val="center"/>
          </w:tcPr>
          <w:p w14:paraId="5554E91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~66.01 ± 9.91</w:t>
            </w:r>
          </w:p>
        </w:tc>
        <w:tc>
          <w:tcPr>
            <w:tcW w:w="979" w:type="dxa"/>
            <w:vAlign w:val="center"/>
          </w:tcPr>
          <w:p w14:paraId="357EA64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~5.82 ± 4.47 </w:t>
            </w:r>
          </w:p>
        </w:tc>
        <w:tc>
          <w:tcPr>
            <w:tcW w:w="1458" w:type="dxa"/>
            <w:vAlign w:val="center"/>
          </w:tcPr>
          <w:p w14:paraId="56BD5E2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1067" w:type="dxa"/>
            <w:tcBorders>
              <w:top w:val="nil"/>
              <w:left w:val="nil"/>
              <w:bottom w:val="nil"/>
              <w:right w:val="nil"/>
            </w:tcBorders>
            <w:vAlign w:val="center"/>
          </w:tcPr>
          <w:p w14:paraId="39D2347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260" w:type="dxa"/>
            <w:vAlign w:val="center"/>
          </w:tcPr>
          <w:p w14:paraId="5033B6C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P11. 28 days. </w:t>
            </w:r>
            <w:r w:rsidRPr="001A3F8F">
              <w:rPr>
                <w:rFonts w:ascii="Times New Roman" w:hAnsi="Times New Roman" w:cs="Times New Roman"/>
                <w:i/>
                <w:iCs/>
                <w:sz w:val="20"/>
                <w:szCs w:val="20"/>
              </w:rPr>
              <w:t>COL2</w:t>
            </w:r>
            <w:r w:rsidRPr="001A3F8F">
              <w:rPr>
                <w:rFonts w:ascii="Times New Roman" w:hAnsi="Times New Roman" w:cs="Times New Roman"/>
                <w:sz w:val="20"/>
                <w:szCs w:val="20"/>
              </w:rPr>
              <w:t xml:space="preserve"> were significantly reduced in late passage. </w:t>
            </w:r>
          </w:p>
        </w:tc>
      </w:tr>
      <w:tr w:rsidR="00DC0A0B" w:rsidRPr="001A3F8F" w14:paraId="7BDFE458" w14:textId="77777777" w:rsidTr="00241200">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
              <w:id w:val="-753200672"/>
              <w:placeholder>
                <w:docPart w:val="660B627982E94802991E5E7759F5C220"/>
              </w:placeholder>
            </w:sdtPr>
            <w:sdtContent>
              <w:p w14:paraId="6F889DDA" w14:textId="051A14D3"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Wenjing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[6]</w:t>
                </w:r>
              </w:p>
            </w:sdtContent>
          </w:sdt>
        </w:tc>
        <w:tc>
          <w:tcPr>
            <w:tcW w:w="1592" w:type="dxa"/>
            <w:vAlign w:val="center"/>
          </w:tcPr>
          <w:p w14:paraId="671C9BD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vAlign w:val="center"/>
          </w:tcPr>
          <w:p w14:paraId="4F92A93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200" w:type="dxa"/>
            <w:vAlign w:val="center"/>
          </w:tcPr>
          <w:p w14:paraId="4872B2B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15" w:type="dxa"/>
            <w:vAlign w:val="center"/>
          </w:tcPr>
          <w:p w14:paraId="733E18F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Safranin O Staining </w:t>
            </w:r>
            <w:r w:rsidRPr="001A3F8F">
              <w:rPr>
                <w:rFonts w:ascii="Times New Roman" w:hAnsi="Times New Roman" w:cs="Times New Roman"/>
                <w:sz w:val="20"/>
                <w:szCs w:val="20"/>
              </w:rPr>
              <w:lastRenderedPageBreak/>
              <w:t>(Positive Cell Rate)</w:t>
            </w:r>
          </w:p>
        </w:tc>
        <w:tc>
          <w:tcPr>
            <w:tcW w:w="1006" w:type="dxa"/>
            <w:vAlign w:val="center"/>
          </w:tcPr>
          <w:p w14:paraId="3050FF2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lastRenderedPageBreak/>
              <w:t>94.3 ± 6.5</w:t>
            </w:r>
          </w:p>
        </w:tc>
        <w:tc>
          <w:tcPr>
            <w:tcW w:w="979" w:type="dxa"/>
            <w:vAlign w:val="center"/>
          </w:tcPr>
          <w:p w14:paraId="2E58FD7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84.5 ± 8.5</w:t>
            </w:r>
          </w:p>
        </w:tc>
        <w:tc>
          <w:tcPr>
            <w:tcW w:w="1458" w:type="dxa"/>
            <w:vAlign w:val="center"/>
          </w:tcPr>
          <w:p w14:paraId="2701967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1067" w:type="dxa"/>
            <w:tcBorders>
              <w:top w:val="nil"/>
              <w:left w:val="nil"/>
              <w:bottom w:val="nil"/>
              <w:right w:val="nil"/>
            </w:tcBorders>
            <w:shd w:val="clear" w:color="000000" w:fill="CCCCCC"/>
            <w:vAlign w:val="center"/>
          </w:tcPr>
          <w:p w14:paraId="02F5A52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 significant</w:t>
            </w:r>
          </w:p>
        </w:tc>
        <w:tc>
          <w:tcPr>
            <w:tcW w:w="3260" w:type="dxa"/>
            <w:vAlign w:val="center"/>
          </w:tcPr>
          <w:p w14:paraId="24CD87C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Induction time was not reported.</w:t>
            </w:r>
          </w:p>
        </w:tc>
      </w:tr>
      <w:tr w:rsidR="00DC0A0B" w:rsidRPr="001A3F8F" w14:paraId="62FEAFDB" w14:textId="77777777" w:rsidTr="00241200">
        <w:trPr>
          <w:trHeight w:val="1534"/>
        </w:trPr>
        <w:tc>
          <w:tcPr>
            <w:cnfStyle w:val="001000000000" w:firstRow="0" w:lastRow="0" w:firstColumn="1" w:lastColumn="0" w:oddVBand="0" w:evenVBand="0" w:oddHBand="0" w:evenHBand="0" w:firstRowFirstColumn="0" w:firstRowLastColumn="0" w:lastRowFirstColumn="0" w:lastRowLastColumn="0"/>
            <w:tcW w:w="1671" w:type="dxa"/>
            <w:vAlign w:val="center"/>
          </w:tcPr>
          <w:sdt>
            <w:sdtPr>
              <w:rPr>
                <w:rFonts w:ascii="Times New Roman" w:hAnsi="Times New Roman" w:cs="Times New Roman"/>
                <w:sz w:val="20"/>
                <w:szCs w:val="20"/>
              </w:rPr>
              <w:tag w:val="MENDELEY_CITATION_v3_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"/>
              <w:id w:val="-1388484653"/>
              <w:placeholder>
                <w:docPart w:val="03F1BB5481F64ED1956310CE3BA327EA"/>
              </w:placeholder>
            </w:sdtPr>
            <w:sdtContent>
              <w:p w14:paraId="5747F423" w14:textId="715C5C30"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Govarthanan</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2025</w:t>
                </w:r>
                <w:r>
                  <w:rPr>
                    <w:rFonts w:ascii="Times New Roman" w:hAnsi="Times New Roman" w:cs="Times New Roman"/>
                    <w:sz w:val="20"/>
                    <w:szCs w:val="20"/>
                  </w:rPr>
                  <w:t xml:space="preserve"> [41]</w:t>
                </w:r>
              </w:p>
            </w:sdtContent>
          </w:sdt>
        </w:tc>
        <w:tc>
          <w:tcPr>
            <w:tcW w:w="1592" w:type="dxa"/>
            <w:vAlign w:val="center"/>
          </w:tcPr>
          <w:p w14:paraId="7E6DB9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911" w:type="dxa"/>
            <w:vAlign w:val="center"/>
          </w:tcPr>
          <w:p w14:paraId="526EAAB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UC-MSCs-WJ</w:t>
            </w:r>
          </w:p>
        </w:tc>
        <w:tc>
          <w:tcPr>
            <w:tcW w:w="1200" w:type="dxa"/>
            <w:vAlign w:val="center"/>
          </w:tcPr>
          <w:p w14:paraId="7A970EF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315" w:type="dxa"/>
            <w:vAlign w:val="center"/>
          </w:tcPr>
          <w:p w14:paraId="1025B1D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RT-qPCR – </w:t>
            </w:r>
            <w:r w:rsidRPr="001A3F8F">
              <w:rPr>
                <w:rFonts w:ascii="Times New Roman" w:hAnsi="Times New Roman" w:cs="Times New Roman"/>
                <w:i/>
                <w:iCs/>
                <w:sz w:val="20"/>
                <w:szCs w:val="20"/>
              </w:rPr>
              <w:t>COL2A1</w:t>
            </w:r>
          </w:p>
        </w:tc>
        <w:tc>
          <w:tcPr>
            <w:tcW w:w="1006" w:type="dxa"/>
            <w:vAlign w:val="center"/>
          </w:tcPr>
          <w:p w14:paraId="11250B4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~10.13 ± 0.39</w:t>
            </w:r>
          </w:p>
        </w:tc>
        <w:tc>
          <w:tcPr>
            <w:tcW w:w="979" w:type="dxa"/>
            <w:vAlign w:val="center"/>
          </w:tcPr>
          <w:p w14:paraId="552E922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~2.62 ± 0.22</w:t>
            </w:r>
          </w:p>
        </w:tc>
        <w:tc>
          <w:tcPr>
            <w:tcW w:w="1458" w:type="dxa"/>
            <w:vAlign w:val="center"/>
          </w:tcPr>
          <w:p w14:paraId="76A91F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p&lt;0.0001</w:t>
            </w:r>
          </w:p>
        </w:tc>
        <w:tc>
          <w:tcPr>
            <w:tcW w:w="1067" w:type="dxa"/>
            <w:tcBorders>
              <w:top w:val="nil"/>
              <w:left w:val="nil"/>
              <w:bottom w:val="nil"/>
              <w:right w:val="nil"/>
            </w:tcBorders>
            <w:vAlign w:val="center"/>
          </w:tcPr>
          <w:p w14:paraId="5126B8B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260" w:type="dxa"/>
            <w:vAlign w:val="center"/>
          </w:tcPr>
          <w:p w14:paraId="558824F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P15. 28 days. </w:t>
            </w:r>
            <w:r w:rsidRPr="001A3F8F">
              <w:rPr>
                <w:rFonts w:ascii="Times New Roman" w:hAnsi="Times New Roman" w:cs="Times New Roman"/>
                <w:i/>
                <w:iCs/>
                <w:sz w:val="20"/>
                <w:szCs w:val="20"/>
              </w:rPr>
              <w:t xml:space="preserve">SOX9 </w:t>
            </w:r>
            <w:r w:rsidRPr="001A3F8F">
              <w:rPr>
                <w:rFonts w:ascii="Times New Roman" w:hAnsi="Times New Roman" w:cs="Times New Roman"/>
                <w:sz w:val="20"/>
                <w:szCs w:val="20"/>
              </w:rPr>
              <w:t xml:space="preserve">expression was significantly reduced at late passage, whereas </w:t>
            </w:r>
            <w:r w:rsidRPr="001A3F8F">
              <w:rPr>
                <w:rFonts w:ascii="Times New Roman" w:hAnsi="Times New Roman" w:cs="Times New Roman"/>
                <w:i/>
                <w:iCs/>
                <w:sz w:val="20"/>
                <w:szCs w:val="20"/>
              </w:rPr>
              <w:t>COL1A1</w:t>
            </w:r>
            <w:r w:rsidRPr="001A3F8F">
              <w:rPr>
                <w:rFonts w:ascii="Times New Roman" w:hAnsi="Times New Roman" w:cs="Times New Roman"/>
                <w:sz w:val="20"/>
                <w:szCs w:val="20"/>
              </w:rPr>
              <w:t xml:space="preserve"> expression was similar in both passages. Toluidine Blue staining was reduced in the late passage.</w:t>
            </w:r>
          </w:p>
        </w:tc>
      </w:tr>
    </w:tbl>
    <w:p w14:paraId="5FAD5121" w14:textId="77777777" w:rsidR="00513939" w:rsidRPr="001A3F8F" w:rsidRDefault="00513939" w:rsidP="001A3F8F">
      <w:pPr>
        <w:jc w:val="both"/>
        <w:rPr>
          <w:rFonts w:ascii="Times New Roman" w:hAnsi="Times New Roman" w:cs="Times New Roman"/>
          <w:b/>
          <w:bCs/>
          <w:sz w:val="20"/>
          <w:szCs w:val="20"/>
        </w:rPr>
      </w:pPr>
    </w:p>
    <w:p w14:paraId="170E4066" w14:textId="2F0BD27E"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 xml:space="preserve">Supplementary Table </w:t>
      </w:r>
      <w:r w:rsidR="001A3F8F">
        <w:rPr>
          <w:rFonts w:ascii="Times New Roman" w:hAnsi="Times New Roman" w:cs="Times New Roman"/>
          <w:b/>
          <w:bCs/>
          <w:sz w:val="20"/>
          <w:szCs w:val="20"/>
        </w:rPr>
        <w:t>6</w:t>
      </w:r>
      <w:r w:rsidRPr="001A3F8F">
        <w:rPr>
          <w:rFonts w:ascii="Times New Roman" w:hAnsi="Times New Roman" w:cs="Times New Roman"/>
          <w:b/>
          <w:bCs/>
          <w:sz w:val="20"/>
          <w:szCs w:val="20"/>
        </w:rPr>
        <w:t xml:space="preserve">. Individual results for the chondrogenic differentiation outcome. </w:t>
      </w:r>
      <w:r w:rsidRPr="001A3F8F">
        <w:rPr>
          <w:rFonts w:ascii="Times New Roman" w:hAnsi="Times New Roman" w:cs="Times New Roman"/>
          <w:sz w:val="20"/>
          <w:szCs w:val="20"/>
        </w:rPr>
        <w:t>This table summarizes individual study results evaluating chondrogenic differentiation capacity in non</w:t>
      </w:r>
      <w:r w:rsidRPr="001A3F8F">
        <w:rPr>
          <w:rFonts w:ascii="Times New Roman" w:hAnsi="Times New Roman" w:cs="Times New Roman"/>
          <w:sz w:val="20"/>
          <w:szCs w:val="20"/>
        </w:rPr>
        <w:noBreakHyphen/>
        <w:t>senescent (NS) and senescent (S) mesenchymal stem cell populations. Studies are grouped by senescence induction method (Chronological aging, serial passaging) and sub</w:t>
      </w:r>
      <w:r w:rsidRPr="001A3F8F">
        <w:rPr>
          <w:rFonts w:ascii="Times New Roman" w:hAnsi="Times New Roman" w:cs="Times New Roman"/>
          <w:sz w:val="20"/>
          <w:szCs w:val="20"/>
        </w:rPr>
        <w:noBreakHyphen/>
        <w:t>grouped by cell type (AD</w:t>
      </w:r>
      <w:r w:rsidRPr="001A3F8F">
        <w:rPr>
          <w:rFonts w:ascii="Times New Roman" w:hAnsi="Times New Roman" w:cs="Times New Roman"/>
          <w:sz w:val="20"/>
          <w:szCs w:val="20"/>
        </w:rPr>
        <w:noBreakHyphen/>
        <w:t>MSCs, BM</w:t>
      </w:r>
      <w:r w:rsidRPr="001A3F8F">
        <w:rPr>
          <w:rFonts w:ascii="Times New Roman" w:hAnsi="Times New Roman" w:cs="Times New Roman"/>
          <w:sz w:val="20"/>
          <w:szCs w:val="20"/>
        </w:rPr>
        <w:noBreakHyphen/>
        <w:t>MSCs, DPSCs, UC</w:t>
      </w:r>
      <w:r w:rsidRPr="001A3F8F">
        <w:rPr>
          <w:rFonts w:ascii="Times New Roman" w:hAnsi="Times New Roman" w:cs="Times New Roman"/>
          <w:sz w:val="20"/>
          <w:szCs w:val="20"/>
        </w:rPr>
        <w:noBreakHyphen/>
        <w:t xml:space="preserve">MSCs-WJ). Data are presented as mean ± SD or SEM, as reported in the original studies. Chondrogenic assays included </w:t>
      </w:r>
      <w:proofErr w:type="spellStart"/>
      <w:r w:rsidRPr="001A3F8F">
        <w:rPr>
          <w:rFonts w:ascii="Times New Roman" w:hAnsi="Times New Roman" w:cs="Times New Roman"/>
          <w:sz w:val="20"/>
          <w:szCs w:val="20"/>
        </w:rPr>
        <w:t>Alcian</w:t>
      </w:r>
      <w:proofErr w:type="spellEnd"/>
      <w:r w:rsidRPr="001A3F8F">
        <w:rPr>
          <w:rFonts w:ascii="Times New Roman" w:hAnsi="Times New Roman" w:cs="Times New Roman"/>
          <w:sz w:val="20"/>
          <w:szCs w:val="20"/>
        </w:rPr>
        <w:t xml:space="preserve"> Blue staining, Safranin O staining, glycosaminoglycan/DNA (GAG/DNA) quantification, pellet diameter measurement, and RT</w:t>
      </w:r>
      <w:r w:rsidRPr="001A3F8F">
        <w:rPr>
          <w:rFonts w:ascii="Times New Roman" w:hAnsi="Times New Roman" w:cs="Times New Roman"/>
          <w:sz w:val="20"/>
          <w:szCs w:val="20"/>
        </w:rPr>
        <w:noBreakHyphen/>
        <w:t xml:space="preserve">qPCR of chondrogenic markers (e.g., </w:t>
      </w:r>
      <w:r w:rsidRPr="001A3F8F">
        <w:rPr>
          <w:rFonts w:ascii="Times New Roman" w:hAnsi="Times New Roman" w:cs="Times New Roman"/>
          <w:i/>
          <w:iCs/>
          <w:sz w:val="20"/>
          <w:szCs w:val="20"/>
        </w:rPr>
        <w:t>COL2A1, SOX9, AGGRECAN</w:t>
      </w:r>
      <w:r w:rsidRPr="001A3F8F">
        <w:rPr>
          <w:rFonts w:ascii="Times New Roman" w:hAnsi="Times New Roman" w:cs="Times New Roman"/>
          <w:sz w:val="20"/>
          <w:szCs w:val="20"/>
        </w:rPr>
        <w:t>). When multiple assays were reported for the same outcome, only one representative assay was included. Values preceded by a tilde (~) indicate data manually extracted from figures. NR indicates “not reported”.</w:t>
      </w:r>
    </w:p>
    <w:p w14:paraId="18C941A1"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br w:type="page"/>
      </w:r>
    </w:p>
    <w:p w14:paraId="7BE77648" w14:textId="7FA8D8C7"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lastRenderedPageBreak/>
        <w:t xml:space="preserve">SUPPLEMENTARY TABLE </w:t>
      </w:r>
      <w:r w:rsidR="001A3F8F">
        <w:rPr>
          <w:rFonts w:ascii="Times New Roman" w:hAnsi="Times New Roman" w:cs="Times New Roman"/>
          <w:b/>
          <w:bCs/>
          <w:sz w:val="20"/>
          <w:szCs w:val="20"/>
        </w:rPr>
        <w:t>7</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migration outcome.</w:t>
      </w:r>
    </w:p>
    <w:tbl>
      <w:tblPr>
        <w:tblStyle w:val="TabeladeLista1Clara8"/>
        <w:tblW w:w="14742" w:type="dxa"/>
        <w:jc w:val="center"/>
        <w:tblLook w:val="04A0" w:firstRow="1" w:lastRow="0" w:firstColumn="1" w:lastColumn="0" w:noHBand="0" w:noVBand="1"/>
      </w:tblPr>
      <w:tblGrid>
        <w:gridCol w:w="1208"/>
        <w:gridCol w:w="1667"/>
        <w:gridCol w:w="1047"/>
        <w:gridCol w:w="1204"/>
        <w:gridCol w:w="1630"/>
        <w:gridCol w:w="1188"/>
        <w:gridCol w:w="1079"/>
        <w:gridCol w:w="1429"/>
        <w:gridCol w:w="1436"/>
        <w:gridCol w:w="2854"/>
      </w:tblGrid>
      <w:tr w:rsidR="00513939" w:rsidRPr="001A3F8F" w14:paraId="18824B31" w14:textId="77777777" w:rsidTr="00241200">
        <w:trPr>
          <w:cnfStyle w:val="100000000000" w:firstRow="1" w:lastRow="0" w:firstColumn="0" w:lastColumn="0" w:oddVBand="0" w:evenVBand="0" w:oddHBand="0" w:evenHBand="0" w:firstRowFirstColumn="0" w:firstRowLastColumn="0" w:lastRowFirstColumn="0" w:lastRowLastColumn="0"/>
          <w:trHeight w:val="520"/>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9B19C38"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0" w:type="auto"/>
            <w:vAlign w:val="center"/>
          </w:tcPr>
          <w:p w14:paraId="2DC2F81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0" w:type="auto"/>
            <w:vAlign w:val="center"/>
          </w:tcPr>
          <w:p w14:paraId="2BB586C5"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0" w:type="auto"/>
            <w:vAlign w:val="center"/>
          </w:tcPr>
          <w:p w14:paraId="6DFFEE4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0" w:type="auto"/>
            <w:vAlign w:val="center"/>
          </w:tcPr>
          <w:p w14:paraId="0E663620"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0" w:type="auto"/>
            <w:vAlign w:val="center"/>
          </w:tcPr>
          <w:p w14:paraId="023732FC"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0" w:type="auto"/>
            <w:vAlign w:val="center"/>
          </w:tcPr>
          <w:p w14:paraId="1AAB9A5B"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0" w:type="auto"/>
            <w:vAlign w:val="center"/>
          </w:tcPr>
          <w:p w14:paraId="444D605D"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0" w:type="auto"/>
            <w:vAlign w:val="center"/>
          </w:tcPr>
          <w:p w14:paraId="6776AF51"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 Migration Potential</w:t>
            </w:r>
          </w:p>
        </w:tc>
        <w:tc>
          <w:tcPr>
            <w:tcW w:w="2854" w:type="dxa"/>
            <w:vAlign w:val="center"/>
          </w:tcPr>
          <w:p w14:paraId="4F30A6F8"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515418" w:rsidRPr="001A3F8F" w14:paraId="0BD5CB3C" w14:textId="77777777" w:rsidTr="00241200">
        <w:trPr>
          <w:cnfStyle w:val="000000100000" w:firstRow="0" w:lastRow="0" w:firstColumn="0" w:lastColumn="0" w:oddVBand="0" w:evenVBand="0" w:oddHBand="1" w:evenHBand="0" w:firstRowFirstColumn="0" w:firstRowLastColumn="0" w:lastRowFirstColumn="0" w:lastRowLastColumn="0"/>
          <w:trHeight w:val="5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NWQ5NGY5NWMtMjc3My00NjQxLWI4M2UtNDFiZjA4Yjc5MDRi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
              <w:id w:val="-1921015278"/>
              <w:placeholder>
                <w:docPart w:val="5BE9E758A63E45399A32C8A7343DDFE1"/>
              </w:placeholder>
            </w:sdtPr>
            <w:sdtContent>
              <w:p w14:paraId="598B5B22" w14:textId="13A309B8" w:rsidR="00515418" w:rsidRPr="001A3F8F" w:rsidRDefault="00515418" w:rsidP="00515418">
                <w:pPr>
                  <w:jc w:val="both"/>
                  <w:rPr>
                    <w:rFonts w:ascii="Times New Roman" w:hAnsi="Times New Roman" w:cs="Times New Roman"/>
                    <w:sz w:val="20"/>
                    <w:szCs w:val="20"/>
                  </w:rPr>
                </w:pPr>
                <w:r w:rsidRPr="001A3F8F">
                  <w:rPr>
                    <w:rFonts w:ascii="Times New Roman" w:hAnsi="Times New Roman" w:cs="Times New Roman"/>
                    <w:sz w:val="20"/>
                    <w:szCs w:val="20"/>
                  </w:rPr>
                  <w:t xml:space="preserve">Chen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[23]</w:t>
                </w:r>
              </w:p>
            </w:sdtContent>
          </w:sdt>
        </w:tc>
        <w:tc>
          <w:tcPr>
            <w:tcW w:w="0" w:type="auto"/>
            <w:vAlign w:val="center"/>
          </w:tcPr>
          <w:p w14:paraId="52341A5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vAlign w:val="center"/>
          </w:tcPr>
          <w:p w14:paraId="33E45B0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5A84A49C"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2DABCDB0"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Transwell</w:t>
            </w:r>
            <w:proofErr w:type="spellEnd"/>
          </w:p>
        </w:tc>
        <w:tc>
          <w:tcPr>
            <w:tcW w:w="0" w:type="auto"/>
            <w:vAlign w:val="center"/>
          </w:tcPr>
          <w:p w14:paraId="32FEAAAF"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~173.04 ± 18.64</w:t>
            </w:r>
          </w:p>
        </w:tc>
        <w:tc>
          <w:tcPr>
            <w:tcW w:w="0" w:type="auto"/>
            <w:vAlign w:val="center"/>
          </w:tcPr>
          <w:p w14:paraId="6EE6DBE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~42.54 ± 4.3</w:t>
            </w:r>
          </w:p>
        </w:tc>
        <w:tc>
          <w:tcPr>
            <w:tcW w:w="0" w:type="auto"/>
            <w:vAlign w:val="center"/>
          </w:tcPr>
          <w:p w14:paraId="299029E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p&lt;0.001</w:t>
            </w:r>
          </w:p>
        </w:tc>
        <w:tc>
          <w:tcPr>
            <w:tcW w:w="0" w:type="auto"/>
            <w:vAlign w:val="center"/>
          </w:tcPr>
          <w:p w14:paraId="1AA55BAA"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854" w:type="dxa"/>
            <w:vAlign w:val="center"/>
          </w:tcPr>
          <w:p w14:paraId="54BA582E"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old group. 24 hours.</w:t>
            </w:r>
          </w:p>
        </w:tc>
      </w:tr>
      <w:tr w:rsidR="00DC0A0B" w:rsidRPr="001A3F8F" w14:paraId="71724809" w14:textId="77777777" w:rsidTr="00241200">
        <w:trPr>
          <w:trHeight w:val="5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
              <w:id w:val="1180243934"/>
              <w:placeholder>
                <w:docPart w:val="8C190CCBF9CF4FB594A792A3F078A282"/>
              </w:placeholder>
            </w:sdtPr>
            <w:sdtContent>
              <w:p w14:paraId="23E26D34" w14:textId="1F2B8B44"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Wenjing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[6]</w:t>
                </w:r>
              </w:p>
            </w:sdtContent>
          </w:sdt>
        </w:tc>
        <w:tc>
          <w:tcPr>
            <w:tcW w:w="0" w:type="auto"/>
            <w:vAlign w:val="center"/>
          </w:tcPr>
          <w:p w14:paraId="4084246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28756C52"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3BC944A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335BA3B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Transwell</w:t>
            </w:r>
            <w:proofErr w:type="spellEnd"/>
          </w:p>
        </w:tc>
        <w:tc>
          <w:tcPr>
            <w:tcW w:w="0" w:type="auto"/>
            <w:vAlign w:val="center"/>
          </w:tcPr>
          <w:p w14:paraId="5DA496A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182.3 ± 18.3</w:t>
            </w:r>
          </w:p>
        </w:tc>
        <w:tc>
          <w:tcPr>
            <w:tcW w:w="0" w:type="auto"/>
            <w:vAlign w:val="center"/>
          </w:tcPr>
          <w:p w14:paraId="0E3418C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19.2 ± 5.0</w:t>
            </w:r>
          </w:p>
        </w:tc>
        <w:tc>
          <w:tcPr>
            <w:tcW w:w="0" w:type="auto"/>
            <w:vAlign w:val="center"/>
          </w:tcPr>
          <w:p w14:paraId="7FA64B4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0" w:type="auto"/>
            <w:vAlign w:val="center"/>
          </w:tcPr>
          <w:p w14:paraId="29A3A2B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854" w:type="dxa"/>
            <w:vAlign w:val="center"/>
          </w:tcPr>
          <w:p w14:paraId="05A6F78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P5, S: P15. 24 hours. Scratch Healing Rate was assessed and showed reduced migration in late passage.</w:t>
            </w:r>
          </w:p>
        </w:tc>
      </w:tr>
      <w:tr w:rsidR="00DC0A0B" w:rsidRPr="001A3F8F" w14:paraId="39A2972D" w14:textId="77777777" w:rsidTr="00241200">
        <w:trPr>
          <w:cnfStyle w:val="000000100000" w:firstRow="0" w:lastRow="0" w:firstColumn="0" w:lastColumn="0" w:oddVBand="0" w:evenVBand="0" w:oddHBand="1" w:evenHBand="0" w:firstRowFirstColumn="0" w:firstRowLastColumn="0" w:lastRowFirstColumn="0" w:lastRowLastColumn="0"/>
          <w:trHeight w:val="52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2U5MzI5M2ItMWFiNC00YjI2LWE4MTktYzA2Y2JiYzY5OWU5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
              <w:id w:val="1369264572"/>
              <w:placeholder>
                <w:docPart w:val="EEF9D219416A4888B520C7B7A9F5A8EF"/>
              </w:placeholder>
            </w:sdtPr>
            <w:sdtContent>
              <w:p w14:paraId="48426D3E" w14:textId="1BD3D49B" w:rsidR="00DC0A0B" w:rsidRPr="001A3F8F" w:rsidRDefault="00DC0A0B" w:rsidP="00DC0A0B">
                <w:pPr>
                  <w:jc w:val="both"/>
                  <w:rPr>
                    <w:rFonts w:ascii="Times New Roman" w:hAnsi="Times New Roman" w:cs="Times New Roman"/>
                    <w:sz w:val="20"/>
                    <w:szCs w:val="20"/>
                  </w:rPr>
                </w:pPr>
                <w:r w:rsidRPr="001A3F8F">
                  <w:rPr>
                    <w:rFonts w:ascii="Times New Roman" w:hAnsi="Times New Roman" w:cs="Times New Roman"/>
                    <w:sz w:val="20"/>
                    <w:szCs w:val="20"/>
                  </w:rPr>
                  <w:t xml:space="preserve">Yang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Pr>
                    <w:rFonts w:ascii="Times New Roman" w:hAnsi="Times New Roman" w:cs="Times New Roman"/>
                    <w:sz w:val="20"/>
                    <w:szCs w:val="20"/>
                  </w:rPr>
                  <w:t xml:space="preserve"> [40]</w:t>
                </w:r>
              </w:p>
            </w:sdtContent>
          </w:sdt>
        </w:tc>
        <w:tc>
          <w:tcPr>
            <w:tcW w:w="0" w:type="auto"/>
            <w:vAlign w:val="center"/>
          </w:tcPr>
          <w:p w14:paraId="3765B39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53A8BB45"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0" w:type="auto"/>
            <w:vAlign w:val="center"/>
          </w:tcPr>
          <w:p w14:paraId="0B251E1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2A00DC0F"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sz w:val="20"/>
                <w:szCs w:val="20"/>
              </w:rPr>
              <w:t>Transwell</w:t>
            </w:r>
            <w:proofErr w:type="spellEnd"/>
            <w:r w:rsidRPr="001A3F8F">
              <w:rPr>
                <w:rFonts w:ascii="Times New Roman" w:hAnsi="Times New Roman" w:cs="Times New Roman"/>
                <w:sz w:val="20"/>
                <w:szCs w:val="20"/>
              </w:rPr>
              <w:t xml:space="preserve"> (relative number of migrated cells)</w:t>
            </w:r>
          </w:p>
        </w:tc>
        <w:tc>
          <w:tcPr>
            <w:tcW w:w="0" w:type="auto"/>
            <w:vAlign w:val="center"/>
          </w:tcPr>
          <w:p w14:paraId="7E06F4A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~1 ± 0.06</w:t>
            </w:r>
          </w:p>
        </w:tc>
        <w:tc>
          <w:tcPr>
            <w:tcW w:w="0" w:type="auto"/>
            <w:vAlign w:val="center"/>
          </w:tcPr>
          <w:p w14:paraId="6BE49643"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~0.39 ± 0.03</w:t>
            </w:r>
          </w:p>
        </w:tc>
        <w:tc>
          <w:tcPr>
            <w:tcW w:w="0" w:type="auto"/>
            <w:vAlign w:val="center"/>
          </w:tcPr>
          <w:p w14:paraId="3B65824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p&lt;0.01</w:t>
            </w:r>
          </w:p>
        </w:tc>
        <w:tc>
          <w:tcPr>
            <w:tcW w:w="0" w:type="auto"/>
            <w:vAlign w:val="center"/>
          </w:tcPr>
          <w:p w14:paraId="4042991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2854" w:type="dxa"/>
            <w:vAlign w:val="center"/>
          </w:tcPr>
          <w:p w14:paraId="55F88211"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P12. 48 hours.</w:t>
            </w:r>
          </w:p>
        </w:tc>
      </w:tr>
    </w:tbl>
    <w:p w14:paraId="2D8E5A63" w14:textId="606DB5AD"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 xml:space="preserve">Supplementary Table </w:t>
      </w:r>
      <w:r w:rsidR="001A3F8F">
        <w:rPr>
          <w:rFonts w:ascii="Times New Roman" w:hAnsi="Times New Roman" w:cs="Times New Roman"/>
          <w:b/>
          <w:bCs/>
          <w:sz w:val="20"/>
          <w:szCs w:val="20"/>
        </w:rPr>
        <w:t>7</w:t>
      </w:r>
      <w:r w:rsidRPr="001A3F8F">
        <w:rPr>
          <w:rFonts w:ascii="Times New Roman" w:hAnsi="Times New Roman" w:cs="Times New Roman"/>
          <w:b/>
          <w:bCs/>
          <w:sz w:val="20"/>
          <w:szCs w:val="20"/>
        </w:rPr>
        <w:t xml:space="preserve">. Individual results for the migration outcome. </w:t>
      </w:r>
      <w:r w:rsidRPr="001A3F8F">
        <w:rPr>
          <w:rFonts w:ascii="Times New Roman" w:hAnsi="Times New Roman" w:cs="Times New Roman"/>
          <w:sz w:val="20"/>
          <w:szCs w:val="20"/>
        </w:rPr>
        <w:t>This table summarizes individual study results evaluating migratory capacity in non</w:t>
      </w:r>
      <w:r w:rsidRPr="001A3F8F">
        <w:rPr>
          <w:rFonts w:ascii="Times New Roman" w:hAnsi="Times New Roman" w:cs="Times New Roman"/>
          <w:sz w:val="20"/>
          <w:szCs w:val="20"/>
        </w:rPr>
        <w:noBreakHyphen/>
        <w:t>senescent (NS) and senescent (S) mesenchymal stem cell populations. Studies are grouped by senescence induction method (Chronological aging, serial passaging) and sub</w:t>
      </w:r>
      <w:r w:rsidRPr="001A3F8F">
        <w:rPr>
          <w:rFonts w:ascii="Times New Roman" w:hAnsi="Times New Roman" w:cs="Times New Roman"/>
          <w:sz w:val="20"/>
          <w:szCs w:val="20"/>
        </w:rPr>
        <w:noBreakHyphen/>
        <w:t>grouped by cell type (DPSCs, BM</w:t>
      </w:r>
      <w:r w:rsidRPr="001A3F8F">
        <w:rPr>
          <w:rFonts w:ascii="Times New Roman" w:hAnsi="Times New Roman" w:cs="Times New Roman"/>
          <w:sz w:val="20"/>
          <w:szCs w:val="20"/>
        </w:rPr>
        <w:noBreakHyphen/>
        <w:t xml:space="preserve">MSCs, PDLSCs). Data are presented as mean ± SD or SEM, as reported in the original studies. Migration was assessed using </w:t>
      </w:r>
      <w:proofErr w:type="spellStart"/>
      <w:r w:rsidRPr="001A3F8F">
        <w:rPr>
          <w:rFonts w:ascii="Times New Roman" w:hAnsi="Times New Roman" w:cs="Times New Roman"/>
          <w:sz w:val="20"/>
          <w:szCs w:val="20"/>
        </w:rPr>
        <w:t>Transwell</w:t>
      </w:r>
      <w:proofErr w:type="spellEnd"/>
      <w:r w:rsidRPr="001A3F8F">
        <w:rPr>
          <w:rFonts w:ascii="Times New Roman" w:hAnsi="Times New Roman" w:cs="Times New Roman"/>
          <w:sz w:val="20"/>
          <w:szCs w:val="20"/>
        </w:rPr>
        <w:t xml:space="preserve"> assays (number of migrated cells) and scratch</w:t>
      </w:r>
      <w:r w:rsidRPr="001A3F8F">
        <w:rPr>
          <w:rFonts w:ascii="Times New Roman" w:hAnsi="Times New Roman" w:cs="Times New Roman"/>
          <w:sz w:val="20"/>
          <w:szCs w:val="20"/>
        </w:rPr>
        <w:noBreakHyphen/>
        <w:t>wound healing assays. Values preceded by a tilde (~) indicate data manually extracted from figures. NR indicates “not reported”.</w:t>
      </w:r>
    </w:p>
    <w:p w14:paraId="492E54EA"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br w:type="page"/>
      </w:r>
    </w:p>
    <w:p w14:paraId="117C83C1" w14:textId="79795BB3"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lastRenderedPageBreak/>
        <w:t xml:space="preserve">SUPPLEMENTARY TABLE </w:t>
      </w:r>
      <w:r w:rsidR="001A3F8F">
        <w:rPr>
          <w:rFonts w:ascii="Times New Roman" w:hAnsi="Times New Roman" w:cs="Times New Roman"/>
          <w:b/>
          <w:bCs/>
          <w:sz w:val="20"/>
          <w:szCs w:val="20"/>
        </w:rPr>
        <w:t>8</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immune response outcome.</w:t>
      </w:r>
    </w:p>
    <w:tbl>
      <w:tblPr>
        <w:tblStyle w:val="TabeladeLista1Clara3"/>
        <w:tblW w:w="14601" w:type="dxa"/>
        <w:jc w:val="center"/>
        <w:tblLook w:val="04A0" w:firstRow="1" w:lastRow="0" w:firstColumn="1" w:lastColumn="0" w:noHBand="0" w:noVBand="1"/>
      </w:tblPr>
      <w:tblGrid>
        <w:gridCol w:w="1184"/>
        <w:gridCol w:w="1361"/>
        <w:gridCol w:w="1101"/>
        <w:gridCol w:w="1198"/>
        <w:gridCol w:w="1018"/>
        <w:gridCol w:w="2218"/>
        <w:gridCol w:w="2230"/>
        <w:gridCol w:w="1456"/>
        <w:gridCol w:w="2835"/>
      </w:tblGrid>
      <w:tr w:rsidR="00513939" w:rsidRPr="001A3F8F" w14:paraId="4EB2BD8E" w14:textId="77777777" w:rsidTr="00DC0A0B">
        <w:trPr>
          <w:cnfStyle w:val="100000000000" w:firstRow="1" w:lastRow="0" w:firstColumn="0" w:lastColumn="0" w:oddVBand="0" w:evenVBand="0" w:oddHBand="0" w:evenHBand="0" w:firstRowFirstColumn="0" w:firstRowLastColumn="0" w:lastRowFirstColumn="0" w:lastRowLastColumn="0"/>
          <w:trHeight w:val="501"/>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D7486B"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1361" w:type="dxa"/>
            <w:vAlign w:val="center"/>
          </w:tcPr>
          <w:p w14:paraId="0E0231C0"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1101" w:type="dxa"/>
            <w:vAlign w:val="center"/>
          </w:tcPr>
          <w:p w14:paraId="053B566A"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1198" w:type="dxa"/>
            <w:vAlign w:val="center"/>
          </w:tcPr>
          <w:p w14:paraId="506ED4CF"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1018" w:type="dxa"/>
            <w:vAlign w:val="center"/>
          </w:tcPr>
          <w:p w14:paraId="46E6DACC"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2218" w:type="dxa"/>
            <w:vAlign w:val="center"/>
          </w:tcPr>
          <w:p w14:paraId="21649688"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2230" w:type="dxa"/>
            <w:vAlign w:val="center"/>
          </w:tcPr>
          <w:p w14:paraId="2AEFB1C1"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1456" w:type="dxa"/>
            <w:vAlign w:val="center"/>
          </w:tcPr>
          <w:p w14:paraId="4883047E"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2835" w:type="dxa"/>
            <w:vAlign w:val="center"/>
          </w:tcPr>
          <w:p w14:paraId="65502545"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AE20BE" w:rsidRPr="001A3F8F" w14:paraId="6A5D6699" w14:textId="77777777" w:rsidTr="00DC0A0B">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vAlign w:val="center"/>
          </w:tcPr>
          <w:sdt>
            <w:sdtPr>
              <w:rPr>
                <w:rFonts w:ascii="Times New Roman" w:hAnsi="Times New Roman" w:cs="Times New Roman"/>
                <w:sz w:val="20"/>
                <w:szCs w:val="20"/>
              </w:rPr>
              <w:tag w:val="MENDELEY_CITATION_v3_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"/>
              <w:id w:val="1511031162"/>
              <w:placeholder>
                <w:docPart w:val="55DAD4DD6D444EC981FA0FFA472EB970"/>
              </w:placeholder>
            </w:sdtPr>
            <w:sdtContent>
              <w:p w14:paraId="3A1EC33C" w14:textId="5D32C5D8" w:rsidR="00AE20BE" w:rsidRPr="001A3F8F" w:rsidRDefault="00AE20BE"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Huang </w:t>
                </w:r>
                <w:r w:rsidRPr="00AE20BE">
                  <w:rPr>
                    <w:rFonts w:ascii="Times New Roman" w:hAnsi="Times New Roman" w:cs="Times New Roman"/>
                    <w:i/>
                    <w:sz w:val="20"/>
                    <w:szCs w:val="20"/>
                  </w:rPr>
                  <w:t>et al</w:t>
                </w:r>
                <w:r w:rsidRPr="001A3F8F">
                  <w:rPr>
                    <w:rFonts w:ascii="Times New Roman" w:hAnsi="Times New Roman" w:cs="Times New Roman"/>
                    <w:sz w:val="20"/>
                    <w:szCs w:val="20"/>
                  </w:rPr>
                  <w:t>., 2023</w:t>
                </w:r>
                <w:r>
                  <w:rPr>
                    <w:rFonts w:ascii="Times New Roman" w:hAnsi="Times New Roman" w:cs="Times New Roman"/>
                    <w:sz w:val="20"/>
                    <w:szCs w:val="20"/>
                  </w:rPr>
                  <w:t xml:space="preserve"> [22]</w:t>
                </w:r>
              </w:p>
            </w:sdtContent>
          </w:sdt>
        </w:tc>
        <w:tc>
          <w:tcPr>
            <w:tcW w:w="1361" w:type="dxa"/>
            <w:tcBorders>
              <w:bottom w:val="single" w:sz="12" w:space="0" w:color="auto"/>
            </w:tcBorders>
            <w:vAlign w:val="center"/>
          </w:tcPr>
          <w:p w14:paraId="493495AF"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1101" w:type="dxa"/>
            <w:tcBorders>
              <w:bottom w:val="single" w:sz="12" w:space="0" w:color="auto"/>
            </w:tcBorders>
            <w:vAlign w:val="center"/>
          </w:tcPr>
          <w:p w14:paraId="015F3FF5"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1198" w:type="dxa"/>
            <w:tcBorders>
              <w:bottom w:val="single" w:sz="12" w:space="0" w:color="auto"/>
            </w:tcBorders>
            <w:vAlign w:val="center"/>
          </w:tcPr>
          <w:p w14:paraId="3E254444"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018" w:type="dxa"/>
            <w:tcBorders>
              <w:bottom w:val="single" w:sz="12" w:space="0" w:color="auto"/>
            </w:tcBorders>
            <w:vAlign w:val="center"/>
          </w:tcPr>
          <w:p w14:paraId="36B8A944"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Elisa (</w:t>
            </w:r>
            <w:proofErr w:type="spellStart"/>
            <w:r w:rsidRPr="001A3F8F">
              <w:rPr>
                <w:rFonts w:ascii="Times New Roman" w:hAnsi="Times New Roman" w:cs="Times New Roman"/>
                <w:sz w:val="20"/>
                <w:szCs w:val="20"/>
              </w:rPr>
              <w:t>pg</w:t>
            </w:r>
            <w:proofErr w:type="spellEnd"/>
            <w:r w:rsidRPr="001A3F8F">
              <w:rPr>
                <w:rFonts w:ascii="Times New Roman" w:hAnsi="Times New Roman" w:cs="Times New Roman"/>
                <w:sz w:val="20"/>
                <w:szCs w:val="20"/>
              </w:rPr>
              <w:t>/mL)</w:t>
            </w:r>
          </w:p>
        </w:tc>
        <w:tc>
          <w:tcPr>
            <w:tcW w:w="2218" w:type="dxa"/>
            <w:tcBorders>
              <w:bottom w:val="single" w:sz="12" w:space="0" w:color="auto"/>
            </w:tcBorders>
            <w:vAlign w:val="center"/>
          </w:tcPr>
          <w:p w14:paraId="65425C5C"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~29.26 ± 4.18</w:t>
            </w:r>
          </w:p>
          <w:p w14:paraId="3DDE1A47"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IL-6: ~30.31 ± 2.61</w:t>
            </w:r>
          </w:p>
          <w:p w14:paraId="0CA2DC01"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IL-10: ~107.14 ± 4.7</w:t>
            </w:r>
          </w:p>
        </w:tc>
        <w:tc>
          <w:tcPr>
            <w:tcW w:w="2230" w:type="dxa"/>
            <w:tcBorders>
              <w:bottom w:val="single" w:sz="12" w:space="0" w:color="auto"/>
            </w:tcBorders>
            <w:vAlign w:val="center"/>
          </w:tcPr>
          <w:p w14:paraId="5EDECD68"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TNF-α: ~105.1 ± 1.59 </w:t>
            </w:r>
          </w:p>
          <w:p w14:paraId="247AEDB8"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IL-6: ~116.19 ± 7.92</w:t>
            </w:r>
          </w:p>
          <w:p w14:paraId="1AFE64A4"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IL-10: ~63.90 ± 4.76</w:t>
            </w:r>
          </w:p>
        </w:tc>
        <w:tc>
          <w:tcPr>
            <w:tcW w:w="1456" w:type="dxa"/>
            <w:tcBorders>
              <w:bottom w:val="single" w:sz="12" w:space="0" w:color="auto"/>
            </w:tcBorders>
            <w:vAlign w:val="center"/>
          </w:tcPr>
          <w:p w14:paraId="2C67B548"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835" w:type="dxa"/>
            <w:tcBorders>
              <w:bottom w:val="single" w:sz="12" w:space="0" w:color="auto"/>
            </w:tcBorders>
            <w:vAlign w:val="center"/>
          </w:tcPr>
          <w:p w14:paraId="21A24C7F"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w:t>
            </w:r>
            <w:proofErr w:type="spellStart"/>
            <w:r w:rsidRPr="001A3F8F">
              <w:rPr>
                <w:rFonts w:ascii="Times New Roman" w:hAnsi="Times New Roman" w:cs="Times New Roman"/>
                <w:sz w:val="20"/>
                <w:szCs w:val="20"/>
              </w:rPr>
              <w:t>Lenti</w:t>
            </w:r>
            <w:proofErr w:type="spellEnd"/>
            <w:r w:rsidRPr="001A3F8F">
              <w:rPr>
                <w:rFonts w:ascii="Times New Roman" w:hAnsi="Times New Roman" w:cs="Times New Roman"/>
                <w:sz w:val="20"/>
                <w:szCs w:val="20"/>
              </w:rPr>
              <w:t>-Control (YMSCs), S: Control-siRNA (AMSCs). Groups were not directly compared.</w:t>
            </w:r>
          </w:p>
        </w:tc>
      </w:tr>
      <w:tr w:rsidR="00DC0A0B" w:rsidRPr="001A3F8F" w14:paraId="5EA7445D" w14:textId="77777777" w:rsidTr="00DC0A0B">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auto"/>
            </w:tcBorders>
            <w:vAlign w:val="center"/>
          </w:tcPr>
          <w:sdt>
            <w:sdtPr>
              <w:rPr>
                <w:rFonts w:ascii="Times New Roman" w:hAnsi="Times New Roman" w:cs="Times New Roman"/>
                <w:sz w:val="20"/>
                <w:szCs w:val="20"/>
              </w:rPr>
              <w:tag w:val="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
              <w:id w:val="-66347227"/>
              <w:placeholder>
                <w:docPart w:val="8E906B1A58FB44CF844EC97E7513FB4F"/>
              </w:placeholder>
            </w:sdtPr>
            <w:sdtContent>
              <w:p w14:paraId="1C35D9D8" w14:textId="54AE228C" w:rsidR="00DC0A0B" w:rsidRPr="001A3F8F" w:rsidRDefault="00DC0A0B" w:rsidP="00DC0A0B">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Horibe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[12]</w:t>
                </w:r>
              </w:p>
            </w:sdtContent>
          </w:sdt>
        </w:tc>
        <w:tc>
          <w:tcPr>
            <w:tcW w:w="1361" w:type="dxa"/>
            <w:tcBorders>
              <w:top w:val="single" w:sz="12" w:space="0" w:color="auto"/>
            </w:tcBorders>
            <w:vAlign w:val="center"/>
          </w:tcPr>
          <w:p w14:paraId="58F2FA4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101" w:type="dxa"/>
            <w:tcBorders>
              <w:top w:val="single" w:sz="12" w:space="0" w:color="auto"/>
            </w:tcBorders>
            <w:vAlign w:val="center"/>
          </w:tcPr>
          <w:p w14:paraId="7C78423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1198" w:type="dxa"/>
            <w:tcBorders>
              <w:top w:val="single" w:sz="12" w:space="0" w:color="auto"/>
            </w:tcBorders>
            <w:vAlign w:val="center"/>
          </w:tcPr>
          <w:p w14:paraId="2C9142AD"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1018" w:type="dxa"/>
            <w:tcBorders>
              <w:top w:val="single" w:sz="12" w:space="0" w:color="auto"/>
            </w:tcBorders>
            <w:vAlign w:val="center"/>
          </w:tcPr>
          <w:p w14:paraId="5BB7A2B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RT-PCR</w:t>
            </w:r>
          </w:p>
        </w:tc>
        <w:tc>
          <w:tcPr>
            <w:tcW w:w="2218" w:type="dxa"/>
            <w:tcBorders>
              <w:top w:val="single" w:sz="12" w:space="0" w:color="auto"/>
            </w:tcBorders>
            <w:vAlign w:val="center"/>
          </w:tcPr>
          <w:p w14:paraId="2EEA255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IL-1</w:t>
            </w:r>
            <w:r w:rsidRPr="001A3F8F">
              <w:rPr>
                <w:rFonts w:ascii="Times New Roman" w:hAnsi="Times New Roman" w:cs="Times New Roman"/>
                <w:i/>
                <w:iCs/>
                <w:sz w:val="20"/>
                <w:szCs w:val="20"/>
              </w:rPr>
              <w:t>β</w:t>
            </w:r>
            <w:r w:rsidRPr="001A3F8F">
              <w:rPr>
                <w:rFonts w:ascii="Times New Roman" w:hAnsi="Times New Roman" w:cs="Times New Roman"/>
                <w:sz w:val="20"/>
                <w:szCs w:val="20"/>
                <w:lang w:val="it-IT"/>
              </w:rPr>
              <w:t>: ~1.5</w:t>
            </w:r>
            <w:r w:rsidRPr="001A3F8F">
              <w:rPr>
                <w:rFonts w:ascii="Times New Roman" w:hAnsi="Times New Roman" w:cs="Times New Roman"/>
                <w:sz w:val="20"/>
                <w:szCs w:val="20"/>
                <w:lang w:val="it-IT"/>
              </w:rPr>
              <w:tab/>
            </w:r>
          </w:p>
          <w:p w14:paraId="67A752C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IL-6</w:t>
            </w:r>
            <w:r w:rsidRPr="001A3F8F">
              <w:rPr>
                <w:rFonts w:ascii="Times New Roman" w:hAnsi="Times New Roman" w:cs="Times New Roman"/>
                <w:sz w:val="20"/>
                <w:szCs w:val="20"/>
                <w:lang w:val="it-IT"/>
              </w:rPr>
              <w:t>: ~2.2</w:t>
            </w:r>
            <w:r w:rsidRPr="001A3F8F">
              <w:rPr>
                <w:rFonts w:ascii="Times New Roman" w:hAnsi="Times New Roman" w:cs="Times New Roman"/>
                <w:sz w:val="20"/>
                <w:szCs w:val="20"/>
                <w:lang w:val="it-IT"/>
              </w:rPr>
              <w:tab/>
            </w:r>
          </w:p>
          <w:p w14:paraId="19202DEF"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IL-8</w:t>
            </w:r>
            <w:r w:rsidRPr="001A3F8F">
              <w:rPr>
                <w:rFonts w:ascii="Times New Roman" w:hAnsi="Times New Roman" w:cs="Times New Roman"/>
                <w:sz w:val="20"/>
                <w:szCs w:val="20"/>
                <w:lang w:val="it-IT"/>
              </w:rPr>
              <w:t>: ~2.5</w:t>
            </w:r>
            <w:r w:rsidRPr="001A3F8F">
              <w:rPr>
                <w:rFonts w:ascii="Times New Roman" w:hAnsi="Times New Roman" w:cs="Times New Roman"/>
                <w:sz w:val="20"/>
                <w:szCs w:val="20"/>
                <w:lang w:val="it-IT"/>
              </w:rPr>
              <w:tab/>
            </w:r>
          </w:p>
          <w:p w14:paraId="028EEAC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Gro</w:t>
            </w:r>
            <w:r w:rsidRPr="001A3F8F">
              <w:rPr>
                <w:rFonts w:ascii="Times New Roman" w:hAnsi="Times New Roman" w:cs="Times New Roman"/>
                <w:i/>
                <w:iCs/>
                <w:sz w:val="20"/>
                <w:szCs w:val="20"/>
              </w:rPr>
              <w:t>α</w:t>
            </w:r>
            <w:r w:rsidRPr="001A3F8F">
              <w:rPr>
                <w:rFonts w:ascii="Times New Roman" w:hAnsi="Times New Roman" w:cs="Times New Roman"/>
                <w:sz w:val="20"/>
                <w:szCs w:val="20"/>
                <w:lang w:val="it-IT"/>
              </w:rPr>
              <w:t>: ~2.1</w:t>
            </w:r>
            <w:r w:rsidRPr="001A3F8F">
              <w:rPr>
                <w:rFonts w:ascii="Times New Roman" w:hAnsi="Times New Roman" w:cs="Times New Roman"/>
                <w:sz w:val="20"/>
                <w:szCs w:val="20"/>
                <w:lang w:val="it-IT"/>
              </w:rPr>
              <w:tab/>
            </w:r>
          </w:p>
        </w:tc>
        <w:tc>
          <w:tcPr>
            <w:tcW w:w="2230" w:type="dxa"/>
            <w:tcBorders>
              <w:top w:val="single" w:sz="12" w:space="0" w:color="auto"/>
            </w:tcBorders>
            <w:vAlign w:val="center"/>
          </w:tcPr>
          <w:p w14:paraId="3FD20D5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IL-1</w:t>
            </w:r>
            <w:r w:rsidRPr="001A3F8F">
              <w:rPr>
                <w:rFonts w:ascii="Times New Roman" w:hAnsi="Times New Roman" w:cs="Times New Roman"/>
                <w:i/>
                <w:iCs/>
                <w:sz w:val="20"/>
                <w:szCs w:val="20"/>
              </w:rPr>
              <w:t>β</w:t>
            </w:r>
            <w:r w:rsidRPr="001A3F8F">
              <w:rPr>
                <w:rFonts w:ascii="Times New Roman" w:hAnsi="Times New Roman" w:cs="Times New Roman"/>
                <w:sz w:val="20"/>
                <w:szCs w:val="20"/>
                <w:lang w:val="it-IT"/>
              </w:rPr>
              <w:t>: ~3.2</w:t>
            </w:r>
            <w:r w:rsidRPr="001A3F8F">
              <w:rPr>
                <w:rFonts w:ascii="Times New Roman" w:hAnsi="Times New Roman" w:cs="Times New Roman"/>
                <w:sz w:val="20"/>
                <w:szCs w:val="20"/>
                <w:lang w:val="it-IT"/>
              </w:rPr>
              <w:tab/>
            </w:r>
          </w:p>
          <w:p w14:paraId="78579BA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IL-6</w:t>
            </w:r>
            <w:r w:rsidRPr="001A3F8F">
              <w:rPr>
                <w:rFonts w:ascii="Times New Roman" w:hAnsi="Times New Roman" w:cs="Times New Roman"/>
                <w:sz w:val="20"/>
                <w:szCs w:val="20"/>
                <w:lang w:val="it-IT"/>
              </w:rPr>
              <w:t>: ~5.2</w:t>
            </w:r>
            <w:r w:rsidRPr="001A3F8F">
              <w:rPr>
                <w:rFonts w:ascii="Times New Roman" w:hAnsi="Times New Roman" w:cs="Times New Roman"/>
                <w:sz w:val="20"/>
                <w:szCs w:val="20"/>
                <w:lang w:val="it-IT"/>
              </w:rPr>
              <w:tab/>
            </w:r>
          </w:p>
          <w:p w14:paraId="53FB319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IL-8</w:t>
            </w:r>
            <w:r w:rsidRPr="001A3F8F">
              <w:rPr>
                <w:rFonts w:ascii="Times New Roman" w:hAnsi="Times New Roman" w:cs="Times New Roman"/>
                <w:sz w:val="20"/>
                <w:szCs w:val="20"/>
                <w:lang w:val="it-IT"/>
              </w:rPr>
              <w:t>: ~6.1</w:t>
            </w:r>
            <w:r w:rsidRPr="001A3F8F">
              <w:rPr>
                <w:rFonts w:ascii="Times New Roman" w:hAnsi="Times New Roman" w:cs="Times New Roman"/>
                <w:sz w:val="20"/>
                <w:szCs w:val="20"/>
                <w:lang w:val="it-IT"/>
              </w:rPr>
              <w:tab/>
            </w:r>
          </w:p>
          <w:p w14:paraId="66AADC5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Gro</w:t>
            </w:r>
            <w:r w:rsidRPr="001A3F8F">
              <w:rPr>
                <w:rFonts w:ascii="Times New Roman" w:hAnsi="Times New Roman" w:cs="Times New Roman"/>
                <w:i/>
                <w:iCs/>
                <w:sz w:val="20"/>
                <w:szCs w:val="20"/>
              </w:rPr>
              <w:t>α</w:t>
            </w:r>
            <w:r w:rsidRPr="001A3F8F">
              <w:rPr>
                <w:rFonts w:ascii="Times New Roman" w:hAnsi="Times New Roman" w:cs="Times New Roman"/>
                <w:sz w:val="20"/>
                <w:szCs w:val="20"/>
                <w:lang w:val="it-IT"/>
              </w:rPr>
              <w:t>: ~4.8</w:t>
            </w:r>
            <w:r w:rsidRPr="001A3F8F">
              <w:rPr>
                <w:rFonts w:ascii="Times New Roman" w:hAnsi="Times New Roman" w:cs="Times New Roman"/>
                <w:sz w:val="20"/>
                <w:szCs w:val="20"/>
                <w:lang w:val="it-IT"/>
              </w:rPr>
              <w:tab/>
            </w:r>
          </w:p>
        </w:tc>
        <w:tc>
          <w:tcPr>
            <w:tcW w:w="1456" w:type="dxa"/>
            <w:tcBorders>
              <w:top w:val="single" w:sz="12" w:space="0" w:color="auto"/>
            </w:tcBorders>
            <w:vAlign w:val="center"/>
          </w:tcPr>
          <w:p w14:paraId="43D448C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835" w:type="dxa"/>
            <w:tcBorders>
              <w:top w:val="single" w:sz="12" w:space="0" w:color="auto"/>
            </w:tcBorders>
            <w:vAlign w:val="center"/>
          </w:tcPr>
          <w:p w14:paraId="41F7E8B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P6, S: P20. </w:t>
            </w:r>
          </w:p>
        </w:tc>
      </w:tr>
      <w:tr w:rsidR="00AE20BE" w:rsidRPr="001A3F8F" w14:paraId="0BA816CC" w14:textId="77777777" w:rsidTr="00DC0A0B">
        <w:trPr>
          <w:cnfStyle w:val="000000100000" w:firstRow="0" w:lastRow="0" w:firstColumn="0" w:lastColumn="0" w:oddVBand="0" w:evenVBand="0" w:oddHBand="1" w:evenHBand="0" w:firstRowFirstColumn="0" w:firstRowLastColumn="0" w:lastRowFirstColumn="0" w:lastRowLastColumn="0"/>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"/>
              <w:id w:val="1977646237"/>
              <w:placeholder>
                <w:docPart w:val="77FA015DB02340C1B1798C85E30C886E"/>
              </w:placeholder>
            </w:sdtPr>
            <w:sdtContent>
              <w:p w14:paraId="51F6911B" w14:textId="6269AE02" w:rsidR="00AE20BE" w:rsidRPr="001A3F8F" w:rsidRDefault="00AE20BE"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Zhuang </w:t>
                </w:r>
                <w:r w:rsidRPr="00AE20BE">
                  <w:rPr>
                    <w:rFonts w:ascii="Times New Roman" w:hAnsi="Times New Roman" w:cs="Times New Roman"/>
                    <w:i/>
                    <w:sz w:val="20"/>
                    <w:szCs w:val="20"/>
                  </w:rPr>
                  <w:t>et al</w:t>
                </w:r>
                <w:r w:rsidRPr="001A3F8F">
                  <w:rPr>
                    <w:rFonts w:ascii="Times New Roman" w:hAnsi="Times New Roman" w:cs="Times New Roman"/>
                    <w:sz w:val="20"/>
                    <w:szCs w:val="20"/>
                  </w:rPr>
                  <w:t>., 2015</w:t>
                </w:r>
                <w:r>
                  <w:rPr>
                    <w:rFonts w:ascii="Times New Roman" w:hAnsi="Times New Roman" w:cs="Times New Roman"/>
                    <w:sz w:val="20"/>
                    <w:szCs w:val="20"/>
                  </w:rPr>
                  <w:t xml:space="preserve"> [36]</w:t>
                </w:r>
              </w:p>
            </w:sdtContent>
          </w:sdt>
        </w:tc>
        <w:tc>
          <w:tcPr>
            <w:tcW w:w="1361" w:type="dxa"/>
            <w:vAlign w:val="center"/>
          </w:tcPr>
          <w:p w14:paraId="7B29932B"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101" w:type="dxa"/>
            <w:vAlign w:val="center"/>
          </w:tcPr>
          <w:p w14:paraId="04FFDB13"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t>
            </w:r>
            <w:r w:rsidRPr="001A3F8F">
              <w:rPr>
                <w:rFonts w:ascii="Times New Roman" w:hAnsi="Times New Roman" w:cs="Times New Roman"/>
                <w:sz w:val="20"/>
                <w:szCs w:val="20"/>
                <w:vertAlign w:val="superscript"/>
              </w:rPr>
              <w:t>1</w:t>
            </w:r>
          </w:p>
        </w:tc>
        <w:tc>
          <w:tcPr>
            <w:tcW w:w="1198" w:type="dxa"/>
            <w:vAlign w:val="center"/>
          </w:tcPr>
          <w:p w14:paraId="66842484"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018" w:type="dxa"/>
            <w:vAlign w:val="center"/>
          </w:tcPr>
          <w:p w14:paraId="7679DA21"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RT-qPCR</w:t>
            </w:r>
          </w:p>
        </w:tc>
        <w:tc>
          <w:tcPr>
            <w:tcW w:w="2218" w:type="dxa"/>
            <w:vAlign w:val="center"/>
          </w:tcPr>
          <w:p w14:paraId="3BB21FB2"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baseline: 1</w:t>
            </w:r>
          </w:p>
        </w:tc>
        <w:tc>
          <w:tcPr>
            <w:tcW w:w="2230" w:type="dxa"/>
            <w:vAlign w:val="center"/>
          </w:tcPr>
          <w:p w14:paraId="3B76C54F"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IDO-1</w:t>
            </w:r>
            <w:r w:rsidRPr="001A3F8F">
              <w:rPr>
                <w:rFonts w:ascii="Times New Roman" w:hAnsi="Times New Roman" w:cs="Times New Roman"/>
                <w:sz w:val="20"/>
                <w:szCs w:val="20"/>
              </w:rPr>
              <w:t>: ~1.02 ± 0.12</w:t>
            </w:r>
          </w:p>
          <w:p w14:paraId="567C32C7"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HMOX-1</w:t>
            </w:r>
            <w:r w:rsidRPr="001A3F8F">
              <w:rPr>
                <w:rFonts w:ascii="Times New Roman" w:hAnsi="Times New Roman" w:cs="Times New Roman"/>
                <w:sz w:val="20"/>
                <w:szCs w:val="20"/>
              </w:rPr>
              <w:t>: ~1.59 ± 0.14</w:t>
            </w:r>
          </w:p>
          <w:p w14:paraId="75B4D647"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IL-10</w:t>
            </w:r>
            <w:r w:rsidRPr="001A3F8F">
              <w:rPr>
                <w:rFonts w:ascii="Times New Roman" w:hAnsi="Times New Roman" w:cs="Times New Roman"/>
                <w:sz w:val="20"/>
                <w:szCs w:val="20"/>
              </w:rPr>
              <w:t xml:space="preserve">: ~1.56 ± 0.11 </w:t>
            </w:r>
          </w:p>
          <w:p w14:paraId="358D67C4"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IL-6</w:t>
            </w:r>
            <w:r w:rsidRPr="001A3F8F">
              <w:rPr>
                <w:rFonts w:ascii="Times New Roman" w:hAnsi="Times New Roman" w:cs="Times New Roman"/>
                <w:sz w:val="20"/>
                <w:szCs w:val="20"/>
              </w:rPr>
              <w:t xml:space="preserve">: ~1.52 ± 0.12 </w:t>
            </w:r>
          </w:p>
          <w:p w14:paraId="0CD29B5B"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1A3F8F">
              <w:rPr>
                <w:rFonts w:ascii="Times New Roman" w:hAnsi="Times New Roman" w:cs="Times New Roman"/>
                <w:i/>
                <w:iCs/>
                <w:sz w:val="20"/>
                <w:szCs w:val="20"/>
              </w:rPr>
              <w:t>iNOS</w:t>
            </w:r>
            <w:proofErr w:type="spellEnd"/>
            <w:r w:rsidRPr="001A3F8F">
              <w:rPr>
                <w:rFonts w:ascii="Times New Roman" w:hAnsi="Times New Roman" w:cs="Times New Roman"/>
                <w:sz w:val="20"/>
                <w:szCs w:val="20"/>
              </w:rPr>
              <w:t xml:space="preserve">: ~1.42 ± 0.13 </w:t>
            </w:r>
          </w:p>
          <w:p w14:paraId="069E9AAC"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IL-1ɑ</w:t>
            </w:r>
            <w:r w:rsidRPr="001A3F8F">
              <w:rPr>
                <w:rFonts w:ascii="Times New Roman" w:hAnsi="Times New Roman" w:cs="Times New Roman"/>
                <w:sz w:val="20"/>
                <w:szCs w:val="20"/>
                <w:lang w:val="it-IT"/>
              </w:rPr>
              <w:t xml:space="preserve">: ~0.59 ± 0.1 </w:t>
            </w:r>
          </w:p>
          <w:p w14:paraId="0DA07D32"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TGF-</w:t>
            </w:r>
            <w:r w:rsidRPr="001A3F8F">
              <w:rPr>
                <w:rFonts w:ascii="Times New Roman" w:hAnsi="Times New Roman" w:cs="Times New Roman"/>
                <w:i/>
                <w:iCs/>
                <w:sz w:val="20"/>
                <w:szCs w:val="20"/>
              </w:rPr>
              <w:t>β</w:t>
            </w:r>
            <w:r w:rsidRPr="001A3F8F">
              <w:rPr>
                <w:rFonts w:ascii="Times New Roman" w:hAnsi="Times New Roman" w:cs="Times New Roman"/>
                <w:i/>
                <w:iCs/>
                <w:sz w:val="20"/>
                <w:szCs w:val="20"/>
                <w:lang w:val="it-IT"/>
              </w:rPr>
              <w:t>1</w:t>
            </w:r>
            <w:r w:rsidRPr="001A3F8F">
              <w:rPr>
                <w:rFonts w:ascii="Times New Roman" w:hAnsi="Times New Roman" w:cs="Times New Roman"/>
                <w:sz w:val="20"/>
                <w:szCs w:val="20"/>
                <w:lang w:val="it-IT"/>
              </w:rPr>
              <w:t>: ~0.98 ± 0.08</w:t>
            </w:r>
          </w:p>
          <w:p w14:paraId="60EFB04B"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it-IT"/>
              </w:rPr>
            </w:pPr>
            <w:r w:rsidRPr="001A3F8F">
              <w:rPr>
                <w:rFonts w:ascii="Times New Roman" w:hAnsi="Times New Roman" w:cs="Times New Roman"/>
                <w:i/>
                <w:iCs/>
                <w:sz w:val="20"/>
                <w:szCs w:val="20"/>
                <w:lang w:val="it-IT"/>
              </w:rPr>
              <w:t>IL-1</w:t>
            </w:r>
            <w:r w:rsidRPr="001A3F8F">
              <w:rPr>
                <w:rFonts w:ascii="Times New Roman" w:hAnsi="Times New Roman" w:cs="Times New Roman"/>
                <w:i/>
                <w:iCs/>
                <w:sz w:val="20"/>
                <w:szCs w:val="20"/>
              </w:rPr>
              <w:t>β</w:t>
            </w:r>
            <w:r w:rsidRPr="001A3F8F">
              <w:rPr>
                <w:rFonts w:ascii="Times New Roman" w:hAnsi="Times New Roman" w:cs="Times New Roman"/>
                <w:sz w:val="20"/>
                <w:szCs w:val="20"/>
                <w:lang w:val="it-IT"/>
              </w:rPr>
              <w:t xml:space="preserve">: ~0.53 ± 0.14 </w:t>
            </w:r>
          </w:p>
          <w:p w14:paraId="664B11DF"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i/>
                <w:iCs/>
                <w:sz w:val="20"/>
                <w:szCs w:val="20"/>
              </w:rPr>
              <w:t>IFN-ɣ</w:t>
            </w:r>
            <w:r w:rsidRPr="001A3F8F">
              <w:rPr>
                <w:rFonts w:ascii="Times New Roman" w:hAnsi="Times New Roman" w:cs="Times New Roman"/>
                <w:sz w:val="20"/>
                <w:szCs w:val="20"/>
              </w:rPr>
              <w:t xml:space="preserve">: ~0.44 ± 0.08 </w:t>
            </w:r>
          </w:p>
        </w:tc>
        <w:tc>
          <w:tcPr>
            <w:tcW w:w="1456" w:type="dxa"/>
            <w:vAlign w:val="center"/>
          </w:tcPr>
          <w:p w14:paraId="68F9960A"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p w14:paraId="49FDEB67"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except: </w:t>
            </w:r>
            <w:r w:rsidRPr="001A3F8F">
              <w:rPr>
                <w:rFonts w:ascii="Times New Roman" w:hAnsi="Times New Roman" w:cs="Times New Roman"/>
                <w:i/>
                <w:iCs/>
                <w:sz w:val="20"/>
                <w:szCs w:val="20"/>
              </w:rPr>
              <w:t xml:space="preserve">IDO-1 </w:t>
            </w:r>
            <w:r w:rsidRPr="001A3F8F">
              <w:rPr>
                <w:rFonts w:ascii="Times New Roman" w:hAnsi="Times New Roman" w:cs="Times New Roman"/>
                <w:sz w:val="20"/>
                <w:szCs w:val="20"/>
              </w:rPr>
              <w:t xml:space="preserve">and </w:t>
            </w:r>
            <w:r w:rsidRPr="001A3F8F">
              <w:rPr>
                <w:rFonts w:ascii="Times New Roman" w:hAnsi="Times New Roman" w:cs="Times New Roman"/>
                <w:i/>
                <w:iCs/>
                <w:sz w:val="20"/>
                <w:szCs w:val="20"/>
              </w:rPr>
              <w:t>TGF-β1</w:t>
            </w:r>
          </w:p>
        </w:tc>
        <w:tc>
          <w:tcPr>
            <w:tcW w:w="2835" w:type="dxa"/>
            <w:vAlign w:val="center"/>
          </w:tcPr>
          <w:p w14:paraId="2D3CAC3B" w14:textId="77777777" w:rsidR="00AE20BE" w:rsidRPr="001A3F8F" w:rsidRDefault="00AE20BE" w:rsidP="00AE2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P3, S: P15. </w:t>
            </w:r>
          </w:p>
        </w:tc>
      </w:tr>
      <w:tr w:rsidR="00513939" w:rsidRPr="001A3F8F" w14:paraId="4AA710F0" w14:textId="77777777" w:rsidTr="00DC0A0B">
        <w:trPr>
          <w:trHeight w:val="501"/>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"/>
              <w:id w:val="-1910148614"/>
              <w:placeholder>
                <w:docPart w:val="7564F8D8438C478499B5F5C4BE5441C7"/>
              </w:placeholder>
            </w:sdtPr>
            <w:sdtEndPr/>
            <w:sdtContent>
              <w:p w14:paraId="4A7F4EE6" w14:textId="7EC37E11"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lang w:val="pt-BR"/>
                  </w:rPr>
                  <w:t xml:space="preserve">Yu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2014</w:t>
                </w:r>
                <w:r w:rsidR="00DC0A0B">
                  <w:rPr>
                    <w:rFonts w:ascii="Times New Roman" w:hAnsi="Times New Roman" w:cs="Times New Roman"/>
                    <w:sz w:val="20"/>
                    <w:szCs w:val="20"/>
                    <w:lang w:val="pt-BR"/>
                  </w:rPr>
                  <w:t xml:space="preserve"> [49]</w:t>
                </w:r>
              </w:p>
            </w:sdtContent>
          </w:sdt>
        </w:tc>
        <w:tc>
          <w:tcPr>
            <w:tcW w:w="1361" w:type="dxa"/>
            <w:vAlign w:val="center"/>
          </w:tcPr>
          <w:p w14:paraId="1102AFA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1101" w:type="dxa"/>
            <w:vAlign w:val="center"/>
          </w:tcPr>
          <w:p w14:paraId="2F18D124"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UC-MSCs</w:t>
            </w:r>
            <w:r w:rsidRPr="001A3F8F">
              <w:rPr>
                <w:rFonts w:ascii="Times New Roman" w:hAnsi="Times New Roman" w:cs="Times New Roman"/>
                <w:sz w:val="20"/>
                <w:szCs w:val="20"/>
                <w:vertAlign w:val="superscript"/>
              </w:rPr>
              <w:t>2</w:t>
            </w:r>
          </w:p>
        </w:tc>
        <w:tc>
          <w:tcPr>
            <w:tcW w:w="1198" w:type="dxa"/>
            <w:vAlign w:val="center"/>
          </w:tcPr>
          <w:p w14:paraId="661C0C2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1018" w:type="dxa"/>
            <w:vAlign w:val="center"/>
          </w:tcPr>
          <w:p w14:paraId="5D0ADEE0"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bscript"/>
              </w:rPr>
            </w:pPr>
            <w:r w:rsidRPr="001A3F8F">
              <w:rPr>
                <w:rFonts w:ascii="Times New Roman" w:hAnsi="Times New Roman" w:cs="Times New Roman"/>
                <w:sz w:val="20"/>
                <w:szCs w:val="20"/>
              </w:rPr>
              <w:t>Elisa – PGE</w:t>
            </w:r>
            <w:r w:rsidRPr="001A3F8F">
              <w:rPr>
                <w:rFonts w:ascii="Times New Roman" w:hAnsi="Times New Roman" w:cs="Times New Roman"/>
                <w:sz w:val="20"/>
                <w:szCs w:val="20"/>
                <w:vertAlign w:val="subscript"/>
              </w:rPr>
              <w:t>2</w:t>
            </w:r>
            <w:r w:rsidRPr="001A3F8F">
              <w:rPr>
                <w:rFonts w:ascii="Times New Roman" w:hAnsi="Times New Roman" w:cs="Times New Roman"/>
                <w:sz w:val="20"/>
                <w:szCs w:val="20"/>
              </w:rPr>
              <w:t xml:space="preserve"> (</w:t>
            </w:r>
            <w:proofErr w:type="spellStart"/>
            <w:r w:rsidRPr="001A3F8F">
              <w:rPr>
                <w:rFonts w:ascii="Times New Roman" w:hAnsi="Times New Roman" w:cs="Times New Roman"/>
                <w:sz w:val="20"/>
                <w:szCs w:val="20"/>
              </w:rPr>
              <w:t>pg</w:t>
            </w:r>
            <w:proofErr w:type="spellEnd"/>
            <w:r w:rsidRPr="001A3F8F">
              <w:rPr>
                <w:rFonts w:ascii="Times New Roman" w:hAnsi="Times New Roman" w:cs="Times New Roman"/>
                <w:sz w:val="20"/>
                <w:szCs w:val="20"/>
              </w:rPr>
              <w:t>/mL)</w:t>
            </w:r>
          </w:p>
        </w:tc>
        <w:tc>
          <w:tcPr>
            <w:tcW w:w="2218" w:type="dxa"/>
            <w:vAlign w:val="center"/>
          </w:tcPr>
          <w:p w14:paraId="051525C0" w14:textId="77777777" w:rsidR="00513939" w:rsidRPr="001A3F8F" w:rsidRDefault="00513939" w:rsidP="001A3F8F">
            <w:pPr>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lang w:val="pt-BR"/>
              </w:rPr>
              <w:t>400.48 ± 109.22</w:t>
            </w:r>
          </w:p>
          <w:p w14:paraId="1755D938" w14:textId="77777777" w:rsidR="00513939" w:rsidRPr="001A3F8F" w:rsidRDefault="00513939" w:rsidP="001A3F8F">
            <w:pPr>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lang w:val="pt-BR"/>
              </w:rPr>
              <w:t>436.89 ± 109.22</w:t>
            </w:r>
          </w:p>
        </w:tc>
        <w:tc>
          <w:tcPr>
            <w:tcW w:w="2230" w:type="dxa"/>
            <w:vAlign w:val="center"/>
          </w:tcPr>
          <w:p w14:paraId="537B0219" w14:textId="77777777" w:rsidR="00513939" w:rsidRPr="001A3F8F" w:rsidRDefault="00513939" w:rsidP="001A3F8F">
            <w:pPr>
              <w:numPr>
                <w:ilvl w:val="0"/>
                <w:numId w:val="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lang w:val="pt-BR"/>
              </w:rPr>
              <w:t>364.07 ± 109.23</w:t>
            </w:r>
          </w:p>
          <w:p w14:paraId="310C613C" w14:textId="77777777" w:rsidR="00513939" w:rsidRPr="001A3F8F" w:rsidRDefault="00513939" w:rsidP="001A3F8F">
            <w:pPr>
              <w:numPr>
                <w:ilvl w:val="0"/>
                <w:numId w:val="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1A3F8F">
              <w:rPr>
                <w:rFonts w:ascii="Times New Roman" w:hAnsi="Times New Roman" w:cs="Times New Roman"/>
                <w:sz w:val="20"/>
                <w:szCs w:val="20"/>
                <w:lang w:val="pt-BR"/>
              </w:rPr>
              <w:t>327.66 ± 109.23</w:t>
            </w:r>
          </w:p>
        </w:tc>
        <w:tc>
          <w:tcPr>
            <w:tcW w:w="1456" w:type="dxa"/>
            <w:vAlign w:val="center"/>
          </w:tcPr>
          <w:p w14:paraId="42FB00B5"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2835" w:type="dxa"/>
            <w:vAlign w:val="center"/>
          </w:tcPr>
          <w:p w14:paraId="3256E54A" w14:textId="77777777" w:rsidR="00513939" w:rsidRPr="001A3F8F" w:rsidRDefault="00513939" w:rsidP="001A3F8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NS: P5-10, S: P15-P20. 1 and 2 represent independent donor-derived </w:t>
            </w:r>
            <w:proofErr w:type="spellStart"/>
            <w:r w:rsidRPr="001A3F8F">
              <w:rPr>
                <w:rFonts w:ascii="Times New Roman" w:hAnsi="Times New Roman" w:cs="Times New Roman"/>
                <w:sz w:val="20"/>
                <w:szCs w:val="20"/>
              </w:rPr>
              <w:t>hMSC</w:t>
            </w:r>
            <w:proofErr w:type="spellEnd"/>
            <w:r w:rsidRPr="001A3F8F">
              <w:rPr>
                <w:rFonts w:ascii="Times New Roman" w:hAnsi="Times New Roman" w:cs="Times New Roman"/>
                <w:sz w:val="20"/>
                <w:szCs w:val="20"/>
              </w:rPr>
              <w:t xml:space="preserve"> lines (#1 and #2).</w:t>
            </w:r>
          </w:p>
        </w:tc>
      </w:tr>
    </w:tbl>
    <w:p w14:paraId="0641A4DA" w14:textId="77777777" w:rsidR="00513939" w:rsidRPr="001A3F8F" w:rsidRDefault="00513939" w:rsidP="001A3F8F">
      <w:pPr>
        <w:jc w:val="both"/>
        <w:rPr>
          <w:rFonts w:ascii="Times New Roman" w:hAnsi="Times New Roman" w:cs="Times New Roman"/>
          <w:b/>
          <w:bCs/>
          <w:sz w:val="20"/>
          <w:szCs w:val="20"/>
        </w:rPr>
      </w:pPr>
    </w:p>
    <w:p w14:paraId="1F5DF49F" w14:textId="5617A51E"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t xml:space="preserve">Supplementary Table </w:t>
      </w:r>
      <w:r w:rsidR="00B87753">
        <w:rPr>
          <w:rFonts w:ascii="Times New Roman" w:hAnsi="Times New Roman" w:cs="Times New Roman"/>
          <w:b/>
          <w:bCs/>
          <w:sz w:val="20"/>
          <w:szCs w:val="20"/>
        </w:rPr>
        <w:t>8</w:t>
      </w:r>
      <w:r w:rsidRPr="001A3F8F">
        <w:rPr>
          <w:rFonts w:ascii="Times New Roman" w:hAnsi="Times New Roman" w:cs="Times New Roman"/>
          <w:b/>
          <w:bCs/>
          <w:sz w:val="20"/>
          <w:szCs w:val="20"/>
        </w:rPr>
        <w:t xml:space="preserve">. Individual results for the immune response outcome. </w:t>
      </w:r>
      <w:r w:rsidRPr="001A3F8F">
        <w:rPr>
          <w:rFonts w:ascii="Times New Roman" w:hAnsi="Times New Roman" w:cs="Times New Roman"/>
          <w:sz w:val="20"/>
          <w:szCs w:val="20"/>
        </w:rPr>
        <w:t>This table summarizes individual study results evaluating immune</w:t>
      </w:r>
      <w:r w:rsidRPr="001A3F8F">
        <w:rPr>
          <w:rFonts w:ascii="Times New Roman" w:hAnsi="Times New Roman" w:cs="Times New Roman"/>
          <w:sz w:val="20"/>
          <w:szCs w:val="20"/>
        </w:rPr>
        <w:noBreakHyphen/>
        <w:t>modulatory marker expression in non</w:t>
      </w:r>
      <w:r w:rsidRPr="001A3F8F">
        <w:rPr>
          <w:rFonts w:ascii="Times New Roman" w:hAnsi="Times New Roman" w:cs="Times New Roman"/>
          <w:sz w:val="20"/>
          <w:szCs w:val="20"/>
        </w:rPr>
        <w:noBreakHyphen/>
        <w:t>senescent (NS) and senescent (S) mesenchymal stem cell populations. Studies are grouped by senescence induction method (Chronological aging, serial passaging) and sub</w:t>
      </w:r>
      <w:r w:rsidRPr="001A3F8F">
        <w:rPr>
          <w:rFonts w:ascii="Times New Roman" w:hAnsi="Times New Roman" w:cs="Times New Roman"/>
          <w:sz w:val="20"/>
          <w:szCs w:val="20"/>
        </w:rPr>
        <w:noBreakHyphen/>
        <w:t>grouped by cell type (BM</w:t>
      </w:r>
      <w:r w:rsidRPr="001A3F8F">
        <w:rPr>
          <w:rFonts w:ascii="Times New Roman" w:hAnsi="Times New Roman" w:cs="Times New Roman"/>
          <w:sz w:val="20"/>
          <w:szCs w:val="20"/>
        </w:rPr>
        <w:noBreakHyphen/>
        <w:t>MSCs, DPSCs, UC</w:t>
      </w:r>
      <w:r w:rsidRPr="001A3F8F">
        <w:rPr>
          <w:rFonts w:ascii="Times New Roman" w:hAnsi="Times New Roman" w:cs="Times New Roman"/>
          <w:sz w:val="20"/>
          <w:szCs w:val="20"/>
        </w:rPr>
        <w:noBreakHyphen/>
        <w:t>MSCs-WJ, UC</w:t>
      </w:r>
      <w:r w:rsidRPr="001A3F8F">
        <w:rPr>
          <w:rFonts w:ascii="Times New Roman" w:hAnsi="Times New Roman" w:cs="Times New Roman"/>
          <w:sz w:val="20"/>
          <w:szCs w:val="20"/>
        </w:rPr>
        <w:noBreakHyphen/>
        <w:t>MSCs-CB). Data are presented as mean ± SD or SEM, as reported in the original studies. Immune</w:t>
      </w:r>
      <w:r w:rsidRPr="001A3F8F">
        <w:rPr>
          <w:rFonts w:ascii="Times New Roman" w:hAnsi="Times New Roman" w:cs="Times New Roman"/>
          <w:sz w:val="20"/>
          <w:szCs w:val="20"/>
        </w:rPr>
        <w:noBreakHyphen/>
        <w:t>related markers were assessed by ELISA (cytokine secretion) or RT</w:t>
      </w:r>
      <w:r w:rsidRPr="001A3F8F">
        <w:rPr>
          <w:rFonts w:ascii="Times New Roman" w:hAnsi="Times New Roman" w:cs="Times New Roman"/>
          <w:sz w:val="20"/>
          <w:szCs w:val="20"/>
        </w:rPr>
        <w:noBreakHyphen/>
        <w:t xml:space="preserve">qPCR (gene expression) for factors including </w:t>
      </w:r>
      <w:r w:rsidRPr="001A3F8F">
        <w:rPr>
          <w:rFonts w:ascii="Times New Roman" w:hAnsi="Times New Roman" w:cs="Times New Roman"/>
          <w:i/>
          <w:iCs/>
          <w:sz w:val="20"/>
          <w:szCs w:val="20"/>
        </w:rPr>
        <w:t>TNF</w:t>
      </w:r>
      <w:r w:rsidRPr="001A3F8F">
        <w:rPr>
          <w:rFonts w:ascii="Times New Roman" w:hAnsi="Times New Roman" w:cs="Times New Roman"/>
          <w:i/>
          <w:iCs/>
          <w:sz w:val="20"/>
          <w:szCs w:val="20"/>
        </w:rPr>
        <w:noBreakHyphen/>
        <w:t>α, IL</w:t>
      </w:r>
      <w:r w:rsidRPr="001A3F8F">
        <w:rPr>
          <w:rFonts w:ascii="Times New Roman" w:hAnsi="Times New Roman" w:cs="Times New Roman"/>
          <w:i/>
          <w:iCs/>
          <w:sz w:val="20"/>
          <w:szCs w:val="20"/>
        </w:rPr>
        <w:noBreakHyphen/>
        <w:t>6, IL</w:t>
      </w:r>
      <w:r w:rsidRPr="001A3F8F">
        <w:rPr>
          <w:rFonts w:ascii="Times New Roman" w:hAnsi="Times New Roman" w:cs="Times New Roman"/>
          <w:i/>
          <w:iCs/>
          <w:sz w:val="20"/>
          <w:szCs w:val="20"/>
        </w:rPr>
        <w:noBreakHyphen/>
        <w:t>10, IL</w:t>
      </w:r>
      <w:r w:rsidRPr="001A3F8F">
        <w:rPr>
          <w:rFonts w:ascii="Times New Roman" w:hAnsi="Times New Roman" w:cs="Times New Roman"/>
          <w:i/>
          <w:iCs/>
          <w:sz w:val="20"/>
          <w:szCs w:val="20"/>
        </w:rPr>
        <w:noBreakHyphen/>
        <w:t>1β, IL</w:t>
      </w:r>
      <w:r w:rsidRPr="001A3F8F">
        <w:rPr>
          <w:rFonts w:ascii="Times New Roman" w:hAnsi="Times New Roman" w:cs="Times New Roman"/>
          <w:i/>
          <w:iCs/>
          <w:sz w:val="20"/>
          <w:szCs w:val="20"/>
        </w:rPr>
        <w:noBreakHyphen/>
        <w:t>8, Groat, IDO</w:t>
      </w:r>
      <w:r w:rsidRPr="001A3F8F">
        <w:rPr>
          <w:rFonts w:ascii="Times New Roman" w:hAnsi="Times New Roman" w:cs="Times New Roman"/>
          <w:i/>
          <w:iCs/>
          <w:sz w:val="20"/>
          <w:szCs w:val="20"/>
        </w:rPr>
        <w:noBreakHyphen/>
        <w:t>1, HMOX</w:t>
      </w:r>
      <w:r w:rsidRPr="001A3F8F">
        <w:rPr>
          <w:rFonts w:ascii="Times New Roman" w:hAnsi="Times New Roman" w:cs="Times New Roman"/>
          <w:i/>
          <w:iCs/>
          <w:sz w:val="20"/>
          <w:szCs w:val="20"/>
        </w:rPr>
        <w:noBreakHyphen/>
        <w:t xml:space="preserve">1, </w:t>
      </w:r>
      <w:proofErr w:type="spellStart"/>
      <w:r w:rsidRPr="001A3F8F">
        <w:rPr>
          <w:rFonts w:ascii="Times New Roman" w:hAnsi="Times New Roman" w:cs="Times New Roman"/>
          <w:i/>
          <w:iCs/>
          <w:sz w:val="20"/>
          <w:szCs w:val="20"/>
        </w:rPr>
        <w:t>iNOS</w:t>
      </w:r>
      <w:proofErr w:type="spellEnd"/>
      <w:r w:rsidRPr="001A3F8F">
        <w:rPr>
          <w:rFonts w:ascii="Times New Roman" w:hAnsi="Times New Roman" w:cs="Times New Roman"/>
          <w:i/>
          <w:iCs/>
          <w:sz w:val="20"/>
          <w:szCs w:val="20"/>
        </w:rPr>
        <w:t>, TGF</w:t>
      </w:r>
      <w:r w:rsidRPr="001A3F8F">
        <w:rPr>
          <w:rFonts w:ascii="Times New Roman" w:hAnsi="Times New Roman" w:cs="Times New Roman"/>
          <w:i/>
          <w:iCs/>
          <w:sz w:val="20"/>
          <w:szCs w:val="20"/>
        </w:rPr>
        <w:noBreakHyphen/>
        <w:t>β1, IFN</w:t>
      </w:r>
      <w:r w:rsidRPr="001A3F8F">
        <w:rPr>
          <w:rFonts w:ascii="Times New Roman" w:hAnsi="Times New Roman" w:cs="Times New Roman"/>
          <w:i/>
          <w:iCs/>
          <w:sz w:val="20"/>
          <w:szCs w:val="20"/>
        </w:rPr>
        <w:noBreakHyphen/>
        <w:t>γ</w:t>
      </w:r>
      <w:r w:rsidRPr="001A3F8F">
        <w:rPr>
          <w:rFonts w:ascii="Times New Roman" w:hAnsi="Times New Roman" w:cs="Times New Roman"/>
          <w:sz w:val="20"/>
          <w:szCs w:val="20"/>
        </w:rPr>
        <w:t xml:space="preserve">, and </w:t>
      </w:r>
      <w:r w:rsidRPr="001A3F8F">
        <w:rPr>
          <w:rFonts w:ascii="Times New Roman" w:hAnsi="Times New Roman" w:cs="Times New Roman"/>
          <w:i/>
          <w:iCs/>
          <w:sz w:val="20"/>
          <w:szCs w:val="20"/>
        </w:rPr>
        <w:t>PGE₂</w:t>
      </w:r>
      <w:r w:rsidRPr="001A3F8F">
        <w:rPr>
          <w:rFonts w:ascii="Times New Roman" w:hAnsi="Times New Roman" w:cs="Times New Roman"/>
          <w:sz w:val="20"/>
          <w:szCs w:val="20"/>
        </w:rPr>
        <w:t>. Values preceded by a tilde (~) indicate data manually extracted from figures. NR indicates “not reported.”</w:t>
      </w:r>
    </w:p>
    <w:p w14:paraId="727E3ECA" w14:textId="77777777" w:rsidR="00513939"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sz w:val="20"/>
          <w:szCs w:val="20"/>
        </w:rPr>
        <w:br w:type="page"/>
      </w:r>
    </w:p>
    <w:p w14:paraId="703BD313" w14:textId="3DB4C5AF" w:rsidR="00513939" w:rsidRPr="001A3F8F" w:rsidRDefault="00513939" w:rsidP="001A3F8F">
      <w:pPr>
        <w:jc w:val="both"/>
        <w:rPr>
          <w:rFonts w:ascii="Times New Roman" w:hAnsi="Times New Roman" w:cs="Times New Roman"/>
          <w:b/>
          <w:bCs/>
          <w:sz w:val="20"/>
          <w:szCs w:val="20"/>
        </w:rPr>
      </w:pPr>
      <w:r w:rsidRPr="001A3F8F">
        <w:rPr>
          <w:rFonts w:ascii="Times New Roman" w:hAnsi="Times New Roman" w:cs="Times New Roman"/>
          <w:b/>
          <w:bCs/>
          <w:sz w:val="20"/>
          <w:szCs w:val="20"/>
        </w:rPr>
        <w:lastRenderedPageBreak/>
        <w:t xml:space="preserve">SUPPLEMENTARY TABLE </w:t>
      </w:r>
      <w:r w:rsidR="00B87753">
        <w:rPr>
          <w:rFonts w:ascii="Times New Roman" w:hAnsi="Times New Roman" w:cs="Times New Roman"/>
          <w:b/>
          <w:bCs/>
          <w:sz w:val="20"/>
          <w:szCs w:val="20"/>
        </w:rPr>
        <w:t>9</w:t>
      </w:r>
      <w:r w:rsidRPr="001A3F8F">
        <w:rPr>
          <w:rFonts w:ascii="Times New Roman" w:hAnsi="Times New Roman" w:cs="Times New Roman"/>
          <w:b/>
          <w:bCs/>
          <w:sz w:val="20"/>
          <w:szCs w:val="20"/>
        </w:rPr>
        <w:t xml:space="preserve"> </w:t>
      </w:r>
      <w:r w:rsidRPr="001A3F8F">
        <w:rPr>
          <w:rFonts w:ascii="Times New Roman" w:hAnsi="Times New Roman" w:cs="Times New Roman"/>
          <w:sz w:val="20"/>
          <w:szCs w:val="20"/>
        </w:rPr>
        <w:t>Individual results for the tissue repair (</w:t>
      </w:r>
      <w:r w:rsidRPr="001A3F8F">
        <w:rPr>
          <w:rFonts w:ascii="Times New Roman" w:hAnsi="Times New Roman" w:cs="Times New Roman"/>
          <w:i/>
          <w:iCs/>
          <w:sz w:val="20"/>
          <w:szCs w:val="20"/>
        </w:rPr>
        <w:t>in vivo)</w:t>
      </w:r>
      <w:r w:rsidRPr="001A3F8F">
        <w:rPr>
          <w:rFonts w:ascii="Times New Roman" w:hAnsi="Times New Roman" w:cs="Times New Roman"/>
          <w:sz w:val="20"/>
          <w:szCs w:val="20"/>
        </w:rPr>
        <w:t xml:space="preserve"> outcome.</w:t>
      </w:r>
    </w:p>
    <w:tbl>
      <w:tblPr>
        <w:tblStyle w:val="TabeladeLista1Clara3"/>
        <w:tblW w:w="15026" w:type="dxa"/>
        <w:jc w:val="center"/>
        <w:tblLook w:val="04A0" w:firstRow="1" w:lastRow="0" w:firstColumn="1" w:lastColumn="0" w:noHBand="0" w:noVBand="1"/>
      </w:tblPr>
      <w:tblGrid>
        <w:gridCol w:w="1073"/>
        <w:gridCol w:w="1739"/>
        <w:gridCol w:w="1022"/>
        <w:gridCol w:w="1172"/>
        <w:gridCol w:w="1969"/>
        <w:gridCol w:w="1109"/>
        <w:gridCol w:w="1083"/>
        <w:gridCol w:w="1395"/>
        <w:gridCol w:w="1190"/>
        <w:gridCol w:w="3274"/>
      </w:tblGrid>
      <w:tr w:rsidR="00513939" w:rsidRPr="001A3F8F" w14:paraId="5ED0C2DF" w14:textId="77777777" w:rsidTr="00241200">
        <w:trPr>
          <w:cnfStyle w:val="100000000000" w:firstRow="1" w:lastRow="0" w:firstColumn="0" w:lastColumn="0" w:oddVBand="0" w:evenVBand="0" w:oddHBand="0" w:evenHBand="0" w:firstRowFirstColumn="0" w:firstRowLastColumn="0" w:lastRowFirstColumn="0" w:lastRowLastColumn="0"/>
          <w:trHeight w:val="456"/>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21D7E4E" w14:textId="77777777" w:rsidR="00513939" w:rsidRPr="001A3F8F" w:rsidRDefault="00513939" w:rsidP="00AE20BE">
            <w:pPr>
              <w:jc w:val="both"/>
              <w:rPr>
                <w:rFonts w:ascii="Times New Roman" w:hAnsi="Times New Roman" w:cs="Times New Roman"/>
                <w:sz w:val="20"/>
                <w:szCs w:val="20"/>
              </w:rPr>
            </w:pPr>
            <w:r w:rsidRPr="001A3F8F">
              <w:rPr>
                <w:rFonts w:ascii="Times New Roman" w:hAnsi="Times New Roman" w:cs="Times New Roman"/>
                <w:sz w:val="20"/>
                <w:szCs w:val="20"/>
              </w:rPr>
              <w:t>Author</w:t>
            </w:r>
          </w:p>
        </w:tc>
        <w:tc>
          <w:tcPr>
            <w:tcW w:w="0" w:type="auto"/>
            <w:vAlign w:val="center"/>
          </w:tcPr>
          <w:p w14:paraId="008360AA"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Senescence Induction Method</w:t>
            </w:r>
          </w:p>
        </w:tc>
        <w:tc>
          <w:tcPr>
            <w:tcW w:w="0" w:type="auto"/>
            <w:vAlign w:val="center"/>
          </w:tcPr>
          <w:p w14:paraId="4B200391"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Stem Cell Type</w:t>
            </w:r>
          </w:p>
        </w:tc>
        <w:tc>
          <w:tcPr>
            <w:tcW w:w="0" w:type="auto"/>
            <w:vAlign w:val="center"/>
          </w:tcPr>
          <w:p w14:paraId="2635B928"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Nº of replicates (n)</w:t>
            </w:r>
          </w:p>
        </w:tc>
        <w:tc>
          <w:tcPr>
            <w:tcW w:w="0" w:type="auto"/>
            <w:vAlign w:val="center"/>
          </w:tcPr>
          <w:p w14:paraId="760CEC8C"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Assay</w:t>
            </w:r>
          </w:p>
        </w:tc>
        <w:tc>
          <w:tcPr>
            <w:tcW w:w="0" w:type="auto"/>
            <w:vAlign w:val="center"/>
          </w:tcPr>
          <w:p w14:paraId="68DBBFD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(mean ± SD or SEM)</w:t>
            </w:r>
          </w:p>
        </w:tc>
        <w:tc>
          <w:tcPr>
            <w:tcW w:w="0" w:type="auto"/>
            <w:vAlign w:val="center"/>
          </w:tcPr>
          <w:p w14:paraId="515B035A"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 (mean ± SD or SEM)</w:t>
            </w:r>
          </w:p>
        </w:tc>
        <w:tc>
          <w:tcPr>
            <w:tcW w:w="0" w:type="auto"/>
            <w:vAlign w:val="center"/>
          </w:tcPr>
          <w:p w14:paraId="2B9C7DA5"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Significance (p-value)</w:t>
            </w:r>
          </w:p>
        </w:tc>
        <w:tc>
          <w:tcPr>
            <w:tcW w:w="0" w:type="auto"/>
            <w:vAlign w:val="center"/>
          </w:tcPr>
          <w:p w14:paraId="2D8CF6A3"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Lower Tissue Repair</w:t>
            </w:r>
          </w:p>
        </w:tc>
        <w:tc>
          <w:tcPr>
            <w:tcW w:w="3274" w:type="dxa"/>
            <w:vAlign w:val="center"/>
          </w:tcPr>
          <w:p w14:paraId="13DEA0F0" w14:textId="77777777" w:rsidR="00513939" w:rsidRPr="001A3F8F" w:rsidRDefault="00513939" w:rsidP="001A3F8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Notes</w:t>
            </w:r>
          </w:p>
        </w:tc>
      </w:tr>
      <w:tr w:rsidR="00DC0A0B" w:rsidRPr="001A3F8F" w14:paraId="41229107" w14:textId="77777777" w:rsidTr="00241200">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75673649"/>
              <w:placeholder>
                <w:docPart w:val="B64905A4F8C7440F8ABAEE00CD65D1F0"/>
              </w:placeholder>
            </w:sdtPr>
            <w:sdtContent>
              <w:p w14:paraId="09D0BAE2" w14:textId="720CA306"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0" w:type="auto"/>
            <w:vAlign w:val="center"/>
          </w:tcPr>
          <w:p w14:paraId="279E29B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 – LPS and TNF- α</w:t>
            </w:r>
          </w:p>
        </w:tc>
        <w:tc>
          <w:tcPr>
            <w:tcW w:w="0" w:type="auto"/>
            <w:vAlign w:val="center"/>
          </w:tcPr>
          <w:p w14:paraId="79B36BD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BM-MSCs</w:t>
            </w:r>
          </w:p>
        </w:tc>
        <w:tc>
          <w:tcPr>
            <w:tcW w:w="0" w:type="auto"/>
            <w:vAlign w:val="center"/>
          </w:tcPr>
          <w:p w14:paraId="733CAB1C"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0" w:type="auto"/>
            <w:vAlign w:val="center"/>
          </w:tcPr>
          <w:p w14:paraId="797D3E3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HE staining (mineralization area - %)</w:t>
            </w:r>
          </w:p>
        </w:tc>
        <w:tc>
          <w:tcPr>
            <w:tcW w:w="0" w:type="auto"/>
            <w:vAlign w:val="center"/>
          </w:tcPr>
          <w:p w14:paraId="54C7C2B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~0.93 ± 0.16</w:t>
            </w:r>
          </w:p>
        </w:tc>
        <w:tc>
          <w:tcPr>
            <w:tcW w:w="0" w:type="auto"/>
            <w:vAlign w:val="center"/>
          </w:tcPr>
          <w:p w14:paraId="0E864D30"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~0.53 ± 0.49</w:t>
            </w:r>
          </w:p>
        </w:tc>
        <w:tc>
          <w:tcPr>
            <w:tcW w:w="0" w:type="auto"/>
            <w:vAlign w:val="center"/>
          </w:tcPr>
          <w:p w14:paraId="514BE85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681CB9B4"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74" w:type="dxa"/>
            <w:vAlign w:val="center"/>
          </w:tcPr>
          <w:p w14:paraId="310D0A67"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Mineralization in periodontal tissue. Nude mice. LPS: 1µg/mL</w:t>
            </w:r>
          </w:p>
          <w:p w14:paraId="5C54ED5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100ng/mL</w:t>
            </w:r>
          </w:p>
        </w:tc>
      </w:tr>
      <w:tr w:rsidR="00DC0A0B" w:rsidRPr="001A3F8F" w14:paraId="0FB09958" w14:textId="77777777" w:rsidTr="00241200">
        <w:trPr>
          <w:trHeight w:val="4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
              <w:id w:val="925701949"/>
              <w:placeholder>
                <w:docPart w:val="FA8B92B8757F4967AB221FAB668CA329"/>
              </w:placeholder>
            </w:sdtPr>
            <w:sdtContent>
              <w:p w14:paraId="662292A1" w14:textId="6DF09F8C"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lang w:val="pt-BR"/>
                  </w:rPr>
                  <w:t>Ma</w:t>
                </w:r>
                <w:proofErr w:type="spellEnd"/>
                <w:r w:rsidRPr="001A3F8F">
                  <w:rPr>
                    <w:rFonts w:ascii="Times New Roman" w:hAnsi="Times New Roman" w:cs="Times New Roman"/>
                    <w:sz w:val="20"/>
                    <w:szCs w:val="20"/>
                    <w:lang w:val="pt-BR"/>
                  </w:rPr>
                  <w:t xml:space="preserve"> </w:t>
                </w:r>
                <w:r w:rsidR="00AE20BE" w:rsidRPr="00AE20BE">
                  <w:rPr>
                    <w:rFonts w:ascii="Times New Roman" w:hAnsi="Times New Roman" w:cs="Times New Roman"/>
                    <w:i/>
                    <w:sz w:val="20"/>
                    <w:szCs w:val="20"/>
                    <w:lang w:val="pt-BR"/>
                  </w:rPr>
                  <w:t>et al</w:t>
                </w:r>
                <w:r w:rsidRPr="001A3F8F">
                  <w:rPr>
                    <w:rFonts w:ascii="Times New Roman" w:hAnsi="Times New Roman" w:cs="Times New Roman"/>
                    <w:sz w:val="20"/>
                    <w:szCs w:val="20"/>
                    <w:lang w:val="pt-BR"/>
                  </w:rPr>
                  <w:t>., 2019</w:t>
                </w:r>
                <w:r>
                  <w:rPr>
                    <w:rFonts w:ascii="Times New Roman" w:hAnsi="Times New Roman" w:cs="Times New Roman"/>
                    <w:sz w:val="20"/>
                    <w:szCs w:val="20"/>
                    <w:lang w:val="pt-BR"/>
                  </w:rPr>
                  <w:t xml:space="preserve"> [14]</w:t>
                </w:r>
              </w:p>
            </w:sdtContent>
          </w:sdt>
        </w:tc>
        <w:tc>
          <w:tcPr>
            <w:tcW w:w="0" w:type="auto"/>
            <w:vAlign w:val="center"/>
          </w:tcPr>
          <w:p w14:paraId="57602991"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Inflammatory Stimuli – LPS and TNF- α</w:t>
            </w:r>
          </w:p>
        </w:tc>
        <w:tc>
          <w:tcPr>
            <w:tcW w:w="0" w:type="auto"/>
            <w:vAlign w:val="center"/>
          </w:tcPr>
          <w:p w14:paraId="1F277BEA"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48C98A7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5</w:t>
            </w:r>
          </w:p>
        </w:tc>
        <w:tc>
          <w:tcPr>
            <w:tcW w:w="0" w:type="auto"/>
            <w:vAlign w:val="center"/>
          </w:tcPr>
          <w:p w14:paraId="76D2A60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HE staining (mineralization area - %)</w:t>
            </w:r>
          </w:p>
        </w:tc>
        <w:tc>
          <w:tcPr>
            <w:tcW w:w="0" w:type="auto"/>
            <w:vAlign w:val="center"/>
          </w:tcPr>
          <w:p w14:paraId="0A37C1A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~0.68 ± 0.11</w:t>
            </w:r>
          </w:p>
        </w:tc>
        <w:tc>
          <w:tcPr>
            <w:tcW w:w="0" w:type="auto"/>
            <w:vAlign w:val="center"/>
          </w:tcPr>
          <w:p w14:paraId="180D8B4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~0.59 ± 0.08</w:t>
            </w:r>
          </w:p>
        </w:tc>
        <w:tc>
          <w:tcPr>
            <w:tcW w:w="0" w:type="auto"/>
            <w:vAlign w:val="center"/>
          </w:tcPr>
          <w:p w14:paraId="5AA4C13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7D952B1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74" w:type="dxa"/>
            <w:vAlign w:val="center"/>
          </w:tcPr>
          <w:p w14:paraId="5EA27EC6"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Mineralization in periodontal tissue. Nude mice. LPS: 1µg/mL</w:t>
            </w:r>
          </w:p>
          <w:p w14:paraId="1AE649F9"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TNF-α: 100ng/mL</w:t>
            </w:r>
          </w:p>
        </w:tc>
      </w:tr>
      <w:tr w:rsidR="00515418" w:rsidRPr="001A3F8F" w14:paraId="2D7C3BB0" w14:textId="77777777" w:rsidTr="00241200">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NWQ5NGY5NWMtMjc3My00NjQxLWI4M2UtNDFiZjA4Yjc5MDRi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
              <w:id w:val="804663682"/>
              <w:placeholder>
                <w:docPart w:val="406138A050BC40518C6C540169E8F4DF"/>
              </w:placeholder>
            </w:sdtPr>
            <w:sdtContent>
              <w:p w14:paraId="04F78E2D" w14:textId="487C74E7" w:rsidR="00515418" w:rsidRPr="001A3F8F" w:rsidRDefault="00515418"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Chen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2024</w:t>
                </w:r>
                <w:r>
                  <w:rPr>
                    <w:rFonts w:ascii="Times New Roman" w:hAnsi="Times New Roman" w:cs="Times New Roman"/>
                    <w:sz w:val="20"/>
                    <w:szCs w:val="20"/>
                  </w:rPr>
                  <w:t xml:space="preserve"> [23]</w:t>
                </w:r>
              </w:p>
            </w:sdtContent>
          </w:sdt>
        </w:tc>
        <w:tc>
          <w:tcPr>
            <w:tcW w:w="0" w:type="auto"/>
            <w:vAlign w:val="center"/>
          </w:tcPr>
          <w:p w14:paraId="28161995"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vAlign w:val="center"/>
          </w:tcPr>
          <w:p w14:paraId="72E03CAC"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vAlign w:val="center"/>
          </w:tcPr>
          <w:p w14:paraId="1F8480A2"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6</w:t>
            </w:r>
          </w:p>
        </w:tc>
        <w:tc>
          <w:tcPr>
            <w:tcW w:w="0" w:type="auto"/>
            <w:vAlign w:val="center"/>
          </w:tcPr>
          <w:p w14:paraId="39477AED"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Micro-CT analysis (bone mineral density g/cc)</w:t>
            </w:r>
          </w:p>
        </w:tc>
        <w:tc>
          <w:tcPr>
            <w:tcW w:w="0" w:type="auto"/>
            <w:vAlign w:val="center"/>
          </w:tcPr>
          <w:p w14:paraId="0643B928"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~0.56 ± 0.05</w:t>
            </w:r>
          </w:p>
        </w:tc>
        <w:tc>
          <w:tcPr>
            <w:tcW w:w="0" w:type="auto"/>
            <w:vAlign w:val="center"/>
          </w:tcPr>
          <w:p w14:paraId="6F22EBF3"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~0.44 ± 0.04</w:t>
            </w:r>
          </w:p>
        </w:tc>
        <w:tc>
          <w:tcPr>
            <w:tcW w:w="0" w:type="auto"/>
            <w:vAlign w:val="center"/>
          </w:tcPr>
          <w:p w14:paraId="29C2C0DD"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2F6DB43B"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74" w:type="dxa"/>
            <w:vAlign w:val="center"/>
          </w:tcPr>
          <w:p w14:paraId="1EA7FC06" w14:textId="77777777" w:rsidR="00515418" w:rsidRPr="001A3F8F" w:rsidRDefault="00515418" w:rsidP="0051541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Bone regeneration (rat </w:t>
            </w:r>
            <w:proofErr w:type="spellStart"/>
            <w:r w:rsidRPr="001A3F8F">
              <w:rPr>
                <w:rFonts w:ascii="Times New Roman" w:hAnsi="Times New Roman" w:cs="Times New Roman"/>
                <w:sz w:val="20"/>
                <w:szCs w:val="20"/>
              </w:rPr>
              <w:t>calvarial</w:t>
            </w:r>
            <w:proofErr w:type="spellEnd"/>
            <w:r w:rsidRPr="001A3F8F">
              <w:rPr>
                <w:rFonts w:ascii="Times New Roman" w:hAnsi="Times New Roman" w:cs="Times New Roman"/>
                <w:sz w:val="20"/>
                <w:szCs w:val="20"/>
              </w:rPr>
              <w:t xml:space="preserve"> bone defects). Sprague-Dawley rats.</w:t>
            </w:r>
          </w:p>
        </w:tc>
      </w:tr>
      <w:tr w:rsidR="00DC0A0B" w:rsidRPr="001A3F8F" w14:paraId="4C221FE9" w14:textId="77777777" w:rsidTr="00241200">
        <w:trPr>
          <w:trHeight w:val="456"/>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sdt>
            <w:sdtPr>
              <w:rPr>
                <w:rFonts w:ascii="Times New Roman" w:hAnsi="Times New Roman" w:cs="Times New Roman"/>
                <w:sz w:val="20"/>
                <w:szCs w:val="20"/>
              </w:rPr>
              <w:tag w:val="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
              <w:id w:val="-711574851"/>
              <w:placeholder>
                <w:docPart w:val="65BC73E710234F12AD8333869A549FA6"/>
              </w:placeholder>
            </w:sdtPr>
            <w:sdtContent>
              <w:p w14:paraId="120A89AF" w14:textId="799E6090" w:rsidR="00DC0A0B" w:rsidRPr="001A3F8F" w:rsidRDefault="00DC0A0B" w:rsidP="00AE20BE">
                <w:pPr>
                  <w:jc w:val="both"/>
                  <w:rPr>
                    <w:rFonts w:ascii="Times New Roman" w:hAnsi="Times New Roman" w:cs="Times New Roman"/>
                    <w:sz w:val="20"/>
                    <w:szCs w:val="20"/>
                  </w:rPr>
                </w:pPr>
                <w:proofErr w:type="spellStart"/>
                <w:r w:rsidRPr="001A3F8F">
                  <w:rPr>
                    <w:rFonts w:ascii="Times New Roman" w:hAnsi="Times New Roman" w:cs="Times New Roman"/>
                    <w:sz w:val="20"/>
                    <w:szCs w:val="20"/>
                  </w:rPr>
                  <w:t>Horibe</w:t>
                </w:r>
                <w:proofErr w:type="spellEnd"/>
                <w:r w:rsidRPr="001A3F8F">
                  <w:rPr>
                    <w:rFonts w:ascii="Times New Roman" w:hAnsi="Times New Roman" w:cs="Times New Roman"/>
                    <w:sz w:val="20"/>
                    <w:szCs w:val="20"/>
                  </w:rPr>
                  <w:t xml:space="preserve">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2014</w:t>
                </w:r>
                <w:r>
                  <w:rPr>
                    <w:rFonts w:ascii="Times New Roman" w:hAnsi="Times New Roman" w:cs="Times New Roman"/>
                    <w:sz w:val="20"/>
                    <w:szCs w:val="20"/>
                  </w:rPr>
                  <w:t xml:space="preserve"> [12]</w:t>
                </w:r>
              </w:p>
            </w:sdtContent>
          </w:sdt>
        </w:tc>
        <w:tc>
          <w:tcPr>
            <w:tcW w:w="0" w:type="auto"/>
            <w:tcBorders>
              <w:bottom w:val="single" w:sz="4" w:space="0" w:color="auto"/>
            </w:tcBorders>
            <w:vAlign w:val="center"/>
          </w:tcPr>
          <w:p w14:paraId="3950C1A3"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Chronological Aging</w:t>
            </w:r>
          </w:p>
        </w:tc>
        <w:tc>
          <w:tcPr>
            <w:tcW w:w="0" w:type="auto"/>
            <w:tcBorders>
              <w:bottom w:val="single" w:sz="4" w:space="0" w:color="auto"/>
            </w:tcBorders>
            <w:vAlign w:val="center"/>
          </w:tcPr>
          <w:p w14:paraId="6A21537E"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DPSCs</w:t>
            </w:r>
          </w:p>
        </w:tc>
        <w:tc>
          <w:tcPr>
            <w:tcW w:w="0" w:type="auto"/>
            <w:tcBorders>
              <w:bottom w:val="single" w:sz="4" w:space="0" w:color="auto"/>
            </w:tcBorders>
            <w:vAlign w:val="center"/>
          </w:tcPr>
          <w:p w14:paraId="1B8CFB57"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4</w:t>
            </w:r>
          </w:p>
        </w:tc>
        <w:tc>
          <w:tcPr>
            <w:tcW w:w="0" w:type="auto"/>
            <w:tcBorders>
              <w:bottom w:val="single" w:sz="4" w:space="0" w:color="auto"/>
            </w:tcBorders>
            <w:vAlign w:val="center"/>
          </w:tcPr>
          <w:p w14:paraId="0A930808"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 xml:space="preserve">Vascularization area/regenerated area </w:t>
            </w:r>
          </w:p>
        </w:tc>
        <w:tc>
          <w:tcPr>
            <w:tcW w:w="0" w:type="auto"/>
            <w:tcBorders>
              <w:bottom w:val="single" w:sz="4" w:space="0" w:color="auto"/>
            </w:tcBorders>
            <w:vAlign w:val="center"/>
          </w:tcPr>
          <w:p w14:paraId="45A7E310"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~9.17 ± 0.98</w:t>
            </w:r>
          </w:p>
        </w:tc>
        <w:tc>
          <w:tcPr>
            <w:tcW w:w="0" w:type="auto"/>
            <w:tcBorders>
              <w:bottom w:val="single" w:sz="4" w:space="0" w:color="auto"/>
            </w:tcBorders>
            <w:vAlign w:val="center"/>
          </w:tcPr>
          <w:p w14:paraId="54BEB394"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~7.21 ± 0.41</w:t>
            </w:r>
          </w:p>
        </w:tc>
        <w:tc>
          <w:tcPr>
            <w:tcW w:w="0" w:type="auto"/>
            <w:tcBorders>
              <w:bottom w:val="single" w:sz="4" w:space="0" w:color="auto"/>
            </w:tcBorders>
            <w:vAlign w:val="center"/>
          </w:tcPr>
          <w:p w14:paraId="32FC1BA5"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p&lt;0.05</w:t>
            </w:r>
          </w:p>
        </w:tc>
        <w:tc>
          <w:tcPr>
            <w:tcW w:w="0" w:type="auto"/>
            <w:tcBorders>
              <w:bottom w:val="single" w:sz="4" w:space="0" w:color="auto"/>
            </w:tcBorders>
            <w:vAlign w:val="center"/>
          </w:tcPr>
          <w:p w14:paraId="0CBD4B7B"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Senescent</w:t>
            </w:r>
          </w:p>
        </w:tc>
        <w:tc>
          <w:tcPr>
            <w:tcW w:w="3274" w:type="dxa"/>
            <w:tcBorders>
              <w:bottom w:val="single" w:sz="4" w:space="0" w:color="auto"/>
            </w:tcBorders>
            <w:vAlign w:val="center"/>
          </w:tcPr>
          <w:p w14:paraId="55056C8C" w14:textId="77777777" w:rsidR="00DC0A0B" w:rsidRPr="001A3F8F" w:rsidRDefault="00DC0A0B" w:rsidP="00DC0A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Aged DPSCs exhibited reduced pulp regeneration, with smaller regenerated pulp tissue and fewer odontoblast-like cells compared with young DPSCs.</w:t>
            </w:r>
          </w:p>
        </w:tc>
      </w:tr>
      <w:tr w:rsidR="00DC0A0B" w:rsidRPr="001A3F8F" w14:paraId="4127D489" w14:textId="77777777" w:rsidTr="00241200">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sdt>
            <w:sdtPr>
              <w:rPr>
                <w:rFonts w:ascii="Times New Roman" w:hAnsi="Times New Roman" w:cs="Times New Roman"/>
                <w:sz w:val="20"/>
                <w:szCs w:val="20"/>
              </w:rPr>
              <w:tag w:val="MENDELEY_CITATION_v3_eyJjaXRhdGlvbklEIjoiTUVOREVMRVlfQ0lUQVRJT05fM2U5MzI5M2ItMWFiNC00YjI2LWE4MTktYzA2Y2JiYzY5OWU5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
              <w:id w:val="1658420577"/>
              <w:placeholder>
                <w:docPart w:val="F2DD4D989E854B6B95EC8C13B4DCC9E7"/>
              </w:placeholder>
            </w:sdtPr>
            <w:sdtContent>
              <w:p w14:paraId="542EFA72" w14:textId="6A9BB55B" w:rsidR="00DC0A0B" w:rsidRPr="001A3F8F" w:rsidRDefault="00DC0A0B" w:rsidP="00AE20BE">
                <w:pPr>
                  <w:jc w:val="both"/>
                  <w:rPr>
                    <w:rFonts w:ascii="Times New Roman" w:hAnsi="Times New Roman" w:cs="Times New Roman"/>
                    <w:sz w:val="20"/>
                    <w:szCs w:val="20"/>
                  </w:rPr>
                </w:pPr>
                <w:r w:rsidRPr="001A3F8F">
                  <w:rPr>
                    <w:rFonts w:ascii="Times New Roman" w:hAnsi="Times New Roman" w:cs="Times New Roman"/>
                    <w:sz w:val="20"/>
                    <w:szCs w:val="20"/>
                  </w:rPr>
                  <w:t xml:space="preserve">Yang </w:t>
                </w:r>
                <w:r w:rsidR="00AE20BE" w:rsidRPr="00AE20BE">
                  <w:rPr>
                    <w:rFonts w:ascii="Times New Roman" w:hAnsi="Times New Roman" w:cs="Times New Roman"/>
                    <w:i/>
                    <w:sz w:val="20"/>
                    <w:szCs w:val="20"/>
                  </w:rPr>
                  <w:t>et al</w:t>
                </w:r>
                <w:r w:rsidRPr="001A3F8F">
                  <w:rPr>
                    <w:rFonts w:ascii="Times New Roman" w:hAnsi="Times New Roman" w:cs="Times New Roman"/>
                    <w:sz w:val="20"/>
                    <w:szCs w:val="20"/>
                  </w:rPr>
                  <w:t>., 2021</w:t>
                </w:r>
                <w:r>
                  <w:rPr>
                    <w:rFonts w:ascii="Times New Roman" w:hAnsi="Times New Roman" w:cs="Times New Roman"/>
                    <w:sz w:val="20"/>
                    <w:szCs w:val="20"/>
                  </w:rPr>
                  <w:t xml:space="preserve"> [40]</w:t>
                </w:r>
              </w:p>
            </w:sdtContent>
          </w:sdt>
        </w:tc>
        <w:tc>
          <w:tcPr>
            <w:tcW w:w="0" w:type="auto"/>
            <w:vAlign w:val="center"/>
          </w:tcPr>
          <w:p w14:paraId="294AC83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Serial Passaging</w:t>
            </w:r>
          </w:p>
        </w:tc>
        <w:tc>
          <w:tcPr>
            <w:tcW w:w="0" w:type="auto"/>
            <w:vAlign w:val="center"/>
          </w:tcPr>
          <w:p w14:paraId="34F00042"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PDLSCs</w:t>
            </w:r>
          </w:p>
        </w:tc>
        <w:tc>
          <w:tcPr>
            <w:tcW w:w="0" w:type="auto"/>
            <w:vAlign w:val="center"/>
          </w:tcPr>
          <w:p w14:paraId="7646BDBD"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3</w:t>
            </w:r>
          </w:p>
        </w:tc>
        <w:tc>
          <w:tcPr>
            <w:tcW w:w="0" w:type="auto"/>
            <w:vAlign w:val="center"/>
          </w:tcPr>
          <w:p w14:paraId="12E9ECB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HE staining (mineralization)</w:t>
            </w:r>
          </w:p>
        </w:tc>
        <w:tc>
          <w:tcPr>
            <w:tcW w:w="0" w:type="auto"/>
            <w:vAlign w:val="center"/>
          </w:tcPr>
          <w:p w14:paraId="332B7928"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positive</w:t>
            </w:r>
          </w:p>
        </w:tc>
        <w:tc>
          <w:tcPr>
            <w:tcW w:w="0" w:type="auto"/>
            <w:vAlign w:val="center"/>
          </w:tcPr>
          <w:p w14:paraId="25D3C85A"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reduced</w:t>
            </w:r>
          </w:p>
        </w:tc>
        <w:tc>
          <w:tcPr>
            <w:tcW w:w="0" w:type="auto"/>
            <w:vAlign w:val="center"/>
          </w:tcPr>
          <w:p w14:paraId="48B9EFD9"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0" w:type="auto"/>
            <w:vAlign w:val="center"/>
          </w:tcPr>
          <w:p w14:paraId="203338CB"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NR</w:t>
            </w:r>
          </w:p>
        </w:tc>
        <w:tc>
          <w:tcPr>
            <w:tcW w:w="3274" w:type="dxa"/>
            <w:vAlign w:val="center"/>
          </w:tcPr>
          <w:p w14:paraId="681678DE" w14:textId="77777777" w:rsidR="00DC0A0B" w:rsidRPr="001A3F8F" w:rsidRDefault="00DC0A0B" w:rsidP="00DC0A0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A3F8F">
              <w:rPr>
                <w:rFonts w:ascii="Times New Roman" w:hAnsi="Times New Roman" w:cs="Times New Roman"/>
                <w:sz w:val="20"/>
                <w:szCs w:val="20"/>
              </w:rPr>
              <w:t>NS: P3, S: P12. Nude mice.</w:t>
            </w:r>
          </w:p>
        </w:tc>
      </w:tr>
    </w:tbl>
    <w:p w14:paraId="30115739" w14:textId="77777777" w:rsidR="00513939" w:rsidRPr="001A3F8F" w:rsidRDefault="00513939" w:rsidP="001A3F8F">
      <w:pPr>
        <w:jc w:val="both"/>
        <w:rPr>
          <w:rFonts w:ascii="Times New Roman" w:hAnsi="Times New Roman" w:cs="Times New Roman"/>
          <w:b/>
          <w:bCs/>
          <w:sz w:val="20"/>
          <w:szCs w:val="20"/>
        </w:rPr>
      </w:pPr>
    </w:p>
    <w:p w14:paraId="6997F320" w14:textId="7BE42D15" w:rsidR="00443B8E" w:rsidRPr="001A3F8F" w:rsidRDefault="00513939" w:rsidP="001A3F8F">
      <w:pPr>
        <w:jc w:val="both"/>
        <w:rPr>
          <w:rFonts w:ascii="Times New Roman" w:hAnsi="Times New Roman" w:cs="Times New Roman"/>
          <w:sz w:val="20"/>
          <w:szCs w:val="20"/>
        </w:rPr>
      </w:pPr>
      <w:r w:rsidRPr="001A3F8F">
        <w:rPr>
          <w:rFonts w:ascii="Times New Roman" w:hAnsi="Times New Roman" w:cs="Times New Roman"/>
          <w:b/>
          <w:bCs/>
          <w:sz w:val="20"/>
          <w:szCs w:val="20"/>
        </w:rPr>
        <w:t xml:space="preserve">Supplementary Table </w:t>
      </w:r>
      <w:r w:rsidR="00B87753">
        <w:rPr>
          <w:rFonts w:ascii="Times New Roman" w:hAnsi="Times New Roman" w:cs="Times New Roman"/>
          <w:b/>
          <w:bCs/>
          <w:sz w:val="20"/>
          <w:szCs w:val="20"/>
        </w:rPr>
        <w:t>9</w:t>
      </w:r>
      <w:r w:rsidRPr="001A3F8F">
        <w:rPr>
          <w:rFonts w:ascii="Times New Roman" w:hAnsi="Times New Roman" w:cs="Times New Roman"/>
          <w:b/>
          <w:bCs/>
          <w:sz w:val="20"/>
          <w:szCs w:val="20"/>
        </w:rPr>
        <w:t>. Individual results for the tissue repair (</w:t>
      </w:r>
      <w:r w:rsidRPr="001A3F8F">
        <w:rPr>
          <w:rFonts w:ascii="Times New Roman" w:hAnsi="Times New Roman" w:cs="Times New Roman"/>
          <w:b/>
          <w:bCs/>
          <w:i/>
          <w:iCs/>
          <w:sz w:val="20"/>
          <w:szCs w:val="20"/>
        </w:rPr>
        <w:t>in vivo</w:t>
      </w:r>
      <w:r w:rsidRPr="001A3F8F">
        <w:rPr>
          <w:rFonts w:ascii="Times New Roman" w:hAnsi="Times New Roman" w:cs="Times New Roman"/>
          <w:b/>
          <w:bCs/>
          <w:sz w:val="20"/>
          <w:szCs w:val="20"/>
        </w:rPr>
        <w:t xml:space="preserve">) outcome. </w:t>
      </w:r>
      <w:r w:rsidRPr="001A3F8F">
        <w:rPr>
          <w:rFonts w:ascii="Times New Roman" w:hAnsi="Times New Roman" w:cs="Times New Roman"/>
          <w:sz w:val="20"/>
          <w:szCs w:val="20"/>
        </w:rPr>
        <w:t xml:space="preserve">This table summarizes individual study results evaluating </w:t>
      </w:r>
      <w:r w:rsidRPr="001A3F8F">
        <w:rPr>
          <w:rFonts w:ascii="Times New Roman" w:hAnsi="Times New Roman" w:cs="Times New Roman"/>
          <w:i/>
          <w:iCs/>
          <w:sz w:val="20"/>
          <w:szCs w:val="20"/>
        </w:rPr>
        <w:t>in vivo</w:t>
      </w:r>
      <w:r w:rsidRPr="001A3F8F">
        <w:rPr>
          <w:rFonts w:ascii="Times New Roman" w:hAnsi="Times New Roman" w:cs="Times New Roman"/>
          <w:sz w:val="20"/>
          <w:szCs w:val="20"/>
        </w:rPr>
        <w:t xml:space="preserve"> tissue repair capacity of non</w:t>
      </w:r>
      <w:r w:rsidRPr="001A3F8F">
        <w:rPr>
          <w:rFonts w:ascii="Times New Roman" w:hAnsi="Times New Roman" w:cs="Times New Roman"/>
          <w:sz w:val="20"/>
          <w:szCs w:val="20"/>
        </w:rPr>
        <w:noBreakHyphen/>
        <w:t>senescent (NS) and senescent (S) mesenchymal stem cell populations. Studies are grouped by senescence induction method (inflammatory stimuli, Chronological aging, serial passaging) and sub</w:t>
      </w:r>
      <w:r w:rsidRPr="001A3F8F">
        <w:rPr>
          <w:rFonts w:ascii="Times New Roman" w:hAnsi="Times New Roman" w:cs="Times New Roman"/>
          <w:sz w:val="20"/>
          <w:szCs w:val="20"/>
        </w:rPr>
        <w:noBreakHyphen/>
        <w:t>grouped by cell type (BM</w:t>
      </w:r>
      <w:r w:rsidRPr="001A3F8F">
        <w:rPr>
          <w:rFonts w:ascii="Times New Roman" w:hAnsi="Times New Roman" w:cs="Times New Roman"/>
          <w:sz w:val="20"/>
          <w:szCs w:val="20"/>
        </w:rPr>
        <w:noBreakHyphen/>
        <w:t xml:space="preserve">MSCs, DPSCs, PDLSCs). Data are presented as mean ± SD or SEM, as reported in the original studies. </w:t>
      </w:r>
      <w:r w:rsidRPr="001A3F8F">
        <w:rPr>
          <w:rFonts w:ascii="Times New Roman" w:hAnsi="Times New Roman" w:cs="Times New Roman"/>
          <w:i/>
          <w:iCs/>
          <w:sz w:val="20"/>
          <w:szCs w:val="20"/>
        </w:rPr>
        <w:t>In vivo</w:t>
      </w:r>
      <w:r w:rsidRPr="001A3F8F">
        <w:rPr>
          <w:rFonts w:ascii="Times New Roman" w:hAnsi="Times New Roman" w:cs="Times New Roman"/>
          <w:sz w:val="20"/>
          <w:szCs w:val="20"/>
        </w:rPr>
        <w:t xml:space="preserve"> repair outcomes were assessed using micro</w:t>
      </w:r>
      <w:r w:rsidRPr="001A3F8F">
        <w:rPr>
          <w:rFonts w:ascii="Times New Roman" w:hAnsi="Times New Roman" w:cs="Times New Roman"/>
          <w:sz w:val="20"/>
          <w:szCs w:val="20"/>
        </w:rPr>
        <w:noBreakHyphen/>
        <w:t>CT analysis (bone mineral density) and histomorphometry (HE staining; mineralization area). Values preceded by a tilde (~) indicate data manually extracted from figures. NR indicates “not reported”.</w:t>
      </w:r>
    </w:p>
    <w:sectPr w:rsidR="00443B8E" w:rsidRPr="001A3F8F" w:rsidSect="0051393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4290E" w14:textId="77777777" w:rsidR="00384B58" w:rsidRDefault="00384B58" w:rsidP="00840428">
      <w:r>
        <w:separator/>
      </w:r>
    </w:p>
  </w:endnote>
  <w:endnote w:type="continuationSeparator" w:id="0">
    <w:p w14:paraId="63D873D1" w14:textId="77777777" w:rsidR="00384B58" w:rsidRDefault="00384B58" w:rsidP="0084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507C8" w14:textId="77777777" w:rsidR="00384B58" w:rsidRDefault="00384B58" w:rsidP="00840428">
      <w:r>
        <w:separator/>
      </w:r>
    </w:p>
  </w:footnote>
  <w:footnote w:type="continuationSeparator" w:id="0">
    <w:p w14:paraId="4FDB202A" w14:textId="77777777" w:rsidR="00384B58" w:rsidRDefault="00384B58" w:rsidP="008404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71B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070E89"/>
    <w:multiLevelType w:val="multilevel"/>
    <w:tmpl w:val="0416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 w15:restartNumberingAfterBreak="0">
    <w:nsid w:val="05437ACF"/>
    <w:multiLevelType w:val="hybridMultilevel"/>
    <w:tmpl w:val="6BE00D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5B060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314A0C"/>
    <w:multiLevelType w:val="hybridMultilevel"/>
    <w:tmpl w:val="02BA14A0"/>
    <w:lvl w:ilvl="0" w:tplc="334C7BC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B531C2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00673B"/>
    <w:multiLevelType w:val="hybridMultilevel"/>
    <w:tmpl w:val="A54CF4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F500D1"/>
    <w:multiLevelType w:val="multilevel"/>
    <w:tmpl w:val="32AEA87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61978A5"/>
    <w:multiLevelType w:val="multilevel"/>
    <w:tmpl w:val="6BE6F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4E592C"/>
    <w:multiLevelType w:val="hybridMultilevel"/>
    <w:tmpl w:val="02BA14A0"/>
    <w:lvl w:ilvl="0" w:tplc="334C7BC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923EA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722993"/>
    <w:multiLevelType w:val="multilevel"/>
    <w:tmpl w:val="F0827266"/>
    <w:lvl w:ilvl="0">
      <w:start w:val="1"/>
      <w:numFmt w:val="decimal"/>
      <w:lvlText w:val="%1."/>
      <w:lvlJc w:val="left"/>
      <w:pPr>
        <w:ind w:left="720" w:hanging="360"/>
      </w:pPr>
      <w:rPr>
        <w:b/>
        <w:bCs/>
      </w:rPr>
    </w:lvl>
    <w:lvl w:ilvl="1">
      <w:start w:val="1"/>
      <w:numFmt w:val="decimal"/>
      <w:lvlText w:val="%1.%2."/>
      <w:lvlJc w:val="left"/>
      <w:pPr>
        <w:ind w:left="1152" w:hanging="432"/>
      </w:pPr>
      <w:rPr>
        <w:b/>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BFA709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E7624C"/>
    <w:multiLevelType w:val="hybridMultilevel"/>
    <w:tmpl w:val="717AD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36AA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95010FE"/>
    <w:multiLevelType w:val="multilevel"/>
    <w:tmpl w:val="18A6E8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9C2374"/>
    <w:multiLevelType w:val="multilevel"/>
    <w:tmpl w:val="3A0A1AE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050BB0"/>
    <w:multiLevelType w:val="multilevel"/>
    <w:tmpl w:val="8450516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C37DFC"/>
    <w:multiLevelType w:val="multilevel"/>
    <w:tmpl w:val="1AD6C50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C24027"/>
    <w:multiLevelType w:val="hybridMultilevel"/>
    <w:tmpl w:val="59FEE268"/>
    <w:lvl w:ilvl="0" w:tplc="2DE29314">
      <w:start w:val="1"/>
      <w:numFmt w:val="decimal"/>
      <w:lvlText w:val="%1."/>
      <w:lvlJc w:val="left"/>
      <w:pPr>
        <w:ind w:left="360" w:hanging="360"/>
      </w:pPr>
      <w:rPr>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419534C7"/>
    <w:multiLevelType w:val="hybridMultilevel"/>
    <w:tmpl w:val="ED768A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24A4EDC"/>
    <w:multiLevelType w:val="hybridMultilevel"/>
    <w:tmpl w:val="1744E2BC"/>
    <w:lvl w:ilvl="0" w:tplc="2DE29314">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56059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963168D"/>
    <w:multiLevelType w:val="hybridMultilevel"/>
    <w:tmpl w:val="CD968140"/>
    <w:lvl w:ilvl="0" w:tplc="5A82B92A">
      <w:start w:val="1"/>
      <w:numFmt w:val="decimal"/>
      <w:lvlText w:val="%1."/>
      <w:lvlJc w:val="left"/>
      <w:pPr>
        <w:ind w:left="720" w:hanging="360"/>
      </w:pPr>
      <w:rPr>
        <w:b/>
        <w:bCs/>
      </w:rPr>
    </w:lvl>
    <w:lvl w:ilvl="1" w:tplc="DEC24F8E">
      <w:start w:val="1"/>
      <w:numFmt w:val="low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D64B07"/>
    <w:multiLevelType w:val="hybridMultilevel"/>
    <w:tmpl w:val="278A5292"/>
    <w:lvl w:ilvl="0" w:tplc="0409000F">
      <w:start w:val="1"/>
      <w:numFmt w:val="decimal"/>
      <w:lvlText w:val="%1."/>
      <w:lvlJc w:val="left"/>
      <w:pPr>
        <w:ind w:left="-9566" w:hanging="360"/>
      </w:pPr>
    </w:lvl>
    <w:lvl w:ilvl="1" w:tplc="04090019" w:tentative="1">
      <w:start w:val="1"/>
      <w:numFmt w:val="lowerLetter"/>
      <w:lvlText w:val="%2."/>
      <w:lvlJc w:val="left"/>
      <w:pPr>
        <w:ind w:left="-8846" w:hanging="360"/>
      </w:pPr>
    </w:lvl>
    <w:lvl w:ilvl="2" w:tplc="0409001B" w:tentative="1">
      <w:start w:val="1"/>
      <w:numFmt w:val="lowerRoman"/>
      <w:lvlText w:val="%3."/>
      <w:lvlJc w:val="right"/>
      <w:pPr>
        <w:ind w:left="-8126" w:hanging="180"/>
      </w:pPr>
    </w:lvl>
    <w:lvl w:ilvl="3" w:tplc="0409000F" w:tentative="1">
      <w:start w:val="1"/>
      <w:numFmt w:val="decimal"/>
      <w:lvlText w:val="%4."/>
      <w:lvlJc w:val="left"/>
      <w:pPr>
        <w:ind w:left="-7406" w:hanging="360"/>
      </w:pPr>
    </w:lvl>
    <w:lvl w:ilvl="4" w:tplc="04090019" w:tentative="1">
      <w:start w:val="1"/>
      <w:numFmt w:val="lowerLetter"/>
      <w:lvlText w:val="%5."/>
      <w:lvlJc w:val="left"/>
      <w:pPr>
        <w:ind w:left="-668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4526" w:hanging="360"/>
      </w:pPr>
    </w:lvl>
    <w:lvl w:ilvl="8" w:tplc="0409001B" w:tentative="1">
      <w:start w:val="1"/>
      <w:numFmt w:val="lowerRoman"/>
      <w:lvlText w:val="%9."/>
      <w:lvlJc w:val="right"/>
      <w:pPr>
        <w:ind w:left="-3806" w:hanging="180"/>
      </w:pPr>
    </w:lvl>
  </w:abstractNum>
  <w:abstractNum w:abstractNumId="25" w15:restartNumberingAfterBreak="0">
    <w:nsid w:val="57F80D13"/>
    <w:multiLevelType w:val="multilevel"/>
    <w:tmpl w:val="0416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580C0D5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45703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F96229"/>
    <w:multiLevelType w:val="multilevel"/>
    <w:tmpl w:val="2C8A36D2"/>
    <w:lvl w:ilvl="0">
      <w:start w:val="4"/>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FFD4809"/>
    <w:multiLevelType w:val="multilevel"/>
    <w:tmpl w:val="4F3E7B82"/>
    <w:lvl w:ilvl="0">
      <w:start w:val="1"/>
      <w:numFmt w:val="decimal"/>
      <w:lvlText w:val="%1."/>
      <w:lvlJc w:val="left"/>
      <w:pPr>
        <w:ind w:left="720" w:hanging="360"/>
      </w:pPr>
      <w:rPr>
        <w:b/>
        <w:bCs/>
      </w:rPr>
    </w:lvl>
    <w:lvl w:ilvl="1">
      <w:start w:val="1"/>
      <w:numFmt w:val="decimal"/>
      <w:isLgl/>
      <w:lvlText w:val="%1.%2."/>
      <w:lvlJc w:val="left"/>
      <w:pPr>
        <w:ind w:left="1440" w:hanging="108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25236F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2A276A"/>
    <w:multiLevelType w:val="hybridMultilevel"/>
    <w:tmpl w:val="737E2470"/>
    <w:lvl w:ilvl="0" w:tplc="275C51D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305A01"/>
    <w:multiLevelType w:val="hybridMultilevel"/>
    <w:tmpl w:val="260E59AE"/>
    <w:lvl w:ilvl="0" w:tplc="52F27714">
      <w:start w:val="57"/>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D0697"/>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2ED4153"/>
    <w:multiLevelType w:val="hybridMultilevel"/>
    <w:tmpl w:val="B596F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2022C5"/>
    <w:multiLevelType w:val="hybridMultilevel"/>
    <w:tmpl w:val="B6DE05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9521B9D"/>
    <w:multiLevelType w:val="multilevel"/>
    <w:tmpl w:val="0416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37" w15:restartNumberingAfterBreak="0">
    <w:nsid w:val="7B0307A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BFF3E54"/>
    <w:multiLevelType w:val="hybridMultilevel"/>
    <w:tmpl w:val="84B214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EBA76C7"/>
    <w:multiLevelType w:val="multilevel"/>
    <w:tmpl w:val="AADC6E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5702B"/>
    <w:multiLevelType w:val="hybridMultilevel"/>
    <w:tmpl w:val="CAF82200"/>
    <w:lvl w:ilvl="0" w:tplc="275C51D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7D22AD"/>
    <w:multiLevelType w:val="multilevel"/>
    <w:tmpl w:val="18A6E840"/>
    <w:lvl w:ilvl="0">
      <w:start w:val="2"/>
      <w:numFmt w:val="decimal"/>
      <w:lvlText w:val="%1."/>
      <w:lvlJc w:val="left"/>
      <w:pPr>
        <w:ind w:left="720" w:hanging="360"/>
      </w:pPr>
      <w:rPr>
        <w:rFonts w:hint="default"/>
      </w:rPr>
    </w:lvl>
    <w:lvl w:ilvl="1">
      <w:start w:val="1"/>
      <w:numFmt w:val="decimal"/>
      <w:lvlText w:val="%1.%2."/>
      <w:lvlJc w:val="left"/>
      <w:pPr>
        <w:ind w:left="1152" w:hanging="432"/>
      </w:pPr>
      <w:rPr>
        <w:rFonts w:hint="default"/>
        <w:b/>
        <w:bCs/>
      </w:rPr>
    </w:lvl>
    <w:lvl w:ilvl="2">
      <w:start w:val="1"/>
      <w:numFmt w:val="decimal"/>
      <w:lvlText w:val="%1.%2.%3."/>
      <w:lvlJc w:val="left"/>
      <w:pPr>
        <w:ind w:left="1584" w:hanging="504"/>
      </w:pPr>
      <w:rPr>
        <w:rFonts w:hint="default"/>
        <w:b/>
        <w:bCs/>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2" w15:restartNumberingAfterBreak="0">
    <w:nsid w:val="7F83100C"/>
    <w:multiLevelType w:val="hybridMultilevel"/>
    <w:tmpl w:val="8CAABE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6"/>
  </w:num>
  <w:num w:numId="3">
    <w:abstractNumId w:val="38"/>
  </w:num>
  <w:num w:numId="4">
    <w:abstractNumId w:val="11"/>
  </w:num>
  <w:num w:numId="5">
    <w:abstractNumId w:val="26"/>
  </w:num>
  <w:num w:numId="6">
    <w:abstractNumId w:val="7"/>
  </w:num>
  <w:num w:numId="7">
    <w:abstractNumId w:val="23"/>
  </w:num>
  <w:num w:numId="8">
    <w:abstractNumId w:val="31"/>
  </w:num>
  <w:num w:numId="9">
    <w:abstractNumId w:val="40"/>
  </w:num>
  <w:num w:numId="10">
    <w:abstractNumId w:val="13"/>
  </w:num>
  <w:num w:numId="11">
    <w:abstractNumId w:val="17"/>
  </w:num>
  <w:num w:numId="12">
    <w:abstractNumId w:val="22"/>
  </w:num>
  <w:num w:numId="13">
    <w:abstractNumId w:val="33"/>
  </w:num>
  <w:num w:numId="14">
    <w:abstractNumId w:val="12"/>
  </w:num>
  <w:num w:numId="15">
    <w:abstractNumId w:val="25"/>
  </w:num>
  <w:num w:numId="16">
    <w:abstractNumId w:val="5"/>
  </w:num>
  <w:num w:numId="17">
    <w:abstractNumId w:val="30"/>
  </w:num>
  <w:num w:numId="18">
    <w:abstractNumId w:val="37"/>
  </w:num>
  <w:num w:numId="19">
    <w:abstractNumId w:val="3"/>
  </w:num>
  <w:num w:numId="20">
    <w:abstractNumId w:val="10"/>
  </w:num>
  <w:num w:numId="21">
    <w:abstractNumId w:val="14"/>
  </w:num>
  <w:num w:numId="22">
    <w:abstractNumId w:val="27"/>
  </w:num>
  <w:num w:numId="23">
    <w:abstractNumId w:val="36"/>
  </w:num>
  <w:num w:numId="24">
    <w:abstractNumId w:val="0"/>
  </w:num>
  <w:num w:numId="25">
    <w:abstractNumId w:val="1"/>
  </w:num>
  <w:num w:numId="26">
    <w:abstractNumId w:val="16"/>
  </w:num>
  <w:num w:numId="27">
    <w:abstractNumId w:val="28"/>
  </w:num>
  <w:num w:numId="28">
    <w:abstractNumId w:val="8"/>
  </w:num>
  <w:num w:numId="29">
    <w:abstractNumId w:val="24"/>
  </w:num>
  <w:num w:numId="30">
    <w:abstractNumId w:val="4"/>
  </w:num>
  <w:num w:numId="31">
    <w:abstractNumId w:val="29"/>
  </w:num>
  <w:num w:numId="32">
    <w:abstractNumId w:val="35"/>
  </w:num>
  <w:num w:numId="33">
    <w:abstractNumId w:val="2"/>
  </w:num>
  <w:num w:numId="34">
    <w:abstractNumId w:val="21"/>
  </w:num>
  <w:num w:numId="35">
    <w:abstractNumId w:val="18"/>
  </w:num>
  <w:num w:numId="36">
    <w:abstractNumId w:val="34"/>
  </w:num>
  <w:num w:numId="37">
    <w:abstractNumId w:val="41"/>
  </w:num>
  <w:num w:numId="38">
    <w:abstractNumId w:val="42"/>
  </w:num>
  <w:num w:numId="39">
    <w:abstractNumId w:val="15"/>
  </w:num>
  <w:num w:numId="40">
    <w:abstractNumId w:val="39"/>
  </w:num>
  <w:num w:numId="41">
    <w:abstractNumId w:val="20"/>
  </w:num>
  <w:num w:numId="42">
    <w:abstractNumId w:val="9"/>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4D"/>
    <w:rsid w:val="00060F66"/>
    <w:rsid w:val="000E0133"/>
    <w:rsid w:val="000F6BBD"/>
    <w:rsid w:val="001A3F8F"/>
    <w:rsid w:val="002F2FC5"/>
    <w:rsid w:val="00356140"/>
    <w:rsid w:val="00384B58"/>
    <w:rsid w:val="003B4468"/>
    <w:rsid w:val="003F2B15"/>
    <w:rsid w:val="00443B8E"/>
    <w:rsid w:val="004E7F30"/>
    <w:rsid w:val="00513939"/>
    <w:rsid w:val="00515418"/>
    <w:rsid w:val="0052204D"/>
    <w:rsid w:val="00572FAC"/>
    <w:rsid w:val="00693288"/>
    <w:rsid w:val="006F7D7C"/>
    <w:rsid w:val="00713C42"/>
    <w:rsid w:val="00840428"/>
    <w:rsid w:val="009C006C"/>
    <w:rsid w:val="00A275F0"/>
    <w:rsid w:val="00AC37D7"/>
    <w:rsid w:val="00AE20BE"/>
    <w:rsid w:val="00B74865"/>
    <w:rsid w:val="00B87753"/>
    <w:rsid w:val="00D32DEB"/>
    <w:rsid w:val="00DC0A0B"/>
    <w:rsid w:val="00DD0146"/>
    <w:rsid w:val="00E42FA2"/>
    <w:rsid w:val="00F25B67"/>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0E1F5B"/>
  <w14:defaultImageDpi w14:val="32767"/>
  <w15:chartTrackingRefBased/>
  <w15:docId w15:val="{6176777B-5507-4D66-8988-17EFEC9A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04D"/>
    <w:pPr>
      <w:spacing w:after="0" w:line="240" w:lineRule="auto"/>
    </w:pPr>
    <w:rPr>
      <w:kern w:val="2"/>
      <w:sz w:val="24"/>
      <w:szCs w:val="24"/>
      <w14:ligatures w14:val="standardContextual"/>
    </w:rPr>
  </w:style>
  <w:style w:type="paragraph" w:styleId="Ttulo1">
    <w:name w:val="heading 1"/>
    <w:basedOn w:val="Normal"/>
    <w:next w:val="Normal"/>
    <w:link w:val="Ttulo1Char"/>
    <w:autoRedefine/>
    <w:uiPriority w:val="9"/>
    <w:qFormat/>
    <w:rsid w:val="00513939"/>
    <w:pPr>
      <w:keepNext/>
      <w:keepLines/>
      <w:spacing w:before="520" w:after="520" w:line="360" w:lineRule="auto"/>
      <w:outlineLvl w:val="0"/>
    </w:pPr>
    <w:rPr>
      <w:rFonts w:ascii="Times New Roman" w:eastAsiaTheme="majorEastAsia" w:hAnsi="Times New Roman" w:cstheme="majorBidi"/>
      <w:b/>
      <w:kern w:val="0"/>
      <w:szCs w:val="32"/>
      <w14:ligatures w14:val="none"/>
    </w:rPr>
  </w:style>
  <w:style w:type="paragraph" w:styleId="Ttulo2">
    <w:name w:val="heading 2"/>
    <w:basedOn w:val="Normal"/>
    <w:next w:val="Normal"/>
    <w:link w:val="Ttulo2Char"/>
    <w:autoRedefine/>
    <w:uiPriority w:val="9"/>
    <w:unhideWhenUsed/>
    <w:qFormat/>
    <w:rsid w:val="002F2FC5"/>
    <w:pPr>
      <w:keepNext/>
      <w:keepLines/>
      <w:spacing w:before="520" w:after="520" w:line="259" w:lineRule="auto"/>
      <w:outlineLvl w:val="1"/>
    </w:pPr>
    <w:rPr>
      <w:rFonts w:ascii="Times New Roman" w:eastAsiaTheme="majorEastAsia" w:hAnsi="Times New Roman" w:cstheme="majorBidi"/>
      <w:b/>
      <w:kern w:val="0"/>
      <w:szCs w:val="26"/>
      <w14:ligatures w14:val="none"/>
    </w:rPr>
  </w:style>
  <w:style w:type="paragraph" w:styleId="Ttulo3">
    <w:name w:val="heading 3"/>
    <w:basedOn w:val="Normal"/>
    <w:link w:val="Ttulo3Char"/>
    <w:uiPriority w:val="9"/>
    <w:qFormat/>
    <w:rsid w:val="00513939"/>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52204D"/>
    <w:pPr>
      <w:spacing w:after="0" w:line="240" w:lineRule="auto"/>
    </w:pPr>
    <w:rPr>
      <w:kern w:val="2"/>
      <w:sz w:val="24"/>
      <w:szCs w:val="24"/>
      <w:lang w:val="pt-B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52204D"/>
    <w:rPr>
      <w:b/>
      <w:bCs/>
    </w:rPr>
  </w:style>
  <w:style w:type="table" w:styleId="SimplesTabela2">
    <w:name w:val="Plain Table 2"/>
    <w:basedOn w:val="Tabelanormal"/>
    <w:uiPriority w:val="42"/>
    <w:rsid w:val="005220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argrafodaLista">
    <w:name w:val="List Paragraph"/>
    <w:basedOn w:val="Normal"/>
    <w:uiPriority w:val="34"/>
    <w:qFormat/>
    <w:rsid w:val="0052204D"/>
    <w:pPr>
      <w:spacing w:after="160" w:line="259" w:lineRule="auto"/>
      <w:ind w:left="720"/>
      <w:contextualSpacing/>
    </w:pPr>
    <w:rPr>
      <w:sz w:val="22"/>
      <w:szCs w:val="22"/>
      <w:lang w:val="pt-BR"/>
    </w:rPr>
  </w:style>
  <w:style w:type="paragraph" w:customStyle="1" w:styleId="ds-markdown-paragraph">
    <w:name w:val="ds-markdown-paragraph"/>
    <w:basedOn w:val="Normal"/>
    <w:rsid w:val="0052204D"/>
    <w:pPr>
      <w:spacing w:before="100" w:beforeAutospacing="1" w:after="100" w:afterAutospacing="1"/>
    </w:pPr>
    <w:rPr>
      <w:rFonts w:ascii="Times New Roman" w:eastAsia="Times New Roman" w:hAnsi="Times New Roman" w:cs="Times New Roman"/>
      <w:kern w:val="0"/>
      <w:lang w:val="pt-BR" w:eastAsia="pt-BR"/>
      <w14:ligatures w14:val="none"/>
    </w:rPr>
  </w:style>
  <w:style w:type="table" w:styleId="TabeladeLista1Clara">
    <w:name w:val="List Table 1 Light"/>
    <w:basedOn w:val="Tabelanormal"/>
    <w:uiPriority w:val="46"/>
    <w:rsid w:val="005220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52204D"/>
    <w:pPr>
      <w:spacing w:before="100" w:beforeAutospacing="1" w:after="100" w:afterAutospacing="1"/>
    </w:pPr>
    <w:rPr>
      <w:rFonts w:ascii="Times New Roman" w:eastAsia="Times New Roman" w:hAnsi="Times New Roman" w:cs="Times New Roman"/>
      <w:kern w:val="0"/>
      <w14:ligatures w14:val="none"/>
    </w:rPr>
  </w:style>
  <w:style w:type="character" w:styleId="nfase">
    <w:name w:val="Emphasis"/>
    <w:basedOn w:val="Fontepargpadro"/>
    <w:uiPriority w:val="20"/>
    <w:qFormat/>
    <w:rsid w:val="00A275F0"/>
    <w:rPr>
      <w:i/>
      <w:iCs/>
    </w:rPr>
  </w:style>
  <w:style w:type="character" w:styleId="TextodoEspaoReservado">
    <w:name w:val="Placeholder Text"/>
    <w:basedOn w:val="Fontepargpadro"/>
    <w:uiPriority w:val="99"/>
    <w:semiHidden/>
    <w:rsid w:val="00840428"/>
    <w:rPr>
      <w:color w:val="808080"/>
    </w:rPr>
  </w:style>
  <w:style w:type="character" w:customStyle="1" w:styleId="ms-1">
    <w:name w:val="ms-1"/>
    <w:basedOn w:val="Fontepargpadro"/>
    <w:rsid w:val="00840428"/>
  </w:style>
  <w:style w:type="character" w:customStyle="1" w:styleId="max-w-15ch">
    <w:name w:val="max-w-[15ch]"/>
    <w:basedOn w:val="Fontepargpadro"/>
    <w:rsid w:val="00840428"/>
  </w:style>
  <w:style w:type="character" w:styleId="Hyperlink">
    <w:name w:val="Hyperlink"/>
    <w:basedOn w:val="Fontepargpadro"/>
    <w:uiPriority w:val="99"/>
    <w:unhideWhenUsed/>
    <w:rsid w:val="00840428"/>
    <w:rPr>
      <w:color w:val="0000FF"/>
      <w:u w:val="single"/>
    </w:rPr>
  </w:style>
  <w:style w:type="paragraph" w:styleId="Cabealho">
    <w:name w:val="header"/>
    <w:basedOn w:val="Normal"/>
    <w:link w:val="CabealhoChar"/>
    <w:uiPriority w:val="99"/>
    <w:unhideWhenUsed/>
    <w:rsid w:val="00840428"/>
    <w:pPr>
      <w:tabs>
        <w:tab w:val="center" w:pos="4419"/>
        <w:tab w:val="right" w:pos="8838"/>
      </w:tabs>
      <w:jc w:val="both"/>
    </w:pPr>
    <w:rPr>
      <w:rFonts w:ascii="Times New Roman" w:hAnsi="Times New Roman"/>
      <w:kern w:val="0"/>
      <w:szCs w:val="22"/>
      <w14:ligatures w14:val="none"/>
    </w:rPr>
  </w:style>
  <w:style w:type="character" w:customStyle="1" w:styleId="CabealhoChar">
    <w:name w:val="Cabeçalho Char"/>
    <w:basedOn w:val="Fontepargpadro"/>
    <w:link w:val="Cabealho"/>
    <w:uiPriority w:val="99"/>
    <w:rsid w:val="00840428"/>
    <w:rPr>
      <w:rFonts w:ascii="Times New Roman" w:hAnsi="Times New Roman"/>
      <w:sz w:val="24"/>
    </w:rPr>
  </w:style>
  <w:style w:type="paragraph" w:styleId="Rodap">
    <w:name w:val="footer"/>
    <w:basedOn w:val="Normal"/>
    <w:link w:val="RodapChar"/>
    <w:uiPriority w:val="99"/>
    <w:unhideWhenUsed/>
    <w:rsid w:val="00840428"/>
    <w:pPr>
      <w:tabs>
        <w:tab w:val="center" w:pos="4419"/>
        <w:tab w:val="right" w:pos="8838"/>
      </w:tabs>
      <w:jc w:val="both"/>
    </w:pPr>
    <w:rPr>
      <w:rFonts w:ascii="Times New Roman" w:hAnsi="Times New Roman"/>
      <w:kern w:val="0"/>
      <w:szCs w:val="22"/>
      <w14:ligatures w14:val="none"/>
    </w:rPr>
  </w:style>
  <w:style w:type="character" w:customStyle="1" w:styleId="RodapChar">
    <w:name w:val="Rodapé Char"/>
    <w:basedOn w:val="Fontepargpadro"/>
    <w:link w:val="Rodap"/>
    <w:uiPriority w:val="99"/>
    <w:rsid w:val="00840428"/>
    <w:rPr>
      <w:rFonts w:ascii="Times New Roman" w:hAnsi="Times New Roman"/>
      <w:sz w:val="24"/>
    </w:rPr>
  </w:style>
  <w:style w:type="character" w:customStyle="1" w:styleId="TextodecomentrioChar">
    <w:name w:val="Texto de comentário Char"/>
    <w:basedOn w:val="Fontepargpadro"/>
    <w:link w:val="Textodecomentrio"/>
    <w:uiPriority w:val="99"/>
    <w:semiHidden/>
    <w:rsid w:val="00840428"/>
    <w:rPr>
      <w:sz w:val="20"/>
      <w:szCs w:val="20"/>
      <w:lang w:val="pt-BR"/>
    </w:rPr>
  </w:style>
  <w:style w:type="paragraph" w:styleId="Textodecomentrio">
    <w:name w:val="annotation text"/>
    <w:basedOn w:val="Normal"/>
    <w:link w:val="TextodecomentrioChar"/>
    <w:uiPriority w:val="99"/>
    <w:semiHidden/>
    <w:unhideWhenUsed/>
    <w:rsid w:val="00840428"/>
    <w:pPr>
      <w:spacing w:after="160"/>
      <w:jc w:val="both"/>
    </w:pPr>
    <w:rPr>
      <w:kern w:val="0"/>
      <w:sz w:val="20"/>
      <w:szCs w:val="20"/>
      <w:lang w:val="pt-BR"/>
      <w14:ligatures w14:val="none"/>
    </w:rPr>
  </w:style>
  <w:style w:type="character" w:customStyle="1" w:styleId="TextodecomentrioChar1">
    <w:name w:val="Texto de comentário Char1"/>
    <w:basedOn w:val="Fontepargpadro"/>
    <w:uiPriority w:val="99"/>
    <w:semiHidden/>
    <w:rsid w:val="00840428"/>
    <w:rPr>
      <w:kern w:val="2"/>
      <w:sz w:val="20"/>
      <w:szCs w:val="20"/>
      <w14:ligatures w14:val="standardContextual"/>
    </w:rPr>
  </w:style>
  <w:style w:type="character" w:customStyle="1" w:styleId="AssuntodocomentrioChar">
    <w:name w:val="Assunto do comentário Char"/>
    <w:basedOn w:val="TextodecomentrioChar"/>
    <w:link w:val="Assuntodocomentrio"/>
    <w:uiPriority w:val="99"/>
    <w:semiHidden/>
    <w:rsid w:val="00840428"/>
    <w:rPr>
      <w:b/>
      <w:bCs/>
      <w:sz w:val="20"/>
      <w:szCs w:val="20"/>
      <w:lang w:val="pt-BR"/>
    </w:rPr>
  </w:style>
  <w:style w:type="paragraph" w:styleId="Assuntodocomentrio">
    <w:name w:val="annotation subject"/>
    <w:basedOn w:val="Textodecomentrio"/>
    <w:next w:val="Textodecomentrio"/>
    <w:link w:val="AssuntodocomentrioChar"/>
    <w:uiPriority w:val="99"/>
    <w:semiHidden/>
    <w:unhideWhenUsed/>
    <w:rsid w:val="00840428"/>
    <w:rPr>
      <w:b/>
      <w:bCs/>
    </w:rPr>
  </w:style>
  <w:style w:type="character" w:customStyle="1" w:styleId="AssuntodocomentrioChar1">
    <w:name w:val="Assunto do comentário Char1"/>
    <w:basedOn w:val="TextodecomentrioChar1"/>
    <w:uiPriority w:val="99"/>
    <w:semiHidden/>
    <w:rsid w:val="00840428"/>
    <w:rPr>
      <w:b/>
      <w:bCs/>
      <w:kern w:val="2"/>
      <w:sz w:val="20"/>
      <w:szCs w:val="20"/>
      <w14:ligatures w14:val="standardContextual"/>
    </w:rPr>
  </w:style>
  <w:style w:type="table" w:styleId="TabeladeLista1Clara-nfase3">
    <w:name w:val="List Table 1 Light Accent 3"/>
    <w:basedOn w:val="Tabelanormal"/>
    <w:uiPriority w:val="46"/>
    <w:rsid w:val="008404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upe">
    <w:name w:val="_aupe"/>
    <w:basedOn w:val="Fontepargpadro"/>
    <w:rsid w:val="00840428"/>
  </w:style>
  <w:style w:type="character" w:styleId="Refdecomentrio">
    <w:name w:val="annotation reference"/>
    <w:basedOn w:val="Fontepargpadro"/>
    <w:uiPriority w:val="99"/>
    <w:semiHidden/>
    <w:unhideWhenUsed/>
    <w:rsid w:val="00840428"/>
    <w:rPr>
      <w:sz w:val="16"/>
      <w:szCs w:val="16"/>
    </w:rPr>
  </w:style>
  <w:style w:type="paragraph" w:styleId="Reviso">
    <w:name w:val="Revision"/>
    <w:hidden/>
    <w:uiPriority w:val="99"/>
    <w:semiHidden/>
    <w:rsid w:val="00840428"/>
    <w:pPr>
      <w:spacing w:after="0" w:line="240" w:lineRule="auto"/>
    </w:pPr>
  </w:style>
  <w:style w:type="character" w:customStyle="1" w:styleId="Ttulo2Char">
    <w:name w:val="Título 2 Char"/>
    <w:basedOn w:val="Fontepargpadro"/>
    <w:link w:val="Ttulo2"/>
    <w:uiPriority w:val="9"/>
    <w:rsid w:val="002F2FC5"/>
    <w:rPr>
      <w:rFonts w:ascii="Times New Roman" w:eastAsiaTheme="majorEastAsia" w:hAnsi="Times New Roman" w:cstheme="majorBidi"/>
      <w:b/>
      <w:sz w:val="24"/>
      <w:szCs w:val="26"/>
    </w:rPr>
  </w:style>
  <w:style w:type="paragraph" w:customStyle="1" w:styleId="Dissertao">
    <w:name w:val="Dissertação"/>
    <w:basedOn w:val="Normal"/>
    <w:link w:val="DissertaoChar"/>
    <w:qFormat/>
    <w:rsid w:val="002F2FC5"/>
    <w:pPr>
      <w:spacing w:after="160" w:line="360" w:lineRule="auto"/>
    </w:pPr>
    <w:rPr>
      <w:rFonts w:ascii="Times New Roman" w:hAnsi="Times New Roman" w:cs="Times New Roman"/>
      <w:kern w:val="0"/>
      <w:lang w:val="pt-BR"/>
      <w14:ligatures w14:val="none"/>
    </w:rPr>
  </w:style>
  <w:style w:type="character" w:customStyle="1" w:styleId="DissertaoChar">
    <w:name w:val="Dissertação Char"/>
    <w:basedOn w:val="Fontepargpadro"/>
    <w:link w:val="Dissertao"/>
    <w:rsid w:val="002F2FC5"/>
    <w:rPr>
      <w:rFonts w:ascii="Times New Roman" w:hAnsi="Times New Roman" w:cs="Times New Roman"/>
      <w:sz w:val="24"/>
      <w:szCs w:val="24"/>
      <w:lang w:val="pt-BR"/>
    </w:rPr>
  </w:style>
  <w:style w:type="character" w:customStyle="1" w:styleId="Ttulo1Char">
    <w:name w:val="Título 1 Char"/>
    <w:basedOn w:val="Fontepargpadro"/>
    <w:link w:val="Ttulo1"/>
    <w:uiPriority w:val="9"/>
    <w:rsid w:val="00513939"/>
    <w:rPr>
      <w:rFonts w:ascii="Times New Roman" w:eastAsiaTheme="majorEastAsia" w:hAnsi="Times New Roman" w:cstheme="majorBidi"/>
      <w:b/>
      <w:sz w:val="24"/>
      <w:szCs w:val="32"/>
    </w:rPr>
  </w:style>
  <w:style w:type="character" w:customStyle="1" w:styleId="Ttulo3Char">
    <w:name w:val="Título 3 Char"/>
    <w:basedOn w:val="Fontepargpadro"/>
    <w:link w:val="Ttulo3"/>
    <w:uiPriority w:val="9"/>
    <w:rsid w:val="00513939"/>
    <w:rPr>
      <w:rFonts w:ascii="Times New Roman" w:eastAsia="Times New Roman" w:hAnsi="Times New Roman" w:cs="Times New Roman"/>
      <w:b/>
      <w:bCs/>
      <w:sz w:val="27"/>
      <w:szCs w:val="27"/>
    </w:rPr>
  </w:style>
  <w:style w:type="table" w:styleId="SimplesTabela1">
    <w:name w:val="Plain Table 1"/>
    <w:basedOn w:val="Tabelanormal"/>
    <w:uiPriority w:val="41"/>
    <w:rsid w:val="00513939"/>
    <w:pPr>
      <w:spacing w:after="0" w:line="240" w:lineRule="auto"/>
      <w:ind w:firstLine="709"/>
    </w:pPr>
    <w:rPr>
      <w:lang w:val="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emlista1">
    <w:name w:val="Sem lista1"/>
    <w:next w:val="Semlista"/>
    <w:uiPriority w:val="99"/>
    <w:semiHidden/>
    <w:unhideWhenUsed/>
    <w:rsid w:val="00513939"/>
  </w:style>
  <w:style w:type="table" w:customStyle="1" w:styleId="Tabelacomgrade1">
    <w:name w:val="Tabela com grade1"/>
    <w:basedOn w:val="Tabelanormal"/>
    <w:next w:val="Tabelacomgrade"/>
    <w:uiPriority w:val="39"/>
    <w:rsid w:val="00513939"/>
    <w:pPr>
      <w:spacing w:after="0" w:line="240" w:lineRule="auto"/>
    </w:pPr>
    <w:rPr>
      <w:kern w:val="2"/>
      <w:sz w:val="24"/>
      <w:szCs w:val="24"/>
      <w:lang w:val="pt-B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21">
    <w:name w:val="Simples Tabela 21"/>
    <w:basedOn w:val="Tabelanormal"/>
    <w:next w:val="SimplesTabela2"/>
    <w:uiPriority w:val="42"/>
    <w:rsid w:val="005139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deLista1Clara1">
    <w:name w:val="Tabela de Lista 1 Clara1"/>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2">
    <w:name w:val="Tabela de Lista 1 Clara2"/>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Semlista2">
    <w:name w:val="Sem lista2"/>
    <w:next w:val="Semlista"/>
    <w:uiPriority w:val="99"/>
    <w:semiHidden/>
    <w:unhideWhenUsed/>
    <w:rsid w:val="00513939"/>
  </w:style>
  <w:style w:type="table" w:customStyle="1" w:styleId="Tabelacomgrade2">
    <w:name w:val="Tabela com grade2"/>
    <w:basedOn w:val="Tabelanormal"/>
    <w:next w:val="Tabelacomgrade"/>
    <w:uiPriority w:val="39"/>
    <w:rsid w:val="00513939"/>
    <w:pPr>
      <w:spacing w:after="0" w:line="240" w:lineRule="auto"/>
    </w:pPr>
    <w:rPr>
      <w:kern w:val="2"/>
      <w:sz w:val="24"/>
      <w:szCs w:val="24"/>
      <w:lang w:val="pt-B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Tabela22">
    <w:name w:val="Simples Tabela 22"/>
    <w:basedOn w:val="Tabelanormal"/>
    <w:next w:val="SimplesTabela2"/>
    <w:uiPriority w:val="42"/>
    <w:rsid w:val="005139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deLista1Clara3">
    <w:name w:val="Tabela de Lista 1 Clara3"/>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nfase31">
    <w:name w:val="Tabela de Lista 1 Clara - Ênfase 31"/>
    <w:basedOn w:val="Tabelanormal"/>
    <w:next w:val="TabeladeLista1Clara-nfase3"/>
    <w:uiPriority w:val="46"/>
    <w:rsid w:val="0051393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SimplesTabela11">
    <w:name w:val="Simples Tabela 11"/>
    <w:basedOn w:val="Tabelanormal"/>
    <w:next w:val="SimplesTabela1"/>
    <w:uiPriority w:val="41"/>
    <w:rsid w:val="00513939"/>
    <w:pPr>
      <w:spacing w:after="0" w:line="240" w:lineRule="auto"/>
      <w:ind w:firstLine="709"/>
    </w:pPr>
    <w:rPr>
      <w:lang w:val="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tulo">
    <w:name w:val="Subtitle"/>
    <w:basedOn w:val="Normal"/>
    <w:next w:val="Normal"/>
    <w:link w:val="SubttuloChar"/>
    <w:autoRedefine/>
    <w:uiPriority w:val="11"/>
    <w:qFormat/>
    <w:rsid w:val="00513939"/>
    <w:pPr>
      <w:spacing w:before="240" w:after="400" w:line="259" w:lineRule="auto"/>
    </w:pPr>
    <w:rPr>
      <w:rFonts w:ascii="Times New Roman" w:eastAsiaTheme="minorEastAsia" w:hAnsi="Times New Roman"/>
      <w:b/>
      <w:kern w:val="0"/>
      <w:szCs w:val="22"/>
      <w14:ligatures w14:val="none"/>
    </w:rPr>
  </w:style>
  <w:style w:type="character" w:customStyle="1" w:styleId="SubttuloChar">
    <w:name w:val="Subtítulo Char"/>
    <w:basedOn w:val="Fontepargpadro"/>
    <w:link w:val="Subttulo"/>
    <w:uiPriority w:val="11"/>
    <w:rsid w:val="00513939"/>
    <w:rPr>
      <w:rFonts w:ascii="Times New Roman" w:eastAsiaTheme="minorEastAsia" w:hAnsi="Times New Roman"/>
      <w:b/>
      <w:sz w:val="24"/>
    </w:rPr>
  </w:style>
  <w:style w:type="paragraph" w:styleId="CabealhodoSumrio">
    <w:name w:val="TOC Heading"/>
    <w:basedOn w:val="Ttulo1"/>
    <w:next w:val="Normal"/>
    <w:uiPriority w:val="39"/>
    <w:unhideWhenUsed/>
    <w:qFormat/>
    <w:rsid w:val="00513939"/>
    <w:pPr>
      <w:outlineLvl w:val="9"/>
    </w:pPr>
    <w:rPr>
      <w:rFonts w:asciiTheme="majorHAnsi" w:hAnsiTheme="majorHAnsi"/>
      <w:b w:val="0"/>
      <w:color w:val="2F5496" w:themeColor="accent1" w:themeShade="BF"/>
      <w:sz w:val="32"/>
    </w:rPr>
  </w:style>
  <w:style w:type="paragraph" w:styleId="Sumrio3">
    <w:name w:val="toc 3"/>
    <w:basedOn w:val="Normal"/>
    <w:next w:val="Normal"/>
    <w:autoRedefine/>
    <w:uiPriority w:val="39"/>
    <w:unhideWhenUsed/>
    <w:rsid w:val="00513939"/>
    <w:pPr>
      <w:tabs>
        <w:tab w:val="right" w:leader="dot" w:pos="9061"/>
      </w:tabs>
      <w:spacing w:after="100" w:line="360" w:lineRule="auto"/>
      <w:jc w:val="both"/>
    </w:pPr>
    <w:rPr>
      <w:rFonts w:ascii="Times New Roman" w:hAnsi="Times New Roman" w:cs="Times New Roman"/>
      <w:b/>
      <w:bCs/>
      <w:noProof/>
      <w:kern w:val="0"/>
      <w:lang w:val="pt-BR"/>
      <w14:ligatures w14:val="none"/>
    </w:rPr>
  </w:style>
  <w:style w:type="paragraph" w:styleId="Sumrio1">
    <w:name w:val="toc 1"/>
    <w:basedOn w:val="Normal"/>
    <w:next w:val="Normal"/>
    <w:autoRedefine/>
    <w:uiPriority w:val="39"/>
    <w:unhideWhenUsed/>
    <w:rsid w:val="00513939"/>
    <w:pPr>
      <w:tabs>
        <w:tab w:val="right" w:leader="dot" w:pos="9061"/>
      </w:tabs>
      <w:spacing w:after="100" w:line="360" w:lineRule="auto"/>
    </w:pPr>
    <w:rPr>
      <w:rFonts w:ascii="Times New Roman" w:hAnsi="Times New Roman" w:cs="Times New Roman"/>
      <w:b/>
      <w:bCs/>
      <w:noProof/>
      <w:kern w:val="0"/>
      <w:lang w:val="pt-BR"/>
      <w14:ligatures w14:val="none"/>
    </w:rPr>
  </w:style>
  <w:style w:type="paragraph" w:styleId="Sumrio2">
    <w:name w:val="toc 2"/>
    <w:basedOn w:val="Normal"/>
    <w:next w:val="Normal"/>
    <w:autoRedefine/>
    <w:uiPriority w:val="39"/>
    <w:unhideWhenUsed/>
    <w:rsid w:val="00513939"/>
    <w:pPr>
      <w:spacing w:after="100" w:line="259" w:lineRule="auto"/>
      <w:ind w:left="220"/>
    </w:pPr>
    <w:rPr>
      <w:kern w:val="0"/>
      <w:sz w:val="22"/>
      <w:szCs w:val="22"/>
      <w:lang w:val="pt-BR"/>
      <w14:ligatures w14:val="none"/>
    </w:rPr>
  </w:style>
  <w:style w:type="table" w:customStyle="1" w:styleId="TabeladeLista1Clara4">
    <w:name w:val="Tabela de Lista 1 Clara4"/>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5">
    <w:name w:val="Tabela de Lista 1 Clara5"/>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6">
    <w:name w:val="Tabela de Lista 1 Clara6"/>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7">
    <w:name w:val="Tabela de Lista 1 Clara7"/>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1Clara8">
    <w:name w:val="Tabela de Lista 1 Clara8"/>
    <w:basedOn w:val="Tabelanormal"/>
    <w:next w:val="TabeladeLista1Clara"/>
    <w:uiPriority w:val="46"/>
    <w:rsid w:val="0051393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6504">
      <w:bodyDiv w:val="1"/>
      <w:marLeft w:val="0"/>
      <w:marRight w:val="0"/>
      <w:marTop w:val="0"/>
      <w:marBottom w:val="0"/>
      <w:divBdr>
        <w:top w:val="none" w:sz="0" w:space="0" w:color="auto"/>
        <w:left w:val="none" w:sz="0" w:space="0" w:color="auto"/>
        <w:bottom w:val="none" w:sz="0" w:space="0" w:color="auto"/>
        <w:right w:val="none" w:sz="0" w:space="0" w:color="auto"/>
      </w:divBdr>
    </w:div>
    <w:div w:id="45573045">
      <w:bodyDiv w:val="1"/>
      <w:marLeft w:val="0"/>
      <w:marRight w:val="0"/>
      <w:marTop w:val="0"/>
      <w:marBottom w:val="0"/>
      <w:divBdr>
        <w:top w:val="none" w:sz="0" w:space="0" w:color="auto"/>
        <w:left w:val="none" w:sz="0" w:space="0" w:color="auto"/>
        <w:bottom w:val="none" w:sz="0" w:space="0" w:color="auto"/>
        <w:right w:val="none" w:sz="0" w:space="0" w:color="auto"/>
      </w:divBdr>
    </w:div>
    <w:div w:id="95251699">
      <w:bodyDiv w:val="1"/>
      <w:marLeft w:val="0"/>
      <w:marRight w:val="0"/>
      <w:marTop w:val="0"/>
      <w:marBottom w:val="0"/>
      <w:divBdr>
        <w:top w:val="none" w:sz="0" w:space="0" w:color="auto"/>
        <w:left w:val="none" w:sz="0" w:space="0" w:color="auto"/>
        <w:bottom w:val="none" w:sz="0" w:space="0" w:color="auto"/>
        <w:right w:val="none" w:sz="0" w:space="0" w:color="auto"/>
      </w:divBdr>
    </w:div>
    <w:div w:id="124392854">
      <w:bodyDiv w:val="1"/>
      <w:marLeft w:val="0"/>
      <w:marRight w:val="0"/>
      <w:marTop w:val="0"/>
      <w:marBottom w:val="0"/>
      <w:divBdr>
        <w:top w:val="none" w:sz="0" w:space="0" w:color="auto"/>
        <w:left w:val="none" w:sz="0" w:space="0" w:color="auto"/>
        <w:bottom w:val="none" w:sz="0" w:space="0" w:color="auto"/>
        <w:right w:val="none" w:sz="0" w:space="0" w:color="auto"/>
      </w:divBdr>
    </w:div>
    <w:div w:id="132868436">
      <w:bodyDiv w:val="1"/>
      <w:marLeft w:val="0"/>
      <w:marRight w:val="0"/>
      <w:marTop w:val="0"/>
      <w:marBottom w:val="0"/>
      <w:divBdr>
        <w:top w:val="none" w:sz="0" w:space="0" w:color="auto"/>
        <w:left w:val="none" w:sz="0" w:space="0" w:color="auto"/>
        <w:bottom w:val="none" w:sz="0" w:space="0" w:color="auto"/>
        <w:right w:val="none" w:sz="0" w:space="0" w:color="auto"/>
      </w:divBdr>
    </w:div>
    <w:div w:id="140465967">
      <w:bodyDiv w:val="1"/>
      <w:marLeft w:val="0"/>
      <w:marRight w:val="0"/>
      <w:marTop w:val="0"/>
      <w:marBottom w:val="0"/>
      <w:divBdr>
        <w:top w:val="none" w:sz="0" w:space="0" w:color="auto"/>
        <w:left w:val="none" w:sz="0" w:space="0" w:color="auto"/>
        <w:bottom w:val="none" w:sz="0" w:space="0" w:color="auto"/>
        <w:right w:val="none" w:sz="0" w:space="0" w:color="auto"/>
      </w:divBdr>
    </w:div>
    <w:div w:id="152448971">
      <w:bodyDiv w:val="1"/>
      <w:marLeft w:val="0"/>
      <w:marRight w:val="0"/>
      <w:marTop w:val="0"/>
      <w:marBottom w:val="0"/>
      <w:divBdr>
        <w:top w:val="none" w:sz="0" w:space="0" w:color="auto"/>
        <w:left w:val="none" w:sz="0" w:space="0" w:color="auto"/>
        <w:bottom w:val="none" w:sz="0" w:space="0" w:color="auto"/>
        <w:right w:val="none" w:sz="0" w:space="0" w:color="auto"/>
      </w:divBdr>
    </w:div>
    <w:div w:id="186335041">
      <w:bodyDiv w:val="1"/>
      <w:marLeft w:val="0"/>
      <w:marRight w:val="0"/>
      <w:marTop w:val="0"/>
      <w:marBottom w:val="0"/>
      <w:divBdr>
        <w:top w:val="none" w:sz="0" w:space="0" w:color="auto"/>
        <w:left w:val="none" w:sz="0" w:space="0" w:color="auto"/>
        <w:bottom w:val="none" w:sz="0" w:space="0" w:color="auto"/>
        <w:right w:val="none" w:sz="0" w:space="0" w:color="auto"/>
      </w:divBdr>
    </w:div>
    <w:div w:id="193083664">
      <w:bodyDiv w:val="1"/>
      <w:marLeft w:val="0"/>
      <w:marRight w:val="0"/>
      <w:marTop w:val="0"/>
      <w:marBottom w:val="0"/>
      <w:divBdr>
        <w:top w:val="none" w:sz="0" w:space="0" w:color="auto"/>
        <w:left w:val="none" w:sz="0" w:space="0" w:color="auto"/>
        <w:bottom w:val="none" w:sz="0" w:space="0" w:color="auto"/>
        <w:right w:val="none" w:sz="0" w:space="0" w:color="auto"/>
      </w:divBdr>
    </w:div>
    <w:div w:id="221917021">
      <w:bodyDiv w:val="1"/>
      <w:marLeft w:val="0"/>
      <w:marRight w:val="0"/>
      <w:marTop w:val="0"/>
      <w:marBottom w:val="0"/>
      <w:divBdr>
        <w:top w:val="none" w:sz="0" w:space="0" w:color="auto"/>
        <w:left w:val="none" w:sz="0" w:space="0" w:color="auto"/>
        <w:bottom w:val="none" w:sz="0" w:space="0" w:color="auto"/>
        <w:right w:val="none" w:sz="0" w:space="0" w:color="auto"/>
      </w:divBdr>
    </w:div>
    <w:div w:id="237520348">
      <w:bodyDiv w:val="1"/>
      <w:marLeft w:val="0"/>
      <w:marRight w:val="0"/>
      <w:marTop w:val="0"/>
      <w:marBottom w:val="0"/>
      <w:divBdr>
        <w:top w:val="none" w:sz="0" w:space="0" w:color="auto"/>
        <w:left w:val="none" w:sz="0" w:space="0" w:color="auto"/>
        <w:bottom w:val="none" w:sz="0" w:space="0" w:color="auto"/>
        <w:right w:val="none" w:sz="0" w:space="0" w:color="auto"/>
      </w:divBdr>
    </w:div>
    <w:div w:id="423260912">
      <w:bodyDiv w:val="1"/>
      <w:marLeft w:val="0"/>
      <w:marRight w:val="0"/>
      <w:marTop w:val="0"/>
      <w:marBottom w:val="0"/>
      <w:divBdr>
        <w:top w:val="none" w:sz="0" w:space="0" w:color="auto"/>
        <w:left w:val="none" w:sz="0" w:space="0" w:color="auto"/>
        <w:bottom w:val="none" w:sz="0" w:space="0" w:color="auto"/>
        <w:right w:val="none" w:sz="0" w:space="0" w:color="auto"/>
      </w:divBdr>
    </w:div>
    <w:div w:id="450520693">
      <w:bodyDiv w:val="1"/>
      <w:marLeft w:val="0"/>
      <w:marRight w:val="0"/>
      <w:marTop w:val="0"/>
      <w:marBottom w:val="0"/>
      <w:divBdr>
        <w:top w:val="none" w:sz="0" w:space="0" w:color="auto"/>
        <w:left w:val="none" w:sz="0" w:space="0" w:color="auto"/>
        <w:bottom w:val="none" w:sz="0" w:space="0" w:color="auto"/>
        <w:right w:val="none" w:sz="0" w:space="0" w:color="auto"/>
      </w:divBdr>
    </w:div>
    <w:div w:id="476654188">
      <w:bodyDiv w:val="1"/>
      <w:marLeft w:val="0"/>
      <w:marRight w:val="0"/>
      <w:marTop w:val="0"/>
      <w:marBottom w:val="0"/>
      <w:divBdr>
        <w:top w:val="none" w:sz="0" w:space="0" w:color="auto"/>
        <w:left w:val="none" w:sz="0" w:space="0" w:color="auto"/>
        <w:bottom w:val="none" w:sz="0" w:space="0" w:color="auto"/>
        <w:right w:val="none" w:sz="0" w:space="0" w:color="auto"/>
      </w:divBdr>
    </w:div>
    <w:div w:id="480512188">
      <w:bodyDiv w:val="1"/>
      <w:marLeft w:val="0"/>
      <w:marRight w:val="0"/>
      <w:marTop w:val="0"/>
      <w:marBottom w:val="0"/>
      <w:divBdr>
        <w:top w:val="none" w:sz="0" w:space="0" w:color="auto"/>
        <w:left w:val="none" w:sz="0" w:space="0" w:color="auto"/>
        <w:bottom w:val="none" w:sz="0" w:space="0" w:color="auto"/>
        <w:right w:val="none" w:sz="0" w:space="0" w:color="auto"/>
      </w:divBdr>
    </w:div>
    <w:div w:id="490292214">
      <w:bodyDiv w:val="1"/>
      <w:marLeft w:val="0"/>
      <w:marRight w:val="0"/>
      <w:marTop w:val="0"/>
      <w:marBottom w:val="0"/>
      <w:divBdr>
        <w:top w:val="none" w:sz="0" w:space="0" w:color="auto"/>
        <w:left w:val="none" w:sz="0" w:space="0" w:color="auto"/>
        <w:bottom w:val="none" w:sz="0" w:space="0" w:color="auto"/>
        <w:right w:val="none" w:sz="0" w:space="0" w:color="auto"/>
      </w:divBdr>
    </w:div>
    <w:div w:id="528907727">
      <w:bodyDiv w:val="1"/>
      <w:marLeft w:val="0"/>
      <w:marRight w:val="0"/>
      <w:marTop w:val="0"/>
      <w:marBottom w:val="0"/>
      <w:divBdr>
        <w:top w:val="none" w:sz="0" w:space="0" w:color="auto"/>
        <w:left w:val="none" w:sz="0" w:space="0" w:color="auto"/>
        <w:bottom w:val="none" w:sz="0" w:space="0" w:color="auto"/>
        <w:right w:val="none" w:sz="0" w:space="0" w:color="auto"/>
      </w:divBdr>
    </w:div>
    <w:div w:id="620067467">
      <w:bodyDiv w:val="1"/>
      <w:marLeft w:val="0"/>
      <w:marRight w:val="0"/>
      <w:marTop w:val="0"/>
      <w:marBottom w:val="0"/>
      <w:divBdr>
        <w:top w:val="none" w:sz="0" w:space="0" w:color="auto"/>
        <w:left w:val="none" w:sz="0" w:space="0" w:color="auto"/>
        <w:bottom w:val="none" w:sz="0" w:space="0" w:color="auto"/>
        <w:right w:val="none" w:sz="0" w:space="0" w:color="auto"/>
      </w:divBdr>
    </w:div>
    <w:div w:id="624239715">
      <w:bodyDiv w:val="1"/>
      <w:marLeft w:val="0"/>
      <w:marRight w:val="0"/>
      <w:marTop w:val="0"/>
      <w:marBottom w:val="0"/>
      <w:divBdr>
        <w:top w:val="none" w:sz="0" w:space="0" w:color="auto"/>
        <w:left w:val="none" w:sz="0" w:space="0" w:color="auto"/>
        <w:bottom w:val="none" w:sz="0" w:space="0" w:color="auto"/>
        <w:right w:val="none" w:sz="0" w:space="0" w:color="auto"/>
      </w:divBdr>
    </w:div>
    <w:div w:id="638148521">
      <w:bodyDiv w:val="1"/>
      <w:marLeft w:val="0"/>
      <w:marRight w:val="0"/>
      <w:marTop w:val="0"/>
      <w:marBottom w:val="0"/>
      <w:divBdr>
        <w:top w:val="none" w:sz="0" w:space="0" w:color="auto"/>
        <w:left w:val="none" w:sz="0" w:space="0" w:color="auto"/>
        <w:bottom w:val="none" w:sz="0" w:space="0" w:color="auto"/>
        <w:right w:val="none" w:sz="0" w:space="0" w:color="auto"/>
      </w:divBdr>
    </w:div>
    <w:div w:id="662122590">
      <w:bodyDiv w:val="1"/>
      <w:marLeft w:val="0"/>
      <w:marRight w:val="0"/>
      <w:marTop w:val="0"/>
      <w:marBottom w:val="0"/>
      <w:divBdr>
        <w:top w:val="none" w:sz="0" w:space="0" w:color="auto"/>
        <w:left w:val="none" w:sz="0" w:space="0" w:color="auto"/>
        <w:bottom w:val="none" w:sz="0" w:space="0" w:color="auto"/>
        <w:right w:val="none" w:sz="0" w:space="0" w:color="auto"/>
      </w:divBdr>
    </w:div>
    <w:div w:id="681202832">
      <w:bodyDiv w:val="1"/>
      <w:marLeft w:val="0"/>
      <w:marRight w:val="0"/>
      <w:marTop w:val="0"/>
      <w:marBottom w:val="0"/>
      <w:divBdr>
        <w:top w:val="none" w:sz="0" w:space="0" w:color="auto"/>
        <w:left w:val="none" w:sz="0" w:space="0" w:color="auto"/>
        <w:bottom w:val="none" w:sz="0" w:space="0" w:color="auto"/>
        <w:right w:val="none" w:sz="0" w:space="0" w:color="auto"/>
      </w:divBdr>
    </w:div>
    <w:div w:id="693072856">
      <w:bodyDiv w:val="1"/>
      <w:marLeft w:val="0"/>
      <w:marRight w:val="0"/>
      <w:marTop w:val="0"/>
      <w:marBottom w:val="0"/>
      <w:divBdr>
        <w:top w:val="none" w:sz="0" w:space="0" w:color="auto"/>
        <w:left w:val="none" w:sz="0" w:space="0" w:color="auto"/>
        <w:bottom w:val="none" w:sz="0" w:space="0" w:color="auto"/>
        <w:right w:val="none" w:sz="0" w:space="0" w:color="auto"/>
      </w:divBdr>
    </w:div>
    <w:div w:id="697707553">
      <w:bodyDiv w:val="1"/>
      <w:marLeft w:val="0"/>
      <w:marRight w:val="0"/>
      <w:marTop w:val="0"/>
      <w:marBottom w:val="0"/>
      <w:divBdr>
        <w:top w:val="none" w:sz="0" w:space="0" w:color="auto"/>
        <w:left w:val="none" w:sz="0" w:space="0" w:color="auto"/>
        <w:bottom w:val="none" w:sz="0" w:space="0" w:color="auto"/>
        <w:right w:val="none" w:sz="0" w:space="0" w:color="auto"/>
      </w:divBdr>
    </w:div>
    <w:div w:id="709457348">
      <w:bodyDiv w:val="1"/>
      <w:marLeft w:val="0"/>
      <w:marRight w:val="0"/>
      <w:marTop w:val="0"/>
      <w:marBottom w:val="0"/>
      <w:divBdr>
        <w:top w:val="none" w:sz="0" w:space="0" w:color="auto"/>
        <w:left w:val="none" w:sz="0" w:space="0" w:color="auto"/>
        <w:bottom w:val="none" w:sz="0" w:space="0" w:color="auto"/>
        <w:right w:val="none" w:sz="0" w:space="0" w:color="auto"/>
      </w:divBdr>
    </w:div>
    <w:div w:id="720056892">
      <w:bodyDiv w:val="1"/>
      <w:marLeft w:val="0"/>
      <w:marRight w:val="0"/>
      <w:marTop w:val="0"/>
      <w:marBottom w:val="0"/>
      <w:divBdr>
        <w:top w:val="none" w:sz="0" w:space="0" w:color="auto"/>
        <w:left w:val="none" w:sz="0" w:space="0" w:color="auto"/>
        <w:bottom w:val="none" w:sz="0" w:space="0" w:color="auto"/>
        <w:right w:val="none" w:sz="0" w:space="0" w:color="auto"/>
      </w:divBdr>
    </w:div>
    <w:div w:id="723260788">
      <w:bodyDiv w:val="1"/>
      <w:marLeft w:val="0"/>
      <w:marRight w:val="0"/>
      <w:marTop w:val="0"/>
      <w:marBottom w:val="0"/>
      <w:divBdr>
        <w:top w:val="none" w:sz="0" w:space="0" w:color="auto"/>
        <w:left w:val="none" w:sz="0" w:space="0" w:color="auto"/>
        <w:bottom w:val="none" w:sz="0" w:space="0" w:color="auto"/>
        <w:right w:val="none" w:sz="0" w:space="0" w:color="auto"/>
      </w:divBdr>
    </w:div>
    <w:div w:id="724571111">
      <w:bodyDiv w:val="1"/>
      <w:marLeft w:val="0"/>
      <w:marRight w:val="0"/>
      <w:marTop w:val="0"/>
      <w:marBottom w:val="0"/>
      <w:divBdr>
        <w:top w:val="none" w:sz="0" w:space="0" w:color="auto"/>
        <w:left w:val="none" w:sz="0" w:space="0" w:color="auto"/>
        <w:bottom w:val="none" w:sz="0" w:space="0" w:color="auto"/>
        <w:right w:val="none" w:sz="0" w:space="0" w:color="auto"/>
      </w:divBdr>
    </w:div>
    <w:div w:id="742482537">
      <w:bodyDiv w:val="1"/>
      <w:marLeft w:val="0"/>
      <w:marRight w:val="0"/>
      <w:marTop w:val="0"/>
      <w:marBottom w:val="0"/>
      <w:divBdr>
        <w:top w:val="none" w:sz="0" w:space="0" w:color="auto"/>
        <w:left w:val="none" w:sz="0" w:space="0" w:color="auto"/>
        <w:bottom w:val="none" w:sz="0" w:space="0" w:color="auto"/>
        <w:right w:val="none" w:sz="0" w:space="0" w:color="auto"/>
      </w:divBdr>
    </w:div>
    <w:div w:id="796337767">
      <w:bodyDiv w:val="1"/>
      <w:marLeft w:val="0"/>
      <w:marRight w:val="0"/>
      <w:marTop w:val="0"/>
      <w:marBottom w:val="0"/>
      <w:divBdr>
        <w:top w:val="none" w:sz="0" w:space="0" w:color="auto"/>
        <w:left w:val="none" w:sz="0" w:space="0" w:color="auto"/>
        <w:bottom w:val="none" w:sz="0" w:space="0" w:color="auto"/>
        <w:right w:val="none" w:sz="0" w:space="0" w:color="auto"/>
      </w:divBdr>
    </w:div>
    <w:div w:id="797839885">
      <w:bodyDiv w:val="1"/>
      <w:marLeft w:val="0"/>
      <w:marRight w:val="0"/>
      <w:marTop w:val="0"/>
      <w:marBottom w:val="0"/>
      <w:divBdr>
        <w:top w:val="none" w:sz="0" w:space="0" w:color="auto"/>
        <w:left w:val="none" w:sz="0" w:space="0" w:color="auto"/>
        <w:bottom w:val="none" w:sz="0" w:space="0" w:color="auto"/>
        <w:right w:val="none" w:sz="0" w:space="0" w:color="auto"/>
      </w:divBdr>
    </w:div>
    <w:div w:id="882905034">
      <w:bodyDiv w:val="1"/>
      <w:marLeft w:val="0"/>
      <w:marRight w:val="0"/>
      <w:marTop w:val="0"/>
      <w:marBottom w:val="0"/>
      <w:divBdr>
        <w:top w:val="none" w:sz="0" w:space="0" w:color="auto"/>
        <w:left w:val="none" w:sz="0" w:space="0" w:color="auto"/>
        <w:bottom w:val="none" w:sz="0" w:space="0" w:color="auto"/>
        <w:right w:val="none" w:sz="0" w:space="0" w:color="auto"/>
      </w:divBdr>
    </w:div>
    <w:div w:id="920482520">
      <w:bodyDiv w:val="1"/>
      <w:marLeft w:val="0"/>
      <w:marRight w:val="0"/>
      <w:marTop w:val="0"/>
      <w:marBottom w:val="0"/>
      <w:divBdr>
        <w:top w:val="none" w:sz="0" w:space="0" w:color="auto"/>
        <w:left w:val="none" w:sz="0" w:space="0" w:color="auto"/>
        <w:bottom w:val="none" w:sz="0" w:space="0" w:color="auto"/>
        <w:right w:val="none" w:sz="0" w:space="0" w:color="auto"/>
      </w:divBdr>
    </w:div>
    <w:div w:id="949124434">
      <w:bodyDiv w:val="1"/>
      <w:marLeft w:val="0"/>
      <w:marRight w:val="0"/>
      <w:marTop w:val="0"/>
      <w:marBottom w:val="0"/>
      <w:divBdr>
        <w:top w:val="none" w:sz="0" w:space="0" w:color="auto"/>
        <w:left w:val="none" w:sz="0" w:space="0" w:color="auto"/>
        <w:bottom w:val="none" w:sz="0" w:space="0" w:color="auto"/>
        <w:right w:val="none" w:sz="0" w:space="0" w:color="auto"/>
      </w:divBdr>
    </w:div>
    <w:div w:id="958990278">
      <w:bodyDiv w:val="1"/>
      <w:marLeft w:val="0"/>
      <w:marRight w:val="0"/>
      <w:marTop w:val="0"/>
      <w:marBottom w:val="0"/>
      <w:divBdr>
        <w:top w:val="none" w:sz="0" w:space="0" w:color="auto"/>
        <w:left w:val="none" w:sz="0" w:space="0" w:color="auto"/>
        <w:bottom w:val="none" w:sz="0" w:space="0" w:color="auto"/>
        <w:right w:val="none" w:sz="0" w:space="0" w:color="auto"/>
      </w:divBdr>
    </w:div>
    <w:div w:id="1022590131">
      <w:bodyDiv w:val="1"/>
      <w:marLeft w:val="0"/>
      <w:marRight w:val="0"/>
      <w:marTop w:val="0"/>
      <w:marBottom w:val="0"/>
      <w:divBdr>
        <w:top w:val="none" w:sz="0" w:space="0" w:color="auto"/>
        <w:left w:val="none" w:sz="0" w:space="0" w:color="auto"/>
        <w:bottom w:val="none" w:sz="0" w:space="0" w:color="auto"/>
        <w:right w:val="none" w:sz="0" w:space="0" w:color="auto"/>
      </w:divBdr>
    </w:div>
    <w:div w:id="1023630247">
      <w:bodyDiv w:val="1"/>
      <w:marLeft w:val="0"/>
      <w:marRight w:val="0"/>
      <w:marTop w:val="0"/>
      <w:marBottom w:val="0"/>
      <w:divBdr>
        <w:top w:val="none" w:sz="0" w:space="0" w:color="auto"/>
        <w:left w:val="none" w:sz="0" w:space="0" w:color="auto"/>
        <w:bottom w:val="none" w:sz="0" w:space="0" w:color="auto"/>
        <w:right w:val="none" w:sz="0" w:space="0" w:color="auto"/>
      </w:divBdr>
    </w:div>
    <w:div w:id="1036779950">
      <w:bodyDiv w:val="1"/>
      <w:marLeft w:val="0"/>
      <w:marRight w:val="0"/>
      <w:marTop w:val="0"/>
      <w:marBottom w:val="0"/>
      <w:divBdr>
        <w:top w:val="none" w:sz="0" w:space="0" w:color="auto"/>
        <w:left w:val="none" w:sz="0" w:space="0" w:color="auto"/>
        <w:bottom w:val="none" w:sz="0" w:space="0" w:color="auto"/>
        <w:right w:val="none" w:sz="0" w:space="0" w:color="auto"/>
      </w:divBdr>
    </w:div>
    <w:div w:id="1040520673">
      <w:bodyDiv w:val="1"/>
      <w:marLeft w:val="0"/>
      <w:marRight w:val="0"/>
      <w:marTop w:val="0"/>
      <w:marBottom w:val="0"/>
      <w:divBdr>
        <w:top w:val="none" w:sz="0" w:space="0" w:color="auto"/>
        <w:left w:val="none" w:sz="0" w:space="0" w:color="auto"/>
        <w:bottom w:val="none" w:sz="0" w:space="0" w:color="auto"/>
        <w:right w:val="none" w:sz="0" w:space="0" w:color="auto"/>
      </w:divBdr>
    </w:div>
    <w:div w:id="1049375051">
      <w:bodyDiv w:val="1"/>
      <w:marLeft w:val="0"/>
      <w:marRight w:val="0"/>
      <w:marTop w:val="0"/>
      <w:marBottom w:val="0"/>
      <w:divBdr>
        <w:top w:val="none" w:sz="0" w:space="0" w:color="auto"/>
        <w:left w:val="none" w:sz="0" w:space="0" w:color="auto"/>
        <w:bottom w:val="none" w:sz="0" w:space="0" w:color="auto"/>
        <w:right w:val="none" w:sz="0" w:space="0" w:color="auto"/>
      </w:divBdr>
    </w:div>
    <w:div w:id="1062142760">
      <w:bodyDiv w:val="1"/>
      <w:marLeft w:val="0"/>
      <w:marRight w:val="0"/>
      <w:marTop w:val="0"/>
      <w:marBottom w:val="0"/>
      <w:divBdr>
        <w:top w:val="none" w:sz="0" w:space="0" w:color="auto"/>
        <w:left w:val="none" w:sz="0" w:space="0" w:color="auto"/>
        <w:bottom w:val="none" w:sz="0" w:space="0" w:color="auto"/>
        <w:right w:val="none" w:sz="0" w:space="0" w:color="auto"/>
      </w:divBdr>
    </w:div>
    <w:div w:id="1115711419">
      <w:bodyDiv w:val="1"/>
      <w:marLeft w:val="0"/>
      <w:marRight w:val="0"/>
      <w:marTop w:val="0"/>
      <w:marBottom w:val="0"/>
      <w:divBdr>
        <w:top w:val="none" w:sz="0" w:space="0" w:color="auto"/>
        <w:left w:val="none" w:sz="0" w:space="0" w:color="auto"/>
        <w:bottom w:val="none" w:sz="0" w:space="0" w:color="auto"/>
        <w:right w:val="none" w:sz="0" w:space="0" w:color="auto"/>
      </w:divBdr>
    </w:div>
    <w:div w:id="1148017701">
      <w:bodyDiv w:val="1"/>
      <w:marLeft w:val="0"/>
      <w:marRight w:val="0"/>
      <w:marTop w:val="0"/>
      <w:marBottom w:val="0"/>
      <w:divBdr>
        <w:top w:val="none" w:sz="0" w:space="0" w:color="auto"/>
        <w:left w:val="none" w:sz="0" w:space="0" w:color="auto"/>
        <w:bottom w:val="none" w:sz="0" w:space="0" w:color="auto"/>
        <w:right w:val="none" w:sz="0" w:space="0" w:color="auto"/>
      </w:divBdr>
    </w:div>
    <w:div w:id="1195967530">
      <w:bodyDiv w:val="1"/>
      <w:marLeft w:val="0"/>
      <w:marRight w:val="0"/>
      <w:marTop w:val="0"/>
      <w:marBottom w:val="0"/>
      <w:divBdr>
        <w:top w:val="none" w:sz="0" w:space="0" w:color="auto"/>
        <w:left w:val="none" w:sz="0" w:space="0" w:color="auto"/>
        <w:bottom w:val="none" w:sz="0" w:space="0" w:color="auto"/>
        <w:right w:val="none" w:sz="0" w:space="0" w:color="auto"/>
      </w:divBdr>
    </w:div>
    <w:div w:id="1225993510">
      <w:bodyDiv w:val="1"/>
      <w:marLeft w:val="0"/>
      <w:marRight w:val="0"/>
      <w:marTop w:val="0"/>
      <w:marBottom w:val="0"/>
      <w:divBdr>
        <w:top w:val="none" w:sz="0" w:space="0" w:color="auto"/>
        <w:left w:val="none" w:sz="0" w:space="0" w:color="auto"/>
        <w:bottom w:val="none" w:sz="0" w:space="0" w:color="auto"/>
        <w:right w:val="none" w:sz="0" w:space="0" w:color="auto"/>
      </w:divBdr>
    </w:div>
    <w:div w:id="1258832779">
      <w:bodyDiv w:val="1"/>
      <w:marLeft w:val="0"/>
      <w:marRight w:val="0"/>
      <w:marTop w:val="0"/>
      <w:marBottom w:val="0"/>
      <w:divBdr>
        <w:top w:val="none" w:sz="0" w:space="0" w:color="auto"/>
        <w:left w:val="none" w:sz="0" w:space="0" w:color="auto"/>
        <w:bottom w:val="none" w:sz="0" w:space="0" w:color="auto"/>
        <w:right w:val="none" w:sz="0" w:space="0" w:color="auto"/>
      </w:divBdr>
    </w:div>
    <w:div w:id="1269695916">
      <w:bodyDiv w:val="1"/>
      <w:marLeft w:val="0"/>
      <w:marRight w:val="0"/>
      <w:marTop w:val="0"/>
      <w:marBottom w:val="0"/>
      <w:divBdr>
        <w:top w:val="none" w:sz="0" w:space="0" w:color="auto"/>
        <w:left w:val="none" w:sz="0" w:space="0" w:color="auto"/>
        <w:bottom w:val="none" w:sz="0" w:space="0" w:color="auto"/>
        <w:right w:val="none" w:sz="0" w:space="0" w:color="auto"/>
      </w:divBdr>
    </w:div>
    <w:div w:id="1274746766">
      <w:bodyDiv w:val="1"/>
      <w:marLeft w:val="0"/>
      <w:marRight w:val="0"/>
      <w:marTop w:val="0"/>
      <w:marBottom w:val="0"/>
      <w:divBdr>
        <w:top w:val="none" w:sz="0" w:space="0" w:color="auto"/>
        <w:left w:val="none" w:sz="0" w:space="0" w:color="auto"/>
        <w:bottom w:val="none" w:sz="0" w:space="0" w:color="auto"/>
        <w:right w:val="none" w:sz="0" w:space="0" w:color="auto"/>
      </w:divBdr>
    </w:div>
    <w:div w:id="1282541379">
      <w:bodyDiv w:val="1"/>
      <w:marLeft w:val="0"/>
      <w:marRight w:val="0"/>
      <w:marTop w:val="0"/>
      <w:marBottom w:val="0"/>
      <w:divBdr>
        <w:top w:val="none" w:sz="0" w:space="0" w:color="auto"/>
        <w:left w:val="none" w:sz="0" w:space="0" w:color="auto"/>
        <w:bottom w:val="none" w:sz="0" w:space="0" w:color="auto"/>
        <w:right w:val="none" w:sz="0" w:space="0" w:color="auto"/>
      </w:divBdr>
    </w:div>
    <w:div w:id="1283921274">
      <w:bodyDiv w:val="1"/>
      <w:marLeft w:val="0"/>
      <w:marRight w:val="0"/>
      <w:marTop w:val="0"/>
      <w:marBottom w:val="0"/>
      <w:divBdr>
        <w:top w:val="none" w:sz="0" w:space="0" w:color="auto"/>
        <w:left w:val="none" w:sz="0" w:space="0" w:color="auto"/>
        <w:bottom w:val="none" w:sz="0" w:space="0" w:color="auto"/>
        <w:right w:val="none" w:sz="0" w:space="0" w:color="auto"/>
      </w:divBdr>
    </w:div>
    <w:div w:id="1288928925">
      <w:bodyDiv w:val="1"/>
      <w:marLeft w:val="0"/>
      <w:marRight w:val="0"/>
      <w:marTop w:val="0"/>
      <w:marBottom w:val="0"/>
      <w:divBdr>
        <w:top w:val="none" w:sz="0" w:space="0" w:color="auto"/>
        <w:left w:val="none" w:sz="0" w:space="0" w:color="auto"/>
        <w:bottom w:val="none" w:sz="0" w:space="0" w:color="auto"/>
        <w:right w:val="none" w:sz="0" w:space="0" w:color="auto"/>
      </w:divBdr>
    </w:div>
    <w:div w:id="1308365977">
      <w:bodyDiv w:val="1"/>
      <w:marLeft w:val="0"/>
      <w:marRight w:val="0"/>
      <w:marTop w:val="0"/>
      <w:marBottom w:val="0"/>
      <w:divBdr>
        <w:top w:val="none" w:sz="0" w:space="0" w:color="auto"/>
        <w:left w:val="none" w:sz="0" w:space="0" w:color="auto"/>
        <w:bottom w:val="none" w:sz="0" w:space="0" w:color="auto"/>
        <w:right w:val="none" w:sz="0" w:space="0" w:color="auto"/>
      </w:divBdr>
    </w:div>
    <w:div w:id="1310554271">
      <w:bodyDiv w:val="1"/>
      <w:marLeft w:val="0"/>
      <w:marRight w:val="0"/>
      <w:marTop w:val="0"/>
      <w:marBottom w:val="0"/>
      <w:divBdr>
        <w:top w:val="none" w:sz="0" w:space="0" w:color="auto"/>
        <w:left w:val="none" w:sz="0" w:space="0" w:color="auto"/>
        <w:bottom w:val="none" w:sz="0" w:space="0" w:color="auto"/>
        <w:right w:val="none" w:sz="0" w:space="0" w:color="auto"/>
      </w:divBdr>
    </w:div>
    <w:div w:id="1315336542">
      <w:bodyDiv w:val="1"/>
      <w:marLeft w:val="0"/>
      <w:marRight w:val="0"/>
      <w:marTop w:val="0"/>
      <w:marBottom w:val="0"/>
      <w:divBdr>
        <w:top w:val="none" w:sz="0" w:space="0" w:color="auto"/>
        <w:left w:val="none" w:sz="0" w:space="0" w:color="auto"/>
        <w:bottom w:val="none" w:sz="0" w:space="0" w:color="auto"/>
        <w:right w:val="none" w:sz="0" w:space="0" w:color="auto"/>
      </w:divBdr>
    </w:div>
    <w:div w:id="1348143402">
      <w:bodyDiv w:val="1"/>
      <w:marLeft w:val="0"/>
      <w:marRight w:val="0"/>
      <w:marTop w:val="0"/>
      <w:marBottom w:val="0"/>
      <w:divBdr>
        <w:top w:val="none" w:sz="0" w:space="0" w:color="auto"/>
        <w:left w:val="none" w:sz="0" w:space="0" w:color="auto"/>
        <w:bottom w:val="none" w:sz="0" w:space="0" w:color="auto"/>
        <w:right w:val="none" w:sz="0" w:space="0" w:color="auto"/>
      </w:divBdr>
    </w:div>
    <w:div w:id="1381898591">
      <w:bodyDiv w:val="1"/>
      <w:marLeft w:val="0"/>
      <w:marRight w:val="0"/>
      <w:marTop w:val="0"/>
      <w:marBottom w:val="0"/>
      <w:divBdr>
        <w:top w:val="none" w:sz="0" w:space="0" w:color="auto"/>
        <w:left w:val="none" w:sz="0" w:space="0" w:color="auto"/>
        <w:bottom w:val="none" w:sz="0" w:space="0" w:color="auto"/>
        <w:right w:val="none" w:sz="0" w:space="0" w:color="auto"/>
      </w:divBdr>
    </w:div>
    <w:div w:id="1410343892">
      <w:bodyDiv w:val="1"/>
      <w:marLeft w:val="0"/>
      <w:marRight w:val="0"/>
      <w:marTop w:val="0"/>
      <w:marBottom w:val="0"/>
      <w:divBdr>
        <w:top w:val="none" w:sz="0" w:space="0" w:color="auto"/>
        <w:left w:val="none" w:sz="0" w:space="0" w:color="auto"/>
        <w:bottom w:val="none" w:sz="0" w:space="0" w:color="auto"/>
        <w:right w:val="none" w:sz="0" w:space="0" w:color="auto"/>
      </w:divBdr>
    </w:div>
    <w:div w:id="1432165522">
      <w:bodyDiv w:val="1"/>
      <w:marLeft w:val="0"/>
      <w:marRight w:val="0"/>
      <w:marTop w:val="0"/>
      <w:marBottom w:val="0"/>
      <w:divBdr>
        <w:top w:val="none" w:sz="0" w:space="0" w:color="auto"/>
        <w:left w:val="none" w:sz="0" w:space="0" w:color="auto"/>
        <w:bottom w:val="none" w:sz="0" w:space="0" w:color="auto"/>
        <w:right w:val="none" w:sz="0" w:space="0" w:color="auto"/>
      </w:divBdr>
    </w:div>
    <w:div w:id="1442802179">
      <w:bodyDiv w:val="1"/>
      <w:marLeft w:val="0"/>
      <w:marRight w:val="0"/>
      <w:marTop w:val="0"/>
      <w:marBottom w:val="0"/>
      <w:divBdr>
        <w:top w:val="none" w:sz="0" w:space="0" w:color="auto"/>
        <w:left w:val="none" w:sz="0" w:space="0" w:color="auto"/>
        <w:bottom w:val="none" w:sz="0" w:space="0" w:color="auto"/>
        <w:right w:val="none" w:sz="0" w:space="0" w:color="auto"/>
      </w:divBdr>
    </w:div>
    <w:div w:id="1454446362">
      <w:bodyDiv w:val="1"/>
      <w:marLeft w:val="0"/>
      <w:marRight w:val="0"/>
      <w:marTop w:val="0"/>
      <w:marBottom w:val="0"/>
      <w:divBdr>
        <w:top w:val="none" w:sz="0" w:space="0" w:color="auto"/>
        <w:left w:val="none" w:sz="0" w:space="0" w:color="auto"/>
        <w:bottom w:val="none" w:sz="0" w:space="0" w:color="auto"/>
        <w:right w:val="none" w:sz="0" w:space="0" w:color="auto"/>
      </w:divBdr>
    </w:div>
    <w:div w:id="1454710158">
      <w:bodyDiv w:val="1"/>
      <w:marLeft w:val="0"/>
      <w:marRight w:val="0"/>
      <w:marTop w:val="0"/>
      <w:marBottom w:val="0"/>
      <w:divBdr>
        <w:top w:val="none" w:sz="0" w:space="0" w:color="auto"/>
        <w:left w:val="none" w:sz="0" w:space="0" w:color="auto"/>
        <w:bottom w:val="none" w:sz="0" w:space="0" w:color="auto"/>
        <w:right w:val="none" w:sz="0" w:space="0" w:color="auto"/>
      </w:divBdr>
    </w:div>
    <w:div w:id="1474176778">
      <w:bodyDiv w:val="1"/>
      <w:marLeft w:val="0"/>
      <w:marRight w:val="0"/>
      <w:marTop w:val="0"/>
      <w:marBottom w:val="0"/>
      <w:divBdr>
        <w:top w:val="none" w:sz="0" w:space="0" w:color="auto"/>
        <w:left w:val="none" w:sz="0" w:space="0" w:color="auto"/>
        <w:bottom w:val="none" w:sz="0" w:space="0" w:color="auto"/>
        <w:right w:val="none" w:sz="0" w:space="0" w:color="auto"/>
      </w:divBdr>
    </w:div>
    <w:div w:id="1564750435">
      <w:bodyDiv w:val="1"/>
      <w:marLeft w:val="0"/>
      <w:marRight w:val="0"/>
      <w:marTop w:val="0"/>
      <w:marBottom w:val="0"/>
      <w:divBdr>
        <w:top w:val="none" w:sz="0" w:space="0" w:color="auto"/>
        <w:left w:val="none" w:sz="0" w:space="0" w:color="auto"/>
        <w:bottom w:val="none" w:sz="0" w:space="0" w:color="auto"/>
        <w:right w:val="none" w:sz="0" w:space="0" w:color="auto"/>
      </w:divBdr>
    </w:div>
    <w:div w:id="1577981174">
      <w:bodyDiv w:val="1"/>
      <w:marLeft w:val="0"/>
      <w:marRight w:val="0"/>
      <w:marTop w:val="0"/>
      <w:marBottom w:val="0"/>
      <w:divBdr>
        <w:top w:val="none" w:sz="0" w:space="0" w:color="auto"/>
        <w:left w:val="none" w:sz="0" w:space="0" w:color="auto"/>
        <w:bottom w:val="none" w:sz="0" w:space="0" w:color="auto"/>
        <w:right w:val="none" w:sz="0" w:space="0" w:color="auto"/>
      </w:divBdr>
    </w:div>
    <w:div w:id="1607889283">
      <w:bodyDiv w:val="1"/>
      <w:marLeft w:val="0"/>
      <w:marRight w:val="0"/>
      <w:marTop w:val="0"/>
      <w:marBottom w:val="0"/>
      <w:divBdr>
        <w:top w:val="none" w:sz="0" w:space="0" w:color="auto"/>
        <w:left w:val="none" w:sz="0" w:space="0" w:color="auto"/>
        <w:bottom w:val="none" w:sz="0" w:space="0" w:color="auto"/>
        <w:right w:val="none" w:sz="0" w:space="0" w:color="auto"/>
      </w:divBdr>
    </w:div>
    <w:div w:id="1618246881">
      <w:bodyDiv w:val="1"/>
      <w:marLeft w:val="0"/>
      <w:marRight w:val="0"/>
      <w:marTop w:val="0"/>
      <w:marBottom w:val="0"/>
      <w:divBdr>
        <w:top w:val="none" w:sz="0" w:space="0" w:color="auto"/>
        <w:left w:val="none" w:sz="0" w:space="0" w:color="auto"/>
        <w:bottom w:val="none" w:sz="0" w:space="0" w:color="auto"/>
        <w:right w:val="none" w:sz="0" w:space="0" w:color="auto"/>
      </w:divBdr>
    </w:div>
    <w:div w:id="1618367176">
      <w:bodyDiv w:val="1"/>
      <w:marLeft w:val="0"/>
      <w:marRight w:val="0"/>
      <w:marTop w:val="0"/>
      <w:marBottom w:val="0"/>
      <w:divBdr>
        <w:top w:val="none" w:sz="0" w:space="0" w:color="auto"/>
        <w:left w:val="none" w:sz="0" w:space="0" w:color="auto"/>
        <w:bottom w:val="none" w:sz="0" w:space="0" w:color="auto"/>
        <w:right w:val="none" w:sz="0" w:space="0" w:color="auto"/>
      </w:divBdr>
    </w:div>
    <w:div w:id="1642926187">
      <w:bodyDiv w:val="1"/>
      <w:marLeft w:val="0"/>
      <w:marRight w:val="0"/>
      <w:marTop w:val="0"/>
      <w:marBottom w:val="0"/>
      <w:divBdr>
        <w:top w:val="none" w:sz="0" w:space="0" w:color="auto"/>
        <w:left w:val="none" w:sz="0" w:space="0" w:color="auto"/>
        <w:bottom w:val="none" w:sz="0" w:space="0" w:color="auto"/>
        <w:right w:val="none" w:sz="0" w:space="0" w:color="auto"/>
      </w:divBdr>
    </w:div>
    <w:div w:id="1644121020">
      <w:bodyDiv w:val="1"/>
      <w:marLeft w:val="0"/>
      <w:marRight w:val="0"/>
      <w:marTop w:val="0"/>
      <w:marBottom w:val="0"/>
      <w:divBdr>
        <w:top w:val="none" w:sz="0" w:space="0" w:color="auto"/>
        <w:left w:val="none" w:sz="0" w:space="0" w:color="auto"/>
        <w:bottom w:val="none" w:sz="0" w:space="0" w:color="auto"/>
        <w:right w:val="none" w:sz="0" w:space="0" w:color="auto"/>
      </w:divBdr>
    </w:div>
    <w:div w:id="1652321279">
      <w:bodyDiv w:val="1"/>
      <w:marLeft w:val="0"/>
      <w:marRight w:val="0"/>
      <w:marTop w:val="0"/>
      <w:marBottom w:val="0"/>
      <w:divBdr>
        <w:top w:val="none" w:sz="0" w:space="0" w:color="auto"/>
        <w:left w:val="none" w:sz="0" w:space="0" w:color="auto"/>
        <w:bottom w:val="none" w:sz="0" w:space="0" w:color="auto"/>
        <w:right w:val="none" w:sz="0" w:space="0" w:color="auto"/>
      </w:divBdr>
    </w:div>
    <w:div w:id="1663855554">
      <w:bodyDiv w:val="1"/>
      <w:marLeft w:val="0"/>
      <w:marRight w:val="0"/>
      <w:marTop w:val="0"/>
      <w:marBottom w:val="0"/>
      <w:divBdr>
        <w:top w:val="none" w:sz="0" w:space="0" w:color="auto"/>
        <w:left w:val="none" w:sz="0" w:space="0" w:color="auto"/>
        <w:bottom w:val="none" w:sz="0" w:space="0" w:color="auto"/>
        <w:right w:val="none" w:sz="0" w:space="0" w:color="auto"/>
      </w:divBdr>
    </w:div>
    <w:div w:id="1665279967">
      <w:bodyDiv w:val="1"/>
      <w:marLeft w:val="0"/>
      <w:marRight w:val="0"/>
      <w:marTop w:val="0"/>
      <w:marBottom w:val="0"/>
      <w:divBdr>
        <w:top w:val="none" w:sz="0" w:space="0" w:color="auto"/>
        <w:left w:val="none" w:sz="0" w:space="0" w:color="auto"/>
        <w:bottom w:val="none" w:sz="0" w:space="0" w:color="auto"/>
        <w:right w:val="none" w:sz="0" w:space="0" w:color="auto"/>
      </w:divBdr>
    </w:div>
    <w:div w:id="1673289044">
      <w:bodyDiv w:val="1"/>
      <w:marLeft w:val="0"/>
      <w:marRight w:val="0"/>
      <w:marTop w:val="0"/>
      <w:marBottom w:val="0"/>
      <w:divBdr>
        <w:top w:val="none" w:sz="0" w:space="0" w:color="auto"/>
        <w:left w:val="none" w:sz="0" w:space="0" w:color="auto"/>
        <w:bottom w:val="none" w:sz="0" w:space="0" w:color="auto"/>
        <w:right w:val="none" w:sz="0" w:space="0" w:color="auto"/>
      </w:divBdr>
    </w:div>
    <w:div w:id="1675260727">
      <w:bodyDiv w:val="1"/>
      <w:marLeft w:val="0"/>
      <w:marRight w:val="0"/>
      <w:marTop w:val="0"/>
      <w:marBottom w:val="0"/>
      <w:divBdr>
        <w:top w:val="none" w:sz="0" w:space="0" w:color="auto"/>
        <w:left w:val="none" w:sz="0" w:space="0" w:color="auto"/>
        <w:bottom w:val="none" w:sz="0" w:space="0" w:color="auto"/>
        <w:right w:val="none" w:sz="0" w:space="0" w:color="auto"/>
      </w:divBdr>
    </w:div>
    <w:div w:id="1732725281">
      <w:bodyDiv w:val="1"/>
      <w:marLeft w:val="0"/>
      <w:marRight w:val="0"/>
      <w:marTop w:val="0"/>
      <w:marBottom w:val="0"/>
      <w:divBdr>
        <w:top w:val="none" w:sz="0" w:space="0" w:color="auto"/>
        <w:left w:val="none" w:sz="0" w:space="0" w:color="auto"/>
        <w:bottom w:val="none" w:sz="0" w:space="0" w:color="auto"/>
        <w:right w:val="none" w:sz="0" w:space="0" w:color="auto"/>
      </w:divBdr>
    </w:div>
    <w:div w:id="1850951116">
      <w:bodyDiv w:val="1"/>
      <w:marLeft w:val="0"/>
      <w:marRight w:val="0"/>
      <w:marTop w:val="0"/>
      <w:marBottom w:val="0"/>
      <w:divBdr>
        <w:top w:val="none" w:sz="0" w:space="0" w:color="auto"/>
        <w:left w:val="none" w:sz="0" w:space="0" w:color="auto"/>
        <w:bottom w:val="none" w:sz="0" w:space="0" w:color="auto"/>
        <w:right w:val="none" w:sz="0" w:space="0" w:color="auto"/>
      </w:divBdr>
    </w:div>
    <w:div w:id="1898778015">
      <w:bodyDiv w:val="1"/>
      <w:marLeft w:val="0"/>
      <w:marRight w:val="0"/>
      <w:marTop w:val="0"/>
      <w:marBottom w:val="0"/>
      <w:divBdr>
        <w:top w:val="none" w:sz="0" w:space="0" w:color="auto"/>
        <w:left w:val="none" w:sz="0" w:space="0" w:color="auto"/>
        <w:bottom w:val="none" w:sz="0" w:space="0" w:color="auto"/>
        <w:right w:val="none" w:sz="0" w:space="0" w:color="auto"/>
      </w:divBdr>
    </w:div>
    <w:div w:id="1946114927">
      <w:bodyDiv w:val="1"/>
      <w:marLeft w:val="0"/>
      <w:marRight w:val="0"/>
      <w:marTop w:val="0"/>
      <w:marBottom w:val="0"/>
      <w:divBdr>
        <w:top w:val="none" w:sz="0" w:space="0" w:color="auto"/>
        <w:left w:val="none" w:sz="0" w:space="0" w:color="auto"/>
        <w:bottom w:val="none" w:sz="0" w:space="0" w:color="auto"/>
        <w:right w:val="none" w:sz="0" w:space="0" w:color="auto"/>
      </w:divBdr>
    </w:div>
    <w:div w:id="1982610173">
      <w:bodyDiv w:val="1"/>
      <w:marLeft w:val="0"/>
      <w:marRight w:val="0"/>
      <w:marTop w:val="0"/>
      <w:marBottom w:val="0"/>
      <w:divBdr>
        <w:top w:val="none" w:sz="0" w:space="0" w:color="auto"/>
        <w:left w:val="none" w:sz="0" w:space="0" w:color="auto"/>
        <w:bottom w:val="none" w:sz="0" w:space="0" w:color="auto"/>
        <w:right w:val="none" w:sz="0" w:space="0" w:color="auto"/>
      </w:divBdr>
    </w:div>
    <w:div w:id="1985505278">
      <w:bodyDiv w:val="1"/>
      <w:marLeft w:val="0"/>
      <w:marRight w:val="0"/>
      <w:marTop w:val="0"/>
      <w:marBottom w:val="0"/>
      <w:divBdr>
        <w:top w:val="none" w:sz="0" w:space="0" w:color="auto"/>
        <w:left w:val="none" w:sz="0" w:space="0" w:color="auto"/>
        <w:bottom w:val="none" w:sz="0" w:space="0" w:color="auto"/>
        <w:right w:val="none" w:sz="0" w:space="0" w:color="auto"/>
      </w:divBdr>
    </w:div>
    <w:div w:id="2026901599">
      <w:bodyDiv w:val="1"/>
      <w:marLeft w:val="0"/>
      <w:marRight w:val="0"/>
      <w:marTop w:val="0"/>
      <w:marBottom w:val="0"/>
      <w:divBdr>
        <w:top w:val="none" w:sz="0" w:space="0" w:color="auto"/>
        <w:left w:val="none" w:sz="0" w:space="0" w:color="auto"/>
        <w:bottom w:val="none" w:sz="0" w:space="0" w:color="auto"/>
        <w:right w:val="none" w:sz="0" w:space="0" w:color="auto"/>
      </w:divBdr>
    </w:div>
    <w:div w:id="2111003691">
      <w:bodyDiv w:val="1"/>
      <w:marLeft w:val="0"/>
      <w:marRight w:val="0"/>
      <w:marTop w:val="0"/>
      <w:marBottom w:val="0"/>
      <w:divBdr>
        <w:top w:val="none" w:sz="0" w:space="0" w:color="auto"/>
        <w:left w:val="none" w:sz="0" w:space="0" w:color="auto"/>
        <w:bottom w:val="none" w:sz="0" w:space="0" w:color="auto"/>
        <w:right w:val="none" w:sz="0" w:space="0" w:color="auto"/>
      </w:divBdr>
    </w:div>
    <w:div w:id="2111318564">
      <w:bodyDiv w:val="1"/>
      <w:marLeft w:val="0"/>
      <w:marRight w:val="0"/>
      <w:marTop w:val="0"/>
      <w:marBottom w:val="0"/>
      <w:divBdr>
        <w:top w:val="none" w:sz="0" w:space="0" w:color="auto"/>
        <w:left w:val="none" w:sz="0" w:space="0" w:color="auto"/>
        <w:bottom w:val="none" w:sz="0" w:space="0" w:color="auto"/>
        <w:right w:val="none" w:sz="0" w:space="0" w:color="auto"/>
      </w:divBdr>
    </w:div>
    <w:div w:id="2120220905">
      <w:bodyDiv w:val="1"/>
      <w:marLeft w:val="0"/>
      <w:marRight w:val="0"/>
      <w:marTop w:val="0"/>
      <w:marBottom w:val="0"/>
      <w:divBdr>
        <w:top w:val="none" w:sz="0" w:space="0" w:color="auto"/>
        <w:left w:val="none" w:sz="0" w:space="0" w:color="auto"/>
        <w:bottom w:val="none" w:sz="0" w:space="0" w:color="auto"/>
        <w:right w:val="none" w:sz="0" w:space="0" w:color="auto"/>
      </w:divBdr>
    </w:div>
    <w:div w:id="212418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B8DE522E4E94F0BB7756C5E344CA9BD"/>
        <w:category>
          <w:name w:val="Geral"/>
          <w:gallery w:val="placeholder"/>
        </w:category>
        <w:types>
          <w:type w:val="bbPlcHdr"/>
        </w:types>
        <w:behaviors>
          <w:behavior w:val="content"/>
        </w:behaviors>
        <w:guid w:val="{2E6B5412-32F7-45AF-A951-9BD09657BB03}"/>
      </w:docPartPr>
      <w:docPartBody>
        <w:p w:rsidR="00506248" w:rsidRDefault="00D44F1E" w:rsidP="00D44F1E">
          <w:r w:rsidRPr="00EC7750">
            <w:rPr>
              <w:rStyle w:val="TextodoEspaoReservado"/>
            </w:rPr>
            <w:t>Clique ou toque aqui para inserir o texto.</w:t>
          </w:r>
        </w:p>
      </w:docPartBody>
    </w:docPart>
    <w:docPart>
      <w:docPartPr>
        <w:name w:val="35CB87C3CBEB4A908CA47EC95B2FEEB2"/>
        <w:category>
          <w:name w:val="Geral"/>
          <w:gallery w:val="placeholder"/>
        </w:category>
        <w:types>
          <w:type w:val="bbPlcHdr"/>
        </w:types>
        <w:behaviors>
          <w:behavior w:val="content"/>
        </w:behaviors>
        <w:guid w:val="{A470707D-A7FF-4F80-958E-B5692B777F95}"/>
      </w:docPartPr>
      <w:docPartBody>
        <w:p w:rsidR="00506248" w:rsidRDefault="00D44F1E" w:rsidP="00D44F1E">
          <w:r>
            <w:rPr>
              <w:rStyle w:val="TextodoEspaoReservado"/>
            </w:rPr>
            <w:t>Clique ou toque aqui para inserir o texto.</w:t>
          </w:r>
        </w:p>
      </w:docPartBody>
    </w:docPart>
    <w:docPart>
      <w:docPartPr>
        <w:name w:val="042CE5854410421795A4C7D951C0B5B3"/>
        <w:category>
          <w:name w:val="Geral"/>
          <w:gallery w:val="placeholder"/>
        </w:category>
        <w:types>
          <w:type w:val="bbPlcHdr"/>
        </w:types>
        <w:behaviors>
          <w:behavior w:val="content"/>
        </w:behaviors>
        <w:guid w:val="{B128BDB6-78F7-42F3-83AF-8056E5B353FF}"/>
      </w:docPartPr>
      <w:docPartBody>
        <w:p w:rsidR="00506248" w:rsidRDefault="00D44F1E" w:rsidP="00D44F1E">
          <w:r w:rsidRPr="00EC7750">
            <w:rPr>
              <w:rStyle w:val="TextodoEspaoReservado"/>
            </w:rPr>
            <w:t>Clique ou toque aqui para inserir o texto.</w:t>
          </w:r>
        </w:p>
      </w:docPartBody>
    </w:docPart>
    <w:docPart>
      <w:docPartPr>
        <w:name w:val="B957D0D183F845EDAA0FAE31CB971906"/>
        <w:category>
          <w:name w:val="Geral"/>
          <w:gallery w:val="placeholder"/>
        </w:category>
        <w:types>
          <w:type w:val="bbPlcHdr"/>
        </w:types>
        <w:behaviors>
          <w:behavior w:val="content"/>
        </w:behaviors>
        <w:guid w:val="{411CE2DF-C119-43B2-9442-E84D52B9B659}"/>
      </w:docPartPr>
      <w:docPartBody>
        <w:p w:rsidR="00506248" w:rsidRDefault="00D44F1E" w:rsidP="00D44F1E">
          <w:r w:rsidRPr="00EC7750">
            <w:rPr>
              <w:rStyle w:val="TextodoEspaoReservado"/>
            </w:rPr>
            <w:t>Clique ou toque aqui para inserir o texto.</w:t>
          </w:r>
        </w:p>
      </w:docPartBody>
    </w:docPart>
    <w:docPart>
      <w:docPartPr>
        <w:name w:val="CABFDD978A1E4C86B9A63A8AE3A20AA7"/>
        <w:category>
          <w:name w:val="Geral"/>
          <w:gallery w:val="placeholder"/>
        </w:category>
        <w:types>
          <w:type w:val="bbPlcHdr"/>
        </w:types>
        <w:behaviors>
          <w:behavior w:val="content"/>
        </w:behaviors>
        <w:guid w:val="{ED7EC005-2722-4ED2-BCC4-F57FCA88B2B7}"/>
      </w:docPartPr>
      <w:docPartBody>
        <w:p w:rsidR="00506248" w:rsidRDefault="00D44F1E" w:rsidP="00D44F1E">
          <w:r w:rsidRPr="00EC7750">
            <w:rPr>
              <w:rStyle w:val="TextodoEspaoReservado"/>
            </w:rPr>
            <w:t>Clique ou toque aqui para inserir o texto.</w:t>
          </w:r>
        </w:p>
      </w:docPartBody>
    </w:docPart>
    <w:docPart>
      <w:docPartPr>
        <w:name w:val="12C626A00AEB41F58A90479AE7B598F7"/>
        <w:category>
          <w:name w:val="Geral"/>
          <w:gallery w:val="placeholder"/>
        </w:category>
        <w:types>
          <w:type w:val="bbPlcHdr"/>
        </w:types>
        <w:behaviors>
          <w:behavior w:val="content"/>
        </w:behaviors>
        <w:guid w:val="{88A7A81A-AB71-416B-AADD-6B7EDD6C3C3D}"/>
      </w:docPartPr>
      <w:docPartBody>
        <w:p w:rsidR="00506248" w:rsidRDefault="00D44F1E" w:rsidP="00D44F1E">
          <w:r w:rsidRPr="00EC7750">
            <w:rPr>
              <w:rStyle w:val="TextodoEspaoReservado"/>
            </w:rPr>
            <w:t>Clique ou toque aqui para inserir o texto.</w:t>
          </w:r>
        </w:p>
      </w:docPartBody>
    </w:docPart>
    <w:docPart>
      <w:docPartPr>
        <w:name w:val="42B374FB638148DE9B9B85126D1A8643"/>
        <w:category>
          <w:name w:val="Geral"/>
          <w:gallery w:val="placeholder"/>
        </w:category>
        <w:types>
          <w:type w:val="bbPlcHdr"/>
        </w:types>
        <w:behaviors>
          <w:behavior w:val="content"/>
        </w:behaviors>
        <w:guid w:val="{D305996E-9E8A-46BF-B0B5-62C86F7E4ABF}"/>
      </w:docPartPr>
      <w:docPartBody>
        <w:p w:rsidR="00506248" w:rsidRDefault="00D44F1E" w:rsidP="00D44F1E">
          <w:r w:rsidRPr="00EC7750">
            <w:rPr>
              <w:rStyle w:val="TextodoEspaoReservado"/>
            </w:rPr>
            <w:t>Clique ou toque aqui para inserir o texto.</w:t>
          </w:r>
        </w:p>
      </w:docPartBody>
    </w:docPart>
    <w:docPart>
      <w:docPartPr>
        <w:name w:val="058C5379BDED492BA5FE3BA8D4E521B8"/>
        <w:category>
          <w:name w:val="Geral"/>
          <w:gallery w:val="placeholder"/>
        </w:category>
        <w:types>
          <w:type w:val="bbPlcHdr"/>
        </w:types>
        <w:behaviors>
          <w:behavior w:val="content"/>
        </w:behaviors>
        <w:guid w:val="{9E30C6CC-DEAE-4930-9BFC-E2B690A16172}"/>
      </w:docPartPr>
      <w:docPartBody>
        <w:p w:rsidR="00506248" w:rsidRDefault="00D44F1E" w:rsidP="00D44F1E">
          <w:r w:rsidRPr="00EC7750">
            <w:rPr>
              <w:rStyle w:val="TextodoEspaoReservado"/>
            </w:rPr>
            <w:t>Clique ou toque aqui para inserir o texto.</w:t>
          </w:r>
        </w:p>
      </w:docPartBody>
    </w:docPart>
    <w:docPart>
      <w:docPartPr>
        <w:name w:val="99262AE5AD814FF6BAC96AE4A2AA3978"/>
        <w:category>
          <w:name w:val="Geral"/>
          <w:gallery w:val="placeholder"/>
        </w:category>
        <w:types>
          <w:type w:val="bbPlcHdr"/>
        </w:types>
        <w:behaviors>
          <w:behavior w:val="content"/>
        </w:behaviors>
        <w:guid w:val="{20F52134-F0C6-411B-8BBF-BA1CC85BE1A4}"/>
      </w:docPartPr>
      <w:docPartBody>
        <w:p w:rsidR="00506248" w:rsidRDefault="00D44F1E" w:rsidP="00D44F1E">
          <w:r w:rsidRPr="00EC7750">
            <w:rPr>
              <w:rStyle w:val="TextodoEspaoReservado"/>
            </w:rPr>
            <w:t>Clique ou toque aqui para inserir o texto.</w:t>
          </w:r>
        </w:p>
      </w:docPartBody>
    </w:docPart>
    <w:docPart>
      <w:docPartPr>
        <w:name w:val="9BAC35323DCD4EB999A84080DFC68484"/>
        <w:category>
          <w:name w:val="Geral"/>
          <w:gallery w:val="placeholder"/>
        </w:category>
        <w:types>
          <w:type w:val="bbPlcHdr"/>
        </w:types>
        <w:behaviors>
          <w:behavior w:val="content"/>
        </w:behaviors>
        <w:guid w:val="{9B759A1E-7D76-4A36-AF30-15581455FBEE}"/>
      </w:docPartPr>
      <w:docPartBody>
        <w:p w:rsidR="00506248" w:rsidRDefault="00D44F1E" w:rsidP="00D44F1E">
          <w:r w:rsidRPr="00EC7750">
            <w:rPr>
              <w:rStyle w:val="TextodoEspaoReservado"/>
            </w:rPr>
            <w:t>Clique ou toque aqui para inserir o texto.</w:t>
          </w:r>
        </w:p>
      </w:docPartBody>
    </w:docPart>
    <w:docPart>
      <w:docPartPr>
        <w:name w:val="FB73F1006BCD4C0590F757B058B31F7A"/>
        <w:category>
          <w:name w:val="Geral"/>
          <w:gallery w:val="placeholder"/>
        </w:category>
        <w:types>
          <w:type w:val="bbPlcHdr"/>
        </w:types>
        <w:behaviors>
          <w:behavior w:val="content"/>
        </w:behaviors>
        <w:guid w:val="{BD9FF219-33CE-47A9-A94A-FF24E9883E10}"/>
      </w:docPartPr>
      <w:docPartBody>
        <w:p w:rsidR="00506248" w:rsidRDefault="00D44F1E" w:rsidP="00D44F1E">
          <w:r w:rsidRPr="00EC7750">
            <w:rPr>
              <w:rStyle w:val="TextodoEspaoReservado"/>
            </w:rPr>
            <w:t>Clique ou toque aqui para inserir o texto.</w:t>
          </w:r>
        </w:p>
      </w:docPartBody>
    </w:docPart>
    <w:docPart>
      <w:docPartPr>
        <w:name w:val="2F12C184F4CE449A83A8FC6982A7B533"/>
        <w:category>
          <w:name w:val="Geral"/>
          <w:gallery w:val="placeholder"/>
        </w:category>
        <w:types>
          <w:type w:val="bbPlcHdr"/>
        </w:types>
        <w:behaviors>
          <w:behavior w:val="content"/>
        </w:behaviors>
        <w:guid w:val="{EDEBDBFD-299D-4B82-B4EA-578C35CF9C38}"/>
      </w:docPartPr>
      <w:docPartBody>
        <w:p w:rsidR="00506248" w:rsidRDefault="00D44F1E" w:rsidP="00D44F1E">
          <w:r w:rsidRPr="00EC7750">
            <w:rPr>
              <w:rStyle w:val="TextodoEspaoReservado"/>
            </w:rPr>
            <w:t>Clique ou toque aqui para inserir o texto.</w:t>
          </w:r>
        </w:p>
      </w:docPartBody>
    </w:docPart>
    <w:docPart>
      <w:docPartPr>
        <w:name w:val="1AD63C621C94467C8D0736B75DD18B10"/>
        <w:category>
          <w:name w:val="Geral"/>
          <w:gallery w:val="placeholder"/>
        </w:category>
        <w:types>
          <w:type w:val="bbPlcHdr"/>
        </w:types>
        <w:behaviors>
          <w:behavior w:val="content"/>
        </w:behaviors>
        <w:guid w:val="{2979BE45-955F-4928-BAC6-5B0230CFA0F9}"/>
      </w:docPartPr>
      <w:docPartBody>
        <w:p w:rsidR="00506248" w:rsidRDefault="00D44F1E" w:rsidP="00D44F1E">
          <w:r w:rsidRPr="00EC7750">
            <w:rPr>
              <w:rStyle w:val="TextodoEspaoReservado"/>
            </w:rPr>
            <w:t>Clique ou toque aqui para inserir o texto.</w:t>
          </w:r>
        </w:p>
      </w:docPartBody>
    </w:docPart>
    <w:docPart>
      <w:docPartPr>
        <w:name w:val="3BC3385719CB4135BC7956F718A48D7F"/>
        <w:category>
          <w:name w:val="Geral"/>
          <w:gallery w:val="placeholder"/>
        </w:category>
        <w:types>
          <w:type w:val="bbPlcHdr"/>
        </w:types>
        <w:behaviors>
          <w:behavior w:val="content"/>
        </w:behaviors>
        <w:guid w:val="{4B884BCD-A61C-49D5-BD86-AC7F38255621}"/>
      </w:docPartPr>
      <w:docPartBody>
        <w:p w:rsidR="00506248" w:rsidRDefault="00D44F1E" w:rsidP="00D44F1E">
          <w:r w:rsidRPr="00EC7750">
            <w:rPr>
              <w:rStyle w:val="TextodoEspaoReservado"/>
            </w:rPr>
            <w:t>Clique ou toque aqui para inserir o texto.</w:t>
          </w:r>
        </w:p>
      </w:docPartBody>
    </w:docPart>
    <w:docPart>
      <w:docPartPr>
        <w:name w:val="C905C7C4EC7847E3A3CEB09944C27475"/>
        <w:category>
          <w:name w:val="Geral"/>
          <w:gallery w:val="placeholder"/>
        </w:category>
        <w:types>
          <w:type w:val="bbPlcHdr"/>
        </w:types>
        <w:behaviors>
          <w:behavior w:val="content"/>
        </w:behaviors>
        <w:guid w:val="{A1639562-560B-4241-8153-70824616DF6D}"/>
      </w:docPartPr>
      <w:docPartBody>
        <w:p w:rsidR="00506248" w:rsidRDefault="00D44F1E" w:rsidP="00D44F1E">
          <w:r w:rsidRPr="00EC7750">
            <w:rPr>
              <w:rStyle w:val="TextodoEspaoReservado"/>
            </w:rPr>
            <w:t>Clique ou toque aqui para inserir o texto.</w:t>
          </w:r>
        </w:p>
      </w:docPartBody>
    </w:docPart>
    <w:docPart>
      <w:docPartPr>
        <w:name w:val="D74DA1A0E6F24D3D8583076458B40035"/>
        <w:category>
          <w:name w:val="Geral"/>
          <w:gallery w:val="placeholder"/>
        </w:category>
        <w:types>
          <w:type w:val="bbPlcHdr"/>
        </w:types>
        <w:behaviors>
          <w:behavior w:val="content"/>
        </w:behaviors>
        <w:guid w:val="{A5213DB9-DC2A-4962-A5BD-EAD29360A22A}"/>
      </w:docPartPr>
      <w:docPartBody>
        <w:p w:rsidR="00506248" w:rsidRDefault="00D44F1E" w:rsidP="00D44F1E">
          <w:r w:rsidRPr="00EC7750">
            <w:rPr>
              <w:rStyle w:val="TextodoEspaoReservado"/>
            </w:rPr>
            <w:t>Clique ou toque aqui para inserir o texto.</w:t>
          </w:r>
        </w:p>
      </w:docPartBody>
    </w:docPart>
    <w:docPart>
      <w:docPartPr>
        <w:name w:val="DF1EB74ED97E44BA9CB3A289CF77EF6A"/>
        <w:category>
          <w:name w:val="Geral"/>
          <w:gallery w:val="placeholder"/>
        </w:category>
        <w:types>
          <w:type w:val="bbPlcHdr"/>
        </w:types>
        <w:behaviors>
          <w:behavior w:val="content"/>
        </w:behaviors>
        <w:guid w:val="{E7D108C6-7D0F-40E8-B39F-BCA1AFAFD319}"/>
      </w:docPartPr>
      <w:docPartBody>
        <w:p w:rsidR="00506248" w:rsidRDefault="00D44F1E" w:rsidP="00D44F1E">
          <w:r w:rsidRPr="00EC7750">
            <w:rPr>
              <w:rStyle w:val="TextodoEspaoReservado"/>
            </w:rPr>
            <w:t>Clique ou toque aqui para inserir o texto.</w:t>
          </w:r>
        </w:p>
      </w:docPartBody>
    </w:docPart>
    <w:docPart>
      <w:docPartPr>
        <w:name w:val="4C41ABC6E0CB4CE4926568D2040DD725"/>
        <w:category>
          <w:name w:val="Geral"/>
          <w:gallery w:val="placeholder"/>
        </w:category>
        <w:types>
          <w:type w:val="bbPlcHdr"/>
        </w:types>
        <w:behaviors>
          <w:behavior w:val="content"/>
        </w:behaviors>
        <w:guid w:val="{BC0575F6-67C2-4F04-B2C5-64FDEA1B0B7F}"/>
      </w:docPartPr>
      <w:docPartBody>
        <w:p w:rsidR="00506248" w:rsidRDefault="00D44F1E" w:rsidP="00D44F1E">
          <w:r w:rsidRPr="00EC7750">
            <w:rPr>
              <w:rStyle w:val="TextodoEspaoReservado"/>
            </w:rPr>
            <w:t>Clique ou toque aqui para inserir o texto.</w:t>
          </w:r>
        </w:p>
      </w:docPartBody>
    </w:docPart>
    <w:docPart>
      <w:docPartPr>
        <w:name w:val="C221946E72E74DA38F4AA9C6F074E010"/>
        <w:category>
          <w:name w:val="Geral"/>
          <w:gallery w:val="placeholder"/>
        </w:category>
        <w:types>
          <w:type w:val="bbPlcHdr"/>
        </w:types>
        <w:behaviors>
          <w:behavior w:val="content"/>
        </w:behaviors>
        <w:guid w:val="{46C3C5A6-5E61-4771-A70A-12E693DF6EBB}"/>
      </w:docPartPr>
      <w:docPartBody>
        <w:p w:rsidR="00506248" w:rsidRDefault="00D44F1E" w:rsidP="00D44F1E">
          <w:r w:rsidRPr="00EC7750">
            <w:rPr>
              <w:rStyle w:val="TextodoEspaoReservado"/>
            </w:rPr>
            <w:t>Clique ou toque aqui para inserir o texto.</w:t>
          </w:r>
        </w:p>
      </w:docPartBody>
    </w:docPart>
    <w:docPart>
      <w:docPartPr>
        <w:name w:val="75ED1EA1F05044E6A056EDED7DC03E46"/>
        <w:category>
          <w:name w:val="Geral"/>
          <w:gallery w:val="placeholder"/>
        </w:category>
        <w:types>
          <w:type w:val="bbPlcHdr"/>
        </w:types>
        <w:behaviors>
          <w:behavior w:val="content"/>
        </w:behaviors>
        <w:guid w:val="{D4425621-FCC1-4949-A78E-78A0722F6224}"/>
      </w:docPartPr>
      <w:docPartBody>
        <w:p w:rsidR="00506248" w:rsidRDefault="00D44F1E" w:rsidP="00D44F1E">
          <w:r>
            <w:rPr>
              <w:rStyle w:val="TextodoEspaoReservado"/>
            </w:rPr>
            <w:t>Clique ou toque aqui para inserir o texto.</w:t>
          </w:r>
        </w:p>
      </w:docPartBody>
    </w:docPart>
    <w:docPart>
      <w:docPartPr>
        <w:name w:val="2D3C9B8CB75043E69D3978B243ADC880"/>
        <w:category>
          <w:name w:val="Geral"/>
          <w:gallery w:val="placeholder"/>
        </w:category>
        <w:types>
          <w:type w:val="bbPlcHdr"/>
        </w:types>
        <w:behaviors>
          <w:behavior w:val="content"/>
        </w:behaviors>
        <w:guid w:val="{688D1918-01C2-4022-8081-EF72C87525F7}"/>
      </w:docPartPr>
      <w:docPartBody>
        <w:p w:rsidR="00506248" w:rsidRDefault="00D44F1E" w:rsidP="00D44F1E">
          <w:r>
            <w:rPr>
              <w:rStyle w:val="TextodoEspaoReservado"/>
            </w:rPr>
            <w:t>Clique ou toque aqui para inserir o texto.</w:t>
          </w:r>
        </w:p>
      </w:docPartBody>
    </w:docPart>
    <w:docPart>
      <w:docPartPr>
        <w:name w:val="E31AC5A7C6924A27844D188DAD3224C7"/>
        <w:category>
          <w:name w:val="Geral"/>
          <w:gallery w:val="placeholder"/>
        </w:category>
        <w:types>
          <w:type w:val="bbPlcHdr"/>
        </w:types>
        <w:behaviors>
          <w:behavior w:val="content"/>
        </w:behaviors>
        <w:guid w:val="{2BB00025-ED60-44E3-A67F-87F20A2F3A1B}"/>
      </w:docPartPr>
      <w:docPartBody>
        <w:p w:rsidR="00506248" w:rsidRDefault="00D44F1E" w:rsidP="00D44F1E">
          <w:r>
            <w:rPr>
              <w:rStyle w:val="TextodoEspaoReservado"/>
            </w:rPr>
            <w:t>Clique ou toque aqui para inserir o texto.</w:t>
          </w:r>
        </w:p>
      </w:docPartBody>
    </w:docPart>
    <w:docPart>
      <w:docPartPr>
        <w:name w:val="6D0844CDB6F8483CAD63FE4959EE9A4E"/>
        <w:category>
          <w:name w:val="Geral"/>
          <w:gallery w:val="placeholder"/>
        </w:category>
        <w:types>
          <w:type w:val="bbPlcHdr"/>
        </w:types>
        <w:behaviors>
          <w:behavior w:val="content"/>
        </w:behaviors>
        <w:guid w:val="{74E2B0BD-578D-4FE2-80C7-A340B8E7388D}"/>
      </w:docPartPr>
      <w:docPartBody>
        <w:p w:rsidR="00506248" w:rsidRDefault="00D44F1E" w:rsidP="00D44F1E">
          <w:r>
            <w:rPr>
              <w:rStyle w:val="TextodoEspaoReservado"/>
            </w:rPr>
            <w:t>Clique ou toque aqui para inserir o texto.</w:t>
          </w:r>
        </w:p>
      </w:docPartBody>
    </w:docPart>
    <w:docPart>
      <w:docPartPr>
        <w:name w:val="592750D7A74747EF9E4F152EC72A97B3"/>
        <w:category>
          <w:name w:val="Geral"/>
          <w:gallery w:val="placeholder"/>
        </w:category>
        <w:types>
          <w:type w:val="bbPlcHdr"/>
        </w:types>
        <w:behaviors>
          <w:behavior w:val="content"/>
        </w:behaviors>
        <w:guid w:val="{B0C56E64-3168-49E9-9BC9-60511D19349C}"/>
      </w:docPartPr>
      <w:docPartBody>
        <w:p w:rsidR="00506248" w:rsidRDefault="00D44F1E" w:rsidP="00D44F1E">
          <w:r>
            <w:rPr>
              <w:rStyle w:val="TextodoEspaoReservado"/>
            </w:rPr>
            <w:t>Clique ou toque aqui para inserir o texto.</w:t>
          </w:r>
        </w:p>
      </w:docPartBody>
    </w:docPart>
    <w:docPart>
      <w:docPartPr>
        <w:name w:val="29FA4E7A8DFB4788B4078E246132BAE8"/>
        <w:category>
          <w:name w:val="Geral"/>
          <w:gallery w:val="placeholder"/>
        </w:category>
        <w:types>
          <w:type w:val="bbPlcHdr"/>
        </w:types>
        <w:behaviors>
          <w:behavior w:val="content"/>
        </w:behaviors>
        <w:guid w:val="{8EA33512-8DE3-4A3F-AE8F-D07892F538F8}"/>
      </w:docPartPr>
      <w:docPartBody>
        <w:p w:rsidR="00506248" w:rsidRDefault="00D44F1E" w:rsidP="00D44F1E">
          <w:r>
            <w:rPr>
              <w:rStyle w:val="TextodoEspaoReservado"/>
            </w:rPr>
            <w:t>Clique ou toque aqui para inserir o texto.</w:t>
          </w:r>
        </w:p>
      </w:docPartBody>
    </w:docPart>
    <w:docPart>
      <w:docPartPr>
        <w:name w:val="889C8146F61A4703B3F954F1221EB1F3"/>
        <w:category>
          <w:name w:val="Geral"/>
          <w:gallery w:val="placeholder"/>
        </w:category>
        <w:types>
          <w:type w:val="bbPlcHdr"/>
        </w:types>
        <w:behaviors>
          <w:behavior w:val="content"/>
        </w:behaviors>
        <w:guid w:val="{CBB7F901-284F-4F29-ABB0-A19114E80B15}"/>
      </w:docPartPr>
      <w:docPartBody>
        <w:p w:rsidR="00506248" w:rsidRDefault="00D44F1E" w:rsidP="00D44F1E">
          <w:r>
            <w:rPr>
              <w:rStyle w:val="TextodoEspaoReservado"/>
            </w:rPr>
            <w:t>Clique ou toque aqui para inserir o texto.</w:t>
          </w:r>
        </w:p>
      </w:docPartBody>
    </w:docPart>
    <w:docPart>
      <w:docPartPr>
        <w:name w:val="9476D9C8CF6343C5A5DC62F593B0049E"/>
        <w:category>
          <w:name w:val="Geral"/>
          <w:gallery w:val="placeholder"/>
        </w:category>
        <w:types>
          <w:type w:val="bbPlcHdr"/>
        </w:types>
        <w:behaviors>
          <w:behavior w:val="content"/>
        </w:behaviors>
        <w:guid w:val="{622AB712-4C5A-4FE9-85CF-9CDD5B658CF9}"/>
      </w:docPartPr>
      <w:docPartBody>
        <w:p w:rsidR="00506248" w:rsidRDefault="00D44F1E" w:rsidP="00D44F1E">
          <w:r>
            <w:rPr>
              <w:rStyle w:val="TextodoEspaoReservado"/>
            </w:rPr>
            <w:t>Clique ou toque aqui para inserir o texto.</w:t>
          </w:r>
        </w:p>
      </w:docPartBody>
    </w:docPart>
    <w:docPart>
      <w:docPartPr>
        <w:name w:val="9FD17AE97D8F451F821176719C164B60"/>
        <w:category>
          <w:name w:val="Geral"/>
          <w:gallery w:val="placeholder"/>
        </w:category>
        <w:types>
          <w:type w:val="bbPlcHdr"/>
        </w:types>
        <w:behaviors>
          <w:behavior w:val="content"/>
        </w:behaviors>
        <w:guid w:val="{6D2C441A-D2CB-4E4A-A5C7-615CAF036156}"/>
      </w:docPartPr>
      <w:docPartBody>
        <w:p w:rsidR="00506248" w:rsidRDefault="00D44F1E" w:rsidP="00D44F1E">
          <w:r>
            <w:rPr>
              <w:rStyle w:val="TextodoEspaoReservado"/>
            </w:rPr>
            <w:t>Clique ou toque aqui para inserir o texto.</w:t>
          </w:r>
        </w:p>
      </w:docPartBody>
    </w:docPart>
    <w:docPart>
      <w:docPartPr>
        <w:name w:val="C6CBA30FBD714AC298E04F4187D08539"/>
        <w:category>
          <w:name w:val="Geral"/>
          <w:gallery w:val="placeholder"/>
        </w:category>
        <w:types>
          <w:type w:val="bbPlcHdr"/>
        </w:types>
        <w:behaviors>
          <w:behavior w:val="content"/>
        </w:behaviors>
        <w:guid w:val="{86EAC594-D834-4DE7-BF45-DD27E0D7FFDA}"/>
      </w:docPartPr>
      <w:docPartBody>
        <w:p w:rsidR="00506248" w:rsidRDefault="00D44F1E" w:rsidP="00D44F1E">
          <w:r>
            <w:rPr>
              <w:rStyle w:val="TextodoEspaoReservado"/>
            </w:rPr>
            <w:t>Clique ou toque aqui para inserir o texto.</w:t>
          </w:r>
        </w:p>
      </w:docPartBody>
    </w:docPart>
    <w:docPart>
      <w:docPartPr>
        <w:name w:val="0BA461124ADB480B82F57487C27698B9"/>
        <w:category>
          <w:name w:val="Geral"/>
          <w:gallery w:val="placeholder"/>
        </w:category>
        <w:types>
          <w:type w:val="bbPlcHdr"/>
        </w:types>
        <w:behaviors>
          <w:behavior w:val="content"/>
        </w:behaviors>
        <w:guid w:val="{B37BB696-DA05-4CCE-8E3C-D3C31D51FD52}"/>
      </w:docPartPr>
      <w:docPartBody>
        <w:p w:rsidR="00506248" w:rsidRDefault="00D44F1E" w:rsidP="00D44F1E">
          <w:r>
            <w:rPr>
              <w:rStyle w:val="TextodoEspaoReservado"/>
            </w:rPr>
            <w:t>Clique ou toque aqui para inserir o texto.</w:t>
          </w:r>
        </w:p>
      </w:docPartBody>
    </w:docPart>
    <w:docPart>
      <w:docPartPr>
        <w:name w:val="026232ADD8F94F4B88847CEAA2E91562"/>
        <w:category>
          <w:name w:val="Geral"/>
          <w:gallery w:val="placeholder"/>
        </w:category>
        <w:types>
          <w:type w:val="bbPlcHdr"/>
        </w:types>
        <w:behaviors>
          <w:behavior w:val="content"/>
        </w:behaviors>
        <w:guid w:val="{7C7CA882-31E4-4869-AB7E-96E7F7E8FB47}"/>
      </w:docPartPr>
      <w:docPartBody>
        <w:p w:rsidR="00506248" w:rsidRDefault="00D44F1E" w:rsidP="00D44F1E">
          <w:r>
            <w:rPr>
              <w:rStyle w:val="TextodoEspaoReservado"/>
            </w:rPr>
            <w:t>Clique ou toque aqui para inserir o texto.</w:t>
          </w:r>
        </w:p>
      </w:docPartBody>
    </w:docPart>
    <w:docPart>
      <w:docPartPr>
        <w:name w:val="4945989FDC504809B2165356D644EE0B"/>
        <w:category>
          <w:name w:val="Geral"/>
          <w:gallery w:val="placeholder"/>
        </w:category>
        <w:types>
          <w:type w:val="bbPlcHdr"/>
        </w:types>
        <w:behaviors>
          <w:behavior w:val="content"/>
        </w:behaviors>
        <w:guid w:val="{D7A5C619-8543-4551-8A7B-DD8A524EDFFD}"/>
      </w:docPartPr>
      <w:docPartBody>
        <w:p w:rsidR="00506248" w:rsidRDefault="00D44F1E" w:rsidP="00D44F1E">
          <w:r>
            <w:rPr>
              <w:rStyle w:val="TextodoEspaoReservado"/>
            </w:rPr>
            <w:t>Clique ou toque aqui para inserir o texto.</w:t>
          </w:r>
        </w:p>
      </w:docPartBody>
    </w:docPart>
    <w:docPart>
      <w:docPartPr>
        <w:name w:val="8F457E529CCD44CC80079BB53F53E5FD"/>
        <w:category>
          <w:name w:val="Geral"/>
          <w:gallery w:val="placeholder"/>
        </w:category>
        <w:types>
          <w:type w:val="bbPlcHdr"/>
        </w:types>
        <w:behaviors>
          <w:behavior w:val="content"/>
        </w:behaviors>
        <w:guid w:val="{DCAB6E70-2E15-4862-9C86-F39023F75587}"/>
      </w:docPartPr>
      <w:docPartBody>
        <w:p w:rsidR="00506248" w:rsidRDefault="00D44F1E" w:rsidP="00D44F1E">
          <w:r>
            <w:rPr>
              <w:rStyle w:val="TextodoEspaoReservado"/>
            </w:rPr>
            <w:t>Clique ou toque aqui para inserir o texto.</w:t>
          </w:r>
        </w:p>
      </w:docPartBody>
    </w:docPart>
    <w:docPart>
      <w:docPartPr>
        <w:name w:val="ABF38BA2E31141DD8BE56551C1312641"/>
        <w:category>
          <w:name w:val="Geral"/>
          <w:gallery w:val="placeholder"/>
        </w:category>
        <w:types>
          <w:type w:val="bbPlcHdr"/>
        </w:types>
        <w:behaviors>
          <w:behavior w:val="content"/>
        </w:behaviors>
        <w:guid w:val="{1410E256-3721-4BC5-B423-A14F81ECC461}"/>
      </w:docPartPr>
      <w:docPartBody>
        <w:p w:rsidR="00506248" w:rsidRDefault="00D44F1E" w:rsidP="00D44F1E">
          <w:r>
            <w:rPr>
              <w:rStyle w:val="TextodoEspaoReservado"/>
            </w:rPr>
            <w:t>Clique ou toque aqui para inserir o texto.</w:t>
          </w:r>
        </w:p>
      </w:docPartBody>
    </w:docPart>
    <w:docPart>
      <w:docPartPr>
        <w:name w:val="3DABE6543BAD42388908378D9EC4BE18"/>
        <w:category>
          <w:name w:val="Geral"/>
          <w:gallery w:val="placeholder"/>
        </w:category>
        <w:types>
          <w:type w:val="bbPlcHdr"/>
        </w:types>
        <w:behaviors>
          <w:behavior w:val="content"/>
        </w:behaviors>
        <w:guid w:val="{D8D3E1FF-5103-4A26-B3DF-DC2BFCBD0728}"/>
      </w:docPartPr>
      <w:docPartBody>
        <w:p w:rsidR="00506248" w:rsidRDefault="00D44F1E" w:rsidP="00D44F1E">
          <w:r>
            <w:rPr>
              <w:rStyle w:val="TextodoEspaoReservado"/>
            </w:rPr>
            <w:t>Clique ou toque aqui para inserir o texto.</w:t>
          </w:r>
        </w:p>
      </w:docPartBody>
    </w:docPart>
    <w:docPart>
      <w:docPartPr>
        <w:name w:val="2C7D816EF45445BD8E7601EB68A40236"/>
        <w:category>
          <w:name w:val="Geral"/>
          <w:gallery w:val="placeholder"/>
        </w:category>
        <w:types>
          <w:type w:val="bbPlcHdr"/>
        </w:types>
        <w:behaviors>
          <w:behavior w:val="content"/>
        </w:behaviors>
        <w:guid w:val="{7A02D121-0A8F-48A2-9B4A-7E9D2C682EE1}"/>
      </w:docPartPr>
      <w:docPartBody>
        <w:p w:rsidR="00506248" w:rsidRDefault="00D44F1E" w:rsidP="00D44F1E">
          <w:r>
            <w:rPr>
              <w:rStyle w:val="TextodoEspaoReservado"/>
            </w:rPr>
            <w:t>Clique ou toque aqui para inserir o texto.</w:t>
          </w:r>
        </w:p>
      </w:docPartBody>
    </w:docPart>
    <w:docPart>
      <w:docPartPr>
        <w:name w:val="E4FFA0A64E0A4D29B03B13252FE3ECED"/>
        <w:category>
          <w:name w:val="Geral"/>
          <w:gallery w:val="placeholder"/>
        </w:category>
        <w:types>
          <w:type w:val="bbPlcHdr"/>
        </w:types>
        <w:behaviors>
          <w:behavior w:val="content"/>
        </w:behaviors>
        <w:guid w:val="{45DAB43F-E295-4983-AB77-CA92BC412C51}"/>
      </w:docPartPr>
      <w:docPartBody>
        <w:p w:rsidR="00506248" w:rsidRDefault="00D44F1E" w:rsidP="00D44F1E">
          <w:r>
            <w:rPr>
              <w:rStyle w:val="TextodoEspaoReservado"/>
            </w:rPr>
            <w:t>Clique ou toque aqui para inserir o texto.</w:t>
          </w:r>
        </w:p>
      </w:docPartBody>
    </w:docPart>
    <w:docPart>
      <w:docPartPr>
        <w:name w:val="BB01F7B659FD4DB7905E4A22F6EF457F"/>
        <w:category>
          <w:name w:val="Geral"/>
          <w:gallery w:val="placeholder"/>
        </w:category>
        <w:types>
          <w:type w:val="bbPlcHdr"/>
        </w:types>
        <w:behaviors>
          <w:behavior w:val="content"/>
        </w:behaviors>
        <w:guid w:val="{B92E9CE8-E315-48D3-8D2E-C8DD484B5F17}"/>
      </w:docPartPr>
      <w:docPartBody>
        <w:p w:rsidR="00506248" w:rsidRDefault="00D44F1E" w:rsidP="00D44F1E">
          <w:r>
            <w:rPr>
              <w:rStyle w:val="TextodoEspaoReservado"/>
            </w:rPr>
            <w:t>Clique ou toque aqui para inserir o texto.</w:t>
          </w:r>
        </w:p>
      </w:docPartBody>
    </w:docPart>
    <w:docPart>
      <w:docPartPr>
        <w:name w:val="DFB9CF0E701F4DC8AD8A2EA707501F89"/>
        <w:category>
          <w:name w:val="Geral"/>
          <w:gallery w:val="placeholder"/>
        </w:category>
        <w:types>
          <w:type w:val="bbPlcHdr"/>
        </w:types>
        <w:behaviors>
          <w:behavior w:val="content"/>
        </w:behaviors>
        <w:guid w:val="{5B71880D-52A3-4172-946E-A76CB1A09468}"/>
      </w:docPartPr>
      <w:docPartBody>
        <w:p w:rsidR="00506248" w:rsidRDefault="00D44F1E" w:rsidP="00D44F1E">
          <w:r>
            <w:rPr>
              <w:rStyle w:val="TextodoEspaoReservado"/>
            </w:rPr>
            <w:t>Clique ou toque aqui para inserir o texto.</w:t>
          </w:r>
        </w:p>
      </w:docPartBody>
    </w:docPart>
    <w:docPart>
      <w:docPartPr>
        <w:name w:val="A0D291BD9E1B4BA68A054EED55695F4F"/>
        <w:category>
          <w:name w:val="Geral"/>
          <w:gallery w:val="placeholder"/>
        </w:category>
        <w:types>
          <w:type w:val="bbPlcHdr"/>
        </w:types>
        <w:behaviors>
          <w:behavior w:val="content"/>
        </w:behaviors>
        <w:guid w:val="{C171A910-1C6B-4CA5-A241-55630008D5E2}"/>
      </w:docPartPr>
      <w:docPartBody>
        <w:p w:rsidR="00506248" w:rsidRDefault="00D44F1E" w:rsidP="00D44F1E">
          <w:r w:rsidRPr="00EC7750">
            <w:rPr>
              <w:rStyle w:val="TextodoEspaoReservado"/>
            </w:rPr>
            <w:t>Clique ou toque aqui para inserir o texto.</w:t>
          </w:r>
        </w:p>
      </w:docPartBody>
    </w:docPart>
    <w:docPart>
      <w:docPartPr>
        <w:name w:val="6A5C83B9671947E78D166F3C036FB82D"/>
        <w:category>
          <w:name w:val="Geral"/>
          <w:gallery w:val="placeholder"/>
        </w:category>
        <w:types>
          <w:type w:val="bbPlcHdr"/>
        </w:types>
        <w:behaviors>
          <w:behavior w:val="content"/>
        </w:behaviors>
        <w:guid w:val="{D905CA46-D1CA-48BD-A6B7-F4004D0FF0DB}"/>
      </w:docPartPr>
      <w:docPartBody>
        <w:p w:rsidR="00506248" w:rsidRDefault="00D44F1E" w:rsidP="00D44F1E">
          <w:r w:rsidRPr="00EC7750">
            <w:rPr>
              <w:rStyle w:val="TextodoEspaoReservado"/>
            </w:rPr>
            <w:t>Clique ou toque aqui para inserir o texto.</w:t>
          </w:r>
        </w:p>
      </w:docPartBody>
    </w:docPart>
    <w:docPart>
      <w:docPartPr>
        <w:name w:val="23711F34D0524388A8FCAEB6A4AF215B"/>
        <w:category>
          <w:name w:val="Geral"/>
          <w:gallery w:val="placeholder"/>
        </w:category>
        <w:types>
          <w:type w:val="bbPlcHdr"/>
        </w:types>
        <w:behaviors>
          <w:behavior w:val="content"/>
        </w:behaviors>
        <w:guid w:val="{2F4ED07F-B6D6-4F04-BF63-CC595630FB95}"/>
      </w:docPartPr>
      <w:docPartBody>
        <w:p w:rsidR="00506248" w:rsidRDefault="00D44F1E" w:rsidP="00D44F1E">
          <w:r w:rsidRPr="00EC7750">
            <w:rPr>
              <w:rStyle w:val="TextodoEspaoReservado"/>
            </w:rPr>
            <w:t>Clique ou toque aqui para inserir o texto.</w:t>
          </w:r>
        </w:p>
      </w:docPartBody>
    </w:docPart>
    <w:docPart>
      <w:docPartPr>
        <w:name w:val="24DB025CE67D458DAB83588558334E5B"/>
        <w:category>
          <w:name w:val="Geral"/>
          <w:gallery w:val="placeholder"/>
        </w:category>
        <w:types>
          <w:type w:val="bbPlcHdr"/>
        </w:types>
        <w:behaviors>
          <w:behavior w:val="content"/>
        </w:behaviors>
        <w:guid w:val="{29586BF1-8E7B-47A6-9B78-7915C14D1F6A}"/>
      </w:docPartPr>
      <w:docPartBody>
        <w:p w:rsidR="00506248" w:rsidRDefault="00D44F1E" w:rsidP="00D44F1E">
          <w:r w:rsidRPr="00EC7750">
            <w:rPr>
              <w:rStyle w:val="TextodoEspaoReservado"/>
            </w:rPr>
            <w:t>Clique ou toque aqui para inserir o texto.</w:t>
          </w:r>
        </w:p>
      </w:docPartBody>
    </w:docPart>
    <w:docPart>
      <w:docPartPr>
        <w:name w:val="B4E08A22472642958A754C8A2DB2D001"/>
        <w:category>
          <w:name w:val="Geral"/>
          <w:gallery w:val="placeholder"/>
        </w:category>
        <w:types>
          <w:type w:val="bbPlcHdr"/>
        </w:types>
        <w:behaviors>
          <w:behavior w:val="content"/>
        </w:behaviors>
        <w:guid w:val="{BCAA5816-0B40-4B74-ABBF-35CC882C033C}"/>
      </w:docPartPr>
      <w:docPartBody>
        <w:p w:rsidR="00506248" w:rsidRDefault="00D44F1E" w:rsidP="00D44F1E">
          <w:r w:rsidRPr="00EC7750">
            <w:rPr>
              <w:rStyle w:val="TextodoEspaoReservado"/>
            </w:rPr>
            <w:t>Clique ou toque aqui para inserir o texto.</w:t>
          </w:r>
        </w:p>
      </w:docPartBody>
    </w:docPart>
    <w:docPart>
      <w:docPartPr>
        <w:name w:val="538C13A52E884BDDA3381611453CAF47"/>
        <w:category>
          <w:name w:val="Geral"/>
          <w:gallery w:val="placeholder"/>
        </w:category>
        <w:types>
          <w:type w:val="bbPlcHdr"/>
        </w:types>
        <w:behaviors>
          <w:behavior w:val="content"/>
        </w:behaviors>
        <w:guid w:val="{FF0E7DC9-D855-4958-A8BF-C4C7C913E443}"/>
      </w:docPartPr>
      <w:docPartBody>
        <w:p w:rsidR="00506248" w:rsidRDefault="00D44F1E" w:rsidP="00D44F1E">
          <w:r w:rsidRPr="00EC7750">
            <w:rPr>
              <w:rStyle w:val="TextodoEspaoReservado"/>
            </w:rPr>
            <w:t>Clique ou toque aqui para inserir o texto.</w:t>
          </w:r>
        </w:p>
      </w:docPartBody>
    </w:docPart>
    <w:docPart>
      <w:docPartPr>
        <w:name w:val="B5EAE1BBA62E482D9A90FB8A13C108DC"/>
        <w:category>
          <w:name w:val="Geral"/>
          <w:gallery w:val="placeholder"/>
        </w:category>
        <w:types>
          <w:type w:val="bbPlcHdr"/>
        </w:types>
        <w:behaviors>
          <w:behavior w:val="content"/>
        </w:behaviors>
        <w:guid w:val="{3E372457-CB14-4627-ADFC-EE072541DA39}"/>
      </w:docPartPr>
      <w:docPartBody>
        <w:p w:rsidR="00506248" w:rsidRDefault="00D44F1E" w:rsidP="00D44F1E">
          <w:r w:rsidRPr="00EC7750">
            <w:rPr>
              <w:rStyle w:val="TextodoEspaoReservado"/>
            </w:rPr>
            <w:t>Clique ou toque aqui para inserir o texto.</w:t>
          </w:r>
        </w:p>
      </w:docPartBody>
    </w:docPart>
    <w:docPart>
      <w:docPartPr>
        <w:name w:val="2287D19BD4004CC980DE5C6EB88AFC97"/>
        <w:category>
          <w:name w:val="Geral"/>
          <w:gallery w:val="placeholder"/>
        </w:category>
        <w:types>
          <w:type w:val="bbPlcHdr"/>
        </w:types>
        <w:behaviors>
          <w:behavior w:val="content"/>
        </w:behaviors>
        <w:guid w:val="{7F2C6394-C7C3-43CB-B4E8-E3707BC7E19A}"/>
      </w:docPartPr>
      <w:docPartBody>
        <w:p w:rsidR="00506248" w:rsidRDefault="00D44F1E" w:rsidP="00D44F1E">
          <w:r w:rsidRPr="00EC7750">
            <w:rPr>
              <w:rStyle w:val="TextodoEspaoReservado"/>
            </w:rPr>
            <w:t>Clique ou toque aqui para inserir o texto.</w:t>
          </w:r>
        </w:p>
      </w:docPartBody>
    </w:docPart>
    <w:docPart>
      <w:docPartPr>
        <w:name w:val="01E32945FF2C484FB8C25C3C502BE196"/>
        <w:category>
          <w:name w:val="Geral"/>
          <w:gallery w:val="placeholder"/>
        </w:category>
        <w:types>
          <w:type w:val="bbPlcHdr"/>
        </w:types>
        <w:behaviors>
          <w:behavior w:val="content"/>
        </w:behaviors>
        <w:guid w:val="{C7F8FA3C-6044-4562-9C10-0A963A53A8BB}"/>
      </w:docPartPr>
      <w:docPartBody>
        <w:p w:rsidR="00506248" w:rsidRDefault="00D44F1E" w:rsidP="00D44F1E">
          <w:r w:rsidRPr="00EC7750">
            <w:rPr>
              <w:rStyle w:val="TextodoEspaoReservado"/>
            </w:rPr>
            <w:t>Clique ou toque aqui para inserir o texto.</w:t>
          </w:r>
        </w:p>
      </w:docPartBody>
    </w:docPart>
    <w:docPart>
      <w:docPartPr>
        <w:name w:val="90FF6A44BB724946966D45E455B1BA65"/>
        <w:category>
          <w:name w:val="Geral"/>
          <w:gallery w:val="placeholder"/>
        </w:category>
        <w:types>
          <w:type w:val="bbPlcHdr"/>
        </w:types>
        <w:behaviors>
          <w:behavior w:val="content"/>
        </w:behaviors>
        <w:guid w:val="{22CED004-9C5F-428C-80ED-5184C3D6890A}"/>
      </w:docPartPr>
      <w:docPartBody>
        <w:p w:rsidR="00506248" w:rsidRDefault="00D44F1E" w:rsidP="00D44F1E">
          <w:r w:rsidRPr="00EC7750">
            <w:rPr>
              <w:rStyle w:val="TextodoEspaoReservado"/>
            </w:rPr>
            <w:t>Clique ou toque aqui para inserir o texto.</w:t>
          </w:r>
        </w:p>
      </w:docPartBody>
    </w:docPart>
    <w:docPart>
      <w:docPartPr>
        <w:name w:val="8AD3D1383E5148DC864A378194ACC86F"/>
        <w:category>
          <w:name w:val="Geral"/>
          <w:gallery w:val="placeholder"/>
        </w:category>
        <w:types>
          <w:type w:val="bbPlcHdr"/>
        </w:types>
        <w:behaviors>
          <w:behavior w:val="content"/>
        </w:behaviors>
        <w:guid w:val="{ADE01308-5BC2-4C2C-9D7C-BBFA9BEC4D76}"/>
      </w:docPartPr>
      <w:docPartBody>
        <w:p w:rsidR="00506248" w:rsidRDefault="00D44F1E" w:rsidP="00D44F1E">
          <w:r w:rsidRPr="00EC7750">
            <w:rPr>
              <w:rStyle w:val="TextodoEspaoReservado"/>
            </w:rPr>
            <w:t>Clique ou toque aqui para inserir o texto.</w:t>
          </w:r>
        </w:p>
      </w:docPartBody>
    </w:docPart>
    <w:docPart>
      <w:docPartPr>
        <w:name w:val="D3590EE436FD489C8025D8DD4C29AC0F"/>
        <w:category>
          <w:name w:val="Geral"/>
          <w:gallery w:val="placeholder"/>
        </w:category>
        <w:types>
          <w:type w:val="bbPlcHdr"/>
        </w:types>
        <w:behaviors>
          <w:behavior w:val="content"/>
        </w:behaviors>
        <w:guid w:val="{37BDAEFF-46F6-4E48-8865-96F661889572}"/>
      </w:docPartPr>
      <w:docPartBody>
        <w:p w:rsidR="00506248" w:rsidRDefault="00D44F1E" w:rsidP="00D44F1E">
          <w:r w:rsidRPr="00EC7750">
            <w:rPr>
              <w:rStyle w:val="TextodoEspaoReservado"/>
            </w:rPr>
            <w:t>Clique ou toque aqui para inserir o texto.</w:t>
          </w:r>
        </w:p>
      </w:docPartBody>
    </w:docPart>
    <w:docPart>
      <w:docPartPr>
        <w:name w:val="908BDC931BCF4B22AF51829441735E8B"/>
        <w:category>
          <w:name w:val="Geral"/>
          <w:gallery w:val="placeholder"/>
        </w:category>
        <w:types>
          <w:type w:val="bbPlcHdr"/>
        </w:types>
        <w:behaviors>
          <w:behavior w:val="content"/>
        </w:behaviors>
        <w:guid w:val="{80081CF8-5B4D-4CEC-A893-C268637B06A8}"/>
      </w:docPartPr>
      <w:docPartBody>
        <w:p w:rsidR="00506248" w:rsidRDefault="00D44F1E" w:rsidP="00D44F1E">
          <w:r w:rsidRPr="00EC7750">
            <w:rPr>
              <w:rStyle w:val="TextodoEspaoReservado"/>
            </w:rPr>
            <w:t>Clique ou toque aqui para inserir o texto.</w:t>
          </w:r>
        </w:p>
      </w:docPartBody>
    </w:docPart>
    <w:docPart>
      <w:docPartPr>
        <w:name w:val="C8E982C96D2449B6A6562E1050A8AF25"/>
        <w:category>
          <w:name w:val="Geral"/>
          <w:gallery w:val="placeholder"/>
        </w:category>
        <w:types>
          <w:type w:val="bbPlcHdr"/>
        </w:types>
        <w:behaviors>
          <w:behavior w:val="content"/>
        </w:behaviors>
        <w:guid w:val="{CAA76BD7-2D98-4175-AE1E-5F079E18F090}"/>
      </w:docPartPr>
      <w:docPartBody>
        <w:p w:rsidR="00506248" w:rsidRDefault="00D44F1E" w:rsidP="00D44F1E">
          <w:r w:rsidRPr="00EC7750">
            <w:rPr>
              <w:rStyle w:val="TextodoEspaoReservado"/>
            </w:rPr>
            <w:t>Clique ou toque aqui para inserir o texto.</w:t>
          </w:r>
        </w:p>
      </w:docPartBody>
    </w:docPart>
    <w:docPart>
      <w:docPartPr>
        <w:name w:val="38707B607B154B4F93D7D13EF301FB28"/>
        <w:category>
          <w:name w:val="Geral"/>
          <w:gallery w:val="placeholder"/>
        </w:category>
        <w:types>
          <w:type w:val="bbPlcHdr"/>
        </w:types>
        <w:behaviors>
          <w:behavior w:val="content"/>
        </w:behaviors>
        <w:guid w:val="{20CBF18F-F3EF-409E-8DB8-03C22FF32EB9}"/>
      </w:docPartPr>
      <w:docPartBody>
        <w:p w:rsidR="00506248" w:rsidRDefault="00D44F1E" w:rsidP="00D44F1E">
          <w:r w:rsidRPr="00EC7750">
            <w:rPr>
              <w:rStyle w:val="TextodoEspaoReservado"/>
            </w:rPr>
            <w:t>Clique ou toque aqui para inserir o texto.</w:t>
          </w:r>
        </w:p>
      </w:docPartBody>
    </w:docPart>
    <w:docPart>
      <w:docPartPr>
        <w:name w:val="00C258F01C9041098B1F14677586826D"/>
        <w:category>
          <w:name w:val="Geral"/>
          <w:gallery w:val="placeholder"/>
        </w:category>
        <w:types>
          <w:type w:val="bbPlcHdr"/>
        </w:types>
        <w:behaviors>
          <w:behavior w:val="content"/>
        </w:behaviors>
        <w:guid w:val="{AA697C08-EB64-4CE5-AB5F-4794978C8660}"/>
      </w:docPartPr>
      <w:docPartBody>
        <w:p w:rsidR="00506248" w:rsidRDefault="00D44F1E" w:rsidP="00D44F1E">
          <w:r w:rsidRPr="00EC7750">
            <w:rPr>
              <w:rStyle w:val="TextodoEspaoReservado"/>
            </w:rPr>
            <w:t>Clique ou toque aqui para inserir o texto.</w:t>
          </w:r>
        </w:p>
      </w:docPartBody>
    </w:docPart>
    <w:docPart>
      <w:docPartPr>
        <w:name w:val="7564F8D8438C478499B5F5C4BE5441C7"/>
        <w:category>
          <w:name w:val="Geral"/>
          <w:gallery w:val="placeholder"/>
        </w:category>
        <w:types>
          <w:type w:val="bbPlcHdr"/>
        </w:types>
        <w:behaviors>
          <w:behavior w:val="content"/>
        </w:behaviors>
        <w:guid w:val="{7D7918AF-FF2E-4333-A5DE-37208634116F}"/>
      </w:docPartPr>
      <w:docPartBody>
        <w:p w:rsidR="00506248" w:rsidRDefault="00D44F1E" w:rsidP="00D44F1E">
          <w:r>
            <w:rPr>
              <w:rStyle w:val="TextodoEspaoReservado"/>
            </w:rPr>
            <w:t>Clique ou toque aqui para inserir o texto.</w:t>
          </w:r>
        </w:p>
      </w:docPartBody>
    </w:docPart>
    <w:docPart>
      <w:docPartPr>
        <w:name w:val="25711D59B72B484593BD4DF8950A042D"/>
        <w:category>
          <w:name w:val="Geral"/>
          <w:gallery w:val="placeholder"/>
        </w:category>
        <w:types>
          <w:type w:val="bbPlcHdr"/>
        </w:types>
        <w:behaviors>
          <w:behavior w:val="content"/>
        </w:behaviors>
        <w:guid w:val="{6C3EC700-AB72-4D9E-BE83-127216642CD8}"/>
      </w:docPartPr>
      <w:docPartBody>
        <w:p w:rsidR="00000000" w:rsidRDefault="00E92B50" w:rsidP="00E92B50">
          <w:pPr>
            <w:pStyle w:val="25711D59B72B484593BD4DF8950A042D"/>
          </w:pPr>
          <w:r>
            <w:rPr>
              <w:rStyle w:val="TextodoEspaoReservado"/>
            </w:rPr>
            <w:t>Clique ou toque aqui para inserir o texto.</w:t>
          </w:r>
        </w:p>
      </w:docPartBody>
    </w:docPart>
    <w:docPart>
      <w:docPartPr>
        <w:name w:val="1F9D19FD4B434387B4CA97E4DEFEC6C1"/>
        <w:category>
          <w:name w:val="Geral"/>
          <w:gallery w:val="placeholder"/>
        </w:category>
        <w:types>
          <w:type w:val="bbPlcHdr"/>
        </w:types>
        <w:behaviors>
          <w:behavior w:val="content"/>
        </w:behaviors>
        <w:guid w:val="{42699733-2D41-4FB0-B85C-5357BD2B15D5}"/>
      </w:docPartPr>
      <w:docPartBody>
        <w:p w:rsidR="00000000" w:rsidRDefault="00E92B50" w:rsidP="00E92B50">
          <w:pPr>
            <w:pStyle w:val="1F9D19FD4B434387B4CA97E4DEFEC6C1"/>
          </w:pPr>
          <w:r>
            <w:rPr>
              <w:rStyle w:val="TextodoEspaoReservado"/>
            </w:rPr>
            <w:t>Clique ou toque aqui para inserir o texto.</w:t>
          </w:r>
        </w:p>
      </w:docPartBody>
    </w:docPart>
    <w:docPart>
      <w:docPartPr>
        <w:name w:val="00A748D5802849E2A668E405B3F26013"/>
        <w:category>
          <w:name w:val="Geral"/>
          <w:gallery w:val="placeholder"/>
        </w:category>
        <w:types>
          <w:type w:val="bbPlcHdr"/>
        </w:types>
        <w:behaviors>
          <w:behavior w:val="content"/>
        </w:behaviors>
        <w:guid w:val="{110B953C-CECC-497A-912B-F4C859CFA608}"/>
      </w:docPartPr>
      <w:docPartBody>
        <w:p w:rsidR="00000000" w:rsidRDefault="00E92B50" w:rsidP="00E92B50">
          <w:pPr>
            <w:pStyle w:val="00A748D5802849E2A668E405B3F26013"/>
          </w:pPr>
          <w:r w:rsidRPr="00EC7750">
            <w:rPr>
              <w:rStyle w:val="TextodoEspaoReservado"/>
            </w:rPr>
            <w:t>Clique ou toque aqui para inserir o texto.</w:t>
          </w:r>
        </w:p>
      </w:docPartBody>
    </w:docPart>
    <w:docPart>
      <w:docPartPr>
        <w:name w:val="86EEF93092C24F3B909A44AC01387755"/>
        <w:category>
          <w:name w:val="Geral"/>
          <w:gallery w:val="placeholder"/>
        </w:category>
        <w:types>
          <w:type w:val="bbPlcHdr"/>
        </w:types>
        <w:behaviors>
          <w:behavior w:val="content"/>
        </w:behaviors>
        <w:guid w:val="{3F4FE113-F6B2-43C4-96DD-FD2511BEA8AC}"/>
      </w:docPartPr>
      <w:docPartBody>
        <w:p w:rsidR="00000000" w:rsidRDefault="00E92B50" w:rsidP="00E92B50">
          <w:pPr>
            <w:pStyle w:val="86EEF93092C24F3B909A44AC01387755"/>
          </w:pPr>
          <w:r w:rsidRPr="00EC7750">
            <w:rPr>
              <w:rStyle w:val="TextodoEspaoReservado"/>
            </w:rPr>
            <w:t>Clique ou toque aqui para inserir o texto.</w:t>
          </w:r>
        </w:p>
      </w:docPartBody>
    </w:docPart>
    <w:docPart>
      <w:docPartPr>
        <w:name w:val="C939F6ABF0A44755911DE452E9776EB3"/>
        <w:category>
          <w:name w:val="Geral"/>
          <w:gallery w:val="placeholder"/>
        </w:category>
        <w:types>
          <w:type w:val="bbPlcHdr"/>
        </w:types>
        <w:behaviors>
          <w:behavior w:val="content"/>
        </w:behaviors>
        <w:guid w:val="{E180224F-D89A-4698-9BB5-5AE7838259D2}"/>
      </w:docPartPr>
      <w:docPartBody>
        <w:p w:rsidR="00000000" w:rsidRDefault="00E92B50" w:rsidP="00E92B50">
          <w:pPr>
            <w:pStyle w:val="C939F6ABF0A44755911DE452E9776EB3"/>
          </w:pPr>
          <w:r w:rsidRPr="00EC7750">
            <w:rPr>
              <w:rStyle w:val="TextodoEspaoReservado"/>
            </w:rPr>
            <w:t>Clique ou toque aqui para inserir o texto.</w:t>
          </w:r>
        </w:p>
      </w:docPartBody>
    </w:docPart>
    <w:docPart>
      <w:docPartPr>
        <w:name w:val="4EDA81B3AB804D07B0525768EBD87419"/>
        <w:category>
          <w:name w:val="Geral"/>
          <w:gallery w:val="placeholder"/>
        </w:category>
        <w:types>
          <w:type w:val="bbPlcHdr"/>
        </w:types>
        <w:behaviors>
          <w:behavior w:val="content"/>
        </w:behaviors>
        <w:guid w:val="{B7E41EC5-0D7A-4B20-99A1-DC94C207A394}"/>
      </w:docPartPr>
      <w:docPartBody>
        <w:p w:rsidR="00000000" w:rsidRDefault="00E92B50" w:rsidP="00E92B50">
          <w:pPr>
            <w:pStyle w:val="4EDA81B3AB804D07B0525768EBD87419"/>
          </w:pPr>
          <w:r w:rsidRPr="00EC7750">
            <w:rPr>
              <w:rStyle w:val="TextodoEspaoReservado"/>
            </w:rPr>
            <w:t>Clique ou toque aqui para inserir o texto.</w:t>
          </w:r>
        </w:p>
      </w:docPartBody>
    </w:docPart>
    <w:docPart>
      <w:docPartPr>
        <w:name w:val="4D5C8AFF77CF4B769F0C2C16912788D6"/>
        <w:category>
          <w:name w:val="Geral"/>
          <w:gallery w:val="placeholder"/>
        </w:category>
        <w:types>
          <w:type w:val="bbPlcHdr"/>
        </w:types>
        <w:behaviors>
          <w:behavior w:val="content"/>
        </w:behaviors>
        <w:guid w:val="{4EA12AC9-E952-4876-A412-851648047D09}"/>
      </w:docPartPr>
      <w:docPartBody>
        <w:p w:rsidR="00000000" w:rsidRDefault="00E92B50" w:rsidP="00E92B50">
          <w:pPr>
            <w:pStyle w:val="4D5C8AFF77CF4B769F0C2C16912788D6"/>
          </w:pPr>
          <w:r w:rsidRPr="00EC7750">
            <w:rPr>
              <w:rStyle w:val="TextodoEspaoReservado"/>
            </w:rPr>
            <w:t>Clique ou toque aqui para inserir o texto.</w:t>
          </w:r>
        </w:p>
      </w:docPartBody>
    </w:docPart>
    <w:docPart>
      <w:docPartPr>
        <w:name w:val="91017331423948059EC45653A829C36D"/>
        <w:category>
          <w:name w:val="Geral"/>
          <w:gallery w:val="placeholder"/>
        </w:category>
        <w:types>
          <w:type w:val="bbPlcHdr"/>
        </w:types>
        <w:behaviors>
          <w:behavior w:val="content"/>
        </w:behaviors>
        <w:guid w:val="{502195B0-2A16-4732-BA8F-CD6460AACBF9}"/>
      </w:docPartPr>
      <w:docPartBody>
        <w:p w:rsidR="00000000" w:rsidRDefault="00E92B50" w:rsidP="00E92B50">
          <w:pPr>
            <w:pStyle w:val="91017331423948059EC45653A829C36D"/>
          </w:pPr>
          <w:r w:rsidRPr="00EC7750">
            <w:rPr>
              <w:rStyle w:val="TextodoEspaoReservado"/>
            </w:rPr>
            <w:t>Clique ou toque aqui para inserir o texto.</w:t>
          </w:r>
        </w:p>
      </w:docPartBody>
    </w:docPart>
    <w:docPart>
      <w:docPartPr>
        <w:name w:val="79FA8055D2FD4947B4545C2DF350E50A"/>
        <w:category>
          <w:name w:val="Geral"/>
          <w:gallery w:val="placeholder"/>
        </w:category>
        <w:types>
          <w:type w:val="bbPlcHdr"/>
        </w:types>
        <w:behaviors>
          <w:behavior w:val="content"/>
        </w:behaviors>
        <w:guid w:val="{A80D98AD-A638-4EF4-AF9B-6F13107630FA}"/>
      </w:docPartPr>
      <w:docPartBody>
        <w:p w:rsidR="00000000" w:rsidRDefault="00E92B50" w:rsidP="00E92B50">
          <w:pPr>
            <w:pStyle w:val="79FA8055D2FD4947B4545C2DF350E50A"/>
          </w:pPr>
          <w:r w:rsidRPr="00EC7750">
            <w:rPr>
              <w:rStyle w:val="TextodoEspaoReservado"/>
            </w:rPr>
            <w:t>Clique ou toque aqui para inserir o texto.</w:t>
          </w:r>
        </w:p>
      </w:docPartBody>
    </w:docPart>
    <w:docPart>
      <w:docPartPr>
        <w:name w:val="D937AD1346FD4A33A6855E6213A2EA76"/>
        <w:category>
          <w:name w:val="Geral"/>
          <w:gallery w:val="placeholder"/>
        </w:category>
        <w:types>
          <w:type w:val="bbPlcHdr"/>
        </w:types>
        <w:behaviors>
          <w:behavior w:val="content"/>
        </w:behaviors>
        <w:guid w:val="{1E07D695-60CC-41D4-BEED-0F130D75A216}"/>
      </w:docPartPr>
      <w:docPartBody>
        <w:p w:rsidR="00000000" w:rsidRDefault="00E92B50" w:rsidP="00E92B50">
          <w:pPr>
            <w:pStyle w:val="D937AD1346FD4A33A6855E6213A2EA76"/>
          </w:pPr>
          <w:r w:rsidRPr="00EC7750">
            <w:rPr>
              <w:rStyle w:val="TextodoEspaoReservado"/>
            </w:rPr>
            <w:t>Clique ou toque aqui para inserir o texto.</w:t>
          </w:r>
        </w:p>
      </w:docPartBody>
    </w:docPart>
    <w:docPart>
      <w:docPartPr>
        <w:name w:val="574160A617684276947C75E92EBB42AB"/>
        <w:category>
          <w:name w:val="Geral"/>
          <w:gallery w:val="placeholder"/>
        </w:category>
        <w:types>
          <w:type w:val="bbPlcHdr"/>
        </w:types>
        <w:behaviors>
          <w:behavior w:val="content"/>
        </w:behaviors>
        <w:guid w:val="{97CA42BA-0010-48A3-995E-A6BBED66016D}"/>
      </w:docPartPr>
      <w:docPartBody>
        <w:p w:rsidR="00000000" w:rsidRDefault="00E92B50" w:rsidP="00E92B50">
          <w:pPr>
            <w:pStyle w:val="574160A617684276947C75E92EBB42AB"/>
          </w:pPr>
          <w:r w:rsidRPr="00EC7750">
            <w:rPr>
              <w:rStyle w:val="TextodoEspaoReservado"/>
            </w:rPr>
            <w:t>Clique ou toque aqui para inserir o texto.</w:t>
          </w:r>
        </w:p>
      </w:docPartBody>
    </w:docPart>
    <w:docPart>
      <w:docPartPr>
        <w:name w:val="5FA43D83D3E94E72A45579C5E9C8F964"/>
        <w:category>
          <w:name w:val="Geral"/>
          <w:gallery w:val="placeholder"/>
        </w:category>
        <w:types>
          <w:type w:val="bbPlcHdr"/>
        </w:types>
        <w:behaviors>
          <w:behavior w:val="content"/>
        </w:behaviors>
        <w:guid w:val="{8890957B-F0EF-480B-80B1-CC6D4251EACF}"/>
      </w:docPartPr>
      <w:docPartBody>
        <w:p w:rsidR="00000000" w:rsidRDefault="00E92B50" w:rsidP="00E92B50">
          <w:pPr>
            <w:pStyle w:val="5FA43D83D3E94E72A45579C5E9C8F964"/>
          </w:pPr>
          <w:r w:rsidRPr="00EC7750">
            <w:rPr>
              <w:rStyle w:val="TextodoEspaoReservado"/>
            </w:rPr>
            <w:t>Clique ou toque aqui para inserir o texto.</w:t>
          </w:r>
        </w:p>
      </w:docPartBody>
    </w:docPart>
    <w:docPart>
      <w:docPartPr>
        <w:name w:val="B2DD6772AB25421F930AA83F6D35C661"/>
        <w:category>
          <w:name w:val="Geral"/>
          <w:gallery w:val="placeholder"/>
        </w:category>
        <w:types>
          <w:type w:val="bbPlcHdr"/>
        </w:types>
        <w:behaviors>
          <w:behavior w:val="content"/>
        </w:behaviors>
        <w:guid w:val="{412C4857-A30A-4AC6-AEA1-0259463B4C5A}"/>
      </w:docPartPr>
      <w:docPartBody>
        <w:p w:rsidR="00000000" w:rsidRDefault="00E92B50" w:rsidP="00E92B50">
          <w:pPr>
            <w:pStyle w:val="B2DD6772AB25421F930AA83F6D35C661"/>
          </w:pPr>
          <w:r w:rsidRPr="00EC7750">
            <w:rPr>
              <w:rStyle w:val="TextodoEspaoReservado"/>
            </w:rPr>
            <w:t>Clique ou toque aqui para inserir o texto.</w:t>
          </w:r>
        </w:p>
      </w:docPartBody>
    </w:docPart>
    <w:docPart>
      <w:docPartPr>
        <w:name w:val="533230F3B54B482B83FD296E13EECC2A"/>
        <w:category>
          <w:name w:val="Geral"/>
          <w:gallery w:val="placeholder"/>
        </w:category>
        <w:types>
          <w:type w:val="bbPlcHdr"/>
        </w:types>
        <w:behaviors>
          <w:behavior w:val="content"/>
        </w:behaviors>
        <w:guid w:val="{7CBD58E2-8C01-49F2-8093-FCF1061686DE}"/>
      </w:docPartPr>
      <w:docPartBody>
        <w:p w:rsidR="00000000" w:rsidRDefault="00E92B50" w:rsidP="00E92B50">
          <w:pPr>
            <w:pStyle w:val="533230F3B54B482B83FD296E13EECC2A"/>
          </w:pPr>
          <w:r w:rsidRPr="00EC7750">
            <w:rPr>
              <w:rStyle w:val="TextodoEspaoReservado"/>
            </w:rPr>
            <w:t>Clique ou toque aqui para inserir o texto.</w:t>
          </w:r>
        </w:p>
      </w:docPartBody>
    </w:docPart>
    <w:docPart>
      <w:docPartPr>
        <w:name w:val="08DDF4AA91774F3D8187225DC003CF9D"/>
        <w:category>
          <w:name w:val="Geral"/>
          <w:gallery w:val="placeholder"/>
        </w:category>
        <w:types>
          <w:type w:val="bbPlcHdr"/>
        </w:types>
        <w:behaviors>
          <w:behavior w:val="content"/>
        </w:behaviors>
        <w:guid w:val="{76973FE9-3252-4942-8174-39494D900832}"/>
      </w:docPartPr>
      <w:docPartBody>
        <w:p w:rsidR="00000000" w:rsidRDefault="00E92B50" w:rsidP="00E92B50">
          <w:pPr>
            <w:pStyle w:val="08DDF4AA91774F3D8187225DC003CF9D"/>
          </w:pPr>
          <w:r w:rsidRPr="00EC7750">
            <w:rPr>
              <w:rStyle w:val="TextodoEspaoReservado"/>
            </w:rPr>
            <w:t>Clique ou toque aqui para inserir o texto.</w:t>
          </w:r>
        </w:p>
      </w:docPartBody>
    </w:docPart>
    <w:docPart>
      <w:docPartPr>
        <w:name w:val="A19E9912F1AF473F84E05A65873EB3B8"/>
        <w:category>
          <w:name w:val="Geral"/>
          <w:gallery w:val="placeholder"/>
        </w:category>
        <w:types>
          <w:type w:val="bbPlcHdr"/>
        </w:types>
        <w:behaviors>
          <w:behavior w:val="content"/>
        </w:behaviors>
        <w:guid w:val="{DC64DBE1-D336-4CE6-A434-03AFC267C60A}"/>
      </w:docPartPr>
      <w:docPartBody>
        <w:p w:rsidR="00000000" w:rsidRDefault="00E92B50" w:rsidP="00E92B50">
          <w:pPr>
            <w:pStyle w:val="A19E9912F1AF473F84E05A65873EB3B8"/>
          </w:pPr>
          <w:r w:rsidRPr="00EC7750">
            <w:rPr>
              <w:rStyle w:val="TextodoEspaoReservado"/>
            </w:rPr>
            <w:t>Clique ou toque aqui para inserir o texto.</w:t>
          </w:r>
        </w:p>
      </w:docPartBody>
    </w:docPart>
    <w:docPart>
      <w:docPartPr>
        <w:name w:val="142D4BEB6A404AB595AABE5F0063AB61"/>
        <w:category>
          <w:name w:val="Geral"/>
          <w:gallery w:val="placeholder"/>
        </w:category>
        <w:types>
          <w:type w:val="bbPlcHdr"/>
        </w:types>
        <w:behaviors>
          <w:behavior w:val="content"/>
        </w:behaviors>
        <w:guid w:val="{A7E8CB98-5AD9-4595-98B4-D0199802B301}"/>
      </w:docPartPr>
      <w:docPartBody>
        <w:p w:rsidR="00000000" w:rsidRDefault="00E92B50" w:rsidP="00E92B50">
          <w:pPr>
            <w:pStyle w:val="142D4BEB6A404AB595AABE5F0063AB61"/>
          </w:pPr>
          <w:r w:rsidRPr="00EC7750">
            <w:rPr>
              <w:rStyle w:val="TextodoEspaoReservado"/>
            </w:rPr>
            <w:t>Clique ou toque aqui para inserir o texto.</w:t>
          </w:r>
        </w:p>
      </w:docPartBody>
    </w:docPart>
    <w:docPart>
      <w:docPartPr>
        <w:name w:val="49C2729EE7CE4AFC9E0806651A1569C9"/>
        <w:category>
          <w:name w:val="Geral"/>
          <w:gallery w:val="placeholder"/>
        </w:category>
        <w:types>
          <w:type w:val="bbPlcHdr"/>
        </w:types>
        <w:behaviors>
          <w:behavior w:val="content"/>
        </w:behaviors>
        <w:guid w:val="{64A493E3-D83C-423A-999E-5A378EEE82BA}"/>
      </w:docPartPr>
      <w:docPartBody>
        <w:p w:rsidR="00000000" w:rsidRDefault="00E92B50" w:rsidP="00E92B50">
          <w:pPr>
            <w:pStyle w:val="49C2729EE7CE4AFC9E0806651A1569C9"/>
          </w:pPr>
          <w:r w:rsidRPr="00EC7750">
            <w:rPr>
              <w:rStyle w:val="TextodoEspaoReservado"/>
            </w:rPr>
            <w:t>Clique ou toque aqui para inserir o texto.</w:t>
          </w:r>
        </w:p>
      </w:docPartBody>
    </w:docPart>
    <w:docPart>
      <w:docPartPr>
        <w:name w:val="5BE9E758A63E45399A32C8A7343DDFE1"/>
        <w:category>
          <w:name w:val="Geral"/>
          <w:gallery w:val="placeholder"/>
        </w:category>
        <w:types>
          <w:type w:val="bbPlcHdr"/>
        </w:types>
        <w:behaviors>
          <w:behavior w:val="content"/>
        </w:behaviors>
        <w:guid w:val="{B76EB16A-66F5-4A24-8C99-7C7DDF2D0462}"/>
      </w:docPartPr>
      <w:docPartBody>
        <w:p w:rsidR="00000000" w:rsidRDefault="00E92B50" w:rsidP="00E92B50">
          <w:pPr>
            <w:pStyle w:val="5BE9E758A63E45399A32C8A7343DDFE1"/>
          </w:pPr>
          <w:r w:rsidRPr="00EC7750">
            <w:rPr>
              <w:rStyle w:val="TextodoEspaoReservado"/>
            </w:rPr>
            <w:t>Clique ou toque aqui para inserir o texto.</w:t>
          </w:r>
        </w:p>
      </w:docPartBody>
    </w:docPart>
    <w:docPart>
      <w:docPartPr>
        <w:name w:val="406138A050BC40518C6C540169E8F4DF"/>
        <w:category>
          <w:name w:val="Geral"/>
          <w:gallery w:val="placeholder"/>
        </w:category>
        <w:types>
          <w:type w:val="bbPlcHdr"/>
        </w:types>
        <w:behaviors>
          <w:behavior w:val="content"/>
        </w:behaviors>
        <w:guid w:val="{DE2A017A-173F-4A51-952C-1A22D5C8ED39}"/>
      </w:docPartPr>
      <w:docPartBody>
        <w:p w:rsidR="00000000" w:rsidRDefault="00E92B50" w:rsidP="00E92B50">
          <w:pPr>
            <w:pStyle w:val="406138A050BC40518C6C540169E8F4DF"/>
          </w:pPr>
          <w:r w:rsidRPr="00EC7750">
            <w:rPr>
              <w:rStyle w:val="TextodoEspaoReservado"/>
            </w:rPr>
            <w:t>Clique ou toque aqui para inserir o texto.</w:t>
          </w:r>
        </w:p>
      </w:docPartBody>
    </w:docPart>
    <w:docPart>
      <w:docPartPr>
        <w:name w:val="9B7CEE1FA3154900B1C06831B16F7D86"/>
        <w:category>
          <w:name w:val="Geral"/>
          <w:gallery w:val="placeholder"/>
        </w:category>
        <w:types>
          <w:type w:val="bbPlcHdr"/>
        </w:types>
        <w:behaviors>
          <w:behavior w:val="content"/>
        </w:behaviors>
        <w:guid w:val="{FAEDA50A-7D73-4285-A3DE-53869D3622DD}"/>
      </w:docPartPr>
      <w:docPartBody>
        <w:p w:rsidR="00000000" w:rsidRDefault="00E92B50" w:rsidP="00E92B50">
          <w:pPr>
            <w:pStyle w:val="9B7CEE1FA3154900B1C06831B16F7D86"/>
          </w:pPr>
          <w:r w:rsidRPr="00EC7750">
            <w:rPr>
              <w:rStyle w:val="TextodoEspaoReservado"/>
            </w:rPr>
            <w:t>Clique ou toque aqui para inserir o texto.</w:t>
          </w:r>
        </w:p>
      </w:docPartBody>
    </w:docPart>
    <w:docPart>
      <w:docPartPr>
        <w:name w:val="52214633BD9A4B1A8A500CF5912E068E"/>
        <w:category>
          <w:name w:val="Geral"/>
          <w:gallery w:val="placeholder"/>
        </w:category>
        <w:types>
          <w:type w:val="bbPlcHdr"/>
        </w:types>
        <w:behaviors>
          <w:behavior w:val="content"/>
        </w:behaviors>
        <w:guid w:val="{744A133C-D68F-4840-AFC4-87BB5C6A9233}"/>
      </w:docPartPr>
      <w:docPartBody>
        <w:p w:rsidR="00000000" w:rsidRDefault="00E92B50" w:rsidP="00E92B50">
          <w:pPr>
            <w:pStyle w:val="52214633BD9A4B1A8A500CF5912E068E"/>
          </w:pPr>
          <w:r w:rsidRPr="00EC7750">
            <w:rPr>
              <w:rStyle w:val="TextodoEspaoReservado"/>
            </w:rPr>
            <w:t>Clique ou toque aqui para inserir o texto.</w:t>
          </w:r>
        </w:p>
      </w:docPartBody>
    </w:docPart>
    <w:docPart>
      <w:docPartPr>
        <w:name w:val="2D24E83ADAFB48E0BD1C910AC0E32B61"/>
        <w:category>
          <w:name w:val="Geral"/>
          <w:gallery w:val="placeholder"/>
        </w:category>
        <w:types>
          <w:type w:val="bbPlcHdr"/>
        </w:types>
        <w:behaviors>
          <w:behavior w:val="content"/>
        </w:behaviors>
        <w:guid w:val="{424A52B8-F904-40CF-AFE5-43BB00F59EAB}"/>
      </w:docPartPr>
      <w:docPartBody>
        <w:p w:rsidR="00000000" w:rsidRDefault="00E92B50" w:rsidP="00E92B50">
          <w:pPr>
            <w:pStyle w:val="2D24E83ADAFB48E0BD1C910AC0E32B61"/>
          </w:pPr>
          <w:r w:rsidRPr="00EC7750">
            <w:rPr>
              <w:rStyle w:val="TextodoEspaoReservado"/>
            </w:rPr>
            <w:t>Clique ou toque aqui para inserir o texto.</w:t>
          </w:r>
        </w:p>
      </w:docPartBody>
    </w:docPart>
    <w:docPart>
      <w:docPartPr>
        <w:name w:val="F642508233264A03918A297124134E0A"/>
        <w:category>
          <w:name w:val="Geral"/>
          <w:gallery w:val="placeholder"/>
        </w:category>
        <w:types>
          <w:type w:val="bbPlcHdr"/>
        </w:types>
        <w:behaviors>
          <w:behavior w:val="content"/>
        </w:behaviors>
        <w:guid w:val="{B9324364-4C47-40AF-879E-0D0088C7CBA2}"/>
      </w:docPartPr>
      <w:docPartBody>
        <w:p w:rsidR="00000000" w:rsidRDefault="00E92B50" w:rsidP="00E92B50">
          <w:pPr>
            <w:pStyle w:val="F642508233264A03918A297124134E0A"/>
          </w:pPr>
          <w:r w:rsidRPr="00EC7750">
            <w:rPr>
              <w:rStyle w:val="TextodoEspaoReservado"/>
            </w:rPr>
            <w:t>Clique ou toque aqui para inserir o texto.</w:t>
          </w:r>
        </w:p>
      </w:docPartBody>
    </w:docPart>
    <w:docPart>
      <w:docPartPr>
        <w:name w:val="8E906B1A58FB44CF844EC97E7513FB4F"/>
        <w:category>
          <w:name w:val="Geral"/>
          <w:gallery w:val="placeholder"/>
        </w:category>
        <w:types>
          <w:type w:val="bbPlcHdr"/>
        </w:types>
        <w:behaviors>
          <w:behavior w:val="content"/>
        </w:behaviors>
        <w:guid w:val="{5845DA50-E19D-4D3E-9640-91FD3ED1055B}"/>
      </w:docPartPr>
      <w:docPartBody>
        <w:p w:rsidR="00000000" w:rsidRDefault="00E92B50" w:rsidP="00E92B50">
          <w:pPr>
            <w:pStyle w:val="8E906B1A58FB44CF844EC97E7513FB4F"/>
          </w:pPr>
          <w:r w:rsidRPr="00EC7750">
            <w:rPr>
              <w:rStyle w:val="TextodoEspaoReservado"/>
            </w:rPr>
            <w:t>Clique ou toque aqui para inserir o texto.</w:t>
          </w:r>
        </w:p>
      </w:docPartBody>
    </w:docPart>
    <w:docPart>
      <w:docPartPr>
        <w:name w:val="65BC73E710234F12AD8333869A549FA6"/>
        <w:category>
          <w:name w:val="Geral"/>
          <w:gallery w:val="placeholder"/>
        </w:category>
        <w:types>
          <w:type w:val="bbPlcHdr"/>
        </w:types>
        <w:behaviors>
          <w:behavior w:val="content"/>
        </w:behaviors>
        <w:guid w:val="{B2192F16-BE9B-4A77-A985-32C74760257B}"/>
      </w:docPartPr>
      <w:docPartBody>
        <w:p w:rsidR="00000000" w:rsidRDefault="00E92B50" w:rsidP="00E92B50">
          <w:pPr>
            <w:pStyle w:val="65BC73E710234F12AD8333869A549FA6"/>
          </w:pPr>
          <w:r w:rsidRPr="00EC7750">
            <w:rPr>
              <w:rStyle w:val="TextodoEspaoReservado"/>
            </w:rPr>
            <w:t>Clique ou toque aqui para inserir o texto.</w:t>
          </w:r>
        </w:p>
      </w:docPartBody>
    </w:docPart>
    <w:docPart>
      <w:docPartPr>
        <w:name w:val="41EE947A68FF4BF8B83DFF48CB960042"/>
        <w:category>
          <w:name w:val="Geral"/>
          <w:gallery w:val="placeholder"/>
        </w:category>
        <w:types>
          <w:type w:val="bbPlcHdr"/>
        </w:types>
        <w:behaviors>
          <w:behavior w:val="content"/>
        </w:behaviors>
        <w:guid w:val="{15B91A2D-0A3B-49D8-AF4E-5379C6FF87BC}"/>
      </w:docPartPr>
      <w:docPartBody>
        <w:p w:rsidR="00000000" w:rsidRDefault="00E92B50" w:rsidP="00E92B50">
          <w:pPr>
            <w:pStyle w:val="41EE947A68FF4BF8B83DFF48CB960042"/>
          </w:pPr>
          <w:r w:rsidRPr="00EC7750">
            <w:rPr>
              <w:rStyle w:val="TextodoEspaoReservado"/>
            </w:rPr>
            <w:t>Clique ou toque aqui para inserir o texto.</w:t>
          </w:r>
        </w:p>
      </w:docPartBody>
    </w:docPart>
    <w:docPart>
      <w:docPartPr>
        <w:name w:val="8616DDD7595C417AB738F4E3AA207BFE"/>
        <w:category>
          <w:name w:val="Geral"/>
          <w:gallery w:val="placeholder"/>
        </w:category>
        <w:types>
          <w:type w:val="bbPlcHdr"/>
        </w:types>
        <w:behaviors>
          <w:behavior w:val="content"/>
        </w:behaviors>
        <w:guid w:val="{AE30516E-98D3-4E8E-BF96-283475DFF6B2}"/>
      </w:docPartPr>
      <w:docPartBody>
        <w:p w:rsidR="00000000" w:rsidRDefault="00E92B50" w:rsidP="00E92B50">
          <w:pPr>
            <w:pStyle w:val="8616DDD7595C417AB738F4E3AA207BFE"/>
          </w:pPr>
          <w:r w:rsidRPr="00EC7750">
            <w:rPr>
              <w:rStyle w:val="TextodoEspaoReservado"/>
            </w:rPr>
            <w:t>Clique ou toque aqui para inserir o texto.</w:t>
          </w:r>
        </w:p>
      </w:docPartBody>
    </w:docPart>
    <w:docPart>
      <w:docPartPr>
        <w:name w:val="AFB620A3FFDC436D820B4DC25D630CB0"/>
        <w:category>
          <w:name w:val="Geral"/>
          <w:gallery w:val="placeholder"/>
        </w:category>
        <w:types>
          <w:type w:val="bbPlcHdr"/>
        </w:types>
        <w:behaviors>
          <w:behavior w:val="content"/>
        </w:behaviors>
        <w:guid w:val="{24AC9702-15B2-4A15-8AAC-23D9C1753E7D}"/>
      </w:docPartPr>
      <w:docPartBody>
        <w:p w:rsidR="00000000" w:rsidRDefault="00E92B50" w:rsidP="00E92B50">
          <w:pPr>
            <w:pStyle w:val="AFB620A3FFDC436D820B4DC25D630CB0"/>
          </w:pPr>
          <w:r w:rsidRPr="00EC7750">
            <w:rPr>
              <w:rStyle w:val="TextodoEspaoReservado"/>
            </w:rPr>
            <w:t>Clique ou toque aqui para inserir o texto.</w:t>
          </w:r>
        </w:p>
      </w:docPartBody>
    </w:docPart>
    <w:docPart>
      <w:docPartPr>
        <w:name w:val="B747CEB4F2AB4FD18567E64AD2E14753"/>
        <w:category>
          <w:name w:val="Geral"/>
          <w:gallery w:val="placeholder"/>
        </w:category>
        <w:types>
          <w:type w:val="bbPlcHdr"/>
        </w:types>
        <w:behaviors>
          <w:behavior w:val="content"/>
        </w:behaviors>
        <w:guid w:val="{B7C01BC0-2720-44C9-A986-FF56FC07817F}"/>
      </w:docPartPr>
      <w:docPartBody>
        <w:p w:rsidR="00000000" w:rsidRDefault="00E92B50" w:rsidP="00E92B50">
          <w:pPr>
            <w:pStyle w:val="B747CEB4F2AB4FD18567E64AD2E14753"/>
          </w:pPr>
          <w:r w:rsidRPr="00EC7750">
            <w:rPr>
              <w:rStyle w:val="TextodoEspaoReservado"/>
            </w:rPr>
            <w:t>Clique ou toque aqui para inserir o texto.</w:t>
          </w:r>
        </w:p>
      </w:docPartBody>
    </w:docPart>
    <w:docPart>
      <w:docPartPr>
        <w:name w:val="2E5D62927DBD4C498537403C3A1FF41D"/>
        <w:category>
          <w:name w:val="Geral"/>
          <w:gallery w:val="placeholder"/>
        </w:category>
        <w:types>
          <w:type w:val="bbPlcHdr"/>
        </w:types>
        <w:behaviors>
          <w:behavior w:val="content"/>
        </w:behaviors>
        <w:guid w:val="{38CAB3C3-79A1-4975-B3C7-BA6050D9C4E5}"/>
      </w:docPartPr>
      <w:docPartBody>
        <w:p w:rsidR="00000000" w:rsidRDefault="00E92B50" w:rsidP="00E92B50">
          <w:pPr>
            <w:pStyle w:val="2E5D62927DBD4C498537403C3A1FF41D"/>
          </w:pPr>
          <w:r>
            <w:rPr>
              <w:rStyle w:val="TextodoEspaoReservado"/>
            </w:rPr>
            <w:t>Clique ou toque aqui para inserir o texto.</w:t>
          </w:r>
        </w:p>
      </w:docPartBody>
    </w:docPart>
    <w:docPart>
      <w:docPartPr>
        <w:name w:val="28003BB8350E45EE882EF97977777C46"/>
        <w:category>
          <w:name w:val="Geral"/>
          <w:gallery w:val="placeholder"/>
        </w:category>
        <w:types>
          <w:type w:val="bbPlcHdr"/>
        </w:types>
        <w:behaviors>
          <w:behavior w:val="content"/>
        </w:behaviors>
        <w:guid w:val="{4D6CB000-50CF-4F15-B1F1-A99542FEF552}"/>
      </w:docPartPr>
      <w:docPartBody>
        <w:p w:rsidR="00000000" w:rsidRDefault="00E92B50" w:rsidP="00E92B50">
          <w:pPr>
            <w:pStyle w:val="28003BB8350E45EE882EF97977777C46"/>
          </w:pPr>
          <w:r>
            <w:rPr>
              <w:rStyle w:val="TextodoEspaoReservado"/>
            </w:rPr>
            <w:t>Clique ou toque aqui para inserir o texto.</w:t>
          </w:r>
        </w:p>
      </w:docPartBody>
    </w:docPart>
    <w:docPart>
      <w:docPartPr>
        <w:name w:val="C9C19752AFC5448AAF5879AD6C0EC842"/>
        <w:category>
          <w:name w:val="Geral"/>
          <w:gallery w:val="placeholder"/>
        </w:category>
        <w:types>
          <w:type w:val="bbPlcHdr"/>
        </w:types>
        <w:behaviors>
          <w:behavior w:val="content"/>
        </w:behaviors>
        <w:guid w:val="{C8A891C7-5A4F-4813-AEA4-5C2BC4EDCE5E}"/>
      </w:docPartPr>
      <w:docPartBody>
        <w:p w:rsidR="00000000" w:rsidRDefault="00E92B50" w:rsidP="00E92B50">
          <w:pPr>
            <w:pStyle w:val="C9C19752AFC5448AAF5879AD6C0EC842"/>
          </w:pPr>
          <w:r>
            <w:rPr>
              <w:rStyle w:val="TextodoEspaoReservado"/>
            </w:rPr>
            <w:t>Clique ou toque aqui para inserir o texto.</w:t>
          </w:r>
        </w:p>
      </w:docPartBody>
    </w:docPart>
    <w:docPart>
      <w:docPartPr>
        <w:name w:val="A909959C50A9470090D546837D228913"/>
        <w:category>
          <w:name w:val="Geral"/>
          <w:gallery w:val="placeholder"/>
        </w:category>
        <w:types>
          <w:type w:val="bbPlcHdr"/>
        </w:types>
        <w:behaviors>
          <w:behavior w:val="content"/>
        </w:behaviors>
        <w:guid w:val="{5A99AA54-6AE9-40BA-B1C8-41E021EA33E9}"/>
      </w:docPartPr>
      <w:docPartBody>
        <w:p w:rsidR="00000000" w:rsidRDefault="00E92B50" w:rsidP="00E92B50">
          <w:pPr>
            <w:pStyle w:val="A909959C50A9470090D546837D228913"/>
          </w:pPr>
          <w:r>
            <w:rPr>
              <w:rStyle w:val="TextodoEspaoReservado"/>
            </w:rPr>
            <w:t>Clique ou toque aqui para inserir o texto.</w:t>
          </w:r>
        </w:p>
      </w:docPartBody>
    </w:docPart>
    <w:docPart>
      <w:docPartPr>
        <w:name w:val="1E75F2BAC52B4B92857BD7F6449BE38B"/>
        <w:category>
          <w:name w:val="Geral"/>
          <w:gallery w:val="placeholder"/>
        </w:category>
        <w:types>
          <w:type w:val="bbPlcHdr"/>
        </w:types>
        <w:behaviors>
          <w:behavior w:val="content"/>
        </w:behaviors>
        <w:guid w:val="{9B0930AC-27C7-4063-BF39-1E8B1DDBCD97}"/>
      </w:docPartPr>
      <w:docPartBody>
        <w:p w:rsidR="00000000" w:rsidRDefault="00E92B50" w:rsidP="00E92B50">
          <w:pPr>
            <w:pStyle w:val="1E75F2BAC52B4B92857BD7F6449BE38B"/>
          </w:pPr>
          <w:r>
            <w:rPr>
              <w:rStyle w:val="TextodoEspaoReservado"/>
            </w:rPr>
            <w:t>Clique ou toque aqui para inserir o texto.</w:t>
          </w:r>
        </w:p>
      </w:docPartBody>
    </w:docPart>
    <w:docPart>
      <w:docPartPr>
        <w:name w:val="666049D1D4774A2DA64BF204589F3A71"/>
        <w:category>
          <w:name w:val="Geral"/>
          <w:gallery w:val="placeholder"/>
        </w:category>
        <w:types>
          <w:type w:val="bbPlcHdr"/>
        </w:types>
        <w:behaviors>
          <w:behavior w:val="content"/>
        </w:behaviors>
        <w:guid w:val="{9CECEBE1-EC4E-4C86-95E5-B2A387BB02ED}"/>
      </w:docPartPr>
      <w:docPartBody>
        <w:p w:rsidR="00000000" w:rsidRDefault="00E92B50" w:rsidP="00E92B50">
          <w:pPr>
            <w:pStyle w:val="666049D1D4774A2DA64BF204589F3A71"/>
          </w:pPr>
          <w:r>
            <w:rPr>
              <w:rStyle w:val="TextodoEspaoReservado"/>
            </w:rPr>
            <w:t>Clique ou toque aqui para inserir o texto.</w:t>
          </w:r>
        </w:p>
      </w:docPartBody>
    </w:docPart>
    <w:docPart>
      <w:docPartPr>
        <w:name w:val="53D0D31AAD774CC19DEA7A0DBE05631A"/>
        <w:category>
          <w:name w:val="Geral"/>
          <w:gallery w:val="placeholder"/>
        </w:category>
        <w:types>
          <w:type w:val="bbPlcHdr"/>
        </w:types>
        <w:behaviors>
          <w:behavior w:val="content"/>
        </w:behaviors>
        <w:guid w:val="{F034E395-C371-4989-8C49-FA573C29C539}"/>
      </w:docPartPr>
      <w:docPartBody>
        <w:p w:rsidR="00000000" w:rsidRDefault="00E92B50" w:rsidP="00E92B50">
          <w:pPr>
            <w:pStyle w:val="53D0D31AAD774CC19DEA7A0DBE05631A"/>
          </w:pPr>
          <w:r>
            <w:rPr>
              <w:rStyle w:val="TextodoEspaoReservado"/>
            </w:rPr>
            <w:t>Clique ou toque aqui para inserir o texto.</w:t>
          </w:r>
        </w:p>
      </w:docPartBody>
    </w:docPart>
    <w:docPart>
      <w:docPartPr>
        <w:name w:val="F91CF58E0FE24D61B1886B01DD844272"/>
        <w:category>
          <w:name w:val="Geral"/>
          <w:gallery w:val="placeholder"/>
        </w:category>
        <w:types>
          <w:type w:val="bbPlcHdr"/>
        </w:types>
        <w:behaviors>
          <w:behavior w:val="content"/>
        </w:behaviors>
        <w:guid w:val="{E49E6B6B-3400-4F51-BF24-1CA435ECED4E}"/>
      </w:docPartPr>
      <w:docPartBody>
        <w:p w:rsidR="00000000" w:rsidRDefault="00E92B50" w:rsidP="00E92B50">
          <w:pPr>
            <w:pStyle w:val="F91CF58E0FE24D61B1886B01DD844272"/>
          </w:pPr>
          <w:r>
            <w:rPr>
              <w:rStyle w:val="TextodoEspaoReservado"/>
            </w:rPr>
            <w:t>Clique ou toque aqui para inserir o texto.</w:t>
          </w:r>
        </w:p>
      </w:docPartBody>
    </w:docPart>
    <w:docPart>
      <w:docPartPr>
        <w:name w:val="B64905A4F8C7440F8ABAEE00CD65D1F0"/>
        <w:category>
          <w:name w:val="Geral"/>
          <w:gallery w:val="placeholder"/>
        </w:category>
        <w:types>
          <w:type w:val="bbPlcHdr"/>
        </w:types>
        <w:behaviors>
          <w:behavior w:val="content"/>
        </w:behaviors>
        <w:guid w:val="{5FB7364E-AB05-4538-B7B4-1A7445E1E0B9}"/>
      </w:docPartPr>
      <w:docPartBody>
        <w:p w:rsidR="00000000" w:rsidRDefault="00E92B50" w:rsidP="00E92B50">
          <w:pPr>
            <w:pStyle w:val="B64905A4F8C7440F8ABAEE00CD65D1F0"/>
          </w:pPr>
          <w:r>
            <w:rPr>
              <w:rStyle w:val="TextodoEspaoReservado"/>
            </w:rPr>
            <w:t>Clique ou toque aqui para inserir o texto.</w:t>
          </w:r>
        </w:p>
      </w:docPartBody>
    </w:docPart>
    <w:docPart>
      <w:docPartPr>
        <w:name w:val="FA8B92B8757F4967AB221FAB668CA329"/>
        <w:category>
          <w:name w:val="Geral"/>
          <w:gallery w:val="placeholder"/>
        </w:category>
        <w:types>
          <w:type w:val="bbPlcHdr"/>
        </w:types>
        <w:behaviors>
          <w:behavior w:val="content"/>
        </w:behaviors>
        <w:guid w:val="{655C650C-5628-4885-AABA-7D262BF688B9}"/>
      </w:docPartPr>
      <w:docPartBody>
        <w:p w:rsidR="00000000" w:rsidRDefault="00E92B50" w:rsidP="00E92B50">
          <w:pPr>
            <w:pStyle w:val="FA8B92B8757F4967AB221FAB668CA329"/>
          </w:pPr>
          <w:r>
            <w:rPr>
              <w:rStyle w:val="TextodoEspaoReservado"/>
            </w:rPr>
            <w:t>Clique ou toque aqui para inserir o texto.</w:t>
          </w:r>
        </w:p>
      </w:docPartBody>
    </w:docPart>
    <w:docPart>
      <w:docPartPr>
        <w:name w:val="74104200444543888D03D0BBFA4312C8"/>
        <w:category>
          <w:name w:val="Geral"/>
          <w:gallery w:val="placeholder"/>
        </w:category>
        <w:types>
          <w:type w:val="bbPlcHdr"/>
        </w:types>
        <w:behaviors>
          <w:behavior w:val="content"/>
        </w:behaviors>
        <w:guid w:val="{830EA5CC-12D7-41C7-A13D-1D7027089736}"/>
      </w:docPartPr>
      <w:docPartBody>
        <w:p w:rsidR="00000000" w:rsidRDefault="00E92B50" w:rsidP="00E92B50">
          <w:pPr>
            <w:pStyle w:val="74104200444543888D03D0BBFA4312C8"/>
          </w:pPr>
          <w:r w:rsidRPr="00EC7750">
            <w:rPr>
              <w:rStyle w:val="TextodoEspaoReservado"/>
            </w:rPr>
            <w:t>Clique ou toque aqui para inserir o texto.</w:t>
          </w:r>
        </w:p>
      </w:docPartBody>
    </w:docPart>
    <w:docPart>
      <w:docPartPr>
        <w:name w:val="9879F6561B31463899F8B344BA234AC1"/>
        <w:category>
          <w:name w:val="Geral"/>
          <w:gallery w:val="placeholder"/>
        </w:category>
        <w:types>
          <w:type w:val="bbPlcHdr"/>
        </w:types>
        <w:behaviors>
          <w:behavior w:val="content"/>
        </w:behaviors>
        <w:guid w:val="{2F2C3209-8B13-412C-93A0-46ED3EB05AF7}"/>
      </w:docPartPr>
      <w:docPartBody>
        <w:p w:rsidR="00000000" w:rsidRDefault="00E92B50" w:rsidP="00E92B50">
          <w:pPr>
            <w:pStyle w:val="9879F6561B31463899F8B344BA234AC1"/>
          </w:pPr>
          <w:r w:rsidRPr="00EC7750">
            <w:rPr>
              <w:rStyle w:val="TextodoEspaoReservado"/>
            </w:rPr>
            <w:t>Clique ou toque aqui para inserir o texto.</w:t>
          </w:r>
        </w:p>
      </w:docPartBody>
    </w:docPart>
    <w:docPart>
      <w:docPartPr>
        <w:name w:val="5D2058C0B7964B92A13C78064EC59792"/>
        <w:category>
          <w:name w:val="Geral"/>
          <w:gallery w:val="placeholder"/>
        </w:category>
        <w:types>
          <w:type w:val="bbPlcHdr"/>
        </w:types>
        <w:behaviors>
          <w:behavior w:val="content"/>
        </w:behaviors>
        <w:guid w:val="{6A18E5C8-554F-490F-BD37-B7DC1EF81013}"/>
      </w:docPartPr>
      <w:docPartBody>
        <w:p w:rsidR="00000000" w:rsidRDefault="00E92B50" w:rsidP="00E92B50">
          <w:pPr>
            <w:pStyle w:val="5D2058C0B7964B92A13C78064EC59792"/>
          </w:pPr>
          <w:r w:rsidRPr="00EC7750">
            <w:rPr>
              <w:rStyle w:val="TextodoEspaoReservado"/>
            </w:rPr>
            <w:t>Clique ou toque aqui para inserir o texto.</w:t>
          </w:r>
        </w:p>
      </w:docPartBody>
    </w:docPart>
    <w:docPart>
      <w:docPartPr>
        <w:name w:val="890D5F13C79B43A8AA2F2963C7984B77"/>
        <w:category>
          <w:name w:val="Geral"/>
          <w:gallery w:val="placeholder"/>
        </w:category>
        <w:types>
          <w:type w:val="bbPlcHdr"/>
        </w:types>
        <w:behaviors>
          <w:behavior w:val="content"/>
        </w:behaviors>
        <w:guid w:val="{D2AC94AC-71FE-4E96-AAA9-7433AEC0CEE5}"/>
      </w:docPartPr>
      <w:docPartBody>
        <w:p w:rsidR="00000000" w:rsidRDefault="00E92B50" w:rsidP="00E92B50">
          <w:pPr>
            <w:pStyle w:val="890D5F13C79B43A8AA2F2963C7984B77"/>
          </w:pPr>
          <w:r w:rsidRPr="00EC7750">
            <w:rPr>
              <w:rStyle w:val="TextodoEspaoReservado"/>
            </w:rPr>
            <w:t>Clique ou toque aqui para inserir o texto.</w:t>
          </w:r>
        </w:p>
      </w:docPartBody>
    </w:docPart>
    <w:docPart>
      <w:docPartPr>
        <w:name w:val="EC81DB6111AC48C5A973E35B25018CD7"/>
        <w:category>
          <w:name w:val="Geral"/>
          <w:gallery w:val="placeholder"/>
        </w:category>
        <w:types>
          <w:type w:val="bbPlcHdr"/>
        </w:types>
        <w:behaviors>
          <w:behavior w:val="content"/>
        </w:behaviors>
        <w:guid w:val="{FAE7CF53-50B6-4797-9064-04CDCA76AFBF}"/>
      </w:docPartPr>
      <w:docPartBody>
        <w:p w:rsidR="00000000" w:rsidRDefault="00E92B50" w:rsidP="00E92B50">
          <w:pPr>
            <w:pStyle w:val="EC81DB6111AC48C5A973E35B25018CD7"/>
          </w:pPr>
          <w:r w:rsidRPr="00EC7750">
            <w:rPr>
              <w:rStyle w:val="TextodoEspaoReservado"/>
            </w:rPr>
            <w:t>Clique ou toque aqui para inserir o texto.</w:t>
          </w:r>
        </w:p>
      </w:docPartBody>
    </w:docPart>
    <w:docPart>
      <w:docPartPr>
        <w:name w:val="9A2906ADCEDA45149A1AAD04AA8AAEAF"/>
        <w:category>
          <w:name w:val="Geral"/>
          <w:gallery w:val="placeholder"/>
        </w:category>
        <w:types>
          <w:type w:val="bbPlcHdr"/>
        </w:types>
        <w:behaviors>
          <w:behavior w:val="content"/>
        </w:behaviors>
        <w:guid w:val="{508ED37D-6527-4651-AE34-5DA25641D635}"/>
      </w:docPartPr>
      <w:docPartBody>
        <w:p w:rsidR="00000000" w:rsidRDefault="00E92B50" w:rsidP="00E92B50">
          <w:pPr>
            <w:pStyle w:val="9A2906ADCEDA45149A1AAD04AA8AAEAF"/>
          </w:pPr>
          <w:r w:rsidRPr="00EC7750">
            <w:rPr>
              <w:rStyle w:val="TextodoEspaoReservado"/>
            </w:rPr>
            <w:t>Clique ou toque aqui para inserir o texto.</w:t>
          </w:r>
        </w:p>
      </w:docPartBody>
    </w:docPart>
    <w:docPart>
      <w:docPartPr>
        <w:name w:val="8D44DAC9A50446D6905951BD7D0D77EB"/>
        <w:category>
          <w:name w:val="Geral"/>
          <w:gallery w:val="placeholder"/>
        </w:category>
        <w:types>
          <w:type w:val="bbPlcHdr"/>
        </w:types>
        <w:behaviors>
          <w:behavior w:val="content"/>
        </w:behaviors>
        <w:guid w:val="{2F7D7EB1-745A-405C-942D-ABE3DF826060}"/>
      </w:docPartPr>
      <w:docPartBody>
        <w:p w:rsidR="00000000" w:rsidRDefault="00E92B50" w:rsidP="00E92B50">
          <w:pPr>
            <w:pStyle w:val="8D44DAC9A50446D6905951BD7D0D77EB"/>
          </w:pPr>
          <w:r w:rsidRPr="00EC7750">
            <w:rPr>
              <w:rStyle w:val="TextodoEspaoReservado"/>
            </w:rPr>
            <w:t>Clique ou toque aqui para inserir o texto.</w:t>
          </w:r>
        </w:p>
      </w:docPartBody>
    </w:docPart>
    <w:docPart>
      <w:docPartPr>
        <w:name w:val="03F1BB5481F64ED1956310CE3BA327EA"/>
        <w:category>
          <w:name w:val="Geral"/>
          <w:gallery w:val="placeholder"/>
        </w:category>
        <w:types>
          <w:type w:val="bbPlcHdr"/>
        </w:types>
        <w:behaviors>
          <w:behavior w:val="content"/>
        </w:behaviors>
        <w:guid w:val="{85A22201-B378-4C12-BB9F-9B63C06FAD6F}"/>
      </w:docPartPr>
      <w:docPartBody>
        <w:p w:rsidR="00000000" w:rsidRDefault="00E92B50" w:rsidP="00E92B50">
          <w:pPr>
            <w:pStyle w:val="03F1BB5481F64ED1956310CE3BA327EA"/>
          </w:pPr>
          <w:r w:rsidRPr="00EC7750">
            <w:rPr>
              <w:rStyle w:val="TextodoEspaoReservado"/>
            </w:rPr>
            <w:t>Clique ou toque aqui para inserir o texto.</w:t>
          </w:r>
        </w:p>
      </w:docPartBody>
    </w:docPart>
    <w:docPart>
      <w:docPartPr>
        <w:name w:val="CCBB2FBA31C24455B1411C8C46E22506"/>
        <w:category>
          <w:name w:val="Geral"/>
          <w:gallery w:val="placeholder"/>
        </w:category>
        <w:types>
          <w:type w:val="bbPlcHdr"/>
        </w:types>
        <w:behaviors>
          <w:behavior w:val="content"/>
        </w:behaviors>
        <w:guid w:val="{96C718A9-97E1-4E99-9352-65CDE103C75F}"/>
      </w:docPartPr>
      <w:docPartBody>
        <w:p w:rsidR="00000000" w:rsidRDefault="00E92B50" w:rsidP="00E92B50">
          <w:pPr>
            <w:pStyle w:val="CCBB2FBA31C24455B1411C8C46E22506"/>
          </w:pPr>
          <w:r w:rsidRPr="00EC7750">
            <w:rPr>
              <w:rStyle w:val="TextodoEspaoReservado"/>
            </w:rPr>
            <w:t>Clique ou toque aqui para inserir o texto.</w:t>
          </w:r>
        </w:p>
      </w:docPartBody>
    </w:docPart>
    <w:docPart>
      <w:docPartPr>
        <w:name w:val="C549D861AD2C411AA1AF96687FA7798B"/>
        <w:category>
          <w:name w:val="Geral"/>
          <w:gallery w:val="placeholder"/>
        </w:category>
        <w:types>
          <w:type w:val="bbPlcHdr"/>
        </w:types>
        <w:behaviors>
          <w:behavior w:val="content"/>
        </w:behaviors>
        <w:guid w:val="{10F97EB7-E94A-41DF-8BC0-2F597D41D834}"/>
      </w:docPartPr>
      <w:docPartBody>
        <w:p w:rsidR="00000000" w:rsidRDefault="00E92B50" w:rsidP="00E92B50">
          <w:pPr>
            <w:pStyle w:val="C549D861AD2C411AA1AF96687FA7798B"/>
          </w:pPr>
          <w:r>
            <w:rPr>
              <w:rStyle w:val="TextodoEspaoReservado"/>
            </w:rPr>
            <w:t>Clique ou toque aqui para inserir o texto.</w:t>
          </w:r>
        </w:p>
      </w:docPartBody>
    </w:docPart>
    <w:docPart>
      <w:docPartPr>
        <w:name w:val="DB170EB0B2C14EC0A8FFDC483F828701"/>
        <w:category>
          <w:name w:val="Geral"/>
          <w:gallery w:val="placeholder"/>
        </w:category>
        <w:types>
          <w:type w:val="bbPlcHdr"/>
        </w:types>
        <w:behaviors>
          <w:behavior w:val="content"/>
        </w:behaviors>
        <w:guid w:val="{863D3ADD-C74D-43FF-9C8A-A750568BEF45}"/>
      </w:docPartPr>
      <w:docPartBody>
        <w:p w:rsidR="00000000" w:rsidRDefault="00E92B50" w:rsidP="00E92B50">
          <w:pPr>
            <w:pStyle w:val="DB170EB0B2C14EC0A8FFDC483F828701"/>
          </w:pPr>
          <w:r>
            <w:rPr>
              <w:rStyle w:val="TextodoEspaoReservado"/>
            </w:rPr>
            <w:t>Clique ou toque aqui para inserir o texto.</w:t>
          </w:r>
        </w:p>
      </w:docPartBody>
    </w:docPart>
    <w:docPart>
      <w:docPartPr>
        <w:name w:val="83450D225B40460DB197478E88B84D37"/>
        <w:category>
          <w:name w:val="Geral"/>
          <w:gallery w:val="placeholder"/>
        </w:category>
        <w:types>
          <w:type w:val="bbPlcHdr"/>
        </w:types>
        <w:behaviors>
          <w:behavior w:val="content"/>
        </w:behaviors>
        <w:guid w:val="{509BFD8B-D794-4C86-BD63-BFF3F2470E67}"/>
      </w:docPartPr>
      <w:docPartBody>
        <w:p w:rsidR="00000000" w:rsidRDefault="00E92B50" w:rsidP="00E92B50">
          <w:pPr>
            <w:pStyle w:val="83450D225B40460DB197478E88B84D37"/>
          </w:pPr>
          <w:r w:rsidRPr="00EC7750">
            <w:rPr>
              <w:rStyle w:val="TextodoEspaoReservado"/>
            </w:rPr>
            <w:t>Clique ou toque aqui para inserir o texto.</w:t>
          </w:r>
        </w:p>
      </w:docPartBody>
    </w:docPart>
    <w:docPart>
      <w:docPartPr>
        <w:name w:val="C9A0E595E5F74B4B969B1B7E6A5FA084"/>
        <w:category>
          <w:name w:val="Geral"/>
          <w:gallery w:val="placeholder"/>
        </w:category>
        <w:types>
          <w:type w:val="bbPlcHdr"/>
        </w:types>
        <w:behaviors>
          <w:behavior w:val="content"/>
        </w:behaviors>
        <w:guid w:val="{9D9AF87C-9CD4-497F-A2DC-858D756321CD}"/>
      </w:docPartPr>
      <w:docPartBody>
        <w:p w:rsidR="00000000" w:rsidRDefault="00E92B50" w:rsidP="00E92B50">
          <w:pPr>
            <w:pStyle w:val="C9A0E595E5F74B4B969B1B7E6A5FA084"/>
          </w:pPr>
          <w:r w:rsidRPr="00EC7750">
            <w:rPr>
              <w:rStyle w:val="TextodoEspaoReservado"/>
            </w:rPr>
            <w:t>Clique ou toque aqui para inserir o texto.</w:t>
          </w:r>
        </w:p>
      </w:docPartBody>
    </w:docPart>
    <w:docPart>
      <w:docPartPr>
        <w:name w:val="7C8FCE494AAE4A72AB0FE7E53C705D7F"/>
        <w:category>
          <w:name w:val="Geral"/>
          <w:gallery w:val="placeholder"/>
        </w:category>
        <w:types>
          <w:type w:val="bbPlcHdr"/>
        </w:types>
        <w:behaviors>
          <w:behavior w:val="content"/>
        </w:behaviors>
        <w:guid w:val="{007C84AA-DEE8-4D00-AEC3-53880F9AD353}"/>
      </w:docPartPr>
      <w:docPartBody>
        <w:p w:rsidR="00000000" w:rsidRDefault="00E92B50" w:rsidP="00E92B50">
          <w:pPr>
            <w:pStyle w:val="7C8FCE494AAE4A72AB0FE7E53C705D7F"/>
          </w:pPr>
          <w:r w:rsidRPr="00EC7750">
            <w:rPr>
              <w:rStyle w:val="TextodoEspaoReservado"/>
            </w:rPr>
            <w:t>Clique ou toque aqui para inserir o texto.</w:t>
          </w:r>
        </w:p>
      </w:docPartBody>
    </w:docPart>
    <w:docPart>
      <w:docPartPr>
        <w:name w:val="5ABD60108E564E63A12F91C7FB8DD392"/>
        <w:category>
          <w:name w:val="Geral"/>
          <w:gallery w:val="placeholder"/>
        </w:category>
        <w:types>
          <w:type w:val="bbPlcHdr"/>
        </w:types>
        <w:behaviors>
          <w:behavior w:val="content"/>
        </w:behaviors>
        <w:guid w:val="{60F97B7C-3C66-48A2-BC59-05371720B1B3}"/>
      </w:docPartPr>
      <w:docPartBody>
        <w:p w:rsidR="00000000" w:rsidRDefault="00E92B50" w:rsidP="00E92B50">
          <w:pPr>
            <w:pStyle w:val="5ABD60108E564E63A12F91C7FB8DD392"/>
          </w:pPr>
          <w:r>
            <w:rPr>
              <w:rStyle w:val="TextodoEspaoReservado"/>
            </w:rPr>
            <w:t>Clique ou toque aqui para inserir o texto.</w:t>
          </w:r>
        </w:p>
      </w:docPartBody>
    </w:docPart>
    <w:docPart>
      <w:docPartPr>
        <w:name w:val="2214BA02F6EF40D395F2B1333B2CED92"/>
        <w:category>
          <w:name w:val="Geral"/>
          <w:gallery w:val="placeholder"/>
        </w:category>
        <w:types>
          <w:type w:val="bbPlcHdr"/>
        </w:types>
        <w:behaviors>
          <w:behavior w:val="content"/>
        </w:behaviors>
        <w:guid w:val="{7714F1CB-2449-461A-A341-5FBDCF3C2E4D}"/>
      </w:docPartPr>
      <w:docPartBody>
        <w:p w:rsidR="00000000" w:rsidRDefault="00E92B50" w:rsidP="00E92B50">
          <w:pPr>
            <w:pStyle w:val="2214BA02F6EF40D395F2B1333B2CED92"/>
          </w:pPr>
          <w:r>
            <w:rPr>
              <w:rStyle w:val="TextodoEspaoReservado"/>
            </w:rPr>
            <w:t>Clique ou toque aqui para inserir o texto.</w:t>
          </w:r>
        </w:p>
      </w:docPartBody>
    </w:docPart>
    <w:docPart>
      <w:docPartPr>
        <w:name w:val="C55A27AFBA6F4623929453B506C1FD44"/>
        <w:category>
          <w:name w:val="Geral"/>
          <w:gallery w:val="placeholder"/>
        </w:category>
        <w:types>
          <w:type w:val="bbPlcHdr"/>
        </w:types>
        <w:behaviors>
          <w:behavior w:val="content"/>
        </w:behaviors>
        <w:guid w:val="{F68360E1-DE5E-4974-BAC9-1D33CDB4E2F4}"/>
      </w:docPartPr>
      <w:docPartBody>
        <w:p w:rsidR="00000000" w:rsidRDefault="00E92B50" w:rsidP="00E92B50">
          <w:pPr>
            <w:pStyle w:val="C55A27AFBA6F4623929453B506C1FD44"/>
          </w:pPr>
          <w:r w:rsidRPr="00EC7750">
            <w:rPr>
              <w:rStyle w:val="TextodoEspaoReservado"/>
            </w:rPr>
            <w:t>Clique ou toque aqui para inserir o texto.</w:t>
          </w:r>
        </w:p>
      </w:docPartBody>
    </w:docPart>
    <w:docPart>
      <w:docPartPr>
        <w:name w:val="A014CA5A379D497288800A992D7861D8"/>
        <w:category>
          <w:name w:val="Geral"/>
          <w:gallery w:val="placeholder"/>
        </w:category>
        <w:types>
          <w:type w:val="bbPlcHdr"/>
        </w:types>
        <w:behaviors>
          <w:behavior w:val="content"/>
        </w:behaviors>
        <w:guid w:val="{8B870BB5-3EDC-4297-8095-70193D6279C5}"/>
      </w:docPartPr>
      <w:docPartBody>
        <w:p w:rsidR="00000000" w:rsidRDefault="00E92B50" w:rsidP="00E92B50">
          <w:pPr>
            <w:pStyle w:val="A014CA5A379D497288800A992D7861D8"/>
          </w:pPr>
          <w:r w:rsidRPr="00EC7750">
            <w:rPr>
              <w:rStyle w:val="TextodoEspaoReservado"/>
            </w:rPr>
            <w:t>Clique ou toque aqui para inserir o texto.</w:t>
          </w:r>
        </w:p>
      </w:docPartBody>
    </w:docPart>
    <w:docPart>
      <w:docPartPr>
        <w:name w:val="926BA5D07C7D41E8BD6313F9F3E76831"/>
        <w:category>
          <w:name w:val="Geral"/>
          <w:gallery w:val="placeholder"/>
        </w:category>
        <w:types>
          <w:type w:val="bbPlcHdr"/>
        </w:types>
        <w:behaviors>
          <w:behavior w:val="content"/>
        </w:behaviors>
        <w:guid w:val="{2CE962BB-D592-4773-A324-06A2D0A1ED3D}"/>
      </w:docPartPr>
      <w:docPartBody>
        <w:p w:rsidR="00000000" w:rsidRDefault="00E92B50" w:rsidP="00E92B50">
          <w:pPr>
            <w:pStyle w:val="926BA5D07C7D41E8BD6313F9F3E76831"/>
          </w:pPr>
          <w:r>
            <w:rPr>
              <w:rStyle w:val="TextodoEspaoReservado"/>
            </w:rPr>
            <w:t>Clique ou toque aqui para inserir o texto.</w:t>
          </w:r>
        </w:p>
      </w:docPartBody>
    </w:docPart>
    <w:docPart>
      <w:docPartPr>
        <w:name w:val="48CF20E4D1A046A49E1D9F738F23A130"/>
        <w:category>
          <w:name w:val="Geral"/>
          <w:gallery w:val="placeholder"/>
        </w:category>
        <w:types>
          <w:type w:val="bbPlcHdr"/>
        </w:types>
        <w:behaviors>
          <w:behavior w:val="content"/>
        </w:behaviors>
        <w:guid w:val="{9C071FA8-F672-489F-B891-AE79C04DAAAF}"/>
      </w:docPartPr>
      <w:docPartBody>
        <w:p w:rsidR="00000000" w:rsidRDefault="00E92B50" w:rsidP="00E92B50">
          <w:pPr>
            <w:pStyle w:val="48CF20E4D1A046A49E1D9F738F23A130"/>
          </w:pPr>
          <w:r>
            <w:rPr>
              <w:rStyle w:val="TextodoEspaoReservado"/>
            </w:rPr>
            <w:t>Clique ou toque aqui para inserir o texto.</w:t>
          </w:r>
        </w:p>
      </w:docPartBody>
    </w:docPart>
    <w:docPart>
      <w:docPartPr>
        <w:name w:val="660B627982E94802991E5E7759F5C220"/>
        <w:category>
          <w:name w:val="Geral"/>
          <w:gallery w:val="placeholder"/>
        </w:category>
        <w:types>
          <w:type w:val="bbPlcHdr"/>
        </w:types>
        <w:behaviors>
          <w:behavior w:val="content"/>
        </w:behaviors>
        <w:guid w:val="{FDFC53E1-5A7F-43BF-B431-8B87B87C7403}"/>
      </w:docPartPr>
      <w:docPartBody>
        <w:p w:rsidR="00000000" w:rsidRDefault="00E92B50" w:rsidP="00E92B50">
          <w:pPr>
            <w:pStyle w:val="660B627982E94802991E5E7759F5C220"/>
          </w:pPr>
          <w:r>
            <w:rPr>
              <w:rStyle w:val="TextodoEspaoReservado"/>
            </w:rPr>
            <w:t>Clique ou toque aqui para inserir o texto.</w:t>
          </w:r>
        </w:p>
      </w:docPartBody>
    </w:docPart>
    <w:docPart>
      <w:docPartPr>
        <w:name w:val="8C190CCBF9CF4FB594A792A3F078A282"/>
        <w:category>
          <w:name w:val="Geral"/>
          <w:gallery w:val="placeholder"/>
        </w:category>
        <w:types>
          <w:type w:val="bbPlcHdr"/>
        </w:types>
        <w:behaviors>
          <w:behavior w:val="content"/>
        </w:behaviors>
        <w:guid w:val="{C3EC4E0D-3796-4C3B-8CB7-D14CF2636461}"/>
      </w:docPartPr>
      <w:docPartBody>
        <w:p w:rsidR="00000000" w:rsidRDefault="00E92B50" w:rsidP="00E92B50">
          <w:pPr>
            <w:pStyle w:val="8C190CCBF9CF4FB594A792A3F078A282"/>
          </w:pPr>
          <w:r>
            <w:rPr>
              <w:rStyle w:val="TextodoEspaoReservado"/>
            </w:rPr>
            <w:t>Clique ou toque aqui para inserir o texto.</w:t>
          </w:r>
        </w:p>
      </w:docPartBody>
    </w:docPart>
    <w:docPart>
      <w:docPartPr>
        <w:name w:val="4868483C8EFC45DEA07FC9458C36640A"/>
        <w:category>
          <w:name w:val="Geral"/>
          <w:gallery w:val="placeholder"/>
        </w:category>
        <w:types>
          <w:type w:val="bbPlcHdr"/>
        </w:types>
        <w:behaviors>
          <w:behavior w:val="content"/>
        </w:behaviors>
        <w:guid w:val="{64FA1FD8-4B0E-432A-A831-F8A881CCD352}"/>
      </w:docPartPr>
      <w:docPartBody>
        <w:p w:rsidR="00000000" w:rsidRDefault="00E92B50" w:rsidP="00E92B50">
          <w:pPr>
            <w:pStyle w:val="4868483C8EFC45DEA07FC9458C36640A"/>
          </w:pPr>
          <w:r>
            <w:rPr>
              <w:rStyle w:val="TextodoEspaoReservado"/>
            </w:rPr>
            <w:t>Clique ou toque aqui para inserir o texto.</w:t>
          </w:r>
        </w:p>
      </w:docPartBody>
    </w:docPart>
    <w:docPart>
      <w:docPartPr>
        <w:name w:val="5F8B1D47E9D8456B808D7C926D620806"/>
        <w:category>
          <w:name w:val="Geral"/>
          <w:gallery w:val="placeholder"/>
        </w:category>
        <w:types>
          <w:type w:val="bbPlcHdr"/>
        </w:types>
        <w:behaviors>
          <w:behavior w:val="content"/>
        </w:behaviors>
        <w:guid w:val="{714F8245-94BE-4473-B845-30E83C49E11E}"/>
      </w:docPartPr>
      <w:docPartBody>
        <w:p w:rsidR="00000000" w:rsidRDefault="00E92B50" w:rsidP="00E92B50">
          <w:pPr>
            <w:pStyle w:val="5F8B1D47E9D8456B808D7C926D620806"/>
          </w:pPr>
          <w:r>
            <w:rPr>
              <w:rStyle w:val="TextodoEspaoReservado"/>
            </w:rPr>
            <w:t>Clique ou toque aqui para inserir o texto.</w:t>
          </w:r>
        </w:p>
      </w:docPartBody>
    </w:docPart>
    <w:docPart>
      <w:docPartPr>
        <w:name w:val="33067E5055664C84ACC8D373363F0128"/>
        <w:category>
          <w:name w:val="Geral"/>
          <w:gallery w:val="placeholder"/>
        </w:category>
        <w:types>
          <w:type w:val="bbPlcHdr"/>
        </w:types>
        <w:behaviors>
          <w:behavior w:val="content"/>
        </w:behaviors>
        <w:guid w:val="{DBBA04BC-0F4E-401C-8696-6A575116FD36}"/>
      </w:docPartPr>
      <w:docPartBody>
        <w:p w:rsidR="00000000" w:rsidRDefault="00E92B50" w:rsidP="00E92B50">
          <w:pPr>
            <w:pStyle w:val="33067E5055664C84ACC8D373363F0128"/>
          </w:pPr>
          <w:r>
            <w:rPr>
              <w:rStyle w:val="TextodoEspaoReservado"/>
            </w:rPr>
            <w:t>Clique ou toque aqui para inserir o texto.</w:t>
          </w:r>
        </w:p>
      </w:docPartBody>
    </w:docPart>
    <w:docPart>
      <w:docPartPr>
        <w:name w:val="DA77C96C789F4E7297A3E8F64BC0672E"/>
        <w:category>
          <w:name w:val="Geral"/>
          <w:gallery w:val="placeholder"/>
        </w:category>
        <w:types>
          <w:type w:val="bbPlcHdr"/>
        </w:types>
        <w:behaviors>
          <w:behavior w:val="content"/>
        </w:behaviors>
        <w:guid w:val="{F2F067DE-72D8-45F0-996B-58AB5D2E1837}"/>
      </w:docPartPr>
      <w:docPartBody>
        <w:p w:rsidR="00000000" w:rsidRDefault="00E92B50" w:rsidP="00E92B50">
          <w:pPr>
            <w:pStyle w:val="DA77C96C789F4E7297A3E8F64BC0672E"/>
          </w:pPr>
          <w:r>
            <w:rPr>
              <w:rStyle w:val="TextodoEspaoReservado"/>
            </w:rPr>
            <w:t>Clique ou toque aqui para inserir o texto.</w:t>
          </w:r>
        </w:p>
      </w:docPartBody>
    </w:docPart>
    <w:docPart>
      <w:docPartPr>
        <w:name w:val="91809704F6EA4E44B1BF7E0589FF463C"/>
        <w:category>
          <w:name w:val="Geral"/>
          <w:gallery w:val="placeholder"/>
        </w:category>
        <w:types>
          <w:type w:val="bbPlcHdr"/>
        </w:types>
        <w:behaviors>
          <w:behavior w:val="content"/>
        </w:behaviors>
        <w:guid w:val="{B72F83AD-B8B1-4A7C-85E0-DF71789E386C}"/>
      </w:docPartPr>
      <w:docPartBody>
        <w:p w:rsidR="00000000" w:rsidRDefault="00E92B50" w:rsidP="00E92B50">
          <w:pPr>
            <w:pStyle w:val="91809704F6EA4E44B1BF7E0589FF463C"/>
          </w:pPr>
          <w:r>
            <w:rPr>
              <w:rStyle w:val="TextodoEspaoReservado"/>
            </w:rPr>
            <w:t>Clique ou toque aqui para inserir o texto.</w:t>
          </w:r>
        </w:p>
      </w:docPartBody>
    </w:docPart>
    <w:docPart>
      <w:docPartPr>
        <w:name w:val="293F4CE71CD7478784B2F7142AF20F85"/>
        <w:category>
          <w:name w:val="Geral"/>
          <w:gallery w:val="placeholder"/>
        </w:category>
        <w:types>
          <w:type w:val="bbPlcHdr"/>
        </w:types>
        <w:behaviors>
          <w:behavior w:val="content"/>
        </w:behaviors>
        <w:guid w:val="{6263770A-8F78-4A29-BAD3-A33C3541DC76}"/>
      </w:docPartPr>
      <w:docPartBody>
        <w:p w:rsidR="00000000" w:rsidRDefault="00E92B50" w:rsidP="00E92B50">
          <w:pPr>
            <w:pStyle w:val="293F4CE71CD7478784B2F7142AF20F85"/>
          </w:pPr>
          <w:r>
            <w:rPr>
              <w:rStyle w:val="TextodoEspaoReservado"/>
            </w:rPr>
            <w:t>Clique ou toque aqui para inserir o texto.</w:t>
          </w:r>
        </w:p>
      </w:docPartBody>
    </w:docPart>
    <w:docPart>
      <w:docPartPr>
        <w:name w:val="EEF9D219416A4888B520C7B7A9F5A8EF"/>
        <w:category>
          <w:name w:val="Geral"/>
          <w:gallery w:val="placeholder"/>
        </w:category>
        <w:types>
          <w:type w:val="bbPlcHdr"/>
        </w:types>
        <w:behaviors>
          <w:behavior w:val="content"/>
        </w:behaviors>
        <w:guid w:val="{B649EB12-5809-4B1B-BDC1-0610FAEDB05F}"/>
      </w:docPartPr>
      <w:docPartBody>
        <w:p w:rsidR="00000000" w:rsidRDefault="00E92B50" w:rsidP="00E92B50">
          <w:pPr>
            <w:pStyle w:val="EEF9D219416A4888B520C7B7A9F5A8EF"/>
          </w:pPr>
          <w:r>
            <w:rPr>
              <w:rStyle w:val="TextodoEspaoReservado"/>
            </w:rPr>
            <w:t>Clique ou toque aqui para inserir o texto.</w:t>
          </w:r>
        </w:p>
      </w:docPartBody>
    </w:docPart>
    <w:docPart>
      <w:docPartPr>
        <w:name w:val="F2DD4D989E854B6B95EC8C13B4DCC9E7"/>
        <w:category>
          <w:name w:val="Geral"/>
          <w:gallery w:val="placeholder"/>
        </w:category>
        <w:types>
          <w:type w:val="bbPlcHdr"/>
        </w:types>
        <w:behaviors>
          <w:behavior w:val="content"/>
        </w:behaviors>
        <w:guid w:val="{09F20EA3-D76B-427F-B013-68643E761D8E}"/>
      </w:docPartPr>
      <w:docPartBody>
        <w:p w:rsidR="00000000" w:rsidRDefault="00E92B50" w:rsidP="00E92B50">
          <w:pPr>
            <w:pStyle w:val="F2DD4D989E854B6B95EC8C13B4DCC9E7"/>
          </w:pPr>
          <w:r>
            <w:rPr>
              <w:rStyle w:val="TextodoEspaoReservado"/>
            </w:rPr>
            <w:t>Clique ou toque aqui para inserir o texto.</w:t>
          </w:r>
        </w:p>
      </w:docPartBody>
    </w:docPart>
    <w:docPart>
      <w:docPartPr>
        <w:name w:val="77FA015DB02340C1B1798C85E30C886E"/>
        <w:category>
          <w:name w:val="Geral"/>
          <w:gallery w:val="placeholder"/>
        </w:category>
        <w:types>
          <w:type w:val="bbPlcHdr"/>
        </w:types>
        <w:behaviors>
          <w:behavior w:val="content"/>
        </w:behaviors>
        <w:guid w:val="{9089FEDA-E925-4C86-BCCA-A3D4CAC1B9CD}"/>
      </w:docPartPr>
      <w:docPartBody>
        <w:p w:rsidR="00000000" w:rsidRDefault="00E92B50" w:rsidP="00E92B50">
          <w:pPr>
            <w:pStyle w:val="77FA015DB02340C1B1798C85E30C886E"/>
          </w:pPr>
          <w:r>
            <w:rPr>
              <w:rStyle w:val="TextodoEspaoReservado"/>
            </w:rPr>
            <w:t>Clique ou toque aqui para inserir o texto.</w:t>
          </w:r>
        </w:p>
      </w:docPartBody>
    </w:docPart>
    <w:docPart>
      <w:docPartPr>
        <w:name w:val="55DAD4DD6D444EC981FA0FFA472EB970"/>
        <w:category>
          <w:name w:val="Geral"/>
          <w:gallery w:val="placeholder"/>
        </w:category>
        <w:types>
          <w:type w:val="bbPlcHdr"/>
        </w:types>
        <w:behaviors>
          <w:behavior w:val="content"/>
        </w:behaviors>
        <w:guid w:val="{4B4B297E-6363-440F-9982-C715B21C82A2}"/>
      </w:docPartPr>
      <w:docPartBody>
        <w:p w:rsidR="00000000" w:rsidRDefault="00E92B50" w:rsidP="00E92B50">
          <w:pPr>
            <w:pStyle w:val="55DAD4DD6D444EC981FA0FFA472EB970"/>
          </w:pPr>
          <w:r w:rsidRPr="00EC7750">
            <w:rPr>
              <w:rStyle w:val="TextodoEspaoReservado"/>
            </w:rPr>
            <w:t>Clique ou toque aqui para inserir o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FE"/>
    <w:rsid w:val="00060F66"/>
    <w:rsid w:val="001431E8"/>
    <w:rsid w:val="00252DA6"/>
    <w:rsid w:val="002E5F87"/>
    <w:rsid w:val="00506248"/>
    <w:rsid w:val="008C3CC0"/>
    <w:rsid w:val="00913954"/>
    <w:rsid w:val="00D01EFE"/>
    <w:rsid w:val="00D44F1E"/>
    <w:rsid w:val="00DF0803"/>
    <w:rsid w:val="00E92B50"/>
    <w:rsid w:val="00FB1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92B50"/>
    <w:rPr>
      <w:color w:val="808080"/>
    </w:rPr>
  </w:style>
  <w:style w:type="paragraph" w:customStyle="1" w:styleId="E1BE40E8708C4ACA98657ECC6831DC00">
    <w:name w:val="E1BE40E8708C4ACA98657ECC6831DC00"/>
    <w:rsid w:val="00D44F1E"/>
  </w:style>
  <w:style w:type="paragraph" w:customStyle="1" w:styleId="9B8DE522E4E94F0BB7756C5E344CA9BD">
    <w:name w:val="9B8DE522E4E94F0BB7756C5E344CA9BD"/>
    <w:rsid w:val="00D44F1E"/>
  </w:style>
  <w:style w:type="paragraph" w:customStyle="1" w:styleId="35CB87C3CBEB4A908CA47EC95B2FEEB2">
    <w:name w:val="35CB87C3CBEB4A908CA47EC95B2FEEB2"/>
    <w:rsid w:val="00D44F1E"/>
  </w:style>
  <w:style w:type="paragraph" w:customStyle="1" w:styleId="042CE5854410421795A4C7D951C0B5B3">
    <w:name w:val="042CE5854410421795A4C7D951C0B5B3"/>
    <w:rsid w:val="00D44F1E"/>
  </w:style>
  <w:style w:type="paragraph" w:customStyle="1" w:styleId="B957D0D183F845EDAA0FAE31CB971906">
    <w:name w:val="B957D0D183F845EDAA0FAE31CB971906"/>
    <w:rsid w:val="00D44F1E"/>
  </w:style>
  <w:style w:type="paragraph" w:customStyle="1" w:styleId="CABFDD978A1E4C86B9A63A8AE3A20AA7">
    <w:name w:val="CABFDD978A1E4C86B9A63A8AE3A20AA7"/>
    <w:rsid w:val="00D44F1E"/>
  </w:style>
  <w:style w:type="paragraph" w:customStyle="1" w:styleId="12C626A00AEB41F58A90479AE7B598F7">
    <w:name w:val="12C626A00AEB41F58A90479AE7B598F7"/>
    <w:rsid w:val="00D44F1E"/>
  </w:style>
  <w:style w:type="paragraph" w:customStyle="1" w:styleId="42B374FB638148DE9B9B85126D1A8643">
    <w:name w:val="42B374FB638148DE9B9B85126D1A8643"/>
    <w:rsid w:val="00D44F1E"/>
  </w:style>
  <w:style w:type="paragraph" w:customStyle="1" w:styleId="058C5379BDED492BA5FE3BA8D4E521B8">
    <w:name w:val="058C5379BDED492BA5FE3BA8D4E521B8"/>
    <w:rsid w:val="00D44F1E"/>
  </w:style>
  <w:style w:type="paragraph" w:customStyle="1" w:styleId="99262AE5AD814FF6BAC96AE4A2AA3978">
    <w:name w:val="99262AE5AD814FF6BAC96AE4A2AA3978"/>
    <w:rsid w:val="00D44F1E"/>
  </w:style>
  <w:style w:type="paragraph" w:customStyle="1" w:styleId="9BAC35323DCD4EB999A84080DFC68484">
    <w:name w:val="9BAC35323DCD4EB999A84080DFC68484"/>
    <w:rsid w:val="00D44F1E"/>
  </w:style>
  <w:style w:type="paragraph" w:customStyle="1" w:styleId="FB73F1006BCD4C0590F757B058B31F7A">
    <w:name w:val="FB73F1006BCD4C0590F757B058B31F7A"/>
    <w:rsid w:val="00D44F1E"/>
  </w:style>
  <w:style w:type="paragraph" w:customStyle="1" w:styleId="2F12C184F4CE449A83A8FC6982A7B533">
    <w:name w:val="2F12C184F4CE449A83A8FC6982A7B533"/>
    <w:rsid w:val="00D44F1E"/>
  </w:style>
  <w:style w:type="paragraph" w:customStyle="1" w:styleId="1AD63C621C94467C8D0736B75DD18B10">
    <w:name w:val="1AD63C621C94467C8D0736B75DD18B10"/>
    <w:rsid w:val="00D44F1E"/>
  </w:style>
  <w:style w:type="paragraph" w:customStyle="1" w:styleId="3BC3385719CB4135BC7956F718A48D7F">
    <w:name w:val="3BC3385719CB4135BC7956F718A48D7F"/>
    <w:rsid w:val="00D44F1E"/>
  </w:style>
  <w:style w:type="paragraph" w:customStyle="1" w:styleId="C905C7C4EC7847E3A3CEB09944C27475">
    <w:name w:val="C905C7C4EC7847E3A3CEB09944C27475"/>
    <w:rsid w:val="00D44F1E"/>
  </w:style>
  <w:style w:type="paragraph" w:customStyle="1" w:styleId="D74DA1A0E6F24D3D8583076458B40035">
    <w:name w:val="D74DA1A0E6F24D3D8583076458B40035"/>
    <w:rsid w:val="00D44F1E"/>
  </w:style>
  <w:style w:type="paragraph" w:customStyle="1" w:styleId="DF1EB74ED97E44BA9CB3A289CF77EF6A">
    <w:name w:val="DF1EB74ED97E44BA9CB3A289CF77EF6A"/>
    <w:rsid w:val="00D44F1E"/>
  </w:style>
  <w:style w:type="paragraph" w:customStyle="1" w:styleId="4C41ABC6E0CB4CE4926568D2040DD725">
    <w:name w:val="4C41ABC6E0CB4CE4926568D2040DD725"/>
    <w:rsid w:val="00D44F1E"/>
  </w:style>
  <w:style w:type="paragraph" w:customStyle="1" w:styleId="C221946E72E74DA38F4AA9C6F074E010">
    <w:name w:val="C221946E72E74DA38F4AA9C6F074E010"/>
    <w:rsid w:val="00D44F1E"/>
  </w:style>
  <w:style w:type="paragraph" w:customStyle="1" w:styleId="75ED1EA1F05044E6A056EDED7DC03E46">
    <w:name w:val="75ED1EA1F05044E6A056EDED7DC03E46"/>
    <w:rsid w:val="00D44F1E"/>
  </w:style>
  <w:style w:type="paragraph" w:customStyle="1" w:styleId="2D3C9B8CB75043E69D3978B243ADC880">
    <w:name w:val="2D3C9B8CB75043E69D3978B243ADC880"/>
    <w:rsid w:val="00D44F1E"/>
  </w:style>
  <w:style w:type="paragraph" w:customStyle="1" w:styleId="E31AC5A7C6924A27844D188DAD3224C7">
    <w:name w:val="E31AC5A7C6924A27844D188DAD3224C7"/>
    <w:rsid w:val="00D44F1E"/>
  </w:style>
  <w:style w:type="paragraph" w:customStyle="1" w:styleId="6D0844CDB6F8483CAD63FE4959EE9A4E">
    <w:name w:val="6D0844CDB6F8483CAD63FE4959EE9A4E"/>
    <w:rsid w:val="00D44F1E"/>
  </w:style>
  <w:style w:type="paragraph" w:customStyle="1" w:styleId="592750D7A74747EF9E4F152EC72A97B3">
    <w:name w:val="592750D7A74747EF9E4F152EC72A97B3"/>
    <w:rsid w:val="00D44F1E"/>
  </w:style>
  <w:style w:type="paragraph" w:customStyle="1" w:styleId="29FA4E7A8DFB4788B4078E246132BAE8">
    <w:name w:val="29FA4E7A8DFB4788B4078E246132BAE8"/>
    <w:rsid w:val="00D44F1E"/>
  </w:style>
  <w:style w:type="paragraph" w:customStyle="1" w:styleId="889C8146F61A4703B3F954F1221EB1F3">
    <w:name w:val="889C8146F61A4703B3F954F1221EB1F3"/>
    <w:rsid w:val="00D44F1E"/>
  </w:style>
  <w:style w:type="paragraph" w:customStyle="1" w:styleId="9476D9C8CF6343C5A5DC62F593B0049E">
    <w:name w:val="9476D9C8CF6343C5A5DC62F593B0049E"/>
    <w:rsid w:val="00D44F1E"/>
  </w:style>
  <w:style w:type="paragraph" w:customStyle="1" w:styleId="9FD17AE97D8F451F821176719C164B60">
    <w:name w:val="9FD17AE97D8F451F821176719C164B60"/>
    <w:rsid w:val="00D44F1E"/>
  </w:style>
  <w:style w:type="paragraph" w:customStyle="1" w:styleId="C6CBA30FBD714AC298E04F4187D08539">
    <w:name w:val="C6CBA30FBD714AC298E04F4187D08539"/>
    <w:rsid w:val="00D44F1E"/>
  </w:style>
  <w:style w:type="paragraph" w:customStyle="1" w:styleId="0BA461124ADB480B82F57487C27698B9">
    <w:name w:val="0BA461124ADB480B82F57487C27698B9"/>
    <w:rsid w:val="00D44F1E"/>
  </w:style>
  <w:style w:type="paragraph" w:customStyle="1" w:styleId="026232ADD8F94F4B88847CEAA2E91562">
    <w:name w:val="026232ADD8F94F4B88847CEAA2E91562"/>
    <w:rsid w:val="00D44F1E"/>
  </w:style>
  <w:style w:type="paragraph" w:customStyle="1" w:styleId="4945989FDC504809B2165356D644EE0B">
    <w:name w:val="4945989FDC504809B2165356D644EE0B"/>
    <w:rsid w:val="00D44F1E"/>
  </w:style>
  <w:style w:type="paragraph" w:customStyle="1" w:styleId="8F457E529CCD44CC80079BB53F53E5FD">
    <w:name w:val="8F457E529CCD44CC80079BB53F53E5FD"/>
    <w:rsid w:val="00D44F1E"/>
  </w:style>
  <w:style w:type="paragraph" w:customStyle="1" w:styleId="ABF38BA2E31141DD8BE56551C1312641">
    <w:name w:val="ABF38BA2E31141DD8BE56551C1312641"/>
    <w:rsid w:val="00D44F1E"/>
  </w:style>
  <w:style w:type="paragraph" w:customStyle="1" w:styleId="3DABE6543BAD42388908378D9EC4BE18">
    <w:name w:val="3DABE6543BAD42388908378D9EC4BE18"/>
    <w:rsid w:val="00D44F1E"/>
  </w:style>
  <w:style w:type="paragraph" w:customStyle="1" w:styleId="2C7D816EF45445BD8E7601EB68A40236">
    <w:name w:val="2C7D816EF45445BD8E7601EB68A40236"/>
    <w:rsid w:val="00D44F1E"/>
  </w:style>
  <w:style w:type="paragraph" w:customStyle="1" w:styleId="E4FFA0A64E0A4D29B03B13252FE3ECED">
    <w:name w:val="E4FFA0A64E0A4D29B03B13252FE3ECED"/>
    <w:rsid w:val="00D44F1E"/>
  </w:style>
  <w:style w:type="paragraph" w:customStyle="1" w:styleId="BB01F7B659FD4DB7905E4A22F6EF457F">
    <w:name w:val="BB01F7B659FD4DB7905E4A22F6EF457F"/>
    <w:rsid w:val="00D44F1E"/>
  </w:style>
  <w:style w:type="paragraph" w:customStyle="1" w:styleId="DFB9CF0E701F4DC8AD8A2EA707501F89">
    <w:name w:val="DFB9CF0E701F4DC8AD8A2EA707501F89"/>
    <w:rsid w:val="00D44F1E"/>
  </w:style>
  <w:style w:type="paragraph" w:customStyle="1" w:styleId="56B7D43D46784B85B20529C5B3919979">
    <w:name w:val="56B7D43D46784B85B20529C5B3919979"/>
    <w:rsid w:val="00D44F1E"/>
  </w:style>
  <w:style w:type="paragraph" w:customStyle="1" w:styleId="6331B880C88945CB9EF20D1FA0D4EEF8">
    <w:name w:val="6331B880C88945CB9EF20D1FA0D4EEF8"/>
    <w:rsid w:val="00D44F1E"/>
  </w:style>
  <w:style w:type="paragraph" w:customStyle="1" w:styleId="6E0DB79C2B1444B3934237EF3FA11D4C">
    <w:name w:val="6E0DB79C2B1444B3934237EF3FA11D4C"/>
    <w:rsid w:val="00D44F1E"/>
  </w:style>
  <w:style w:type="paragraph" w:customStyle="1" w:styleId="EB336F9C8F364B6CAD8685F73866A954">
    <w:name w:val="EB336F9C8F364B6CAD8685F73866A954"/>
    <w:rsid w:val="00D44F1E"/>
  </w:style>
  <w:style w:type="paragraph" w:customStyle="1" w:styleId="A0D291BD9E1B4BA68A054EED55695F4F">
    <w:name w:val="A0D291BD9E1B4BA68A054EED55695F4F"/>
    <w:rsid w:val="00D44F1E"/>
  </w:style>
  <w:style w:type="paragraph" w:customStyle="1" w:styleId="6A5C83B9671947E78D166F3C036FB82D">
    <w:name w:val="6A5C83B9671947E78D166F3C036FB82D"/>
    <w:rsid w:val="00D44F1E"/>
  </w:style>
  <w:style w:type="paragraph" w:customStyle="1" w:styleId="23711F34D0524388A8FCAEB6A4AF215B">
    <w:name w:val="23711F34D0524388A8FCAEB6A4AF215B"/>
    <w:rsid w:val="00D44F1E"/>
  </w:style>
  <w:style w:type="paragraph" w:customStyle="1" w:styleId="7750B506129A4DAFB7B200BF8F16A51C">
    <w:name w:val="7750B506129A4DAFB7B200BF8F16A51C"/>
    <w:rsid w:val="00D44F1E"/>
  </w:style>
  <w:style w:type="paragraph" w:customStyle="1" w:styleId="24DB025CE67D458DAB83588558334E5B">
    <w:name w:val="24DB025CE67D458DAB83588558334E5B"/>
    <w:rsid w:val="00D44F1E"/>
  </w:style>
  <w:style w:type="paragraph" w:customStyle="1" w:styleId="B4E08A22472642958A754C8A2DB2D001">
    <w:name w:val="B4E08A22472642958A754C8A2DB2D001"/>
    <w:rsid w:val="00D44F1E"/>
  </w:style>
  <w:style w:type="paragraph" w:customStyle="1" w:styleId="B42D085CADCA4814B5B45B7FCFFC240F">
    <w:name w:val="B42D085CADCA4814B5B45B7FCFFC240F"/>
    <w:rsid w:val="00D44F1E"/>
  </w:style>
  <w:style w:type="paragraph" w:customStyle="1" w:styleId="36A90E0B253F42C293112337BAC1A0CB">
    <w:name w:val="36A90E0B253F42C293112337BAC1A0CB"/>
    <w:rsid w:val="00D44F1E"/>
  </w:style>
  <w:style w:type="paragraph" w:customStyle="1" w:styleId="20499191921F429798256BFD11A630A3">
    <w:name w:val="20499191921F429798256BFD11A630A3"/>
    <w:rsid w:val="00D44F1E"/>
  </w:style>
  <w:style w:type="paragraph" w:customStyle="1" w:styleId="5DD3375AD6DB43E6BD0ED872B41B2860">
    <w:name w:val="5DD3375AD6DB43E6BD0ED872B41B2860"/>
    <w:rsid w:val="00D44F1E"/>
  </w:style>
  <w:style w:type="paragraph" w:customStyle="1" w:styleId="01E049D1404B43B0A4F08102CF8BB01E">
    <w:name w:val="01E049D1404B43B0A4F08102CF8BB01E"/>
    <w:rsid w:val="00D44F1E"/>
  </w:style>
  <w:style w:type="paragraph" w:customStyle="1" w:styleId="CBEC43317CAF4B2CA431F4800B38AC31">
    <w:name w:val="CBEC43317CAF4B2CA431F4800B38AC31"/>
    <w:rsid w:val="00D44F1E"/>
  </w:style>
  <w:style w:type="paragraph" w:customStyle="1" w:styleId="D33AC49EDAE847558CF0836A74B53861">
    <w:name w:val="D33AC49EDAE847558CF0836A74B53861"/>
    <w:rsid w:val="00D44F1E"/>
  </w:style>
  <w:style w:type="paragraph" w:customStyle="1" w:styleId="538C13A52E884BDDA3381611453CAF47">
    <w:name w:val="538C13A52E884BDDA3381611453CAF47"/>
    <w:rsid w:val="00D44F1E"/>
  </w:style>
  <w:style w:type="paragraph" w:customStyle="1" w:styleId="946F3E5609BF4E658F35E3F2B1526B6C">
    <w:name w:val="946F3E5609BF4E658F35E3F2B1526B6C"/>
    <w:rsid w:val="00D44F1E"/>
  </w:style>
  <w:style w:type="paragraph" w:customStyle="1" w:styleId="B5EAE1BBA62E482D9A90FB8A13C108DC">
    <w:name w:val="B5EAE1BBA62E482D9A90FB8A13C108DC"/>
    <w:rsid w:val="00D44F1E"/>
  </w:style>
  <w:style w:type="paragraph" w:customStyle="1" w:styleId="2287D19BD4004CC980DE5C6EB88AFC97">
    <w:name w:val="2287D19BD4004CC980DE5C6EB88AFC97"/>
    <w:rsid w:val="00D44F1E"/>
  </w:style>
  <w:style w:type="paragraph" w:customStyle="1" w:styleId="86D00765B2C549478C69D83D5963EDBC">
    <w:name w:val="86D00765B2C549478C69D83D5963EDBC"/>
    <w:rsid w:val="00D44F1E"/>
  </w:style>
  <w:style w:type="paragraph" w:customStyle="1" w:styleId="4AA2355CC17F401A9198040C517968A7">
    <w:name w:val="4AA2355CC17F401A9198040C517968A7"/>
    <w:rsid w:val="00D44F1E"/>
  </w:style>
  <w:style w:type="paragraph" w:customStyle="1" w:styleId="01E32945FF2C484FB8C25C3C502BE196">
    <w:name w:val="01E32945FF2C484FB8C25C3C502BE196"/>
    <w:rsid w:val="00D44F1E"/>
  </w:style>
  <w:style w:type="paragraph" w:customStyle="1" w:styleId="322E94557C1D4F258AD612FDB8FF1654">
    <w:name w:val="322E94557C1D4F258AD612FDB8FF1654"/>
    <w:rsid w:val="00D44F1E"/>
  </w:style>
  <w:style w:type="paragraph" w:customStyle="1" w:styleId="12F23F9A7B4440C2B2518ECCC3A9B68F">
    <w:name w:val="12F23F9A7B4440C2B2518ECCC3A9B68F"/>
    <w:rsid w:val="00D44F1E"/>
  </w:style>
  <w:style w:type="paragraph" w:customStyle="1" w:styleId="595BC54A37D74A919FBA857FC6B0B9F4">
    <w:name w:val="595BC54A37D74A919FBA857FC6B0B9F4"/>
    <w:rsid w:val="00D44F1E"/>
  </w:style>
  <w:style w:type="paragraph" w:customStyle="1" w:styleId="484C27CE4F94443C99DC4B60BE1B964F">
    <w:name w:val="484C27CE4F94443C99DC4B60BE1B964F"/>
    <w:rsid w:val="00D44F1E"/>
  </w:style>
  <w:style w:type="paragraph" w:customStyle="1" w:styleId="42501B1642F24605BA9413ADBE821F9E">
    <w:name w:val="42501B1642F24605BA9413ADBE821F9E"/>
    <w:rsid w:val="00D44F1E"/>
  </w:style>
  <w:style w:type="paragraph" w:customStyle="1" w:styleId="90FF6A44BB724946966D45E455B1BA65">
    <w:name w:val="90FF6A44BB724946966D45E455B1BA65"/>
    <w:rsid w:val="00D44F1E"/>
  </w:style>
  <w:style w:type="paragraph" w:customStyle="1" w:styleId="C753BE8ED77B4E9D995EE9A7A2E8EBED">
    <w:name w:val="C753BE8ED77B4E9D995EE9A7A2E8EBED"/>
    <w:rsid w:val="00D44F1E"/>
  </w:style>
  <w:style w:type="paragraph" w:customStyle="1" w:styleId="F12D951BADB540F3BBB7D2EA08E4CB1A">
    <w:name w:val="F12D951BADB540F3BBB7D2EA08E4CB1A"/>
    <w:rsid w:val="00D44F1E"/>
  </w:style>
  <w:style w:type="paragraph" w:customStyle="1" w:styleId="719B858007064EBC8BC06AEB8C61E032">
    <w:name w:val="719B858007064EBC8BC06AEB8C61E032"/>
    <w:rsid w:val="00D44F1E"/>
  </w:style>
  <w:style w:type="paragraph" w:customStyle="1" w:styleId="852B85585A714A1084F3908C92E9AB76">
    <w:name w:val="852B85585A714A1084F3908C92E9AB76"/>
    <w:rsid w:val="00D44F1E"/>
  </w:style>
  <w:style w:type="paragraph" w:customStyle="1" w:styleId="F7BC0272D47B4859AD15645C36D90BDB">
    <w:name w:val="F7BC0272D47B4859AD15645C36D90BDB"/>
    <w:rsid w:val="00D44F1E"/>
  </w:style>
  <w:style w:type="paragraph" w:customStyle="1" w:styleId="9272256085614F7E9CF4A978AEE32786">
    <w:name w:val="9272256085614F7E9CF4A978AEE32786"/>
    <w:rsid w:val="00D44F1E"/>
  </w:style>
  <w:style w:type="paragraph" w:customStyle="1" w:styleId="33DB38EC28BD499C8FE21A94A601AF47">
    <w:name w:val="33DB38EC28BD499C8FE21A94A601AF47"/>
    <w:rsid w:val="00D44F1E"/>
  </w:style>
  <w:style w:type="paragraph" w:customStyle="1" w:styleId="8AD3D1383E5148DC864A378194ACC86F">
    <w:name w:val="8AD3D1383E5148DC864A378194ACC86F"/>
    <w:rsid w:val="00D44F1E"/>
  </w:style>
  <w:style w:type="paragraph" w:customStyle="1" w:styleId="D3590EE436FD489C8025D8DD4C29AC0F">
    <w:name w:val="D3590EE436FD489C8025D8DD4C29AC0F"/>
    <w:rsid w:val="00D44F1E"/>
  </w:style>
  <w:style w:type="paragraph" w:customStyle="1" w:styleId="F7A29CE4A7824D50AAAEE1D9495AD443">
    <w:name w:val="F7A29CE4A7824D50AAAEE1D9495AD443"/>
    <w:rsid w:val="00D44F1E"/>
  </w:style>
  <w:style w:type="paragraph" w:customStyle="1" w:styleId="C363234EF00D4A0189941623762D0301">
    <w:name w:val="C363234EF00D4A0189941623762D0301"/>
    <w:rsid w:val="00D44F1E"/>
  </w:style>
  <w:style w:type="paragraph" w:customStyle="1" w:styleId="07E532EE8663431AA2C8861988D1AEB6">
    <w:name w:val="07E532EE8663431AA2C8861988D1AEB6"/>
    <w:rsid w:val="00D44F1E"/>
  </w:style>
  <w:style w:type="paragraph" w:customStyle="1" w:styleId="908BDC931BCF4B22AF51829441735E8B">
    <w:name w:val="908BDC931BCF4B22AF51829441735E8B"/>
    <w:rsid w:val="00D44F1E"/>
  </w:style>
  <w:style w:type="paragraph" w:customStyle="1" w:styleId="C8E982C96D2449B6A6562E1050A8AF25">
    <w:name w:val="C8E982C96D2449B6A6562E1050A8AF25"/>
    <w:rsid w:val="00D44F1E"/>
  </w:style>
  <w:style w:type="paragraph" w:customStyle="1" w:styleId="C3A80560A96A43978CB40EF4AA264999">
    <w:name w:val="C3A80560A96A43978CB40EF4AA264999"/>
    <w:rsid w:val="00D44F1E"/>
  </w:style>
  <w:style w:type="paragraph" w:customStyle="1" w:styleId="38707B607B154B4F93D7D13EF301FB28">
    <w:name w:val="38707B607B154B4F93D7D13EF301FB28"/>
    <w:rsid w:val="00D44F1E"/>
  </w:style>
  <w:style w:type="paragraph" w:customStyle="1" w:styleId="AD04EC25464240DB99647F1D1264478D">
    <w:name w:val="AD04EC25464240DB99647F1D1264478D"/>
    <w:rsid w:val="00D44F1E"/>
  </w:style>
  <w:style w:type="paragraph" w:customStyle="1" w:styleId="9004B9504B47472396F0FC3BA226CDE7">
    <w:name w:val="9004B9504B47472396F0FC3BA226CDE7"/>
    <w:rsid w:val="00D44F1E"/>
  </w:style>
  <w:style w:type="paragraph" w:customStyle="1" w:styleId="2BB42EF83C854B93B361FB556FA9CCD6">
    <w:name w:val="2BB42EF83C854B93B361FB556FA9CCD6"/>
    <w:rsid w:val="00D44F1E"/>
  </w:style>
  <w:style w:type="paragraph" w:customStyle="1" w:styleId="B2107D34623E4B66A8A6A42500E3279F">
    <w:name w:val="B2107D34623E4B66A8A6A42500E3279F"/>
    <w:rsid w:val="00D44F1E"/>
  </w:style>
  <w:style w:type="paragraph" w:customStyle="1" w:styleId="00C258F01C9041098B1F14677586826D">
    <w:name w:val="00C258F01C9041098B1F14677586826D"/>
    <w:rsid w:val="00D44F1E"/>
  </w:style>
  <w:style w:type="paragraph" w:customStyle="1" w:styleId="8F0098236EB443B5B683E4A47D946A4A">
    <w:name w:val="8F0098236EB443B5B683E4A47D946A4A"/>
    <w:rsid w:val="00D44F1E"/>
  </w:style>
  <w:style w:type="paragraph" w:customStyle="1" w:styleId="11984716F3D54F93B2F143A2BDFE3E5D">
    <w:name w:val="11984716F3D54F93B2F143A2BDFE3E5D"/>
    <w:rsid w:val="00D44F1E"/>
  </w:style>
  <w:style w:type="paragraph" w:customStyle="1" w:styleId="C6B5B6BB59C04B1C9892710D329822BC">
    <w:name w:val="C6B5B6BB59C04B1C9892710D329822BC"/>
    <w:rsid w:val="00D44F1E"/>
  </w:style>
  <w:style w:type="paragraph" w:customStyle="1" w:styleId="B32C82D7E14B4D01A04AF83E8544AFBB">
    <w:name w:val="B32C82D7E14B4D01A04AF83E8544AFBB"/>
    <w:rsid w:val="00D44F1E"/>
  </w:style>
  <w:style w:type="paragraph" w:customStyle="1" w:styleId="B5C1E45519F5402097785F1F98153966">
    <w:name w:val="B5C1E45519F5402097785F1F98153966"/>
    <w:rsid w:val="00D44F1E"/>
  </w:style>
  <w:style w:type="paragraph" w:customStyle="1" w:styleId="5B53946E553B4EE3B72C04D29E3D9B35">
    <w:name w:val="5B53946E553B4EE3B72C04D29E3D9B35"/>
    <w:rsid w:val="00D44F1E"/>
  </w:style>
  <w:style w:type="paragraph" w:customStyle="1" w:styleId="15FDB6C3A74D4993A59816B245C49CB3">
    <w:name w:val="15FDB6C3A74D4993A59816B245C49CB3"/>
    <w:rsid w:val="00D44F1E"/>
  </w:style>
  <w:style w:type="paragraph" w:customStyle="1" w:styleId="CF692A7DE57A4C62BD39D71DA72F4AF7">
    <w:name w:val="CF692A7DE57A4C62BD39D71DA72F4AF7"/>
    <w:rsid w:val="00D44F1E"/>
  </w:style>
  <w:style w:type="paragraph" w:customStyle="1" w:styleId="77E0817861AE403F93F3CB7DC2BFBF07">
    <w:name w:val="77E0817861AE403F93F3CB7DC2BFBF07"/>
    <w:rsid w:val="00D44F1E"/>
  </w:style>
  <w:style w:type="paragraph" w:customStyle="1" w:styleId="D7D8F3E4D74C4B1F93D582630C4AC88F">
    <w:name w:val="D7D8F3E4D74C4B1F93D582630C4AC88F"/>
    <w:rsid w:val="00D44F1E"/>
  </w:style>
  <w:style w:type="paragraph" w:customStyle="1" w:styleId="F594482366ED42C7A4FD09E5457A3F98">
    <w:name w:val="F594482366ED42C7A4FD09E5457A3F98"/>
    <w:rsid w:val="00D44F1E"/>
  </w:style>
  <w:style w:type="paragraph" w:customStyle="1" w:styleId="5B3ABB54E7434653B68E32626C59D2FD">
    <w:name w:val="5B3ABB54E7434653B68E32626C59D2FD"/>
    <w:rsid w:val="00D44F1E"/>
  </w:style>
  <w:style w:type="paragraph" w:customStyle="1" w:styleId="F5B690BC4272448D8D9FDD2260FA0AA5">
    <w:name w:val="F5B690BC4272448D8D9FDD2260FA0AA5"/>
    <w:rsid w:val="00D44F1E"/>
  </w:style>
  <w:style w:type="paragraph" w:customStyle="1" w:styleId="EBA4D398ED5A4A588EA1BF3C34676E31">
    <w:name w:val="EBA4D398ED5A4A588EA1BF3C34676E31"/>
    <w:rsid w:val="00D44F1E"/>
  </w:style>
  <w:style w:type="paragraph" w:customStyle="1" w:styleId="09916AC86DE8425496C68C836C0D98E3">
    <w:name w:val="09916AC86DE8425496C68C836C0D98E3"/>
    <w:rsid w:val="00D44F1E"/>
  </w:style>
  <w:style w:type="paragraph" w:customStyle="1" w:styleId="A098EC19492E4141B1885DA0411E3F3C">
    <w:name w:val="A098EC19492E4141B1885DA0411E3F3C"/>
    <w:rsid w:val="00D44F1E"/>
  </w:style>
  <w:style w:type="paragraph" w:customStyle="1" w:styleId="E80C54FBDD954E96B0933CF5C5374110">
    <w:name w:val="E80C54FBDD954E96B0933CF5C5374110"/>
    <w:rsid w:val="00D44F1E"/>
  </w:style>
  <w:style w:type="paragraph" w:customStyle="1" w:styleId="F59B3AAD7FD241D6B62359943ED92665">
    <w:name w:val="F59B3AAD7FD241D6B62359943ED92665"/>
    <w:rsid w:val="00D44F1E"/>
  </w:style>
  <w:style w:type="paragraph" w:customStyle="1" w:styleId="B6090249E27F454D9D6BEABC12F40F7A">
    <w:name w:val="B6090249E27F454D9D6BEABC12F40F7A"/>
    <w:rsid w:val="00D44F1E"/>
  </w:style>
  <w:style w:type="paragraph" w:customStyle="1" w:styleId="96840D4CE9A1479CAB99BA2DC1641C68">
    <w:name w:val="96840D4CE9A1479CAB99BA2DC1641C68"/>
    <w:rsid w:val="00D44F1E"/>
  </w:style>
  <w:style w:type="paragraph" w:customStyle="1" w:styleId="8C1212C9FC1B41CB9EE67D8C250D970A">
    <w:name w:val="8C1212C9FC1B41CB9EE67D8C250D970A"/>
    <w:rsid w:val="00D44F1E"/>
  </w:style>
  <w:style w:type="paragraph" w:customStyle="1" w:styleId="DA971688844141F3A0599D81076EBF49">
    <w:name w:val="DA971688844141F3A0599D81076EBF49"/>
    <w:rsid w:val="00D44F1E"/>
  </w:style>
  <w:style w:type="paragraph" w:customStyle="1" w:styleId="6834EEF0D0F94431970174709BE4D02F">
    <w:name w:val="6834EEF0D0F94431970174709BE4D02F"/>
    <w:rsid w:val="00D44F1E"/>
  </w:style>
  <w:style w:type="paragraph" w:customStyle="1" w:styleId="2C7429B36E6F4DAC8894A412BD98C620">
    <w:name w:val="2C7429B36E6F4DAC8894A412BD98C620"/>
    <w:rsid w:val="00D44F1E"/>
  </w:style>
  <w:style w:type="paragraph" w:customStyle="1" w:styleId="E844EB42151C484195B263B5DAA1A636">
    <w:name w:val="E844EB42151C484195B263B5DAA1A636"/>
    <w:rsid w:val="00D44F1E"/>
  </w:style>
  <w:style w:type="paragraph" w:customStyle="1" w:styleId="E9622C9405CE495EBD9ADE283FDC4CE1">
    <w:name w:val="E9622C9405CE495EBD9ADE283FDC4CE1"/>
    <w:rsid w:val="00D44F1E"/>
  </w:style>
  <w:style w:type="paragraph" w:customStyle="1" w:styleId="93D2E246008D4155BDDEF59AB4EB3A02">
    <w:name w:val="93D2E246008D4155BDDEF59AB4EB3A02"/>
    <w:rsid w:val="00D44F1E"/>
  </w:style>
  <w:style w:type="paragraph" w:customStyle="1" w:styleId="89AD9EC2568747808B72148B1ED343D6">
    <w:name w:val="89AD9EC2568747808B72148B1ED343D6"/>
    <w:rsid w:val="00D44F1E"/>
  </w:style>
  <w:style w:type="paragraph" w:customStyle="1" w:styleId="B5B3C5F8852B42AEA504A5CD484B4AAF">
    <w:name w:val="B5B3C5F8852B42AEA504A5CD484B4AAF"/>
    <w:rsid w:val="00D44F1E"/>
  </w:style>
  <w:style w:type="paragraph" w:customStyle="1" w:styleId="CE2A48070B4B4BB8AA18420934FE63D0">
    <w:name w:val="CE2A48070B4B4BB8AA18420934FE63D0"/>
    <w:rsid w:val="00D44F1E"/>
  </w:style>
  <w:style w:type="paragraph" w:customStyle="1" w:styleId="9D089970034D4D1193A4903931F579D3">
    <w:name w:val="9D089970034D4D1193A4903931F579D3"/>
    <w:rsid w:val="00D44F1E"/>
  </w:style>
  <w:style w:type="paragraph" w:customStyle="1" w:styleId="7564F8D8438C478499B5F5C4BE5441C7">
    <w:name w:val="7564F8D8438C478499B5F5C4BE5441C7"/>
    <w:rsid w:val="00D44F1E"/>
  </w:style>
  <w:style w:type="paragraph" w:customStyle="1" w:styleId="6DA3A9CD39394DEF93C99FEA81ED2B14">
    <w:name w:val="6DA3A9CD39394DEF93C99FEA81ED2B14"/>
    <w:rsid w:val="00D44F1E"/>
  </w:style>
  <w:style w:type="paragraph" w:customStyle="1" w:styleId="6AD588834662411583BD12393160BF85">
    <w:name w:val="6AD588834662411583BD12393160BF85"/>
    <w:rsid w:val="00D44F1E"/>
  </w:style>
  <w:style w:type="paragraph" w:customStyle="1" w:styleId="C87F49D120E24B8F8C083F78037FFB64">
    <w:name w:val="C87F49D120E24B8F8C083F78037FFB64"/>
    <w:rsid w:val="00D44F1E"/>
  </w:style>
  <w:style w:type="paragraph" w:customStyle="1" w:styleId="254785E3194E4F89A747A053A7E7A411">
    <w:name w:val="254785E3194E4F89A747A053A7E7A411"/>
    <w:rsid w:val="00D44F1E"/>
  </w:style>
  <w:style w:type="paragraph" w:customStyle="1" w:styleId="8D0A0AE97C3A4B0F90A4EFAEB255330E">
    <w:name w:val="8D0A0AE97C3A4B0F90A4EFAEB255330E"/>
    <w:rsid w:val="00D44F1E"/>
  </w:style>
  <w:style w:type="paragraph" w:customStyle="1" w:styleId="25711D59B72B484593BD4DF8950A042D">
    <w:name w:val="25711D59B72B484593BD4DF8950A042D"/>
    <w:rsid w:val="00E92B50"/>
  </w:style>
  <w:style w:type="paragraph" w:customStyle="1" w:styleId="1F9D19FD4B434387B4CA97E4DEFEC6C1">
    <w:name w:val="1F9D19FD4B434387B4CA97E4DEFEC6C1"/>
    <w:rsid w:val="00E92B50"/>
  </w:style>
  <w:style w:type="paragraph" w:customStyle="1" w:styleId="00A748D5802849E2A668E405B3F26013">
    <w:name w:val="00A748D5802849E2A668E405B3F26013"/>
    <w:rsid w:val="00E92B50"/>
  </w:style>
  <w:style w:type="paragraph" w:customStyle="1" w:styleId="86EEF93092C24F3B909A44AC01387755">
    <w:name w:val="86EEF93092C24F3B909A44AC01387755"/>
    <w:rsid w:val="00E92B50"/>
  </w:style>
  <w:style w:type="paragraph" w:customStyle="1" w:styleId="C939F6ABF0A44755911DE452E9776EB3">
    <w:name w:val="C939F6ABF0A44755911DE452E9776EB3"/>
    <w:rsid w:val="00E92B50"/>
  </w:style>
  <w:style w:type="paragraph" w:customStyle="1" w:styleId="4EDA81B3AB804D07B0525768EBD87419">
    <w:name w:val="4EDA81B3AB804D07B0525768EBD87419"/>
    <w:rsid w:val="00E92B50"/>
  </w:style>
  <w:style w:type="paragraph" w:customStyle="1" w:styleId="4D5C8AFF77CF4B769F0C2C16912788D6">
    <w:name w:val="4D5C8AFF77CF4B769F0C2C16912788D6"/>
    <w:rsid w:val="00E92B50"/>
  </w:style>
  <w:style w:type="paragraph" w:customStyle="1" w:styleId="91017331423948059EC45653A829C36D">
    <w:name w:val="91017331423948059EC45653A829C36D"/>
    <w:rsid w:val="00E92B50"/>
  </w:style>
  <w:style w:type="paragraph" w:customStyle="1" w:styleId="79FA8055D2FD4947B4545C2DF350E50A">
    <w:name w:val="79FA8055D2FD4947B4545C2DF350E50A"/>
    <w:rsid w:val="00E92B50"/>
  </w:style>
  <w:style w:type="paragraph" w:customStyle="1" w:styleId="D937AD1346FD4A33A6855E6213A2EA76">
    <w:name w:val="D937AD1346FD4A33A6855E6213A2EA76"/>
    <w:rsid w:val="00E92B50"/>
  </w:style>
  <w:style w:type="paragraph" w:customStyle="1" w:styleId="574160A617684276947C75E92EBB42AB">
    <w:name w:val="574160A617684276947C75E92EBB42AB"/>
    <w:rsid w:val="00E92B50"/>
  </w:style>
  <w:style w:type="paragraph" w:customStyle="1" w:styleId="5FA43D83D3E94E72A45579C5E9C8F964">
    <w:name w:val="5FA43D83D3E94E72A45579C5E9C8F964"/>
    <w:rsid w:val="00E92B50"/>
  </w:style>
  <w:style w:type="paragraph" w:customStyle="1" w:styleId="B2DD6772AB25421F930AA83F6D35C661">
    <w:name w:val="B2DD6772AB25421F930AA83F6D35C661"/>
    <w:rsid w:val="00E92B50"/>
  </w:style>
  <w:style w:type="paragraph" w:customStyle="1" w:styleId="533230F3B54B482B83FD296E13EECC2A">
    <w:name w:val="533230F3B54B482B83FD296E13EECC2A"/>
    <w:rsid w:val="00E92B50"/>
  </w:style>
  <w:style w:type="paragraph" w:customStyle="1" w:styleId="08DDF4AA91774F3D8187225DC003CF9D">
    <w:name w:val="08DDF4AA91774F3D8187225DC003CF9D"/>
    <w:rsid w:val="00E92B50"/>
  </w:style>
  <w:style w:type="paragraph" w:customStyle="1" w:styleId="45E99198AC764735B9B58DD0966F18E9">
    <w:name w:val="45E99198AC764735B9B58DD0966F18E9"/>
    <w:rsid w:val="00E92B50"/>
  </w:style>
  <w:style w:type="paragraph" w:customStyle="1" w:styleId="B5DCF0C4D67E4D458C9195F4E57E73D6">
    <w:name w:val="B5DCF0C4D67E4D458C9195F4E57E73D6"/>
    <w:rsid w:val="00E92B50"/>
  </w:style>
  <w:style w:type="paragraph" w:customStyle="1" w:styleId="8645576757094321BE17A38586C4AE0B">
    <w:name w:val="8645576757094321BE17A38586C4AE0B"/>
    <w:rsid w:val="00E92B50"/>
  </w:style>
  <w:style w:type="paragraph" w:customStyle="1" w:styleId="1BAA0A0E1EF34FADB40D88990C22CD0E">
    <w:name w:val="1BAA0A0E1EF34FADB40D88990C22CD0E"/>
    <w:rsid w:val="00E92B50"/>
  </w:style>
  <w:style w:type="paragraph" w:customStyle="1" w:styleId="067E1C5351AA450691A59237B4D1BCCE">
    <w:name w:val="067E1C5351AA450691A59237B4D1BCCE"/>
    <w:rsid w:val="00E92B50"/>
  </w:style>
  <w:style w:type="paragraph" w:customStyle="1" w:styleId="885A7D7AC2BF48549DC18BA46674297F">
    <w:name w:val="885A7D7AC2BF48549DC18BA46674297F"/>
    <w:rsid w:val="00E92B50"/>
  </w:style>
  <w:style w:type="paragraph" w:customStyle="1" w:styleId="EB838E13AFFA49F5BE421614EB16EDE1">
    <w:name w:val="EB838E13AFFA49F5BE421614EB16EDE1"/>
    <w:rsid w:val="00E92B50"/>
  </w:style>
  <w:style w:type="paragraph" w:customStyle="1" w:styleId="FA6CBB1FDE6F4ACAB1DF07AED23112BB">
    <w:name w:val="FA6CBB1FDE6F4ACAB1DF07AED23112BB"/>
    <w:rsid w:val="00E92B50"/>
  </w:style>
  <w:style w:type="paragraph" w:customStyle="1" w:styleId="EC7CC72C7FA74794B8EB1148448D61F8">
    <w:name w:val="EC7CC72C7FA74794B8EB1148448D61F8"/>
    <w:rsid w:val="00E92B50"/>
  </w:style>
  <w:style w:type="paragraph" w:customStyle="1" w:styleId="A19E9912F1AF473F84E05A65873EB3B8">
    <w:name w:val="A19E9912F1AF473F84E05A65873EB3B8"/>
    <w:rsid w:val="00E92B50"/>
  </w:style>
  <w:style w:type="paragraph" w:customStyle="1" w:styleId="142D4BEB6A404AB595AABE5F0063AB61">
    <w:name w:val="142D4BEB6A404AB595AABE5F0063AB61"/>
    <w:rsid w:val="00E92B50"/>
  </w:style>
  <w:style w:type="paragraph" w:customStyle="1" w:styleId="49C2729EE7CE4AFC9E0806651A1569C9">
    <w:name w:val="49C2729EE7CE4AFC9E0806651A1569C9"/>
    <w:rsid w:val="00E92B50"/>
  </w:style>
  <w:style w:type="paragraph" w:customStyle="1" w:styleId="5BE9E758A63E45399A32C8A7343DDFE1">
    <w:name w:val="5BE9E758A63E45399A32C8A7343DDFE1"/>
    <w:rsid w:val="00E92B50"/>
  </w:style>
  <w:style w:type="paragraph" w:customStyle="1" w:styleId="999A1D6893174E5FB283CD793BAF8B75">
    <w:name w:val="999A1D6893174E5FB283CD793BAF8B75"/>
    <w:rsid w:val="00E92B50"/>
  </w:style>
  <w:style w:type="paragraph" w:customStyle="1" w:styleId="C9281599646D40EC939F8A6A1C573B33">
    <w:name w:val="C9281599646D40EC939F8A6A1C573B33"/>
    <w:rsid w:val="00E92B50"/>
  </w:style>
  <w:style w:type="paragraph" w:customStyle="1" w:styleId="406138A050BC40518C6C540169E8F4DF">
    <w:name w:val="406138A050BC40518C6C540169E8F4DF"/>
    <w:rsid w:val="00E92B50"/>
  </w:style>
  <w:style w:type="paragraph" w:customStyle="1" w:styleId="9B7CEE1FA3154900B1C06831B16F7D86">
    <w:name w:val="9B7CEE1FA3154900B1C06831B16F7D86"/>
    <w:rsid w:val="00E92B50"/>
  </w:style>
  <w:style w:type="paragraph" w:customStyle="1" w:styleId="52214633BD9A4B1A8A500CF5912E068E">
    <w:name w:val="52214633BD9A4B1A8A500CF5912E068E"/>
    <w:rsid w:val="00E92B50"/>
  </w:style>
  <w:style w:type="paragraph" w:customStyle="1" w:styleId="2D24E83ADAFB48E0BD1C910AC0E32B61">
    <w:name w:val="2D24E83ADAFB48E0BD1C910AC0E32B61"/>
    <w:rsid w:val="00E92B50"/>
  </w:style>
  <w:style w:type="paragraph" w:customStyle="1" w:styleId="F642508233264A03918A297124134E0A">
    <w:name w:val="F642508233264A03918A297124134E0A"/>
    <w:rsid w:val="00E92B50"/>
  </w:style>
  <w:style w:type="paragraph" w:customStyle="1" w:styleId="8E906B1A58FB44CF844EC97E7513FB4F">
    <w:name w:val="8E906B1A58FB44CF844EC97E7513FB4F"/>
    <w:rsid w:val="00E92B50"/>
  </w:style>
  <w:style w:type="paragraph" w:customStyle="1" w:styleId="65BC73E710234F12AD8333869A549FA6">
    <w:name w:val="65BC73E710234F12AD8333869A549FA6"/>
    <w:rsid w:val="00E92B50"/>
  </w:style>
  <w:style w:type="paragraph" w:customStyle="1" w:styleId="41EE947A68FF4BF8B83DFF48CB960042">
    <w:name w:val="41EE947A68FF4BF8B83DFF48CB960042"/>
    <w:rsid w:val="00E92B50"/>
  </w:style>
  <w:style w:type="paragraph" w:customStyle="1" w:styleId="8616DDD7595C417AB738F4E3AA207BFE">
    <w:name w:val="8616DDD7595C417AB738F4E3AA207BFE"/>
    <w:rsid w:val="00E92B50"/>
  </w:style>
  <w:style w:type="paragraph" w:customStyle="1" w:styleId="AFB620A3FFDC436D820B4DC25D630CB0">
    <w:name w:val="AFB620A3FFDC436D820B4DC25D630CB0"/>
    <w:rsid w:val="00E92B50"/>
  </w:style>
  <w:style w:type="paragraph" w:customStyle="1" w:styleId="B747CEB4F2AB4FD18567E64AD2E14753">
    <w:name w:val="B747CEB4F2AB4FD18567E64AD2E14753"/>
    <w:rsid w:val="00E92B50"/>
  </w:style>
  <w:style w:type="paragraph" w:customStyle="1" w:styleId="2E5D62927DBD4C498537403C3A1FF41D">
    <w:name w:val="2E5D62927DBD4C498537403C3A1FF41D"/>
    <w:rsid w:val="00E92B50"/>
  </w:style>
  <w:style w:type="paragraph" w:customStyle="1" w:styleId="28003BB8350E45EE882EF97977777C46">
    <w:name w:val="28003BB8350E45EE882EF97977777C46"/>
    <w:rsid w:val="00E92B50"/>
  </w:style>
  <w:style w:type="paragraph" w:customStyle="1" w:styleId="C9C19752AFC5448AAF5879AD6C0EC842">
    <w:name w:val="C9C19752AFC5448AAF5879AD6C0EC842"/>
    <w:rsid w:val="00E92B50"/>
  </w:style>
  <w:style w:type="paragraph" w:customStyle="1" w:styleId="A909959C50A9470090D546837D228913">
    <w:name w:val="A909959C50A9470090D546837D228913"/>
    <w:rsid w:val="00E92B50"/>
  </w:style>
  <w:style w:type="paragraph" w:customStyle="1" w:styleId="1E75F2BAC52B4B92857BD7F6449BE38B">
    <w:name w:val="1E75F2BAC52B4B92857BD7F6449BE38B"/>
    <w:rsid w:val="00E92B50"/>
  </w:style>
  <w:style w:type="paragraph" w:customStyle="1" w:styleId="666049D1D4774A2DA64BF204589F3A71">
    <w:name w:val="666049D1D4774A2DA64BF204589F3A71"/>
    <w:rsid w:val="00E92B50"/>
  </w:style>
  <w:style w:type="paragraph" w:customStyle="1" w:styleId="53D0D31AAD774CC19DEA7A0DBE05631A">
    <w:name w:val="53D0D31AAD774CC19DEA7A0DBE05631A"/>
    <w:rsid w:val="00E92B50"/>
  </w:style>
  <w:style w:type="paragraph" w:customStyle="1" w:styleId="F91CF58E0FE24D61B1886B01DD844272">
    <w:name w:val="F91CF58E0FE24D61B1886B01DD844272"/>
    <w:rsid w:val="00E92B50"/>
  </w:style>
  <w:style w:type="paragraph" w:customStyle="1" w:styleId="B64905A4F8C7440F8ABAEE00CD65D1F0">
    <w:name w:val="B64905A4F8C7440F8ABAEE00CD65D1F0"/>
    <w:rsid w:val="00E92B50"/>
  </w:style>
  <w:style w:type="paragraph" w:customStyle="1" w:styleId="FA8B92B8757F4967AB221FAB668CA329">
    <w:name w:val="FA8B92B8757F4967AB221FAB668CA329"/>
    <w:rsid w:val="00E92B50"/>
  </w:style>
  <w:style w:type="paragraph" w:customStyle="1" w:styleId="74104200444543888D03D0BBFA4312C8">
    <w:name w:val="74104200444543888D03D0BBFA4312C8"/>
    <w:rsid w:val="00E92B50"/>
  </w:style>
  <w:style w:type="paragraph" w:customStyle="1" w:styleId="9879F6561B31463899F8B344BA234AC1">
    <w:name w:val="9879F6561B31463899F8B344BA234AC1"/>
    <w:rsid w:val="00E92B50"/>
  </w:style>
  <w:style w:type="paragraph" w:customStyle="1" w:styleId="5D2058C0B7964B92A13C78064EC59792">
    <w:name w:val="5D2058C0B7964B92A13C78064EC59792"/>
    <w:rsid w:val="00E92B50"/>
  </w:style>
  <w:style w:type="paragraph" w:customStyle="1" w:styleId="890D5F13C79B43A8AA2F2963C7984B77">
    <w:name w:val="890D5F13C79B43A8AA2F2963C7984B77"/>
    <w:rsid w:val="00E92B50"/>
  </w:style>
  <w:style w:type="paragraph" w:customStyle="1" w:styleId="EC81DB6111AC48C5A973E35B25018CD7">
    <w:name w:val="EC81DB6111AC48C5A973E35B25018CD7"/>
    <w:rsid w:val="00E92B50"/>
  </w:style>
  <w:style w:type="paragraph" w:customStyle="1" w:styleId="9A2906ADCEDA45149A1AAD04AA8AAEAF">
    <w:name w:val="9A2906ADCEDA45149A1AAD04AA8AAEAF"/>
    <w:rsid w:val="00E92B50"/>
  </w:style>
  <w:style w:type="paragraph" w:customStyle="1" w:styleId="8D44DAC9A50446D6905951BD7D0D77EB">
    <w:name w:val="8D44DAC9A50446D6905951BD7D0D77EB"/>
    <w:rsid w:val="00E92B50"/>
  </w:style>
  <w:style w:type="paragraph" w:customStyle="1" w:styleId="03F1BB5481F64ED1956310CE3BA327EA">
    <w:name w:val="03F1BB5481F64ED1956310CE3BA327EA"/>
    <w:rsid w:val="00E92B50"/>
  </w:style>
  <w:style w:type="paragraph" w:customStyle="1" w:styleId="CCBB2FBA31C24455B1411C8C46E22506">
    <w:name w:val="CCBB2FBA31C24455B1411C8C46E22506"/>
    <w:rsid w:val="00E92B50"/>
  </w:style>
  <w:style w:type="paragraph" w:customStyle="1" w:styleId="C549D861AD2C411AA1AF96687FA7798B">
    <w:name w:val="C549D861AD2C411AA1AF96687FA7798B"/>
    <w:rsid w:val="00E92B50"/>
  </w:style>
  <w:style w:type="paragraph" w:customStyle="1" w:styleId="DB170EB0B2C14EC0A8FFDC483F828701">
    <w:name w:val="DB170EB0B2C14EC0A8FFDC483F828701"/>
    <w:rsid w:val="00E92B50"/>
  </w:style>
  <w:style w:type="paragraph" w:customStyle="1" w:styleId="83450D225B40460DB197478E88B84D37">
    <w:name w:val="83450D225B40460DB197478E88B84D37"/>
    <w:rsid w:val="00E92B50"/>
  </w:style>
  <w:style w:type="paragraph" w:customStyle="1" w:styleId="C9A0E595E5F74B4B969B1B7E6A5FA084">
    <w:name w:val="C9A0E595E5F74B4B969B1B7E6A5FA084"/>
    <w:rsid w:val="00E92B50"/>
  </w:style>
  <w:style w:type="paragraph" w:customStyle="1" w:styleId="7C8FCE494AAE4A72AB0FE7E53C705D7F">
    <w:name w:val="7C8FCE494AAE4A72AB0FE7E53C705D7F"/>
    <w:rsid w:val="00E92B50"/>
  </w:style>
  <w:style w:type="paragraph" w:customStyle="1" w:styleId="5ABD60108E564E63A12F91C7FB8DD392">
    <w:name w:val="5ABD60108E564E63A12F91C7FB8DD392"/>
    <w:rsid w:val="00E92B50"/>
  </w:style>
  <w:style w:type="paragraph" w:customStyle="1" w:styleId="2214BA02F6EF40D395F2B1333B2CED92">
    <w:name w:val="2214BA02F6EF40D395F2B1333B2CED92"/>
    <w:rsid w:val="00E92B50"/>
  </w:style>
  <w:style w:type="paragraph" w:customStyle="1" w:styleId="C55A27AFBA6F4623929453B506C1FD44">
    <w:name w:val="C55A27AFBA6F4623929453B506C1FD44"/>
    <w:rsid w:val="00E92B50"/>
  </w:style>
  <w:style w:type="paragraph" w:customStyle="1" w:styleId="A014CA5A379D497288800A992D7861D8">
    <w:name w:val="A014CA5A379D497288800A992D7861D8"/>
    <w:rsid w:val="00E92B50"/>
  </w:style>
  <w:style w:type="paragraph" w:customStyle="1" w:styleId="926BA5D07C7D41E8BD6313F9F3E76831">
    <w:name w:val="926BA5D07C7D41E8BD6313F9F3E76831"/>
    <w:rsid w:val="00E92B50"/>
  </w:style>
  <w:style w:type="paragraph" w:customStyle="1" w:styleId="48CF20E4D1A046A49E1D9F738F23A130">
    <w:name w:val="48CF20E4D1A046A49E1D9F738F23A130"/>
    <w:rsid w:val="00E92B50"/>
  </w:style>
  <w:style w:type="paragraph" w:customStyle="1" w:styleId="660B627982E94802991E5E7759F5C220">
    <w:name w:val="660B627982E94802991E5E7759F5C220"/>
    <w:rsid w:val="00E92B50"/>
  </w:style>
  <w:style w:type="paragraph" w:customStyle="1" w:styleId="8C190CCBF9CF4FB594A792A3F078A282">
    <w:name w:val="8C190CCBF9CF4FB594A792A3F078A282"/>
    <w:rsid w:val="00E92B50"/>
  </w:style>
  <w:style w:type="paragraph" w:customStyle="1" w:styleId="4868483C8EFC45DEA07FC9458C36640A">
    <w:name w:val="4868483C8EFC45DEA07FC9458C36640A"/>
    <w:rsid w:val="00E92B50"/>
  </w:style>
  <w:style w:type="paragraph" w:customStyle="1" w:styleId="5F8B1D47E9D8456B808D7C926D620806">
    <w:name w:val="5F8B1D47E9D8456B808D7C926D620806"/>
    <w:rsid w:val="00E92B50"/>
  </w:style>
  <w:style w:type="paragraph" w:customStyle="1" w:styleId="33067E5055664C84ACC8D373363F0128">
    <w:name w:val="33067E5055664C84ACC8D373363F0128"/>
    <w:rsid w:val="00E92B50"/>
  </w:style>
  <w:style w:type="paragraph" w:customStyle="1" w:styleId="DA77C96C789F4E7297A3E8F64BC0672E">
    <w:name w:val="DA77C96C789F4E7297A3E8F64BC0672E"/>
    <w:rsid w:val="00E92B50"/>
  </w:style>
  <w:style w:type="paragraph" w:customStyle="1" w:styleId="91809704F6EA4E44B1BF7E0589FF463C">
    <w:name w:val="91809704F6EA4E44B1BF7E0589FF463C"/>
    <w:rsid w:val="00E92B50"/>
  </w:style>
  <w:style w:type="paragraph" w:customStyle="1" w:styleId="293F4CE71CD7478784B2F7142AF20F85">
    <w:name w:val="293F4CE71CD7478784B2F7142AF20F85"/>
    <w:rsid w:val="00E92B50"/>
  </w:style>
  <w:style w:type="paragraph" w:customStyle="1" w:styleId="EEF9D219416A4888B520C7B7A9F5A8EF">
    <w:name w:val="EEF9D219416A4888B520C7B7A9F5A8EF"/>
    <w:rsid w:val="00E92B50"/>
  </w:style>
  <w:style w:type="paragraph" w:customStyle="1" w:styleId="F2DD4D989E854B6B95EC8C13B4DCC9E7">
    <w:name w:val="F2DD4D989E854B6B95EC8C13B4DCC9E7"/>
    <w:rsid w:val="00E92B50"/>
  </w:style>
  <w:style w:type="paragraph" w:customStyle="1" w:styleId="77FA015DB02340C1B1798C85E30C886E">
    <w:name w:val="77FA015DB02340C1B1798C85E30C886E"/>
    <w:rsid w:val="00E92B50"/>
  </w:style>
  <w:style w:type="paragraph" w:customStyle="1" w:styleId="55DAD4DD6D444EC981FA0FFA472EB970">
    <w:name w:val="55DAD4DD6D444EC981FA0FFA472EB970"/>
    <w:rsid w:val="00E92B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3CD781-594B-4474-B477-EA183E341403}">
  <we:reference id="wa104382081" version="1.55.1.0" store="en-US" storeType="OMEX"/>
  <we:alternateReferences>
    <we:reference id="WA104382081" version="1.55.1.0" store="" storeType="OMEX"/>
  </we:alternateReferences>
  <we:properties>
    <we:property name="MENDELEY_CITATIONS" value="[{&quot;citationID&quot;:&quot;MENDELEY_CITATION_d2d49c71-4554-49cf-b485-0f3d8825f1fa&quot;,&quot;properties&quot;:{&quot;noteIndex&quot;:0},&quot;isEdited&quot;:false,&quot;manualOverride&quot;:{&quot;isManuallyOverridden&quot;:true,&quot;citeprocText&quot;:&quot;(Figiel-Dabrowska et al., 2022)&quot;,&quot;manualOverrideText&quot;:&quot;Figiel-Dabrowska et al., 2022&quot;},&quot;citationItems&quot;:[{&quot;id&quot;:&quot;3eb472fc-66a8-39fc-85a1-30d8dc998b01&quot;,&quot;itemData&quot;:{&quot;type&quot;:&quot;article-journal&quot;,&quot;id&quot;:&quot;3eb472fc-66a8-39fc-85a1-30d8dc998b01&quot;,&quot;title&quot;:&quot;Efficiency assessment of irrigation as an alternative method for improving the regenerative potential of non-healing wounds&quot;,&quot;author&quot;:[{&quot;family&quot;:&quot;Figiel-Dabrowska&quot;,&quot;given&quot;:&quot;Anna&quot;,&quot;parse-names&quot;:false,&quot;dropping-particle&quot;:&quot;&quot;,&quot;non-dropping-particle&quot;:&quot;&quot;},{&quot;family&quot;:&quot;Krzesniak&quot;,&quot;given&quot;:&quot;Natalia E.&quot;,&quot;parse-names&quot;:false,&quot;dropping-particle&quot;:&quot;&quot;,&quot;non-dropping-particle&quot;:&quot;&quot;},{&quot;family&quot;:&quot;Noszczyk&quot;,&quot;given&quot;:&quot;Bartłomiej H.&quot;,&quot;parse-names&quot;:false,&quot;dropping-particle&quot;:&quot;&quot;,&quot;non-dropping-particle&quot;:&quot;&quot;},{&quot;family&quot;:&quot;Domanska-Janik&quot;,&quot;given&quot;:&quot;Krystyna&quot;,&quot;parse-names&quot;:false,&quot;dropping-particle&quot;:&quot;&quot;,&quot;non-dropping-particle&quot;:&quot;&quot;},{&quot;family&quot;:&quot;Sarnowska&quot;,&quot;given&quot;:&quot;Anna&quot;,&quot;parse-names&quot;:false,&quot;dropping-particle&quot;:&quot;&quot;,&quot;non-dropping-particle&quot;:&quot;&quot;}],&quot;container-title&quot;:&quot;Wound Repair and Regeneration&quot;,&quot;DOI&quot;:&quot;10.1111/wrr.13013&quot;,&quot;ISSN&quot;:&quot;1524475X&quot;,&quot;PMID&quot;:&quot;35384136&quot;,&quot;issued&quot;:{&quot;date-parts&quot;:[[2022,5,1]]},&quot;page&quot;:&quot;303-316&quot;,&quot;abstract&quot;:&quot;The application of mesenchymal stem/stromal cells (MSC) in regenerative medicine offers hope for the effective treatment of incurable or difficult-to-heal diseases. However, it requires the development of unified protocols for both safe and efficient cell acquisition and clinical usage. The therapeutic effect of fat grafts (containing stem cells) in non-healing wounds has been discussed in previous studies, although the application requires local or general anaesthesia. The treatment of MSC derived from adipose tissue (ASC) could be a less invasive method, and efficient delivery could lead to more favourable outcomes, which should encourage clinicians to use such therapeutic approaches more frequently. Therefore, the aim of this study was to optimise the methods of ASC isolation, culture and administration while maintaining their high survival, proliferation and colonisation potential. The ASC were isolated by an enzymatic method and were characterised according to International Society for Cellular Therapy and International Federation for Adipose Therapeutics and Science guidelines. To assess the opportunity to obtain a sufficient number of cells for transplantation, long-term cell cultures in two oxygen concentrations (5% vs. 21%) were conducted. For these cultures, the population doubling time, the cumulative time for cell population doublings and the rate of cell senescence were estimated. In a developed and pre-defined protocol, ASC can be efficiently cultured at physiological oxygen concentrations (5%), which leads to faster proliferation and slower cell senescence. Subsequently, to select the optimal and minimally invasive methods of ASC transplantation, direct cell application with an irrigator or with skin dressings was analysed. Our results confirmed that both the presented methods of cell application allow for the safe delivery of isolated ASC into wounds without losing their vitality. Cells propagated in the described conditions and applied in non-invasive cell application (with an irrigation system and dressings) to treat chronic wounds can be a potential alternative or supplement to more invasive clinical approaches.&quot;,&quot;publisher&quot;:&quot;John Wiley and Sons Inc&quot;,&quot;issue&quot;:&quot;3&quot;,&quot;volume&quot;:&quot;30&quot;,&quot;container-title-short&quot;:&quot;&quot;},&quot;isTemporary&quot;:false}],&quot;citationTag&quot;:&quot;MENDELEY_CITATION_v3_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&quot;},{&quot;citationID&quot;:&quot;MENDELEY_CITATION_c2c7e18f-0784-494c-8b56-f342328b0667&quot;,&quot;properties&quot;:{&quot;noteIndex&quot;:0},&quot;isEdited&quot;:false,&quot;manualOverride&quot;:{&quot;isManuallyOverridden&quot;:true,&quot;citeprocText&quot;:&quot;(X. Feng, Feng, et al., 2014)&quot;,&quot;manualOverrideText&quot;:&quot;(Feng et al., 2014)a&quot;},&quot;citationItems&quot;:[{&quot;id&quot;:&quot;86702ace-2373-3876-95b1-a651d5a54abc&quot;,&quot;itemData&quot;:{&quot;type&quot;:&quot;article-journal&quot;,&quot;id&quot;:&quot;86702ace-2373-3876-95b1-a651d5a54abc&quot;,&quot;title&quot;:&quot;Repeated lipopolysaccharide stimulation promotes cellular senescence in human dental pulp stem cells (DPSCs)&quot;,&quot;author&quot;:[{&quot;family&quot;:&quot;Feng&quot;,&quot;given&quot;:&quot;Xingmei&quot;,&quot;parse-names&quot;:false,&quot;dropping-particle&quot;:&quot;&quot;,&quot;non-dropping-particle&quot;:&quot;&quot;},{&quot;family&quot;:&quot;Feng&quot;,&quot;given&quot;:&quot;Guijuan&quot;,&quot;parse-names&quot;:false,&quot;dropping-particle&quot;:&quot;&quot;,&quot;non-dropping-particle&quot;:&quot;&quot;},{&quot;family&quot;:&quot;Xing&quot;,&quot;given&quot;:&quot;Jing&quot;,&quot;parse-names&quot;:false,&quot;dropping-particle&quot;:&quot;&quot;,&quot;non-dropping-particle&quot;:&quot;&quot;},{&quot;family&quot;:&quot;Shen&quot;,&quot;given&quot;:&quot;Biyu&quot;,&quot;parse-names&quot;:false,&quot;dropping-particle&quot;:&quot;&quot;,&quot;non-dropping-particle&quot;:&quot;&quot;},{&quot;family&quot;:&quot;Tan&quot;,&quot;given&quot;:&quot;Wei&quot;,&quot;parse-names&quot;:false,&quot;dropping-particle&quot;:&quot;&quot;,&quot;non-dropping-particle&quot;:&quot;&quot;},{&quot;family&quot;:&quot;Huang&quot;,&quot;given&quot;:&quot;Dan&quot;,&quot;parse-names&quot;:false,&quot;dropping-particle&quot;:&quot;&quot;,&quot;non-dropping-particle&quot;:&quot;&quot;},{&quot;family&quot;:&quot;Lu&quot;,&quot;given&quot;:&quot;Xiaohui&quot;,&quot;parse-names&quot;:false,&quot;dropping-particle&quot;:&quot;&quot;,&quot;non-dropping-particle&quot;:&quot;&quot;},{&quot;family&quot;:&quot;Tao&quot;,&quot;given&quot;:&quot;Tao&quot;,&quot;parse-names&quot;:false,&quot;dropping-particle&quot;:&quot;&quot;,&quot;non-dropping-particle&quot;:&quot;&quot;},{&quot;family&quot;:&quot;Zhang&quot;,&quot;given&quot;:&quot;Jinlong&quot;,&quot;parse-names&quot;:false,&quot;dropping-particle&quot;:&quot;&quot;,&quot;non-dropping-particle&quot;:&quot;&quot;},{&quot;family&quot;:&quot;Li&quot;,&quot;given&quot;:&quot;Liren&quot;,&quot;parse-names&quot;:false,&quot;dropping-particle&quot;:&quot;&quot;,&quot;non-dropping-particle&quot;:&quot;&quot;},{&quot;family&quot;:&quot;Gu&quot;,&quot;given&quot;:&quot;Zhifeng&quot;,&quot;parse-names&quot;:false,&quot;dropping-particle&quot;:&quot;&quot;,&quot;non-dropping-particle&quot;:&quot;&quot;}],&quot;container-title&quot;:&quot;Cell and Tissue Research&quot;,&quot;container-title-short&quot;:&quot;Cell Tissue Res.&quot;,&quot;DOI&quot;:&quot;10.1007/s00441-014-1799-7&quot;,&quot;ISSN&quot;:&quot;14320878&quot;,&quot;PMID&quot;:&quot;24676500&quot;,&quot;issued&quot;:{&quot;date-parts&quot;:[[2014]]},&quot;page&quot;:&quot;369-380&quot;,&quot;abstract&quot;:&quot;Dental pulp stem cells (DPSCs) are a type of mesenchymal stem cell (MSC) characterized by multi-lineage differentiation making it an attractive choice for tissue regeneration. However, before DPSCs can be used for cell-based therapy, we have to understand their biological properties in response to intrinsic and extrinsic stimuli such as lipopolysaccharide (LPS). DPSCs were therefore stimulated with LPS and senescence was evaluated by senescence-associated β-galactosidase (SA-β-gal) staining, with cell number and cell-cycle arrest being examined by BrdU assay and flow cytometry, respectively. The morphology of DPSCs was characterized by their flat shape, increased size and increased SA-β-gal activity after repeated stimulation (3 or 6 times) with LPS. Reactive oxygen species (ROS) staining showed that the number of ROS-stained cells and the DCFH fluorescent level were higher in the LPS-treated DPSCs compared with those in the untreated DPSCs. Protein and mRNA expression levels of γ-H2A.X and p16INK4A were also increased in DPSCs with repeated LPS stimulation. We found that the LPS bound with Toll-like receptor 4 (TLR4) and that TLR4 signaling accounted for p16 INK4A expression. Further results indicated that the senescence of DPSCs stimulated repeatedly with LPS was reversed by p16INK4A short interfering RNA. The DNA damage response and p16INK4A pathways might be the main mediators of DPSC senescence induced by repeated LPS stimulation. Thus, DPSCs tend to undergo senescence after repeated activation, implying that DPSC senescence starts after many inflammatory challenges. Ultimately, these findings should lead to a better understanding of DPSC-based clinical therapy. © 2014 Springer-Verlag.&quot;,&quot;publisher&quot;:&quot;Springer Verlag&quot;,&quot;issue&quot;:&quot;2&quot;,&quot;volume&quot;:&quot;356&quot;},&quot;isTemporary&quot;:false}],&quot;citationTag&quot;:&quot;MENDELEY_CITATION_v3_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&quot;},{&quot;citationID&quot;:&quot;MENDELEY_CITATION_0c4f8a20-8aff-4c2e-b928-983b65e2b94a&quot;,&quot;properties&quot;:{&quot;noteIndex&quot;:0},&quot;isEdited&quot;:false,&quot;manualOverride&quot;:{&quot;isManuallyOverridden&quot;:true,&quot;citeprocText&quot;:&quot;(G. Feng et al., 2018a)&quot;,&quot;manualOverrideText&quot;:&quot;(Feng et al., 2018)c&quot;},&quot;citationItems&quot;:[{&quot;id&quot;:&quot;f38b1098-4d93-34fd-a0bf-cf0ed11c7126&quot;,&quot;itemData&quot;:{&quot;type&quot;:&quot;article-journal&quot;,&quot;id&quot;:&quot;f38b1098-4d93-34fd-a0bf-cf0ed11c7126&quot;,&quot;title&quot;:&quot;Repeated stimulation by LPS promotes the senescence of DPSCs via TLR4/MyD88-NF-κB-p53/p21 signaling&quot;,&quot;author&quot;:[{&quot;family&quot;:&quot;Feng&quot;,&quot;given&quot;:&quot;Guijuan&quot;,&quot;parse-names&quot;:false,&quot;dropping-particle&quot;:&quot;&quot;,&quot;non-dropping-particle&quot;:&quot;&quot;},{&quot;family&quot;:&quot;Zheng&quot;,&quot;given&quot;:&quot;Ke&quot;,&quot;parse-names&quot;:false,&quot;dropping-particle&quot;:&quot;&quot;,&quot;non-dropping-particle&quot;:&quot;&quot;},{&quot;family&quot;:&quot;Cao&quot;,&quot;given&quot;:&quot;Tong&quot;,&quot;parse-names&quot;:false,&quot;dropping-particle&quot;:&quot;&quot;,&quot;non-dropping-particle&quot;:&quot;&quot;},{&quot;family&quot;:&quot;Zhang&quot;,&quot;given&quot;:&quot;Jinlong&quot;,&quot;parse-names&quot;:false,&quot;dropping-particle&quot;:&quot;&quot;,&quot;non-dropping-particle&quot;:&quot;&quot;},{&quot;family&quot;:&quot;Lian&quot;,&quot;given&quot;:&quot;Min&quot;,&quot;parse-names&quot;:false,&quot;dropping-particle&quot;:&quot;&quot;,&quot;non-dropping-particle&quot;:&quot;&quot;},{&quot;family&quot;:&quot;Huang&quot;,&quot;given&quot;:&quot;Dan&quot;,&quot;parse-names&quot;:false,&quot;dropping-particle&quot;:&quot;&quot;,&quot;non-dropping-particle&quot;:&quot;&quot;},{&quot;family&quot;:&quot;Wei&quot;,&quot;given&quot;:&quot;Changbo&quot;,&quot;parse-names&quot;:false,&quot;dropping-particle&quot;:&quot;&quot;,&quot;non-dropping-particle&quot;:&quot;&quot;},{&quot;family&quot;:&quot;Gu&quot;,&quot;given&quot;:&quot;Zhifeng&quot;,&quot;parse-names&quot;:false,&quot;dropping-particle&quot;:&quot;&quot;,&quot;non-dropping-particle&quot;:&quot;&quot;},{&quot;family&quot;:&quot;Feng&quot;,&quot;given&quot;:&quot;Xingmei&quot;,&quot;parse-names&quot;:false,&quot;dropping-particle&quot;:&quot;&quot;,&quot;non-dropping-particle&quot;:&quot;&quot;}],&quot;container-title&quot;:&quot;Cytotechnology&quot;,&quot;container-title-short&quot;:&quot;Cytotechnology&quot;,&quot;DOI&quot;:&quot;10.1007/s10616-017-0180-6&quot;,&quot;ISSN&quot;:&quot;15730778&quot;,&quot;issued&quot;:{&quot;date-parts&quot;:[[2018,6,1]]},&quot;page&quot;:&quot;1023-1035&quot;,&quot;abstract&quot;:&quot;Dental pulp stem cells (DPSCs), one type of mesenchymal stem cells, are considered to be a type of tool cells for regenerative medicine and tissue engineering. Our previous studies found that the stimulation with lipopolysaccharide (LPS) might introduce senescence of DPSCs, and this senescence would have a positive correlation with the concentration of LPS. The β-galactosidase (SA-β-gal) staining was used to evaluate the senescence of DPSCs and immunofluorescence to show the morphology of DPSCs. Our findings suggested that the activity of SA-β-gal has increased after repeated stimulation with LPS and the morphology of DPSCs has changed with the stimulation with LPS. We also found that LPS bound to the Toll-like receptor 4 (TLR4)/myeloid differentiation factor (MyD) 88 signaling pathway. Protein and mRNA expression of TLR4, MyD88 were enhanced in DPSCs with LPS stimulation, resulting in the activation of nuclear factor-κB (NF-κB) signaling, which exhibited the expression of p65 improved in the nucleus while the decreasing of IκB-α. Simultaneously, the expression of p53 and p21, the downstream proteins of the NF-κB signaling, has increased. In summary, DPSCs tend to undergo senescence after repeated stimulation in an inflammatory microenvironment. Ultimately, these findings may lead to a new direction for cell-based therapy in oral diseases and other regenerative medicines.&quot;,&quot;publisher&quot;:&quot;Springer Netherlands&quot;,&quot;issue&quot;:&quot;3&quot;,&quot;volume&quot;:&quot;70&quot;},&quot;isTemporary&quot;:false}],&quot;citationTag&quot;:&quot;MENDELEY_CITATION_v3_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&quot;},{&quot;citationID&quot;:&quot;MENDELEY_CITATION_f17ccfb2-296c-4fe9-a176-3ab2274998cd&quot;,&quot;properties&quot;:{&quot;noteIndex&quot;:0},&quot;isEdited&quot;:false,&quot;manualOverride&quot;:{&quot;isManuallyOverridden&quot;:true,&quot;citeprocText&quot;:&quot;(X. Feng, Feng, et al., 2014)&quot;,&quot;manualOverrideText&quot;:&quot;(Feng et al., 2014)a&quot;},&quot;citationItems&quot;:[{&quot;id&quot;:&quot;86702ace-2373-3876-95b1-a651d5a54abc&quot;,&quot;itemData&quot;:{&quot;type&quot;:&quot;article-journal&quot;,&quot;id&quot;:&quot;86702ace-2373-3876-95b1-a651d5a54abc&quot;,&quot;title&quot;:&quot;Repeated lipopolysaccharide stimulation promotes cellular senescence in human dental pulp stem cells (DPSCs)&quot;,&quot;author&quot;:[{&quot;family&quot;:&quot;Feng&quot;,&quot;given&quot;:&quot;Xingmei&quot;,&quot;parse-names&quot;:false,&quot;dropping-particle&quot;:&quot;&quot;,&quot;non-dropping-particle&quot;:&quot;&quot;},{&quot;family&quot;:&quot;Feng&quot;,&quot;given&quot;:&quot;Guijuan&quot;,&quot;parse-names&quot;:false,&quot;dropping-particle&quot;:&quot;&quot;,&quot;non-dropping-particle&quot;:&quot;&quot;},{&quot;family&quot;:&quot;Xing&quot;,&quot;given&quot;:&quot;Jing&quot;,&quot;parse-names&quot;:false,&quot;dropping-particle&quot;:&quot;&quot;,&quot;non-dropping-particle&quot;:&quot;&quot;},{&quot;family&quot;:&quot;Shen&quot;,&quot;given&quot;:&quot;Biyu&quot;,&quot;parse-names&quot;:false,&quot;dropping-particle&quot;:&quot;&quot;,&quot;non-dropping-particle&quot;:&quot;&quot;},{&quot;family&quot;:&quot;Tan&quot;,&quot;given&quot;:&quot;Wei&quot;,&quot;parse-names&quot;:false,&quot;dropping-particle&quot;:&quot;&quot;,&quot;non-dropping-particle&quot;:&quot;&quot;},{&quot;family&quot;:&quot;Huang&quot;,&quot;given&quot;:&quot;Dan&quot;,&quot;parse-names&quot;:false,&quot;dropping-particle&quot;:&quot;&quot;,&quot;non-dropping-particle&quot;:&quot;&quot;},{&quot;family&quot;:&quot;Lu&quot;,&quot;given&quot;:&quot;Xiaohui&quot;,&quot;parse-names&quot;:false,&quot;dropping-particle&quot;:&quot;&quot;,&quot;non-dropping-particle&quot;:&quot;&quot;},{&quot;family&quot;:&quot;Tao&quot;,&quot;given&quot;:&quot;Tao&quot;,&quot;parse-names&quot;:false,&quot;dropping-particle&quot;:&quot;&quot;,&quot;non-dropping-particle&quot;:&quot;&quot;},{&quot;family&quot;:&quot;Zhang&quot;,&quot;given&quot;:&quot;Jinlong&quot;,&quot;parse-names&quot;:false,&quot;dropping-particle&quot;:&quot;&quot;,&quot;non-dropping-particle&quot;:&quot;&quot;},{&quot;family&quot;:&quot;Li&quot;,&quot;given&quot;:&quot;Liren&quot;,&quot;parse-names&quot;:false,&quot;dropping-particle&quot;:&quot;&quot;,&quot;non-dropping-particle&quot;:&quot;&quot;},{&quot;family&quot;:&quot;Gu&quot;,&quot;given&quot;:&quot;Zhifeng&quot;,&quot;parse-names&quot;:false,&quot;dropping-particle&quot;:&quot;&quot;,&quot;non-dropping-particle&quot;:&quot;&quot;}],&quot;container-title&quot;:&quot;Cell and Tissue Research&quot;,&quot;container-title-short&quot;:&quot;Cell Tissue Res.&quot;,&quot;DOI&quot;:&quot;10.1007/s00441-014-1799-7&quot;,&quot;ISSN&quot;:&quot;14320878&quot;,&quot;PMID&quot;:&quot;24676500&quot;,&quot;issued&quot;:{&quot;date-parts&quot;:[[2014]]},&quot;page&quot;:&quot;369-380&quot;,&quot;abstract&quot;:&quot;Dental pulp stem cells (DPSCs) are a type of mesenchymal stem cell (MSC) characterized by multi-lineage differentiation making it an attractive choice for tissue regeneration. However, before DPSCs can be used for cell-based therapy, we have to understand their biological properties in response to intrinsic and extrinsic stimuli such as lipopolysaccharide (LPS). DPSCs were therefore stimulated with LPS and senescence was evaluated by senescence-associated β-galactosidase (SA-β-gal) staining, with cell number and cell-cycle arrest being examined by BrdU assay and flow cytometry, respectively. The morphology of DPSCs was characterized by their flat shape, increased size and increased SA-β-gal activity after repeated stimulation (3 or 6 times) with LPS. Reactive oxygen species (ROS) staining showed that the number of ROS-stained cells and the DCFH fluorescent level were higher in the LPS-treated DPSCs compared with those in the untreated DPSCs. Protein and mRNA expression levels of γ-H2A.X and p16INK4A were also increased in DPSCs with repeated LPS stimulation. We found that the LPS bound with Toll-like receptor 4 (TLR4) and that TLR4 signaling accounted for p16 INK4A expression. Further results indicated that the senescence of DPSCs stimulated repeatedly with LPS was reversed by p16INK4A short interfering RNA. The DNA damage response and p16INK4A pathways might be the main mediators of DPSC senescence induced by repeated LPS stimulation. Thus, DPSCs tend to undergo senescence after repeated activation, implying that DPSC senescence starts after many inflammatory challenges. Ultimately, these findings should lead to a better understanding of DPSC-based clinical therapy. © 2014 Springer-Verlag.&quot;,&quot;publisher&quot;:&quot;Springer Verlag&quot;,&quot;issue&quot;:&quot;2&quot;,&quot;volume&quot;:&quot;356&quot;},&quot;isTemporary&quot;:false}],&quot;citationTag&quot;:&quot;MENDELEY_CITATION_v3_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&quot;},{&quot;citationID&quot;:&quot;MENDELEY_CITATION_81da2f2b-6e2a-410a-ae12-83a9c58b6b7e&quot;,&quot;properties&quot;:{&quot;noteIndex&quot;:0},&quot;isEdited&quot;:false,&quot;manualOverride&quot;:{&quot;isManuallyOverridden&quot;:false,&quot;citeprocText&quot;:&quot;(Alt et al., 2012)&quot;,&quot;manualOverrideText&quot;:&quot;&quot;},&quot;citationItems&quot;:[{&quot;id&quot;:&quot;12b9e8cf-4df1-369a-8388-0dcda1309a4c&quot;,&quot;itemData&quot;:{&quot;type&quot;:&quot;article-journal&quot;,&quot;id&quot;:&quot;12b9e8cf-4df1-369a-8388-0dcda1309a4c&quot;,&quot;title&quot;:&quot;Aging alters tissue resident mesenchymal stem cell properties&quot;,&quot;author&quot;:[{&quot;family&quot;:&quot;Alt&quot;,&quot;given&quot;:&quot;Eckhard U.&quot;,&quot;parse-names&quot;:false,&quot;dropping-particle&quot;:&quot;&quot;,&quot;non-dropping-particle&quot;:&quot;&quot;},{&quot;family&quot;:&quot;Senst&quot;,&quot;given&quot;:&quot;Christiane&quot;,&quot;parse-names&quot;:false,&quot;dropping-particle&quot;:&quot;&quot;,&quot;non-dropping-particle&quot;:&quot;&quot;},{&quot;family&quot;:&quot;Murthy&quot;,&quot;given&quot;:&quot;Subramanyam N.&quot;,&quot;parse-names&quot;:false,&quot;dropping-particle&quot;:&quot;&quot;,&quot;non-dropping-particle&quot;:&quot;&quot;},{&quot;family&quot;:&quot;Slakey&quot;,&quot;given&quot;:&quot;Douglas P.&quot;,&quot;parse-names&quot;:false,&quot;dropping-particle&quot;:&quot;&quot;,&quot;non-dropping-particle&quot;:&quot;&quot;},{&quot;family&quot;:&quot;Dupin&quot;,&quot;given&quot;:&quot;Charles L.&quot;,&quot;parse-names&quot;:false,&quot;dropping-particle&quot;:&quot;&quot;,&quot;non-dropping-particle&quot;:&quot;&quot;},{&quot;family&quot;:&quot;Chaffin&quot;,&quot;given&quot;:&quot;Abigail E.&quot;,&quot;parse-names&quot;:false,&quot;dropping-particle&quot;:&quot;&quot;,&quot;non-dropping-particle&quot;:&quot;&quot;},{&quot;family&quot;:&quot;Kadowitz&quot;,&quot;given&quot;:&quot;Philip J.&quot;,&quot;parse-names&quot;:false,&quot;dropping-particle&quot;:&quot;&quot;,&quot;non-dropping-particle&quot;:&quot;&quot;},{&quot;family&quot;:&quot;Izadpanah&quot;,&quot;given&quot;:&quot;Reza&quot;,&quot;parse-names&quot;:false,&quot;dropping-particle&quot;:&quot;&quot;,&quot;non-dropping-particle&quot;:&quot;&quot;}],&quot;container-title&quot;:&quot;Stem Cell Research&quot;,&quot;container-title-short&quot;:&quot;Stem Cell Res.&quot;,&quot;DOI&quot;:&quot;10.1016/j.scr.2011.11.002&quot;,&quot;ISSN&quot;:&quot;18735061&quot;,&quot;PMID&quot;:&quot;22265741&quot;,&quot;issued&quot;:{&quot;date-parts&quot;:[[2012,3]]},&quot;page&quot;:&quot;215-225&quot;,&quot;abstract&quot;:&quot;Tissue resident mesenchymal stem cells (MSCs) are known to participate in tissue regeneration that follows cell turnover, apoptosis, or necrosis. It has been long known that aging impedes an organism's repair/regeneration capabilities. In order to study the age associated changes, the molecular characteristics of adipose tissue derived MSCs (ASCs) from three age groups of healthy volunteers i.e., young, middle aged, and aged were investigated. The number and multilineage differentiation potential of ASCs declined with age. Aging reduces the proliferative capacity along with increases in cellular senescence. A significant increase in quiescence of G2 and S phase was observed in ASCs from aged donors. The expression of genes related to senescence such as CHEK1 and cyclin-dependent kinase inhibitor p16 ink4a was increased with age, however genes of apoptosis were downregulated. Further, an age-dependent abnormality in the expression of DNA break repair genes was observed. Global microRNA analysis revealed an abnormal expression of mir-27b, mir-106a, mir-199a, and let-7. In ubiquitously distributed adipose tissue (and ASCs), aging brings about important alterations, which might be critical for tissue regeneration and homeostasis. Our findings therefore provide a better understanding of the mechanism(s) involved in stem cell aging and regenerative potential, and this in turn may affect tissue repair that declines with aging. © 2011 Elsevier B.V.&quot;,&quot;issue&quot;:&quot;2&quot;,&quot;volume&quot;:&quot;8&quot;},&quot;isTemporary&quot;:false}],&quot;citationTag&quot;:&quot;MENDELEY_CITATION_v3_eyJjaXRhdGlvbklEIjoiTUVOREVMRVlfQ0lUQVRJT05fODFkYTJmMmItNmUyYS00MTBhLWFlMTItODNhOWM1OGI2Yjdl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quot;},{&quot;citationID&quot;:&quot;MENDELEY_CITATION_0335afc1-71c3-4bff-9155-6926b22b57e4&quot;,&quot;properties&quot;:{&quot;noteIndex&quot;:0},&quot;isEdited&quot;:false,&quot;manualOverride&quot;:{&quot;isManuallyOverridden&quot;:false,&quot;citeprocText&quot;:&quot;(Choudhery et al., 2014)&quot;,&quot;manualOverrideText&quot;:&quot;&quot;},&quot;citationItems&quot;:[{&quot;id&quot;:&quot;d9f4042b-7b3c-3aab-abaf-7834f353e4e8&quot;,&quot;itemData&quot;:{&quot;type&quot;:&quot;report&quot;,&quot;id&quot;:&quot;d9f4042b-7b3c-3aab-abaf-7834f353e4e8&quot;,&quot;title&quot;:&quot;Donor age negatively impacts adipose tissue-derived mesenchymal stem cell expansion and differentiation&quot;,&quot;author&quot;:[{&quot;family&quot;:&quot;Choudhery&quot;,&quot;given&quot;:&quot;Mahmood S&quot;,&quot;parse-names&quot;:false,&quot;dropping-particle&quot;:&quot;&quot;,&quot;non-dropping-particle&quot;:&quot;&quot;},{&quot;family&quot;:&quot;Badowski&quot;,&quot;given&quot;:&quot;Michael&quot;,&quot;parse-names&quot;:false,&quot;dropping-particle&quot;:&quot;&quot;,&quot;non-dropping-particle&quot;:&quot;&quot;},{&quot;family&quot;:&quot;Muise&quot;,&quot;given&quot;:&quot;Angela&quot;,&quot;parse-names&quot;:false,&quot;dropping-particle&quot;:&quot;&quot;,&quot;non-dropping-particle&quot;:&quot;&quot;},{&quot;family&quot;:&quot;Pierce&quot;,&quot;given&quot;:&quot;John&quot;,&quot;parse-names&quot;:false,&quot;dropping-particle&quot;:&quot;&quot;,&quot;non-dropping-particle&quot;:&quot;&quot;},{&quot;family&quot;:&quot;Harris&quot;,&quot;given&quot;:&quot;David T&quot;,&quot;parse-names&quot;:false,&quot;dropping-particle&quot;:&quot;&quot;,&quot;non-dropping-particle&quot;:&quot;&quot;}],&quot;URL&quot;:&quot;http://www.translational-medicine.com/content/12/1/8&quot;,&quot;issued&quot;:{&quot;date-parts&quot;:[[2014]]},&quot;abstract&quot;:&quot;Background: Human adipose tissue is an ideal autologous source of mesenchymal stem cells (MSCs) for various regenerative medicine and tissue engineering strategies. Aged patients are one of the primary target populations for many promising applications. It has long been known that advanced age is negatively correlated with an organism's reparative and regenerative potential, but little and conflicting information is available about the effects of age on the quality of human adipose tissue derived MSCs (hAT-MSCs). Methods: To study the influence of age, the expansion and in vitro differentiation potential of hAT-MSCs from young (&lt;30 years), adult (35-50 years) and aged (&gt;60 years) individuals were investigated. MSCs were characterized for expression of the genes p16 INK4a and p21 along with measurements of population doublings (PD), superoxide dismutase (SOD) activity, cellular senescence and differentiation potential.&quot;,&quot;container-title-short&quot;:&quot;&quot;},&quot;isTemporary&quot;:false}],&quot;citationTag&quot;:&quot;MENDELEY_CITATION_v3_eyJjaXRhdGlvbklEIjoiTUVOREVMRVlfQ0lUQVRJT05fMDMzNWFmYzEtNzFjMy00YmZmLTkxNTUtNjkyNmIyMmI1N2U0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quot;},{&quot;citationID&quot;:&quot;MENDELEY_CITATION_3139bf95-f27e-4fb8-8b9c-b8912714a9b1&quot;,&quot;properties&quot;:{&quot;noteIndex&quot;:0},&quot;isEdited&quot;:false,&quot;manualOverride&quot;:{&quot;isManuallyOverridden&quot;:false,&quot;citeprocText&quot;:&quot;(Gruber et al., 2012)&quot;,&quot;manualOverrideText&quot;:&quot;&quot;},&quot;citationItems&quot;:[{&quot;id&quot;:&quot;89582859-732f-3a2d-afe9-82a9b7088838&quot;,&quot;itemData&quot;:{&quot;type&quot;:&quot;article-journal&quot;,&quot;id&quot;:&quot;89582859-732f-3a2d-afe9-82a9b7088838&quot;,&quot;title&quot;:&quot;Human adipose-derived mesenchymal stem cells: Serial passaging, doubling time and cell senescence&quot;,&quot;author&quot;:[{&quot;family&quot;:&quot;Gruber&quot;,&quot;given&quot;:&quot;H. E.&quot;,&quot;parse-names&quot;:false,&quot;dropping-particle&quot;:&quot;&quot;,&quot;non-dropping-particle&quot;:&quot;&quot;},{&quot;family&quot;:&quot;Somayaji&quot;,&quot;given&quot;:&quot;S.&quot;,&quot;parse-names&quot;:false,&quot;dropping-particle&quot;:&quot;&quot;,&quot;non-dropping-particle&quot;:&quot;&quot;},{&quot;family&quot;:&quot;Riley&quot;,&quot;given&quot;:&quot;F.&quot;,&quot;parse-names&quot;:false,&quot;dropping-particle&quot;:&quot;&quot;,&quot;non-dropping-particle&quot;:&quot;&quot;},{&quot;family&quot;:&quot;Hoelscher&quot;,&quot;given&quot;:&quot;G. L.&quot;,&quot;parse-names&quot;:false,&quot;dropping-particle&quot;:&quot;&quot;,&quot;non-dropping-particle&quot;:&quot;&quot;},{&quot;family&quot;:&quot;Norton&quot;,&quot;given&quot;:&quot;H. J.&quot;,&quot;parse-names&quot;:false,&quot;dropping-particle&quot;:&quot;&quot;,&quot;non-dropping-particle&quot;:&quot;&quot;},{&quot;family&quot;:&quot;Ingram&quot;,&quot;given&quot;:&quot;J.&quot;,&quot;parse-names&quot;:false,&quot;dropping-particle&quot;:&quot;&quot;,&quot;non-dropping-particle&quot;:&quot;&quot;},{&quot;family&quot;:&quot;Hanley&quot;,&quot;given&quot;:&quot;E. N.&quot;,&quot;parse-names&quot;:false,&quot;dropping-particle&quot;:&quot;&quot;,&quot;non-dropping-particle&quot;:&quot;&quot;}],&quot;container-title&quot;:&quot;Biotechnic and Histochemistry&quot;,&quot;DOI&quot;:&quot;10.3109/10520295.2011.649785&quot;,&quot;ISSN&quot;:&quot;14737760&quot;,&quot;issued&quot;:{&quot;date-parts&quot;:[[2012]]},&quot;page&quot;:&quot;303-311&quot;,&quot;abstract&quot;:&quot;Adult adipose-derived mesenchymal stem cells (AD-MSC) are very interesting to our research group because they are easy to harvest, they are abundant in humans, and they have potential clinical applications in autologous cell therapy for disc degeneration. We examined these cells through sequential serial passages to assess osteogenic and chondrogenic capabilities, mean doubling time and cell senescence. Osteogenic and chondrogenic potencies were maintained through 13 passages. Mean passage doubling time increased significantly with increasing passage number. When donor age was evaluated, passages 1-4 from older donors had significantly longer doubling times compared to cells from younger donors. Passages 5-11 showed similar findings when analyzed by donor age. The mean percent senescence increased significantly with cell passaging, rising from 0% at passage 1 to 3.4% at passage 13. These novel data suggest that caution should be exercised when using AD-MSC with long passage times. © 2012 The Biological Stain Commission.&quot;,&quot;publisher&quot;:&quot;Informa Healthcare&quot;,&quot;issue&quot;:&quot;4&quot;,&quot;volume&quot;:&quot;87&quot;,&quot;container-title-short&quot;:&quot;&quot;},&quot;isTemporary&quot;:false}],&quot;citationTag&quot;:&quot;MENDELEY_CITATION_v3_eyJjaXRhdGlvbklEIjoiTUVOREVMRVlfQ0lUQVRJT05fMzEzOWJmOTUtZjI3ZS00ZmI4LThiOWMtYjg5MTI3MTRhOWIx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quot;},{&quot;citationID&quot;:&quot;MENDELEY_CITATION_b13f8fbe-3565-4405-8b43-2dbdab2ddcb3&quot;,&quot;properties&quot;:{&quot;noteIndex&quot;:0},&quot;isEdited&quot;:false,&quot;manualOverride&quot;:{&quot;isManuallyOverridden&quot;:false,&quot;citeprocText&quot;:&quot;(Kornicka et al., 2015)&quot;,&quot;manualOverrideText&quot;:&quot;&quot;},&quot;citationItems&quot;:[{&quot;id&quot;:&quot;7897c646-2ad8-39c6-a85e-49778acdb199&quot;,&quot;itemData&quot;:{&quot;type&quot;:&quot;article-journal&quot;,&quot;id&quot;:&quot;7897c646-2ad8-39c6-a85e-49778acdb199&quot;,&quot;title&quot;:&quot;The Effect of Age on Osteogenic and Adipogenic Differentiation Potential of Human Adipose Derived Stromal Stem Cells (hASCs) and the Impact of Stress Factors in the Course of the Differentiation Process&quot;,&quot;author&quot;:[{&quot;family&quot;:&quot;Kornicka&quot;,&quot;given&quot;:&quot;Katarzyna&quot;,&quot;parse-names&quot;:false,&quot;dropping-particle&quot;:&quot;&quot;,&quot;non-dropping-particle&quot;:&quot;&quot;},{&quot;family&quot;:&quot;Marycz&quot;,&quot;given&quot;:&quot;Krzysztof&quot;,&quot;parse-names&quot;:false,&quot;dropping-particle&quot;:&quot;&quot;,&quot;non-dropping-particle&quot;:&quot;&quot;},{&quot;family&quot;:&quot;Tomaszewski&quot;,&quot;given&quot;:&quot;Krzysztof Andrzej&quot;,&quot;parse-names&quot;:false,&quot;dropping-particle&quot;:&quot;&quot;,&quot;non-dropping-particle&quot;:&quot;&quot;},{&quot;family&quot;:&quot;Marędziak&quot;,&quot;given&quot;:&quot;Monika&quot;,&quot;parse-names&quot;:false,&quot;dropping-particle&quot;:&quot;&quot;,&quot;non-dropping-particle&quot;:&quot;&quot;},{&quot;family&quot;:&quot;Smieszek&quot;,&quot;given&quot;:&quot;Agnieszka&quot;,&quot;parse-names&quot;:false,&quot;dropping-particle&quot;:&quot;&quot;,&quot;non-dropping-particle&quot;:&quot;&quot;}],&quot;container-title&quot;:&quot;Oxidative Medicine and Cellular Longevity&quot;,&quot;container-title-short&quot;:&quot;Oxid. Med. Cell. Longev.&quot;,&quot;DOI&quot;:&quot;10.1155/2015/309169&quot;,&quot;ISSN&quot;:&quot;19420994&quot;,&quot;PMID&quot;:&quot;26246868&quot;,&quot;issued&quot;:{&quot;date-parts&quot;:[[2015]]},&quot;abstract&quot;:&quot;Human adipose tissue is a great source of autologous mesenchymal stem cells (hASCs), which are recognized for their vast therapeutic applications. Their ability to self-renew and differentiate into several lineages makes them a promising tool for cell-based therapies in different types of degenerative diseases. Thus it is crucial to evaluate age-related changes in hASCs, as the elderly are a group that will benefit most from their considerable potential. In this study we investigated the effect of donor age on growth kinetics, cellular senescence marker levels, and osteogenic and adipogenic potential of hASCs. It also has been known that, during life, organisms accumulate oxidative damage that negatively affects cell metabolism. Taking this into consideration, we evaluated the levels of nitric oxide, reactive oxygen species, and superoxide dismutase activity. We observed that ROS and NO increase with aging, while SOD activity is significantly reduced. Moreover cells obtained from older patients displayed senescence associated features, for example, β-galactosidase activity, enlarged morphology, and p53 protein upregulation. All of those characteristics seem to contribute to decreased proliferation potential of those cells. Our results suggest that due to aging some cellular modification may be required before applying aged cells efficiently in therapies such as tissue engineering and regenerative medicine.&quot;,&quot;publisher&quot;:&quot;Hindawi Publishing Corporation&quot;,&quot;volume&quot;:&quot;2015&quot;},&quot;isTemporary&quot;:false,&quot;suppress-author&quot;:false,&quot;composite&quot;:false,&quot;author-only&quot;:false}],&quot;citationTag&quot;:&quot;MENDELEY_CITATION_v3_eyJjaXRhdGlvbklEIjoiTUVOREVMRVlfQ0lUQVRJT05fYjEzZjhmYmUtMzU2NS00NDA1LThiNDMtMmRiZGFiMmRkY2Iz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quot;},{&quot;citationID&quot;:&quot;MENDELEY_CITATION_dc034a29-4a9d-469b-82ff-4215333a0fc5&quot;,&quot;properties&quot;:{&quot;noteIndex&quot;:0},&quot;isEdited&quot;:false,&quot;manualOverride&quot;:{&quot;isManuallyOverridden&quot;:false,&quot;citeprocText&quot;:&quot;(Legzdina et al., 2016b)&quot;,&quot;manualOverrideText&quot;:&quot;&quot;},&quot;citationItems&quot;:[{&quot;id&quot;:&quot;f589550e-7e25-33a3-8322-1a4019d37dd7&quot;,&quot;itemData&quot;:{&quot;type&quot;:&quot;article-journal&quot;,&quot;id&quot;:&quot;f589550e-7e25-33a3-8322-1a4019d37dd7&quot;,&quot;title&quot;:&quot;Characterization of senescence of culture-expanded human adipose-derived mesenchymal stem cells&quot;,&quot;author&quot;:[{&quot;family&quot;:&quot;Legzdina&quot;,&quot;given&quot;:&quot;Diana&quot;,&quot;parse-names&quot;:false,&quot;dropping-particle&quot;:&quot;&quot;,&quot;non-dropping-particle&quot;:&quot;&quot;},{&quot;family&quot;:&quot;Romanauska&quot;,&quot;given&quot;:&quot;Anete&quot;,&quot;parse-names&quot;:false,&quot;dropping-particle&quot;:&quot;&quot;,&quot;non-dropping-particle&quot;:&quot;&quot;},{&quot;family&quot;:&quot;Nikulshin&quot;,&quot;given&quot;:&quot;Sergey&quot;,&quot;parse-names&quot;:false,&quot;dropping-particle&quot;:&quot;&quot;,&quot;non-dropping-particle&quot;:&quot;&quot;},{&quot;family&quot;:&quot;Kozlovska&quot;,&quot;given&quot;:&quot;Tatjana&quot;,&quot;parse-names&quot;:false,&quot;dropping-particle&quot;:&quot;&quot;,&quot;non-dropping-particle&quot;:&quot;&quot;},{&quot;family&quot;:&quot;Berzins&quot;,&quot;given&quot;:&quot;Uldis&quot;,&quot;parse-names&quot;:false,&quot;dropping-particle&quot;:&quot;&quot;,&quot;non-dropping-particle&quot;:&quot;&quot;}],&quot;container-title&quot;:&quot;International Journal of Stem Cells&quot;,&quot;container-title-short&quot;:&quot;Int. J. Stem Cells&quot;,&quot;DOI&quot;:&quot;10.15283/ijsc.2016.9.1.124&quot;,&quot;ISSN&quot;:&quot;20055447&quot;,&quot;issued&quot;:{&quot;date-parts&quot;:[[2016]]},&quot;page&quot;:&quot;124-136&quot;,&quot;abstract&quot;:&quot;Background and Objectives: Adipose-derived mesenchymal stem cells (ADSCs) are promising candidates in regenerative medicine. The need for in vitro propagation to obtain therapeutic quantities of the cells imposes a risk of impaired functionality due to cellular senescence. The aim of the study was to analyze in vitro senescence of previously cryopreserved human ADSCs subjected to serial passages in cell culture. Methods and Results: ADSC cultures from 8 donors were cultivated until proliferation arrest was reached. A gradual decline of ADSC fitness was observed by altered cell morphology, loss of proliferative, clonogenic and differentiation abilities and increased β-galactosidase expression all of which occurred in a donor-specific manner. Relative telomere length (RTL) analysis revealed that only three tested cultures encountered replicative senescence. The presence of two ADSC subsets with significantly different RTL and cell size was discovered. The heterogeneity of ADSC cultures was supported by the intermittent nature of aging seen in tested samples. Conclusions: We conclude that the onset of in vitro senescence of ADSCs is a strongly donor-specific process which is complicated by the intricate dynamics of cell subsets present in ADSC population. This complexity needs to be carefully considered when elaborating protocols for personalized cellular therapy.&quot;,&quot;publisher&quot;:&quot;Sungkyunkwan University&quot;,&quot;issue&quot;:&quot;1&quot;,&quot;volume&quot;:&quot;9&quot;},&quot;isTemporary&quot;:false,&quot;suppress-author&quot;:false,&quot;composite&quot;:false,&quot;author-only&quot;:false}],&quot;citationTag&quot;:&quot;MENDELEY_CITATION_v3_eyJjaXRhdGlvbklEIjoiTUVOREVMRVlfQ0lUQVRJT05fZGMwMzRhMjktNGE5ZC00NjliLTgyZmYtNDIxNTMzM2EwZmM1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quot;},{&quot;citationID&quot;:&quot;MENDELEY_CITATION_df35082d-de4c-4148-9067-449af294be44&quot;,&quot;properties&quot;:{&quot;noteIndex&quot;:0},&quot;isEdited&quot;:false,&quot;manualOverride&quot;:{&quot;isManuallyOverridden&quot;:false,&quot;citeprocText&quot;:&quot;(S. H. Wu et al., 2022)&quot;,&quot;manualOverrideText&quot;:&quot;&quot;},&quot;citationItems&quot;:[{&quot;id&quot;:&quot;c60704f4-e1cb-3c46-b13d-716d8dfb42e4&quot;,&quot;itemData&quot;:{&quot;type&quot;:&quot;article-journal&quot;,&quot;id&quot;:&quot;c60704f4-e1cb-3c46-b13d-716d8dfb42e4&quot;,&quot;title&quot;:&quot;Comparison of the Infant and Adult Adipose-Derived Mesenchymal Stem Cells in Proliferation, Senescence, Anti-oxidative Ability and Differentiation Potential&quot;,&quot;author&quot;:[{&quot;family&quot;:&quot;Wu&quot;,&quot;given&quot;:&quot;Szu Hsien&quot;,&quot;parse-names&quot;:false,&quot;dropping-particle&quot;:&quot;&quot;,&quot;non-dropping-particle&quot;:&quot;&quot;},{&quot;family&quot;:&quot;Yu&quot;,&quot;given&quot;:&quot;Jin Huei&quot;,&quot;parse-names&quot;:false,&quot;dropping-particle&quot;:&quot;&quot;,&quot;non-dropping-particle&quot;:&quot;&quot;},{&quot;family&quot;:&quot;Liao&quot;,&quot;given&quot;:&quot;Yu Ting&quot;,&quot;parse-names&quot;:false,&quot;dropping-particle&quot;:&quot;&quot;,&quot;non-dropping-particle&quot;:&quot;&quot;},{&quot;family&quot;:&quot;Liu&quot;,&quot;given&quot;:&quot;Kuo Hao&quot;,&quot;parse-names&quot;:false,&quot;dropping-particle&quot;:&quot;&quot;,&quot;non-dropping-particle&quot;:&quot;&quot;},{&quot;family&quot;:&quot;Chiang&quot;,&quot;given&quot;:&quot;En Rung&quot;,&quot;parse-names&quot;:false,&quot;dropping-particle&quot;:&quot;&quot;,&quot;non-dropping-particle&quot;:&quot;&quot;},{&quot;family&quot;:&quot;Chang&quot;,&quot;given&quot;:&quot;Ming Chau&quot;,&quot;parse-names&quot;:false,&quot;dropping-particle&quot;:&quot;&quot;,&quot;non-dropping-particle&quot;:&quot;&quot;},{&quot;family&quot;:&quot;Wang&quot;,&quot;given&quot;:&quot;Jung pan&quot;,&quot;parse-names&quot;:false,&quot;dropping-particle&quot;:&quot;&quot;,&quot;non-dropping-particle&quot;:&quot;&quot;}],&quot;container-title&quot;:&quot;Tissue Engineering and Regenerative Medicine&quot;,&quot;container-title-short&quot;:&quot;Tissue Eng. Regen. Med.&quot;,&quot;DOI&quot;:&quot;10.1007/s13770-022-00431-x&quot;,&quot;ISSN&quot;:&quot;22125469&quot;,&quot;PMID&quot;:&quot;35247199&quot;,&quot;issued&quot;:{&quot;date-parts&quot;:[[2022,6,1]]},&quot;page&quot;:&quot;589-601&quot;,&quot;abstract&quot;:&quot;Background:: Infant adipose-derived mesenchymal stem cells (ADSCs) collected from excised polydactyly fat tissue, which was surgical waste, could be cultured and expanded in vitro in this study. In addition, the collecting process would not cause pain in the host. In this study, the proliferation, reduction of senescence, anti-oxidative ability, and differentiation potential in the infant ADSCs were compared with those in the adult ADSCs harvested from thigh liposuction to determine the availability of infant ADSCs. Methods:: Proliferation was determined by detecting the fold changes in cell numbers and doubling time periods. Senescence was analyzed by investigating the age-related gene expression levels and the replicative stress. The superoxide dismutase (SOD) gene expression, adipogenic, neurogenic, osteogenic, and tenogenic differentiation were compared by RT-qPCR. The chondrogenic differentiation efficiency was also determined using RT-qPCR and immunohistochemical staining. Results:: The proliferation, SOD (SOD1, SOD2 and SOD3) gene expression, the stemness-related gene (c-MYC) and telomerase reverse transcriptase of the infant ADSCs at early passages were enhanced compared with those of the adults'. Cellular senescence related genes, including p16, p21 and p53, and replicative stress were reduced in the infant ADSCs. The adipogenic genes (PPARγ and LPL) and neurogenic genes (MAP2 and NEFH) of the infant ADSC differentiated cells were significantly higher than those of the adults’ while the expression of the osteogenic genes (OCN and RUNX) and tenogenic genes (TNC and COL3A1) of both demonstrated opposite results. The chondrogenic markers (SOX9, COL2 and COL10) were enhanced in the infant ADSC differentiated chondrogenic pellets, and the expression levels of SODs were decreased during the differentiation process. Conclusion:: Cultured infant ADSCs demonstrate less cellular senescence and replicative stress, higher proliferation rates, better antioxidant defense activity, and higher potential of chondrogenic, adipogenic and neurogenic differentiation.&quot;,&quot;publisher&quot;:&quot;Korean Tissue Engineering and Regenerative Medicine Society&quot;,&quot;issue&quot;:&quot;3&quot;,&quot;volume&quot;:&quot;19&quot;},&quot;isTemporary&quot;:false,&quot;suppress-author&quot;:false,&quot;composite&quot;:false,&quot;author-only&quot;:false}],&quot;citationTag&quot;:&quot;MENDELEY_CITATION_v3_eyJjaXRhdGlvbklEIjoiTUVOREVMRVlfQ0lUQVRJT05fZGYzNTA4MmQtZGU0Yy00MTQ4LTkwNjctNDQ5YWYyOTRiZTQ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quot;},{&quot;citationID&quot;:&quot;MENDELEY_CITATION_f158f645-48cd-4508-b000-34693a9f5863&quot;,&quot;properties&quot;:{&quot;noteIndex&quot;:0},&quot;isEdited&quot;:false,&quot;manualOverride&quot;:{&quot;isManuallyOverridden&quot;:false,&quot;citeprocText&quot;:&quot;(Gao et al., 2023)&quot;,&quot;manualOverrideText&quot;:&quot;&quot;},&quot;citationItems&quot;:[{&quot;id&quot;:&quot;ff00c691-739d-3765-a8ad-098c4cc123d9&quot;,&quot;itemData&quot;:{&quot;type&quot;:&quot;article-journal&quot;,&quot;id&quot;:&quot;ff00c691-739d-3765-a8ad-098c4cc123d9&quot;,&quot;title&quot;:&quot;Downregulation of ALKBH5 rejuvenates aged human mesenchymal stem cells and enhances their therapeutic efficacy in myocardial infarction&quot;,&quot;author&quot;:[{&quot;family&quot;:&quot;Gao&quot;,&quot;given&quot;:&quot;Xiaoyan&quot;,&quot;parse-names&quot;:false,&quot;dropping-particle&quot;:&quot;&quot;,&quot;non-dropping-particle&quot;:&quot;&quot;},{&quot;family&quot;:&quot;Liang&quot;,&quot;given&quot;:&quot;Xiaoting&quot;,&quot;parse-names&quot;:false,&quot;dropping-particle&quot;:&quot;&quot;,&quot;non-dropping-particle&quot;:&quot;&quot;},{&quot;family&quot;:&quot;Liu&quot;,&quot;given&quot;:&quot;Baojuan&quot;,&quot;parse-names&quot;:false,&quot;dropping-particle&quot;:&quot;&quot;,&quot;non-dropping-particle&quot;:&quot;&quot;},{&quot;family&quot;:&quot;Hong&quot;,&quot;given&quot;:&quot;Yimei&quot;,&quot;parse-names&quot;:false,&quot;dropping-particle&quot;:&quot;&quot;,&quot;non-dropping-particle&quot;:&quot;&quot;},{&quot;family&quot;:&quot;He&quot;,&quot;given&quot;:&quot;Haiwei&quot;,&quot;parse-names&quot;:false,&quot;dropping-particle&quot;:&quot;&quot;,&quot;non-dropping-particle&quot;:&quot;&quot;},{&quot;family&quot;:&quot;Shen&quot;,&quot;given&quot;:&quot;Ying&quot;,&quot;parse-names&quot;:false,&quot;dropping-particle&quot;:&quot;&quot;,&quot;non-dropping-particle&quot;:&quot;&quot;},{&quot;family&quot;:&quot;Chen&quot;,&quot;given&quot;:&quot;Jiaqi&quot;,&quot;parse-names&quot;:false,&quot;dropping-particle&quot;:&quot;&quot;,&quot;non-dropping-particle&quot;:&quot;&quot;},{&quot;family&quot;:&quot;Huang&quot;,&quot;given&quot;:&quot;Xinran&quot;,&quot;parse-names&quot;:false,&quot;dropping-particle&quot;:&quot;&quot;,&quot;non-dropping-particle&quot;:&quot;&quot;},{&quot;family&quot;:&quot;Hu&quot;,&quot;given&quot;:&quot;Bei&quot;,&quot;parse-names&quot;:false,&quot;dropping-particle&quot;:&quot;&quot;,&quot;non-dropping-particle&quot;:&quot;&quot;},{&quot;family&quot;:&quot;Li&quot;,&quot;given&quot;:&quot;Weifeng&quot;,&quot;parse-names&quot;:false,&quot;dropping-particle&quot;:&quot;&quot;,&quot;non-dropping-particle&quot;:&quot;&quot;},{&quot;family&quot;:&quot;Li&quot;,&quot;given&quot;:&quot;Xin&quot;,&quot;parse-names&quot;:false,&quot;dropping-particle&quot;:&quot;&quot;,&quot;non-dropping-particle&quot;:&quot;&quot;},{&quot;family&quot;:&quot;Zhang&quot;,&quot;given&quot;:&quot;Yuelin&quot;,&quot;parse-names&quot;:false,&quot;dropping-particle&quot;:&quot;&quot;,&quot;non-dropping-particle&quot;:&quot;&quot;}],&quot;container-title&quot;:&quot;FASEB Journal&quot;,&quot;DOI&quot;:&quot;10.1096/fj.202301292R&quot;,&quot;ISSN&quot;:&quot;15306860&quot;,&quot;PMID&quot;:&quot;37966425&quot;,&quot;issued&quot;:{&quot;date-parts&quot;:[[2023,12,1]]},&quot;abstract&quot;:&quot;Despite promising results in myocardial infarction (MI), mesenchymal stem cell (MSC)-based therapy is limited by cell senescence. N6-methyladenosine (m6A) messenger RNA methylation has been reported to be closely associated with cell senescence. Nonetheless, its role in the regulation of MSC senescence remains unclear. We examined the role of ALKB homolog 5 (ALKBH5) in regulating MSC senescence and determined whether ALKBH5 downregulation could rejuvenate aged MSCs (AMSCs) to improve their therapeutic efficacy for MI. RNA methylation was determined by m6A dot blotting assay. MSC senescence was evaluated by senescence-associated β-galactosidase (SA-β-gal) staining. A mouse model of acute MI was established by ligation of the left anterior decedent coronary artery (LAD). Compared with young MSCs (YMSCs), m6A level was significantly reduced but ALKBH5 was greatly increased in AMSCs. Overexpression of ALKBH5 reduced m6A modification and accelerated YMSC senescence. Conversely, ALKBH5 knockdown increased m6A modifications and alleviated AMSC senescence. Mechanistically, ALKBH5 regulated the m6A modification and stability of CDKN1C mRNA, which further upregulated CDKN1C expression, leading to MSC senescence. CDKN1C overexpression ameliorated the inhibition of cellular senescence of ALKBH5 siRNA-treated AMSCs. More importantly, compared with AMSCs, shALKBH5-AMSCs transplantation provided a superior cardioprotective effect against MI in mice by improving MSC survival and angiogenesis. We determined that ALKBH5 accelerated MSC senescence through m6A modification-dependent stabilization of the CDKN1C transcript, providing a potential target for MSC rejuvenation. ALKBH5 knockdown rejuvenated AMSCs and enhanced cardiac function when transplanted into the mouse heart following infarction.&quot;,&quot;publisher&quot;:&quot;John Wiley and Sons Inc&quot;,&quot;issue&quot;:&quot;12&quot;,&quot;volume&quot;:&quot;37&quot;,&quot;container-title-short&quot;:&quot;&quot;},&quot;isTemporary&quot;:false}],&quot;citationTag&quot;:&quot;MENDELEY_CITATION_v3_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&quot;},{&quot;citationID&quot;:&quot;MENDELEY_CITATION_f7af1014-20b2-46f7-a8c9-651ca173c3a3&quot;,&quot;properties&quot;:{&quot;noteIndex&quot;:0},&quot;isEdited&quot;:false,&quot;manualOverride&quot;:{&quot;isManuallyOverridden&quot;:false,&quot;citeprocText&quot;:&quot;(Huang et al., 2023)&quot;,&quot;manualOverrideText&quot;:&quot;&quot;},&quot;citationItems&quot;:[{&quot;id&quot;:&quot;b5336b42-423c-3944-8128-36f7cd0c14e6&quot;,&quot;itemData&quot;:{&quot;type&quot;:&quot;article-journal&quot;,&quot;id&quot;:&quot;b5336b42-423c-3944-8128-36f7cd0c14e6&quot;,&quot;title&quot;:&quot;TRAF3IP2 drives mesenchymal stem cell senescence via regulation of NAMPT-mediated NAD biosynthesis&quot;,&quot;author&quot;:[{&quot;family&quot;:&quot;Huang&quot;,&quot;given&quot;:&quot;Xiaoran&quot;,&quot;parse-names&quot;:false,&quot;dropping-particle&quot;:&quot;&quot;,&quot;non-dropping-particle&quot;:&quot;&quot;},{&quot;family&quot;:&quot;Liu&quot;,&quot;given&quot;:&quot;Baojuan&quot;,&quot;parse-names&quot;:false,&quot;dropping-particle&quot;:&quot;&quot;,&quot;non-dropping-particle&quot;:&quot;&quot;},{&quot;family&quot;:&quot;Liang&quot;,&quot;given&quot;:&quot;Yaowen&quot;,&quot;parse-names&quot;:false,&quot;dropping-particle&quot;:&quot;&quot;,&quot;non-dropping-particle&quot;:&quot;&quot;},{&quot;family&quot;:&quot;Mai&quot;,&quot;given&quot;:&quot;Cong&quot;,&quot;parse-names&quot;:false,&quot;dropping-particle&quot;:&quot;&quot;,&quot;non-dropping-particle&quot;:&quot;&quot;},{&quot;family&quot;:&quot;Shen&quot;,&quot;given&quot;:&quot;Ying&quot;,&quot;parse-names&quot;:false,&quot;dropping-particle&quot;:&quot;&quot;,&quot;non-dropping-particle&quot;:&quot;&quot;},{&quot;family&quot;:&quot;Huang&quot;,&quot;given&quot;:&quot;Xinran&quot;,&quot;parse-names&quot;:false,&quot;dropping-particle&quot;:&quot;&quot;,&quot;non-dropping-particle&quot;:&quot;&quot;},{&quot;family&quot;:&quot;Chen&quot;,&quot;given&quot;:&quot;Jiaqi&quot;,&quot;parse-names&quot;:false,&quot;dropping-particle&quot;:&quot;&quot;,&quot;non-dropping-particle&quot;:&quot;&quot;},{&quot;family&quot;:&quot;Liang&quot;,&quot;given&quot;:&quot;Xiaoting&quot;,&quot;parse-names&quot;:false,&quot;dropping-particle&quot;:&quot;&quot;,&quot;non-dropping-particle&quot;:&quot;&quot;},{&quot;family&quot;:&quot;Hu&quot;,&quot;given&quot;:&quot;Bei&quot;,&quot;parse-names&quot;:false,&quot;dropping-particle&quot;:&quot;&quot;,&quot;non-dropping-particle&quot;:&quot;&quot;},{&quot;family&quot;:&quot;Li&quot;,&quot;given&quot;:&quot;Weifeng&quot;,&quot;parse-names&quot;:false,&quot;dropping-particle&quot;:&quot;&quot;,&quot;non-dropping-particle&quot;:&quot;&quot;},{&quot;family&quot;:&quot;Li&quot;,&quot;given&quot;:&quot;Xin&quot;,&quot;parse-names&quot;:false,&quot;dropping-particle&quot;:&quot;&quot;,&quot;non-dropping-particle&quot;:&quot;&quot;},{&quot;family&quot;:&quot;Zhang&quot;,&quot;given&quot;:&quot;Yuelin&quot;,&quot;parse-names&quot;:false,&quot;dropping-particle&quot;:&quot;&quot;,&quot;non-dropping-particle&quot;:&quot;&quot;}],&quot;container-title&quot;:&quot;Heliyon&quot;,&quot;container-title-short&quot;:&quot;Heliyon&quot;,&quot;DOI&quot;:&quot;10.1016/j.heliyon.2023.e19505&quot;,&quot;ISSN&quot;:&quot;24058440&quot;,&quot;issued&quot;:{&quot;date-parts&quot;:[[2023,9,1]]},&quot;abstract&quot;:&quot;Background: The cellular senescence of mesenchymal stem cells (MSCs) limits their application in regenerative medicine. This study aimed to clarify the role of TNF receptor-associated factor 3 interacting protein 2 (TRAF3IP2), a pro-inflammatory cytoplasmic adaptor protein, in regulating MSC senescence and to explore the potential mechanisms. Methods: MSC senescence was determined by senescence-associated β-galactosidase (SA-β-gal) staining. The expression of TRAF3IP2 and senescence-related proteins was detected by Western blotting. The nicotinamide adenine dinucleotide (NAD+) level and nicotinamide phosphoribosyl transferase (NAMPT) expression in MSCs was measured. Results: Compared with that in MSCs isolated from young donors (YMSCs), the expression of TRAF3IP2 was greatly increased in MSCs derived from aged donors (AMSCs). Overexpression of TRAF3IP2 accelerated YMSC senescence whereas downregulation significantly rescued cellular senescence. The protein level of NAMPT and the level of NAD+ were significantly decreased in AMSCs compared with YMSCs. Mechanistically, TRAF3IP2 induced MSC senescence via downregulation of NAMPT expression and NAD + level by inhibiting the AMPK signaling pathway. These effects were partially reversed by treatment with an AMPK or NAMPT activator. Conclusion: We revealed that TRAF3IP2 accelerated MSC senescence via downregulation of NAMPT-mediated NAD biosynthesis by mediation of the AMPK pathway, highlighting a novel means to rejuvenate senescent MSCs.&quot;,&quot;publisher&quot;:&quot;Elsevier Ltd&quot;,&quot;issue&quot;:&quot;9&quot;,&quot;volume&quot;:&quot;9&quot;},&quot;isTemporary&quot;:false}],&quot;citationTag&quot;:&quot;MENDELEY_CITATION_v3_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&quot;},{&quot;citationID&quot;:&quot;MENDELEY_CITATION_f473591a-074f-4353-9067-913c81c25266&quot;,&quot;properties&quot;:{&quot;noteIndex&quot;:0},&quot;isEdited&quot;:false,&quot;manualOverride&quot;:{&quot;isManuallyOverridden&quot;:false,&quot;citeprocText&quot;:&quot;(Katsube et al., 2008)&quot;,&quot;manualOverrideText&quot;:&quot;&quot;},&quot;citationItems&quot;:[{&quot;id&quot;:&quot;f8206d02-3c86-33b7-b385-aed720cb4f53&quot;,&quot;itemData&quot;:{&quot;type&quot;:&quot;article-journal&quot;,&quot;id&quot;:&quot;f8206d02-3c86-33b7-b385-aed720cb4f53&quot;,&quot;title&quot;:&quot;Correlation between proliferative activity and cellular thickness of human mesenchymal stem cells&quot;,&quot;author&quot;:[{&quot;family&quot;:&quot;Katsube&quot;,&quot;given&quot;:&quot;Yoshihiro&quot;,&quot;parse-names&quot;:false,&quot;dropping-particle&quot;:&quot;&quot;,&quot;non-dropping-particle&quot;:&quot;&quot;},{&quot;family&quot;:&quot;Hirose&quot;,&quot;given&quot;:&quot;Motohiro&quot;,&quot;parse-names&quot;:false,&quot;dropping-particle&quot;:&quot;&quot;,&quot;non-dropping-particle&quot;:&quot;&quot;},{&quot;family&quot;:&quot;Nakamura&quot;,&quot;given&quot;:&quot;Chikashi&quot;,&quot;parse-names&quot;:false,&quot;dropping-particle&quot;:&quot;&quot;,&quot;non-dropping-particle&quot;:&quot;&quot;},{&quot;family&quot;:&quot;Ohgushi&quot;,&quot;given&quot;:&quot;Hajime&quot;,&quot;parse-names&quot;:false,&quot;dropping-particle&quot;:&quot;&quot;,&quot;non-dropping-particle&quot;:&quot;&quot;}],&quot;container-title&quot;:&quot;Biochemical and Biophysical Research Communications&quot;,&quot;container-title-short&quot;:&quot;Biochem. Biophys. Res. Commun.&quot;,&quot;DOI&quot;:&quot;10.1016/j.bbrc.2008.01.051&quot;,&quot;ISSN&quot;:&quot;0006291X&quot;,&quot;PMID&quot;:&quot;18211805&quot;,&quot;issued&quot;:{&quot;date-parts&quot;:[[2008,4,4]]},&quot;page&quot;:&quot;256-260&quot;,&quot;abstract&quot;:&quot;A cell's shape is known to be related to its proliferative activity. In particular, large and flat mammalian adult stem cells seem to show slow proliferation, however using quantitative analysis to prove the phenomenon is difficult. We measured the proliferation and cellular thickness of human mesenchymal stem cells (MSCs) by atomic force microscopy and found that MSCs with high proliferative activity were thick while those with low proliferative activity were thin, even though these MSCs were early passage cells. Further, low proliferative MSCs contained many senescence-associated β-galactosidase positive cells together with high senescence-associated gene expression. These findings suggest that the measurement of cellular thickness is useful for estimating the proliferative activity of human MSCs and is expected to be a practical tool for MSC applications in regenerative medicine. © 2008 Elsevier Inc. All rights reserved.&quot;,&quot;issue&quot;:&quot;2&quot;,&quot;volume&quot;:&quot;368&quot;},&quot;isTemporary&quot;:false}],&quot;citationTag&quot;:&quot;MENDELEY_CITATION_v3_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&quot;},{&quot;citationID&quot;:&quot;MENDELEY_CITATION_9e8120b5-2636-4082-a22d-26fc6ee5ef1e&quot;,&quot;properties&quot;:{&quot;noteIndex&quot;:0},&quot;isEdited&quot;:false,&quot;manualOverride&quot;:{&quot;isManuallyOverridden&quot;:false,&quot;citeprocText&quot;:&quot;(Stolzing et al., 2008)&quot;,&quot;manualOverrideText&quot;:&quot;&quot;},&quot;citationItems&quot;:[{&quot;id&quot;:&quot;9c60d382-c271-30b0-b616-8a347d682325&quot;,&quot;itemData&quot;:{&quot;type&quot;:&quot;article-journal&quot;,&quot;id&quot;:&quot;9c60d382-c271-30b0-b616-8a347d682325&quot;,&quot;title&quot;:&quot;Age-related changes in human bone marrow-derived mesenchymal stem cells: Consequences for cell therapies&quot;,&quot;author&quot;:[{&quot;family&quot;:&quot;Stolzing&quot;,&quot;given&quot;:&quot;A.&quot;,&quot;parse-names&quot;:false,&quot;dropping-particle&quot;:&quot;&quot;,&quot;non-dropping-particle&quot;:&quot;&quot;},{&quot;family&quot;:&quot;Jones&quot;,&quot;given&quot;:&quot;E.&quot;,&quot;parse-names&quot;:false,&quot;dropping-particle&quot;:&quot;&quot;,&quot;non-dropping-particle&quot;:&quot;&quot;},{&quot;family&quot;:&quot;McGonagle&quot;,&quot;given&quot;:&quot;D.&quot;,&quot;parse-names&quot;:false,&quot;dropping-particle&quot;:&quot;&quot;,&quot;non-dropping-particle&quot;:&quot;&quot;},{&quot;family&quot;:&quot;Scutt&quot;,&quot;given&quot;:&quot;A.&quot;,&quot;parse-names&quot;:false,&quot;dropping-particle&quot;:&quot;&quot;,&quot;non-dropping-particle&quot;:&quot;&quot;}],&quot;container-title&quot;:&quot;Mechanisms of Ageing and Development&quot;,&quot;container-title-short&quot;:&quot;Mech. Ageing Dev.&quot;,&quot;DOI&quot;:&quot;10.1016/j.mad.2007.12.002&quot;,&quot;ISSN&quot;:&quot;00476374&quot;,&quot;PMID&quot;:&quot;18241911&quot;,&quot;issued&quot;:{&quot;date-parts&quot;:[[2008,3]]},&quot;page&quot;:&quot;163-173&quot;,&quot;abstract&quot;:&quot;Human mesenchymal stem cells (hMSC) represent a promising cell-based therapy for a number of degenerative conditions. Understanding the effect of aging on hMSCs is crucial for autologous therapy development in older subject whom degenerative diseases typically afflict. Previous investigations into the effects of aging on hMSC have proved contradictory due to the relative narrow age ranges of subjects assessed and the exclusive reliance of in vitro assays. This study seeks to address this controversy by using a wider range of donor ages and by measuring indices of cellular aging as well as hMSC numbers ex vivo and proliferation rates. CFU-f analysis and flow cytometry analysis using a CD45low/D7fib+ve/LNGF+ve gating strategy were employed. In addition a variety of markers of cellular aging, oxidative damage and senescence measured. A reduction in CFU-f and CD45low/D7fib+ve/LNGF+ve cell numbers were noted in adulthood relative to childhood. Indices of aging including oxidative damage, ROS levels and p21 and p53 all increased suggesting a loss of MSC fitness with age. These data suggest that hMSC numbers obtained by marrow aspiration decline with age. Furthermore, there is an age-related decline in overall BM MSC \&quot;fitness\&quot; which might lead to problems when using autologous aged MSC for cell-based therapies. © 2007 Elsevier Ireland Ltd. All rights reserved.&quot;,&quot;issue&quot;:&quot;3&quot;,&quot;volume&quot;:&quot;129&quot;},&quot;isTemporary&quot;:false}],&quot;citationTag&quot;:&quot;MENDELEY_CITATION_v3_eyJjaXRhdGlvbklEIjoiTUVOREVMRVlfQ0lUQVRJT05fOWU4MTIwYjUtMjYzNi00MDgyLWEyMmQtMjZmYzZlZTVlZjFl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quot;},{&quot;citationID&quot;:&quot;MENDELEY_CITATION_d8ee90db-1f8b-4a98-8ed0-350684aed5b0&quot;,&quot;properties&quot;:{&quot;noteIndex&quot;:0},&quot;isEdited&quot;:false,&quot;manualOverride&quot;:{&quot;isManuallyOverridden&quot;:false,&quot;citeprocText&quot;:&quot;(Wagner et al., 2008)&quot;,&quot;manualOverrideText&quot;:&quot;&quot;},&quot;citationItems&quot;:[{&quot;id&quot;:&quot;b1bbe505-3108-3200-9b49-05544940ef4c&quot;,&quot;itemData&quot;:{&quot;type&quot;:&quot;article-journal&quot;,&quot;id&quot;:&quot;b1bbe505-3108-3200-9b49-05544940ef4c&quot;,&quot;title&quot;:&quot;Replicative senescence of mesenchymal stem cells: A continuous and organized process&quot;,&quot;author&quot;:[{&quot;family&quot;:&quot;Wagner&quot;,&quot;given&quot;:&quot;Wolfgang&quot;,&quot;parse-names&quot;:false,&quot;dropping-particle&quot;:&quot;&quot;,&quot;non-dropping-particle&quot;:&quot;&quot;},{&quot;family&quot;:&quot;Horn&quot;,&quot;given&quot;:&quot;Patrick&quot;,&quot;parse-names&quot;:false,&quot;dropping-particle&quot;:&quot;&quot;,&quot;non-dropping-particle&quot;:&quot;&quot;},{&quot;family&quot;:&quot;Castoldi&quot;,&quot;given&quot;:&quot;Mirco&quot;,&quot;parse-names&quot;:false,&quot;dropping-particle&quot;:&quot;&quot;,&quot;non-dropping-particle&quot;:&quot;&quot;},{&quot;family&quot;:&quot;Diehlmann&quot;,&quot;given&quot;:&quot;Anke&quot;,&quot;parse-names&quot;:false,&quot;dropping-particle&quot;:&quot;&quot;,&quot;non-dropping-particle&quot;:&quot;&quot;},{&quot;family&quot;:&quot;Bork&quot;,&quot;given&quot;:&quot;Simone&quot;,&quot;parse-names&quot;:false,&quot;dropping-particle&quot;:&quot;&quot;,&quot;non-dropping-particle&quot;:&quot;&quot;},{&quot;family&quot;:&quot;Saffrich&quot;,&quot;given&quot;:&quot;Rainer&quot;,&quot;parse-names&quot;:false,&quot;dropping-particle&quot;:&quot;&quot;,&quot;non-dropping-particle&quot;:&quot;&quot;},{&quot;family&quot;:&quot;Benes&quot;,&quot;given&quot;:&quot;Vladimir&quot;,&quot;parse-names&quot;:false,&quot;dropping-particle&quot;:&quot;&quot;,&quot;non-dropping-particle&quot;:&quot;&quot;},{&quot;family&quot;:&quot;Blake&quot;,&quot;given&quot;:&quot;Jonathon&quot;,&quot;parse-names&quot;:false,&quot;dropping-particle&quot;:&quot;&quot;,&quot;non-dropping-particle&quot;:&quot;&quot;},{&quot;family&quot;:&quot;Pfister&quot;,&quot;given&quot;:&quot;Stefan&quot;,&quot;parse-names&quot;:false,&quot;dropping-particle&quot;:&quot;&quot;,&quot;non-dropping-particle&quot;:&quot;&quot;},{&quot;family&quot;:&quot;Eckstein&quot;,&quot;given&quot;:&quot;Volker&quot;,&quot;parse-names&quot;:false,&quot;dropping-particle&quot;:&quot;&quot;,&quot;non-dropping-particle&quot;:&quot;&quot;},{&quot;family&quot;:&quot;Ho&quot;,&quot;given&quot;:&quot;Anthony D.&quot;,&quot;parse-names&quot;:false,&quot;dropping-particle&quot;:&quot;&quot;,&quot;non-dropping-particle&quot;:&quot;&quot;}],&quot;container-title&quot;:&quot;PLoS ONE&quot;,&quot;container-title-short&quot;:&quot;PLoS One&quot;,&quot;DOI&quot;:&quot;10.1371/journal.pone.0002213&quot;,&quot;ISSN&quot;:&quot;19326203&quot;,&quot;PMID&quot;:&quot;18493317&quot;,&quot;issued&quot;:{&quot;date-parts&quot;:[[2008,5,21]]},&quot;abstract&quot;:&quot;Mesenchymal stem cells (MSC) comprise a promising tool for cellular therapy. These cells are usually culture expanded prior to their application. However, a precise molecular definition of MSC and the sequel of long-term in vitro culture are yet unknown. In this study, we have addressed the impact of replicative senescence on human MSC preparations. Within 43 to 77 days of cultivation 17 to 12 passages), MSC demonstrated morphological abnormalities, enlargement, attenuated expression of specific surface markers, and ultimately proliferation arrest. Adipogenic differentiation potential decreased whereas the propensity for osteogenic differentiation increased. mRNA expression profiling revealed a consistent pattern of alterations in the global gene expression signature of MSC at different passages. These changes are not restricted to later passages, but are continuously acquired with increasing passages. Genes involved in cell cycle, DNA replication and DNA repair are significantly down-regulated in late passages. Genes from chromosome 4q21 were over-represented among differentially regulated transcripts. Differential expression of 10 genes has been verified in independent donor samples as well as in MSC that were isolated under different culture conditions. Furthermore,miRNA expression profiling revealed an up-regulation of hsa-mir-371, hsa-mir-369-5P, hsa-mir-29c, hsa-mir-499 and hsa-let-7f upon in vitro propagation. Our studies indicate that replicative senescence of MSC preparations is a continuous process starting from the first passage onwards. This process includes far reaching alterations in phenotype, differentiation potential, global gene expression patterns, and miRNA profiles that need to be considered for therapeutic application of MSC preparations. © 2008 Wagner et al.&quot;,&quot;issue&quot;:&quot;5&quot;,&quot;volume&quot;:&quot;3&quot;},&quot;isTemporary&quot;:false,&quot;suppress-author&quot;:false,&quot;composite&quot;:false,&quot;author-only&quot;:false}],&quot;citationTag&quot;:&quot;MENDELEY_CITATION_v3_eyJjaXRhdGlvbklEIjoiTUVOREVMRVlfQ0lUQVRJT05fZDhlZTkwZGItMWY4Yi00YTk4LThlZDAtMzUwNjg0YWVkNWIw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quot;},{&quot;citationID&quot;:&quot;MENDELEY_CITATION_5d94f95c-2773-4641-b83e-41bf08b7904b&quot;,&quot;properties&quot;:{&quot;noteIndex&quot;:0},&quot;isEdited&quot;:false,&quot;manualOverride&quot;:{&quot;isManuallyOverridden&quot;:false,&quot;citeprocText&quot;:&quot;(Chen et al., 2024)&quot;,&quot;manualOverrideText&quot;:&quot;&quot;},&quot;citationItems&quot;:[{&quot;id&quot;:&quot;022d14ca-b725-3ed4-b7f0-dc108a27d8ad&quot;,&quot;itemData&quot;:{&quot;type&quot;:&quot;article-journal&quot;,&quot;id&quot;:&quot;022d14ca-b725-3ed4-b7f0-dc108a27d8ad&quot;,&quot;title&quot;:&quot;Platelet-derived exosomes alleviate tendon stem/progenitor cell senescence and ferroptosis by regulating AMPK/Nrf2/GPX4 signaling and improve tendon-bone junction regeneration in rats&quot;,&quot;author&quot;:[{&quot;family&quot;:&quot;Chen&quot;,&quot;given&quot;:&quot;Deheng&quot;,&quot;parse-names&quot;:false,&quot;dropping-particle&quot;:&quot;&quot;,&quot;non-dropping-particle&quot;:&quot;&quot;},{&quot;family&quot;:&quot;Tang&quot;,&quot;given&quot;:&quot;Qian&quot;,&quot;parse-names&quot;:false,&quot;dropping-particle&quot;:&quot;&quot;,&quot;non-dropping-particle&quot;:&quot;&quot;},{&quot;family&quot;:&quot;Song&quot;,&quot;given&quot;:&quot;Wei&quot;,&quot;parse-names&quot;:false,&quot;dropping-particle&quot;:&quot;&quot;,&quot;non-dropping-particle&quot;:&quot;&quot;},{&quot;family&quot;:&quot;He&quot;,&quot;given&quot;:&quot;Yaohua&quot;,&quot;parse-names&quot;:false,&quot;dropping-particle&quot;:&quot;&quot;,&quot;non-dropping-particle&quot;:&quot;&quot;}],&quot;container-title&quot;:&quot;Journal of Orthopaedic Surgery and Research&quot;,&quot;container-title-short&quot;:&quot;J. Orthop. Surg. Res.&quot;,&quot;DOI&quot;:&quot;10.1186/s13018-024-04869-8&quot;,&quot;ISSN&quot;:&quot;1749799X&quot;,&quot;PMID&quot;:&quot;38943181&quot;,&quot;issued&quot;:{&quot;date-parts&quot;:[[2024,12,1]]},&quot;abstract&quot;:&quot;Background: Tendon stem/progenitor cell (TSPC) senescence contributes to tendon degeneration and impaired tendon repair, resulting in age-related tendon disorders. Ferroptosis, a unique iron-dependent form of programmed cell death, might participate in the process of senescence. However, whether ferroptosis plays a role in TSPC senescence and tendon regeneration remains unclear. Recent studies reported that Platelet-derived exosomes (PL-Exos) might provide significant advantages in musculoskeletal regeneration and inflammation regulation. The effects and mechanism of PL-Exos on TSPC senescence and tendon regeneration are worthy of further study. Methods: Herein, we examined the role of ferroptosis in the pathogenesis of TSPC senescence. PL-Exos were isolated and determined by TEM, particle size analysis, western blot and mass spectrometry identification. We investigated the function and underlying mechanisms of PL-Exos in TSPC senescence and ferroptosis via western blot, real-time quantitative polymerase chain reaction, and immunofluorescence analysis in vitro. Tendon regeneration was evaluated by HE staining, Safranin-O staining, and biomechanical tests in a rotator cuff tear model in rats. Results: We discovered that ferroptosis was involved in senescent TSPCs. Furthermore, PL-Exos mitigated the aging phenotypes and ferroptosis of TSPCs induced by t-BHP and preserved their proliferation and tenogenic capacity. The in vivo animal results indicated that PL-Exos improved tendon-bone healing properties and mechanical strength. Mechanistically, PL-Exos activated AMPK phosphorylation and the downstream nuclear factor erythroid 2-related factor 2 (Nrf2)/glutathione peroxidase 4 (GPX4) signaling pathway, leading to the suppression of lipid peroxidation. AMPK inhibition or GPX4 inhibition blocked the protective effect of PL-Exos against t-BHP-induced ferroptosis and senescence. Conclusion: In conclusion, ferroptosis might play a crucial role in TSPC aging. AMPK/Nrf2/GPX4 activation by PL-Exos was found to inhibit ferroptosis, consequently leading to the suppression of senescence in TSPCs. Our results provided new theoretical evidence for the potential application of PL-Exos to restrain tendon degeneration and promote tendon regeneration.&quot;,&quot;publisher&quot;:&quot;BioMed Central Ltd&quot;,&quot;issue&quot;:&quot;1&quot;,&quot;volume&quot;:&quot;19&quot;},&quot;isTemporary&quot;:false}],&quot;citationTag&quot;:&quot;MENDELEY_CITATION_v3_eyJjaXRhdGlvbklEIjoiTUVOREVMRVlfQ0lUQVRJT05fNWQ5NGY5NWMtMjc3My00NjQxLWI4M2UtNDFiZjA4Yjc5MDRi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quot;},{&quot;citationID&quot;:&quot;MENDELEY_CITATION_d4e5510d-ad5c-45c2-8d7e-321a2df7ae5e&quot;,&quot;properties&quot;:{&quot;noteIndex&quot;:0},&quot;isEdited&quot;:false,&quot;manualOverride&quot;:{&quot;isManuallyOverridden&quot;:true,&quot;citeprocText&quot;:&quot;(X. Feng, Xing, et al., 2014)&quot;,&quot;manualOverrideText&quot;:&quot;(Feng et al., 2014)b&quot;},&quot;citationItems&quot;:[{&quot;id&quot;:&quot;716da167-1ac8-347f-b4d2-e4636a3525c0&quot;,&quot;itemData&quot;:{&quot;type&quot;:&quot;article-journal&quot;,&quot;id&quot;:&quot;716da167-1ac8-347f-b4d2-e4636a3525c0&quot;,&quot;title&quot;:&quot;P16INK4A mediates age-related changes in mesenchymal stem cells derived from human dental pulp through the DNA damage and stress response&quot;,&quot;author&quot;:[{&quot;family&quot;:&quot;Feng&quot;,&quot;given&quot;:&quot;Xingmei&quot;,&quot;parse-names&quot;:false,&quot;dropping-particle&quot;:&quot;&quot;,&quot;non-dropping-particle&quot;:&quot;&quot;},{&quot;family&quot;:&quot;Xing&quot;,&quot;given&quot;:&quot;Jing&quot;,&quot;parse-names&quot;:false,&quot;dropping-particle&quot;:&quot;&quot;,&quot;non-dropping-particle&quot;:&quot;&quot;},{&quot;family&quot;:&quot;Feng&quot;,&quot;given&quot;:&quot;Guijuan&quot;,&quot;parse-names&quot;:false,&quot;dropping-particle&quot;:&quot;&quot;,&quot;non-dropping-particle&quot;:&quot;&quot;},{&quot;family&quot;:&quot;Huang&quot;,&quot;given&quot;:&quot;Dan&quot;,&quot;parse-names&quot;:false,&quot;dropping-particle&quot;:&quot;&quot;,&quot;non-dropping-particle&quot;:&quot;&quot;},{&quot;family&quot;:&quot;Lu&quot;,&quot;given&quot;:&quot;Xiaohui&quot;,&quot;parse-names&quot;:false,&quot;dropping-particle&quot;:&quot;&quot;,&quot;non-dropping-particle&quot;:&quot;&quot;},{&quot;family&quot;:&quot;Liu&quot;,&quot;given&quot;:&quot;Suzhe&quot;,&quot;parse-names&quot;:false,&quot;dropping-particle&quot;:&quot;&quot;,&quot;non-dropping-particle&quot;:&quot;&quot;},{&quot;family&quot;:&quot;Tan&quot;,&quot;given&quot;:&quot;Wei&quot;,&quot;parse-names&quot;:false,&quot;dropping-particle&quot;:&quot;&quot;,&quot;non-dropping-particle&quot;:&quot;&quot;},{&quot;family&quot;:&quot;Li&quot;,&quot;given&quot;:&quot;Liren&quot;,&quot;parse-names&quot;:false,&quot;dropping-particle&quot;:&quot;&quot;,&quot;non-dropping-particle&quot;:&quot;&quot;},{&quot;family&quot;:&quot;Gu&quot;,&quot;given&quot;:&quot;Zhifeng&quot;,&quot;parse-names&quot;:false,&quot;dropping-particle&quot;:&quot;&quot;,&quot;non-dropping-particle&quot;:&quot;&quot;}],&quot;container-title&quot;:&quot;Mechanisms of Ageing and Development&quot;,&quot;container-title-short&quot;:&quot;Mech. Ageing Dev.&quot;,&quot;DOI&quot;:&quot;10.1016/j.mad.2014.09.004&quot;,&quot;ISSN&quot;:&quot;18726216&quot;,&quot;PMID&quot;:&quot;25304494&quot;,&quot;issued&quot;:{&quot;date-parts&quot;:[[2014,11,1]]},&quot;page&quot;:&quot;46-55&quot;,&quot;abstract&quot;:&quot;Mesenchymal stem cells derived from human dental pulp (DP-MSCs) are characterized by self-renewal and multi-lineage differentiation, which play important roles in regenerative medicine. Autologous transfers, as non-immunogenic, constitute the safest approach in cellular transplantations. However, their use may be limited by age-related changes. In the study, we compared DP-MSCs isolated from human in five age groups: 5-12y, 12-20y, 20-35y, 35-50y, and &gt;50y. We tested the effect of age on proliferation, differentiation, senescence-associated β-galactosidase (SA-β-gal), cell cycle and programmed cell death. DP-MSCs showed characteristics of senescence as a function of age. Meanwhile, the expression of p16INK4A and γ-H2A.X significantly increased with age, whereas heat shock protein 60 (HSP60) was decreased in the senescent DP-MSCs. Reactive oxygen species (ROS) staining showed the number of ROS-stained cells and the DCFH fluorescent level were higher in the aged group. Further we examined the senescence of DP-MSCs after modulating p16INK4A signaling. The results indicated the dysfunction of DP-MSCs was reversed by p16INK4A siRNA. In summary, our study indicated p16INK4A pathway may play a critical role in DP-MSCs age-related changes and the DNA damage response (DDR) and stress response may be the main mediators of DP-MSCs senescence induced by excessive activation of p16INK4A signaling.&quot;,&quot;publisher&quot;:&quot;Elsevier Ireland Ltd&quot;,&quot;volume&quot;:&quot;141-142&quot;},&quot;isTemporary&quot;:false}],&quot;citationTag&quot;:&quot;MENDELEY_CITATION_v3_eyJjaXRhdGlvbklEIjoiTUVOREVMRVlfQ0lUQVRJT05fZDRlNTUxMGQtYWQ1Yy00NWMyLThkN2UtMzIxYTJkZjdhZTVlIiwicHJvcGVydGllcyI6eyJub3RlSW5kZXgiOjB9LCJpc0VkaXRlZCI6ZmFsc2UsIm1hbnVhbE92ZXJyaWRlIjp7ImlzTWFudWFsbHlPdmVycmlkZGVuIjp0cnVlLCJjaXRlcHJvY1RleHQiOiIoWC4gRmVuZywgWGluZywgZXQgYWwuLCAyMDE0KSIsIm1hbnVhbE92ZXJyaWRlVGV4dCI6IihGZW5nIGV0IGFsLiwgMjAxNCli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quot;},{&quot;citationID&quot;:&quot;MENDELEY_CITATION_dba0b0d8-1175-415d-9e23-8d06f94bb00a&quot;,&quot;properties&quot;:{&quot;noteIndex&quot;:0},&quot;isEdited&quot;:false,&quot;manualOverride&quot;:{&quot;isManuallyOverridden&quot;:false,&quot;citeprocText&quot;:&quot;(Horibe et al., 2014a)&quot;,&quot;manualOverrideText&quot;:&quot;&quot;},&quot;citationItems&quot;:[{&quot;id&quot;:&quot;a9a2b6bf-93e6-3c89-98d4-6583c994e51b&quot;,&quot;itemData&quot;:{&quot;type&quot;:&quot;article-journal&quot;,&quot;id&quot;:&quot;a9a2b6bf-93e6-3c89-98d4-6583c994e51b&quot;,&quot;title&quot;:&quot;Isolation of a stable subpopulation of Mobilized Dental Pulp Stem Cells (MDPSCs) with high proliferation, migration, and regeneration potential is independent of age&quot;,&quot;author&quot;:[{&quot;family&quot;:&quot;Horibe&quot;,&quot;given&quot;:&quot;Hiroshi&quot;,&quot;parse-names&quot;:false,&quot;dropping-particle&quot;:&quot;&quot;,&quot;non-dropping-particle&quot;:&quot;&quot;},{&quot;family&quot;:&quot;Murakami&quot;,&quot;given&quot;:&quot;Masashi&quot;,&quot;parse-names&quot;:false,&quot;dropping-particle&quot;:&quot;&quot;,&quot;non-dropping-particle&quot;:&quot;&quot;},{&quot;family&quot;:&quot;Iohara&quot;,&quot;given&quot;:&quot;Koichiro&quot;,&quot;parse-names&quot;:false,&quot;dropping-particle&quot;:&quot;&quot;,&quot;non-dropping-particle&quot;:&quot;&quot;},{&quot;family&quot;:&quot;Hayashi&quot;,&quot;given&quot;:&quot;Yuki&quot;,&quot;parse-names&quot;:false,&quot;dropping-particle&quot;:&quot;&quot;,&quot;non-dropping-particle&quot;:&quot;&quot;},{&quot;family&quot;:&quot;Takeuchi&quot;,&quot;given&quot;:&quot;Norio&quot;,&quot;parse-names&quot;:false,&quot;dropping-particle&quot;:&quot;&quot;,&quot;non-dropping-particle&quot;:&quot;&quot;},{&quot;family&quot;:&quot;Takei&quot;,&quot;given&quot;:&quot;Yoshifumi&quot;,&quot;parse-names&quot;:false,&quot;dropping-particle&quot;:&quot;&quot;,&quot;non-dropping-particle&quot;:&quot;&quot;},{&quot;family&quot;:&quot;Kurita&quot;,&quot;given&quot;:&quot;Kenichi&quot;,&quot;parse-names&quot;:false,&quot;dropping-particle&quot;:&quot;&quot;,&quot;non-dropping-particle&quot;:&quot;&quot;},{&quot;family&quot;:&quot;Nakashima&quot;,&quot;given&quot;:&quot;Misako&quot;,&quot;parse-names&quot;:false,&quot;dropping-particle&quot;:&quot;&quot;,&quot;non-dropping-particle&quot;:&quot;&quot;}],&quot;container-title&quot;:&quot;PLoS ONE&quot;,&quot;container-title-short&quot;:&quot;PLoS One&quot;,&quot;DOI&quot;:&quot;10.1371/journal.pone.0098553&quot;,&quot;ISSN&quot;:&quot;19326203&quot;,&quot;PMID&quot;:&quot;24870376&quot;,&quot;issued&quot;:{&quot;date-parts&quot;:[[2014,5,28]]},&quot;abstract&quot;:&quot;Insights into the understanding of the influence of the age of MSCs on their cellular responses and regenerative potential are critical for stem cell therapy in the clinic. We have isolated dental pulp stem cells (DPSCs) subsets based on their migratory response to granulocyte-colony stimulating factor (G-CSF) (MDPSCs) from young and aged donors. The aged MDPSCs were efficiently enriched in stem cells, expressing high levels of trophic factors with high proliferation, migration and anti-apoptotic effects compared to young MDPSCs. In contrast, significant differences in those properties were detected between aged and young colony-derived DPSCs. Unlike DPSCs, MDPSCs showed a small age-dependent increase in senescence-associated β-galactosidase (SA-β-gal) production and senescence markers including p16, p21, Interleukin (IL)-1β, -6, -8, and Groα in long-term culture. There was no difference between aged and young MDPSCs in telomerase activity. The regenerative potential of aged MDPSCs was similar to that of young MDPSCs in an ischemic hindlimb model and an ectopic tooth root model. These results demonstrated that the stem cell properties and the high regenerative potential of MDPSCs are independent of age, demonstrating an immense utility for clinical applications by autologous cell transplantation in dental pulp regeneration and ischemic diseases. © 2014 Horibe et al.&quot;,&quot;publisher&quot;:&quot;Public Library of Science&quot;,&quot;issue&quot;:&quot;5&quot;,&quot;volume&quot;:&quot;9&quot;},&quot;isTemporary&quot;:false}],&quot;citationTag&quot;:&quot;MENDELEY_CITATION_v3_eyJjaXRhdGlvbklEIjoiTUVOREVMRVlfQ0lUQVRJT05fZGJhMGIwZDgtMTE3NS00MTVkLTllMjMtOGQwNmY5NGJiMDBh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quot;},{&quot;citationID&quot;:&quot;MENDELEY_CITATION_f9db1904-e0f0-4fab-8d00-9dd9168c7f92&quot;,&quot;properties&quot;:{&quot;noteIndex&quot;:0},&quot;isEdited&quot;:false,&quot;manualOverride&quot;:{&quot;isManuallyOverridden&quot;:false,&quot;citeprocText&quot;:&quot;(Iezzi et al., 2019)&quot;,&quot;manualOverrideText&quot;:&quot;&quot;},&quot;citationItems&quot;:[{&quot;id&quot;:&quot;b0fce73b-7bb9-3979-8aa4-ca7eb0ec115e&quot;,&quot;itemData&quot;:{&quot;type&quot;:&quot;article-journal&quot;,&quot;id&quot;:&quot;b0fce73b-7bb9-3979-8aa4-ca7eb0ec115e&quot;,&quot;title&quot;:&quot;Dental pulp stem cells senescence and regenerative potential relationship&quot;,&quot;author&quot;:[{&quot;family&quot;:&quot;Iezzi&quot;,&quot;given&quot;:&quot;Iolanda&quot;,&quot;parse-names&quot;:false,&quot;dropping-particle&quot;:&quot;&quot;,&quot;non-dropping-particle&quot;:&quot;&quot;},{&quot;family&quot;:&quot;Cerqueni&quot;,&quot;given&quot;:&quot;Giorgia&quot;,&quot;parse-names&quot;:false,&quot;dropping-particle&quot;:&quot;&quot;,&quot;non-dropping-particle&quot;:&quot;&quot;},{&quot;family&quot;:&quot;Licini&quot;,&quot;given&quot;:&quot;Caterina&quot;,&quot;parse-names&quot;:false,&quot;dropping-particle&quot;:&quot;&quot;,&quot;non-dropping-particle&quot;:&quot;&quot;},{&quot;family&quot;:&quot;Lucarini&quot;,&quot;given&quot;:&quot;Guendalina&quot;,&quot;parse-names&quot;:false,&quot;dropping-particle&quot;:&quot;&quot;,&quot;non-dropping-particle&quot;:&quot;&quot;},{&quot;family&quot;:&quot;Mattioli Belmonte&quot;,&quot;given&quot;:&quot;Monica&quot;,&quot;parse-names&quot;:false,&quot;dropping-particle&quot;:&quot;&quot;,&quot;non-dropping-particle&quot;:&quot;&quot;}],&quot;container-title&quot;:&quot;Journal of Cellular Physiology&quot;,&quot;container-title-short&quot;:&quot;J. Cell. Physiol.&quot;,&quot;DOI&quot;:&quot;10.1002/jcp.27472&quot;,&quot;ISSN&quot;:&quot;10974652&quot;,&quot;PMID&quot;:&quot;30362542&quot;,&quot;issued&quot;:{&quot;date-parts&quot;:[[2019,5,1]]},&quot;page&quot;:&quot;7186-7197&quot;,&quot;abstract&quot;:&quot;Uncomplicated treatments for pulpitis and periodontitis continues to be challenging and regenerative approaches could meet this contingency. Dental pulp stem cells (DPSCs) represent a good candidate for oral recovering therapies. Here, we investigated changes in morphology, proliferation, and in vitro differentiation toward mesenchymal and neuronal phenotypes of human DPSCs harvested from differently aged donors. Aging is a physiologic phenomenon occurring with time that hamper body’s capability to maintain homeostasis also affecting the functional reserve. Cytofluorimetric, immunohistochemical, quantitative reverse-transcription polymerase chain reaction (qRT-PCR), and western blot analyses were performed to gain insight for successful regenerative strategies in elderly. We observed a decline in DPSCs proliferation and differentiation potential with age. Interestingly, these cells behaved differently under osteogenic or odontogenic stimuli, showing different age-related mineralization capabilities. Similarly, neurogenic differentiation decreased with age. In conclusion, our observations represent a valid tool for the development of tailored regenerative strategies in an aging society.&quot;,&quot;publisher&quot;:&quot;Wiley-Liss Inc.&quot;,&quot;issue&quot;:&quot;5&quot;,&quot;volume&quot;:&quot;234&quot;},&quot;isTemporary&quot;:false}],&quot;citationTag&quot;:&quot;MENDELEY_CITATION_v3_eyJjaXRhdGlvbklEIjoiTUVOREVMRVlfQ0lUQVRJT05fZjlkYjE5MDQtZTBmMC00ZmFiLThkMDAtOWRkOTE2OGM3Zjky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quot;},{&quot;citationID&quot;:&quot;MENDELEY_CITATION_57531b11-c3e7-4070-beda-40300d3148df&quot;,&quot;properties&quot;:{&quot;noteIndex&quot;:0},&quot;isEdited&quot;:false,&quot;manualOverride&quot;:{&quot;isManuallyOverridden&quot;:true,&quot;citeprocText&quot;:&quot;(X. Wang et al., 2025)&quot;,&quot;manualOverrideText&quot;:&quot;(Wang et al., 2025)&quot;},&quot;citationItems&quot;:[{&quot;id&quot;:&quot;06292c9e-8f29-3936-8012-ad7431391893&quot;,&quot;itemData&quot;:{&quot;type&quot;:&quot;article-journal&quot;,&quot;id&quot;:&quot;06292c9e-8f29-3936-8012-ad7431391893&quot;,&quot;title&quot;:&quot;NUP62 alleviates senescence and promotes the stemness of human dental pulp stem cells via NSD2-dependent epigenetic reprogramming&quot;,&quot;author&quot;:[{&quot;family&quot;:&quot;Wang&quot;,&quot;given&quot;:&quot;Xiping&quot;,&quot;parse-names&quot;:false,&quot;dropping-particle&quot;:&quot;&quot;,&quot;non-dropping-particle&quot;:&quot;&quot;},{&quot;family&quot;:&quot;Wang&quot;,&quot;given&quot;:&quot;Li&quot;,&quot;parse-names&quot;:false,&quot;dropping-particle&quot;:&quot;&quot;,&quot;non-dropping-particle&quot;:&quot;&quot;},{&quot;family&quot;:&quot;Zhou&quot;,&quot;given&quot;:&quot;Linxi&quot;,&quot;parse-names&quot;:false,&quot;dropping-particle&quot;:&quot;&quot;,&quot;non-dropping-particle&quot;:&quot;&quot;},{&quot;family&quot;:&quot;Chen&quot;,&quot;given&quot;:&quot;Lu&quot;,&quot;parse-names&quot;:false,&quot;dropping-particle&quot;:&quot;&quot;,&quot;non-dropping-particle&quot;:&quot;&quot;},{&quot;family&quot;:&quot;Shi&quot;,&quot;given&quot;:&quot;Jiayi&quot;,&quot;parse-names&quot;:false,&quot;dropping-particle&quot;:&quot;&quot;,&quot;non-dropping-particle&quot;:&quot;&quot;},{&quot;family&quot;:&quot;Ge&quot;,&quot;given&quot;:&quot;Jing&quot;,&quot;parse-names&quot;:false,&quot;dropping-particle&quot;:&quot;&quot;,&quot;non-dropping-particle&quot;:&quot;&quot;},{&quot;family&quot;:&quot;Tian&quot;,&quot;given&quot;:&quot;Sha&quot;,&quot;parse-names&quot;:false,&quot;dropping-particle&quot;:&quot;&quot;,&quot;non-dropping-particle&quot;:&quot;&quot;},{&quot;family&quot;:&quot;Yang&quot;,&quot;given&quot;:&quot;Zihan&quot;,&quot;parse-names&quot;:false,&quot;dropping-particle&quot;:&quot;&quot;,&quot;non-dropping-particle&quot;:&quot;&quot;},{&quot;family&quot;:&quot;Zhou&quot;,&quot;given&quot;:&quot;Yuqiong&quot;,&quot;parse-names&quot;:false,&quot;dropping-particle&quot;:&quot;&quot;,&quot;non-dropping-particle&quot;:&quot;&quot;},{&quot;family&quot;:&quot;Yu&quot;,&quot;given&quot;:&quot;Qihao&quot;,&quot;parse-names&quot;:false,&quot;dropping-particle&quot;:&quot;&quot;,&quot;non-dropping-particle&quot;:&quot;&quot;},{&quot;family&quot;:&quot;Jin&quot;,&quot;given&quot;:&quot;Jiacheng&quot;,&quot;parse-names&quot;:false,&quot;dropping-particle&quot;:&quot;&quot;,&quot;non-dropping-particle&quot;:&quot;&quot;},{&quot;family&quot;:&quot;Ding&quot;,&quot;given&quot;:&quot;Chen&quot;,&quot;parse-names&quot;:false,&quot;dropping-particle&quot;:&quot;&quot;,&quot;non-dropping-particle&quot;:&quot;&quot;},{&quot;family&quot;:&quot;Pan&quot;,&quot;given&quot;:&quot;Yihuai&quot;,&quot;parse-names&quot;:false,&quot;dropping-particle&quot;:&quot;&quot;,&quot;non-dropping-particle&quot;:&quot;&quot;},{&quot;family&quot;:&quot;Zou&quot;,&quot;given&quot;:&quot;Duohong&quot;,&quot;parse-names&quot;:false,&quot;dropping-particle&quot;:&quot;&quot;,&quot;non-dropping-particle&quot;:&quot;&quot;}],&quot;container-title&quot;:&quot;International Journal of Oral Science &quot;,&quot;DOI&quot;:&quot;10.1038/s41368-025-00362-y&quot;,&quot;ISSN&quot;:&quot;20493169&quot;,&quot;PMID&quot;:&quot;40246825&quot;,&quot;issued&quot;:{&quot;date-parts&quot;:[[2025,12,1]]},&quot;abstract&quot;:&quot;Stem cells play a crucial role in maintaining tissue regenerative capacity and homeostasis. However, mechanisms associated with stem cell senescence require further investigation. In this study, we conducted a proteomic analysis of human dental pulp stem cells (HDPSCs) obtained from individuals of various ages. Our findings showed that the expression of NUP62 was decreased in aged HDPSCs. We discovered that NUP62 alleviated senescence-associated phenotypes and enhanced differentiation potential both in vitro and in vivo. Conversely, the knocking down of NUP62 expression aggravated the senescence-associated phenotypes and impaired the proliferation and migration capacity of HDPSCs. Through RNA-sequence and decoding the epigenomic landscapes remodeled induced by NUP62 overexpression, we found that NUP62 helps alleviate senescence in HDPSCs by enhancing the nuclear transport of the transcription factor E2F1. This, in turn, stimulates the transcription of the epigenetic enzyme NSD2. Finally, the overexpression of NUP62 influences the H3K36me2 and H3K36me3 modifications of anti-aging genes (HMGA1, HMGA2, and SIRT6). Our results demonstrated that NUP62 regulates the fate of HDPSCs via NSD2-dependent epigenetic reprogramming.&quot;,&quot;publisher&quot;:&quot;Springer Nature&quot;,&quot;issue&quot;:&quot;1&quot;,&quot;volume&quot;:&quot;17&quot;,&quot;container-title-short&quot;:&quot;&quot;},&quot;isTemporary&quot;:false,&quot;suppress-author&quot;:false,&quot;composite&quot;:false,&quot;author-only&quot;:false}],&quot;citationTag&quot;:&quot;MENDELEY_CITATION_v3_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&quot;},{&quot;citationID&quot;:&quot;MENDELEY_CITATION_8788bdcb-412d-43d0-81d4-5b9842fe7880&quot;,&quot;properties&quot;:{&quot;noteIndex&quot;:0},&quot;isEdited&quot;:false,&quot;manualOverride&quot;:{&quot;isManuallyOverridden&quot;:false,&quot;citeprocText&quot;:&quot;(Christodoulou et al., 2013)&quot;,&quot;manualOverrideText&quot;:&quot;&quot;},&quot;citationItems&quot;:[{&quot;id&quot;:&quot;16505905-171c-3bc6-bb85-290e48b9a0e1&quot;,&quot;itemData&quot;:{&quot;type&quot;:&quot;article-journal&quot;,&quot;id&quot;:&quot;16505905-171c-3bc6-bb85-290e48b9a0e1&quot;,&quot;title&quot;:&quot;Comparative evaluation of human mesenchymal stem cells of fetal (Wharton's Jelly) and adult (adipose tissue) origin during prolonged in vitro expansion: Considerations for cytotherapy&quot;,&quot;author&quot;:[{&quot;family&quot;:&quot;Christodoulou&quot;,&quot;given&quot;:&quot;I.&quot;,&quot;parse-names&quot;:false,&quot;dropping-particle&quot;:&quot;&quot;,&quot;non-dropping-particle&quot;:&quot;&quot;},{&quot;family&quot;:&quot;Kolisis&quot;,&quot;given&quot;:&quot;F. N.&quot;,&quot;parse-names&quot;:false,&quot;dropping-particle&quot;:&quot;&quot;,&quot;non-dropping-particle&quot;:&quot;&quot;},{&quot;family&quot;:&quot;Papaevangeliou&quot;,&quot;given&quot;:&quot;D.&quot;,&quot;parse-names&quot;:false,&quot;dropping-particle&quot;:&quot;&quot;,&quot;non-dropping-particle&quot;:&quot;&quot;},{&quot;family&quot;:&quot;Zoumpourlis&quot;,&quot;given&quot;:&quot;V.&quot;,&quot;parse-names&quot;:false,&quot;dropping-particle&quot;:&quot;&quot;,&quot;non-dropping-particle&quot;:&quot;&quot;}],&quot;container-title&quot;:&quot;Stem Cells International&quot;,&quot;container-title-short&quot;:&quot;Stem Cells Int.&quot;,&quot;DOI&quot;:&quot;10.1155/2013/246134&quot;,&quot;ISSN&quot;:&quot;16879678&quot;,&quot;issued&quot;:{&quot;date-parts&quot;:[[2013]]},&quot;abstract&quot;:&quot;Mesenchymal stem cells (MSCs) are somatic cells with a dual capacity for self-renewal and differentiation, and diverse therapeutic applicability, both experimentally and in the clinic. These cells can be isolated from various human tissues that may differ anatomically or developmentally with relative ease. Heterogeneity due to biological origin or in vitro manipulation is, nevertheless, considerable and may equate to differences in qualitative and quantitative characteristics which can prove crucial for successful therapeutic use. With this in mind, in the present study we have evaluated the proliferation kinetics and phenotypic characteristics of MSCs derived from two abundant sources, that is, fetal umbilical cord matrix (Wharton's jelly) and adult adipose tissue (termed WJSC and ADSC, resp.) during prolonged in vitro expansion, a process necessary for obtaining cell numbers sufficient for clinical application. Our results show that WJSC are derived with relatively high efficiency and bear a substantially increased proliferation capacity whilst largely sustaining the expression of typical immunophenotypic markers, whereas ADSC exhibit a reduced proliferation potential showing typical signs of senescence at an early stage. By combining kinetic with phenotypic data we identify culture thresholds up to which both cell types maintain their stem properties, and we discuss the practical implications of their differences. © 2013 I. Christodoulou et al.&quot;},&quot;isTemporary&quot;:false}],&quot;citationTag&quot;:&quot;MENDELEY_CITATION_v3_eyJjaXRhdGlvbklEIjoiTUVOREVMRVlfQ0lUQVRJT05fODc4OGJkY2ItNDEyZC00M2QwLTgxZDQtNWI5ODQyZmU3ODgw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quot;},{&quot;citationID&quot;:&quot;MENDELEY_CITATION_8ad0b5ec-172f-4745-acf2-ef82dc95daea&quot;,&quot;properties&quot;:{&quot;noteIndex&quot;:0},&quot;isEdited&quot;:false,&quot;manualOverride&quot;:{&quot;isManuallyOverridden&quot;:false,&quot;citeprocText&quot;:&quot;(Figiel-Dabrowska et al., 2022)&quot;,&quot;manualOverrideText&quot;:&quot;&quot;},&quot;citationItems&quot;:[{&quot;id&quot;:&quot;3eb472fc-66a8-39fc-85a1-30d8dc998b01&quot;,&quot;itemData&quot;:{&quot;type&quot;:&quot;article-journal&quot;,&quot;id&quot;:&quot;3eb472fc-66a8-39fc-85a1-30d8dc998b01&quot;,&quot;title&quot;:&quot;Efficiency assessment of irrigation as an alternative method for improving the regenerative potential of non-healing wounds&quot;,&quot;author&quot;:[{&quot;family&quot;:&quot;Figiel-Dabrowska&quot;,&quot;given&quot;:&quot;Anna&quot;,&quot;parse-names&quot;:false,&quot;dropping-particle&quot;:&quot;&quot;,&quot;non-dropping-particle&quot;:&quot;&quot;},{&quot;family&quot;:&quot;Krzesniak&quot;,&quot;given&quot;:&quot;Natalia E.&quot;,&quot;parse-names&quot;:false,&quot;dropping-particle&quot;:&quot;&quot;,&quot;non-dropping-particle&quot;:&quot;&quot;},{&quot;family&quot;:&quot;Noszczyk&quot;,&quot;given&quot;:&quot;Bartłomiej H.&quot;,&quot;parse-names&quot;:false,&quot;dropping-particle&quot;:&quot;&quot;,&quot;non-dropping-particle&quot;:&quot;&quot;},{&quot;family&quot;:&quot;Domanska-Janik&quot;,&quot;given&quot;:&quot;Krystyna&quot;,&quot;parse-names&quot;:false,&quot;dropping-particle&quot;:&quot;&quot;,&quot;non-dropping-particle&quot;:&quot;&quot;},{&quot;family&quot;:&quot;Sarnowska&quot;,&quot;given&quot;:&quot;Anna&quot;,&quot;parse-names&quot;:false,&quot;dropping-particle&quot;:&quot;&quot;,&quot;non-dropping-particle&quot;:&quot;&quot;}],&quot;container-title&quot;:&quot;Wound Repair and Regeneration&quot;,&quot;DOI&quot;:&quot;10.1111/wrr.13013&quot;,&quot;ISSN&quot;:&quot;1524475X&quot;,&quot;PMID&quot;:&quot;35384136&quot;,&quot;issued&quot;:{&quot;date-parts&quot;:[[2022,5,1]]},&quot;page&quot;:&quot;303-316&quot;,&quot;abstract&quot;:&quot;The application of mesenchymal stem/stromal cells (MSC) in regenerative medicine offers hope for the effective treatment of incurable or difficult-to-heal diseases. However, it requires the development of unified protocols for both safe and efficient cell acquisition and clinical usage. The therapeutic effect of fat grafts (containing stem cells) in non-healing wounds has been discussed in previous studies, although the application requires local or general anaesthesia. The treatment of MSC derived from adipose tissue (ASC) could be a less invasive method, and efficient delivery could lead to more favourable outcomes, which should encourage clinicians to use such therapeutic approaches more frequently. Therefore, the aim of this study was to optimise the methods of ASC isolation, culture and administration while maintaining their high survival, proliferation and colonisation potential. The ASC were isolated by an enzymatic method and were characterised according to International Society for Cellular Therapy and International Federation for Adipose Therapeutics and Science guidelines. To assess the opportunity to obtain a sufficient number of cells for transplantation, long-term cell cultures in two oxygen concentrations (5% vs. 21%) were conducted. For these cultures, the population doubling time, the cumulative time for cell population doublings and the rate of cell senescence were estimated. In a developed and pre-defined protocol, ASC can be efficiently cultured at physiological oxygen concentrations (5%), which leads to faster proliferation and slower cell senescence. Subsequently, to select the optimal and minimally invasive methods of ASC transplantation, direct cell application with an irrigator or with skin dressings was analysed. Our results confirmed that both the presented methods of cell application allow for the safe delivery of isolated ASC into wounds without losing their vitality. Cells propagated in the described conditions and applied in non-invasive cell application (with an irrigation system and dressings) to treat chronic wounds can be a potential alternative or supplement to more invasive clinical approaches.&quot;,&quot;publisher&quot;:&quot;John Wiley and Sons Inc&quot;,&quot;issue&quot;:&quot;3&quot;,&quot;volume&quot;:&quot;30&quot;,&quot;container-title-short&quot;:&quot;&quot;},&quot;isTemporary&quot;:false}],&quot;citationTag&quot;:&quot;MENDELEY_CITATION_v3_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&quot;},{&quot;citationID&quot;:&quot;MENDELEY_CITATION_90d303d8-6916-411f-84a9-4ca7a7c738ea&quot;,&quot;properties&quot;:{&quot;noteIndex&quot;:0},&quot;isEdited&quot;:false,&quot;manualOverride&quot;:{&quot;isManuallyOverridden&quot;:false,&quot;citeprocText&quot;:&quot;(Gruber et al., 2012)&quot;,&quot;manualOverrideText&quot;:&quot;&quot;},&quot;citationItems&quot;:[{&quot;id&quot;:&quot;89582859-732f-3a2d-afe9-82a9b7088838&quot;,&quot;itemData&quot;:{&quot;type&quot;:&quot;article-journal&quot;,&quot;id&quot;:&quot;89582859-732f-3a2d-afe9-82a9b7088838&quot;,&quot;title&quot;:&quot;Human adipose-derived mesenchymal stem cells: Serial passaging, doubling time and cell senescence&quot;,&quot;author&quot;:[{&quot;family&quot;:&quot;Gruber&quot;,&quot;given&quot;:&quot;H. E.&quot;,&quot;parse-names&quot;:false,&quot;dropping-particle&quot;:&quot;&quot;,&quot;non-dropping-particle&quot;:&quot;&quot;},{&quot;family&quot;:&quot;Somayaji&quot;,&quot;given&quot;:&quot;S.&quot;,&quot;parse-names&quot;:false,&quot;dropping-particle&quot;:&quot;&quot;,&quot;non-dropping-particle&quot;:&quot;&quot;},{&quot;family&quot;:&quot;Riley&quot;,&quot;given&quot;:&quot;F.&quot;,&quot;parse-names&quot;:false,&quot;dropping-particle&quot;:&quot;&quot;,&quot;non-dropping-particle&quot;:&quot;&quot;},{&quot;family&quot;:&quot;Hoelscher&quot;,&quot;given&quot;:&quot;G. L.&quot;,&quot;parse-names&quot;:false,&quot;dropping-particle&quot;:&quot;&quot;,&quot;non-dropping-particle&quot;:&quot;&quot;},{&quot;family&quot;:&quot;Norton&quot;,&quot;given&quot;:&quot;H. J.&quot;,&quot;parse-names&quot;:false,&quot;dropping-particle&quot;:&quot;&quot;,&quot;non-dropping-particle&quot;:&quot;&quot;},{&quot;family&quot;:&quot;Ingram&quot;,&quot;given&quot;:&quot;J.&quot;,&quot;parse-names&quot;:false,&quot;dropping-particle&quot;:&quot;&quot;,&quot;non-dropping-particle&quot;:&quot;&quot;},{&quot;family&quot;:&quot;Hanley&quot;,&quot;given&quot;:&quot;E. N.&quot;,&quot;parse-names&quot;:false,&quot;dropping-particle&quot;:&quot;&quot;,&quot;non-dropping-particle&quot;:&quot;&quot;}],&quot;container-title&quot;:&quot;Biotechnic and Histochemistry&quot;,&quot;DOI&quot;:&quot;10.3109/10520295.2011.649785&quot;,&quot;ISSN&quot;:&quot;14737760&quot;,&quot;issued&quot;:{&quot;date-parts&quot;:[[2012]]},&quot;page&quot;:&quot;303-311&quot;,&quot;abstract&quot;:&quot;Adult adipose-derived mesenchymal stem cells (AD-MSC) are very interesting to our research group because they are easy to harvest, they are abundant in humans, and they have potential clinical applications in autologous cell therapy for disc degeneration. We examined these cells through sequential serial passages to assess osteogenic and chondrogenic capabilities, mean doubling time and cell senescence. Osteogenic and chondrogenic potencies were maintained through 13 passages. Mean passage doubling time increased significantly with increasing passage number. When donor age was evaluated, passages 1-4 from older donors had significantly longer doubling times compared to cells from younger donors. Passages 5-11 showed similar findings when analyzed by donor age. The mean percent senescence increased significantly with cell passaging, rising from 0% at passage 1 to 3.4% at passage 13. These novel data suggest that caution should be exercised when using AD-MSC with long passage times. © 2012 The Biological Stain Commission.&quot;,&quot;publisher&quot;:&quot;Informa Healthcare&quot;,&quot;issue&quot;:&quot;4&quot;,&quot;volume&quot;:&quot;87&quot;,&quot;container-title-short&quot;:&quot;&quot;},&quot;isTemporary&quot;:false}],&quot;citationTag&quot;:&quot;MENDELEY_CITATION_v3_eyJjaXRhdGlvbklEIjoiTUVOREVMRVlfQ0lUQVRJT05fOTBkMzAzZDgtNjkxNi00MTFmLTg0YTktNGNhN2E3YzczOGVh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quot;},{&quot;citationID&quot;:&quot;MENDELEY_CITATION_ba13f6f0-538f-4067-a148-1dcf6b8f2140&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YmExM2Y2ZjAtNTM4Zi00MDY3LWExNDgtMWRjZjZiOGYyMTQw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82982989-9154-41ed-b78f-f2bbb1a8c166&quot;,&quot;properties&quot;:{&quot;noteIndex&quot;:0},&quot;isEdited&quot;:false,&quot;manualOverride&quot;:{&quot;isManuallyOverridden&quot;:false,&quot;citeprocText&quot;:&quot;(S. H. Wu et al., 2022)&quot;,&quot;manualOverrideText&quot;:&quot;&quot;},&quot;citationItems&quot;:[{&quot;id&quot;:&quot;c60704f4-e1cb-3c46-b13d-716d8dfb42e4&quot;,&quot;itemData&quot;:{&quot;type&quot;:&quot;article-journal&quot;,&quot;id&quot;:&quot;c60704f4-e1cb-3c46-b13d-716d8dfb42e4&quot;,&quot;title&quot;:&quot;Comparison of the Infant and Adult Adipose-Derived Mesenchymal Stem Cells in Proliferation, Senescence, Anti-oxidative Ability and Differentiation Potential&quot;,&quot;author&quot;:[{&quot;family&quot;:&quot;Wu&quot;,&quot;given&quot;:&quot;Szu Hsien&quot;,&quot;parse-names&quot;:false,&quot;dropping-particle&quot;:&quot;&quot;,&quot;non-dropping-particle&quot;:&quot;&quot;},{&quot;family&quot;:&quot;Yu&quot;,&quot;given&quot;:&quot;Jin Huei&quot;,&quot;parse-names&quot;:false,&quot;dropping-particle&quot;:&quot;&quot;,&quot;non-dropping-particle&quot;:&quot;&quot;},{&quot;family&quot;:&quot;Liao&quot;,&quot;given&quot;:&quot;Yu Ting&quot;,&quot;parse-names&quot;:false,&quot;dropping-particle&quot;:&quot;&quot;,&quot;non-dropping-particle&quot;:&quot;&quot;},{&quot;family&quot;:&quot;Liu&quot;,&quot;given&quot;:&quot;Kuo Hao&quot;,&quot;parse-names&quot;:false,&quot;dropping-particle&quot;:&quot;&quot;,&quot;non-dropping-particle&quot;:&quot;&quot;},{&quot;family&quot;:&quot;Chiang&quot;,&quot;given&quot;:&quot;En Rung&quot;,&quot;parse-names&quot;:false,&quot;dropping-particle&quot;:&quot;&quot;,&quot;non-dropping-particle&quot;:&quot;&quot;},{&quot;family&quot;:&quot;Chang&quot;,&quot;given&quot;:&quot;Ming Chau&quot;,&quot;parse-names&quot;:false,&quot;dropping-particle&quot;:&quot;&quot;,&quot;non-dropping-particle&quot;:&quot;&quot;},{&quot;family&quot;:&quot;Wang&quot;,&quot;given&quot;:&quot;Jung pan&quot;,&quot;parse-names&quot;:false,&quot;dropping-particle&quot;:&quot;&quot;,&quot;non-dropping-particle&quot;:&quot;&quot;}],&quot;container-title&quot;:&quot;Tissue Engineering and Regenerative Medicine&quot;,&quot;container-title-short&quot;:&quot;Tissue Eng. Regen. Med.&quot;,&quot;DOI&quot;:&quot;10.1007/s13770-022-00431-x&quot;,&quot;ISSN&quot;:&quot;22125469&quot;,&quot;PMID&quot;:&quot;35247199&quot;,&quot;issued&quot;:{&quot;date-parts&quot;:[[2022,6,1]]},&quot;page&quot;:&quot;589-601&quot;,&quot;abstract&quot;:&quot;Background:: Infant adipose-derived mesenchymal stem cells (ADSCs) collected from excised polydactyly fat tissue, which was surgical waste, could be cultured and expanded in vitro in this study. In addition, the collecting process would not cause pain in the host. In this study, the proliferation, reduction of senescence, anti-oxidative ability, and differentiation potential in the infant ADSCs were compared with those in the adult ADSCs harvested from thigh liposuction to determine the availability of infant ADSCs. Methods:: Proliferation was determined by detecting the fold changes in cell numbers and doubling time periods. Senescence was analyzed by investigating the age-related gene expression levels and the replicative stress. The superoxide dismutase (SOD) gene expression, adipogenic, neurogenic, osteogenic, and tenogenic differentiation were compared by RT-qPCR. The chondrogenic differentiation efficiency was also determined using RT-qPCR and immunohistochemical staining. Results:: The proliferation, SOD (SOD1, SOD2 and SOD3) gene expression, the stemness-related gene (c-MYC) and telomerase reverse transcriptase of the infant ADSCs at early passages were enhanced compared with those of the adults'. Cellular senescence related genes, including p16, p21 and p53, and replicative stress were reduced in the infant ADSCs. The adipogenic genes (PPARγ and LPL) and neurogenic genes (MAP2 and NEFH) of the infant ADSC differentiated cells were significantly higher than those of the adults’ while the expression of the osteogenic genes (OCN and RUNX) and tenogenic genes (TNC and COL3A1) of both demonstrated opposite results. The chondrogenic markers (SOX9, COL2 and COL10) were enhanced in the infant ADSC differentiated chondrogenic pellets, and the expression levels of SODs were decreased during the differentiation process. Conclusion:: Cultured infant ADSCs demonstrate less cellular senescence and replicative stress, higher proliferation rates, better antioxidant defense activity, and higher potential of chondrogenic, adipogenic and neurogenic differentiation.&quot;,&quot;publisher&quot;:&quot;Korean Tissue Engineering and Regenerative Medicine Society&quot;,&quot;issue&quot;:&quot;3&quot;,&quot;volume&quot;:&quot;19&quot;},&quot;isTemporary&quot;:false,&quot;suppress-author&quot;:false,&quot;composite&quot;:false,&quot;author-only&quot;:false}],&quot;citationTag&quot;:&quot;MENDELEY_CITATION_v3_eyJjaXRhdGlvbklEIjoiTUVOREVMRVlfQ0lUQVRJT05fODI5ODI5ODktOTE1NC00MWVkLWI3OGYtZjJiYmIxYThjMTY2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quot;},{&quot;citationID&quot;:&quot;MENDELEY_CITATION_ed148410-4c51-4576-bdde-997fe22bf0de&quot;,&quot;properties&quot;:{&quot;noteIndex&quot;:0},&quot;isEdited&quot;:false,&quot;manualOverride&quot;:{&quot;isManuallyOverridden&quot;:false,&quot;citeprocText&quot;:&quot;(Zhang et al., 2024)&quot;,&quot;manualOverrideText&quot;:&quot;&quot;},&quot;citationItems&quot;:[{&quot;id&quot;:&quot;7d61d739-2221-37ab-bf54-8a9de44f7bf5&quot;,&quot;itemData&quot;:{&quot;type&quot;:&quot;article-journal&quot;,&quot;id&quot;:&quot;7d61d739-2221-37ab-bf54-8a9de44f7bf5&quot;,&quot;title&quot;:&quot;Osteopontin Rejuvenates Senescent Adipose-Derived Stem Cells and Restores their Bone Tissue Regenerative Function&quot;,&quot;author&quot;:[{&quot;family&quot;:&quot;Zhang&quot;,&quot;given&quot;:&quot;Yiran&quot;,&quot;parse-names&quot;:false,&quot;dropping-particle&quot;:&quot;&quot;,&quot;non-dropping-particle&quot;:&quot;&quot;},{&quot;family&quot;:&quot;Zhang&quot;,&quot;given&quot;:&quot;Junni&quot;,&quot;parse-names&quot;:false,&quot;dropping-particle&quot;:&quot;&quot;,&quot;non-dropping-particle&quot;:&quot;&quot;},{&quot;family&quot;:&quot;Lesani&quot;,&quot;given&quot;:&quot;Pooria&quot;,&quot;parse-names&quot;:false,&quot;dropping-particle&quot;:&quot;&quot;,&quot;non-dropping-particle&quot;:&quot;&quot;},{&quot;family&quot;:&quot;Lu&quot;,&quot;given&quot;:&quot;Zufu&quot;,&quot;parse-names&quot;:false,&quot;dropping-particle&quot;:&quot;&quot;,&quot;non-dropping-particle&quot;:&quot;&quot;},{&quot;family&quot;:&quot;Zreiqat&quot;,&quot;given&quot;:&quot;Hala&quot;,&quot;parse-names&quot;:false,&quot;dropping-particle&quot;:&quot;&quot;,&quot;non-dropping-particle&quot;:&quot;&quot;}],&quot;container-title&quot;:&quot;Stem Cell Reviews and Reports&quot;,&quot;container-title-short&quot;:&quot;Stem Cell Rev. Rep.&quot;,&quot;DOI&quot;:&quot;10.1007/s12015-024-10707-5&quot;,&quot;ISSN&quot;:&quot;26293277&quot;,&quot;PMID&quot;:&quot;38472643&quot;,&quot;issued&quot;:{&quot;date-parts&quot;:[[2024,5,1]]},&quot;page&quot;:&quot;1106-1120&quot;,&quot;abstract&quot;:&quot;The regenerative function of stem cells is compromised when the proportion of senescent stem cells increases with ageing advance. Therefore, combating stem cell senescence is of great importance for stem cell-based tissue engineering in the elderly, but remains largely unexplored. Osteopontin (OPN), a glycosylated phosphoprotein, is one of the key extracellular matrix molecules in bone tissue. OPN activates various signalling pathways and modulates cellular activities, including cell senescence. However, the role of OPN in stem cell senescence remains largely unknown. This study aims to investigate if OPN modulates cell senescence and bone regenerative function in human adipose-derived mesenchymal stem cells (ASCs), and to determine the underlying mechanisms. We first developed a senescent ASC model using serial passaging until passage 10 (P10), in which senescent cells were characterised by reduced proliferation and osteogenic differentiation capacity compared to P4 ASCs. The conditioned medium from P10 ASCs exhibited a diminished trophic effect on human osteoblasts (HOBs), compared to that from P4 ASCs. P10 ASCs on OPN-coated surface showed rejuvenated phenotype and enhanced osteogenic differentiation. The conditioned medium from P10 ASCs on OPN-coating improved trophic effects on HOBs. OPN regulated the morphology of senescent ASCs, transforming them from a more rounded and flattened cell shape to an elongated shape with a smaller area. These findings demonstrated the effects of OPN in restoring senescent ASCs functions, possibly through a mechanism that involves the modulation of cell morphology, indicating that OPN might hold a great potential for rejuvenating senescent stem cells and could potentially open a new venue for regenerating bone tissue in age-related diseases. Graphical Abstract: (Figure presented.)&quot;,&quot;publisher&quot;:&quot;Springer&quot;,&quot;issue&quot;:&quot;4&quot;,&quot;volume&quot;:&quot;20&quot;},&quot;isTemporary&quot;:false,&quot;suppress-author&quot;:false,&quot;composite&quot;:false,&quot;author-only&quot;:false}],&quot;citationTag&quot;:&quot;MENDELEY_CITATION_v3_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&quot;},{&quot;citationID&quot;:&quot;MENDELEY_CITATION_f9efe8d4-97dc-4869-a18d-9794dc9784d9&quot;,&quot;properties&quot;:{&quot;noteIndex&quot;:0},&quot;isEdited&quot;:false,&quot;manualOverride&quot;:{&quot;isManuallyOverridden&quot;:false,&quot;citeprocText&quot;:&quot;(S. N. Kim et al., 2021)&quot;,&quot;manualOverrideText&quot;:&quot;&quot;},&quot;citationItems&quot;:[{&quot;id&quot;:&quot;19d6fec9-fa2e-3fe3-991b-73bf93ccdb1c&quot;,&quot;itemData&quot;:{&quot;type&quot;:&quot;article-journal&quot;,&quot;id&quot;:&quot;19d6fec9-fa2e-3fe3-991b-73bf93ccdb1c&quot;,&quot;title&quot;:&quot;Culturing at Low Cell Density Delays Cellular Senescence of Human Bone Marrow-Derived Mesenchymal Stem Cells in Long-Term Cultures&quot;,&quot;author&quot;:[{&quot;family&quot;:&quot;Kim&quot;,&quot;given&quot;:&quot;Si Na&quot;,&quot;parse-names&quot;:false,&quot;dropping-particle&quot;:&quot;&quot;,&quot;non-dropping-particle&quot;:&quot;&quot;},{&quot;family&quot;:&quot;Choi&quot;,&quot;given&quot;:&quot;Byeol&quot;,&quot;parse-names&quot;:false,&quot;dropping-particle&quot;:&quot;&quot;,&quot;non-dropping-particle&quot;:&quot;&quot;},{&quot;family&quot;:&quot;Lee&quot;,&quot;given&quot;:&quot;Chan Ju&quot;,&quot;parse-names&quot;:false,&quot;dropping-particle&quot;:&quot;&quot;,&quot;non-dropping-particle&quot;:&quot;&quot;},{&quot;family&quot;:&quot;Moon&quot;,&quot;given&quot;:&quot;Jeong Hyun&quot;,&quot;parse-names&quot;:false,&quot;dropping-particle&quot;:&quot;&quot;,&quot;non-dropping-particle&quot;:&quot;&quot;},{&quot;family&quot;:&quot;Kim&quot;,&quot;given&quot;:&quot;Min Kyoung&quot;,&quot;parse-names&quot;:false,&quot;dropping-particle&quot;:&quot;&quot;,&quot;non-dropping-particle&quot;:&quot;&quot;},{&quot;family&quot;:&quot;Chung&quot;,&quot;given&quot;:&quot;Eunkyung&quot;,&quot;parse-names&quot;:false,&quot;dropping-particle&quot;:&quot;&quot;,&quot;non-dropping-particle&quot;:&quot;&quot;},{&quot;family&quot;:&quot;Song&quot;,&quot;given&quot;:&quot;Sun Uk&quot;,&quot;parse-names&quot;:false,&quot;dropping-particle&quot;:&quot;&quot;,&quot;non-dropping-particle&quot;:&quot;&quot;}],&quot;container-title&quot;:&quot;International Journal of Stem Cells&quot;,&quot;container-title-short&quot;:&quot;Int. J. Stem Cells&quot;,&quot;DOI&quot;:&quot;10.15283/ijsc20078&quot;,&quot;ISSN&quot;:&quot;20055447&quot;,&quot;issued&quot;:{&quot;date-parts&quot;:[[2021]]},&quot;page&quot;:&quot;103-111&quot;,&quot;abstract&quot;:&quot;Background and Objectives: Mesenchymal stem cells (MSCs) have immense therapeutic potential for treating intractable and immune diseases. They also have applications in regenerative medicine in which distinct treatments do not exist. Thus, MSCs are gaining attention as important raw materials in the field of cell therapy. Importantly, the number of MSCs in the bone marrow is limited and they are present only in small quantities. Therefore, mass production of MSCs through long-term culture is necessary to use them in cell therapy. However, MSCs undergo cellular senescence through repeated passages during mass production. In this study, we explored methods to prolong the limited lifetime of MSCs by culturing them with different seeding densities. Methods and Results: We observed that in long-term cultures, low-density (LD, 50 cells/cm2) MSCs showed higher population doubling level, leading to greater fold increase, than high-density (HD, 4,000 cells/cm2) MSCs. LD-MSCs suppressed the expression of aging-related genes. We also showed that reactive oxygen species (ROS) were decreased in LD-MSCs compared to that in HD-MSCs. Further, proliferation potential increased when ROS were inhibited in HD-MSCs. Conclusions: The results in this study suggest that MSC senescence can be delayed and that life span can be extended by controlling cell density in vitro. These results can be used as important data for the mass production of stem cell therapeutic products.&quot;,&quot;publisher&quot;:&quot;Sungkyunkwan University&quot;,&quot;issue&quot;:&quot;1&quot;,&quot;volume&quot;:&quot;14&quot;},&quot;isTemporary&quot;:false}],&quot;citationTag&quot;:&quot;MENDELEY_CITATION_v3_eyJjaXRhdGlvbklEIjoiTUVOREVMRVlfQ0lUQVRJT05fZjllZmU4ZDQtOTdkYy00ODY5LWExOGQtOTc5NGRjOTc4NGQ5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quot;},{&quot;citationID&quot;:&quot;MENDELEY_CITATION_1eb45c76-03de-4084-968d-776def3598bf&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MWViNDVjNzYtMDNkZS00MDg0LTk2OGQtNzc2ZGVmMzU5OGJm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cd60c9cb-f680-4e6c-875c-9d0b80de659f&quot;,&quot;properties&quot;:{&quot;noteIndex&quot;:0},&quot;isEdited&quot;:false,&quot;manualOverride&quot;:{&quot;isManuallyOverridden&quot;:false,&quot;citeprocText&quot;:&quot;(Wenjing et al., 2024a)&quot;,&quot;manualOverrideText&quot;:&quot;&quot;},&quot;citationItems&quot;:[{&quot;id&quot;:&quot;42cda071-b00c-3b4b-bbd2-78bf1c36bd55&quot;,&quot;itemData&quot;:{&quot;type&quot;:&quot;article-journal&quot;,&quot;id&quot;:&quot;42cda071-b00c-3b4b-bbd2-78bf1c36bd55&quot;,&quot;title&quot;:&quot;Effects of long-term subculture on biological characteristics of bone marrow mesenchymal stem cells&quot;,&quot;author&quot;:[{&quot;family&quot;:&quot;Wenjing&quot;,&quot;given&quot;:&quot;Zhao&quot;,&quot;parse-names&quot;:false,&quot;dropping-particle&quot;:&quot;&quot;,&quot;non-dropping-particle&quot;:&quot;&quot;},{&quot;family&quot;:&quot;Baikun&quot;,&quot;given&quot;:&quot;Liu&quot;,&quot;parse-names&quot;:false,&quot;dropping-particle&quot;:&quot;&quot;,&quot;non-dropping-particle&quot;:&quot;&quot;},{&quot;family&quot;:&quot;Qiulian&quot;,&quot;given&quot;:&quot;Li&quot;,&quot;parse-names&quot;:false,&quot;dropping-particle&quot;:&quot;&quot;,&quot;non-dropping-particle&quot;:&quot;&quot;},{&quot;family&quot;:&quot;Xi&quot;,&quot;given&quot;:&quot;Chen&quot;,&quot;parse-names&quot;:false,&quot;dropping-particle&quot;:&quot;&quot;,&quot;non-dropping-particle&quot;:&quot;&quot;}],&quot;container-title&quot;:&quot;Chinese Journal of Tissue Engineering Research&quot;,&quot;DOI&quot;:&quot;10.12307/2024.702&quot;,&quot;ISSN&quot;:&quot;20954344&quot;,&quot;issued&quot;:{&quot;date-parts&quot;:[[2024,11,8]]},&quot;page&quot;:&quot;4926-4930&quot;,&quot;abstract&quot;:&quot;BACKGROUND: There is still controversy whether human bone marrow mesenchymal stem cells can maintain their biological characteristics, energy metabolism patterns, and multidirectional differentiation potential after long-term expression in vitro. Further comprehensive and systematic research is needed. OBJECTIVE: To evaluate the effects of long-term expansion in vitro on the biological characteristics of mesenchymal stem cells. METHODS: Human bone marrow mesenchymal stem cells cultured to passage 5, 10, and 15 in vitro. MTT assay was used to detect cell proliferation ability. Flow cytometry was used to detect cell cycle. The multi-differentiation potential of mesenchymal stem cells was detected by inducing to adipogenic, osteogenic and chondrogenic differentiation. Cell migration and invasion abilities were detected by scratch test and Transwell assay. The mitochondrial oxidative phosphorylation and glycolysis function were analyzed using energy metabolism analyzer. The cell senescence was detected by senescence-associated β-galactosidase staining. The expression levels of p21, p16, and p53 proteins were detected by western blot assay. RESULTS AND CONCLUSION: Bone marrow mesenchymal stem cells at passages 5, 10, and 15 grew adherently; the volume of passage 15 mesenchymal stem cells increased and its proliferation ability decreased; the percentage of S-phase cells decreased (P &lt; 0.05). With the increase of culture passages, the migration and invasion abilities decreased gradually (P &lt; 0.05). There was no significant difference in the differentiation potential, demonstrated by adipogenic, osteogenic and chondrogenesis induction. The ability of oxidative phosphorylation of mitochondria and glycolysis decreased gradually (P &lt; 0.05). The number of senescence-associated β-galactosidase-positive cells increased with the increase of passages (P &lt; 0.05), and the expression of senescence protein p21, p16, and p53 increased gradually (P &lt; 0.05). The results indicated that the biological characterization of mesenchymal stem cells changed after long-term in vitro expansion. Mesenchymal stem cells cultured over 10 passages may have a reduced activity due to increasing senescence. Therefore, bone marrow mesenchymal stem cells cultured less than 10 passages are suitable for clinical research/therapy.&quot;,&quot;publisher&quot;:&quot;Publishing House of Chinese Journal of Tissue Engineering Research&quot;,&quot;issue&quot;:&quot;31&quot;,&quot;volume&quot;:&quot;28&quot;,&quot;container-title-short&quot;:&quot;&quot;},&quot;isTemporary&quot;:false}],&quot;citationTag&quot;:&quot;MENDELEY_CITATION_v3_eyJjaXRhdGlvbklEIjoiTUVOREVMRVlfQ0lUQVRJT05fY2Q2MGM5Y2ItZjY4MC00ZTZjLTg3NWMtOWQwYjgwZGU2NTlm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quot;},{&quot;citationID&quot;:&quot;MENDELEY_CITATION_82a7a6fe-4315-43b0-ad90-6ee548dfeed5&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ODJhN2E2ZmUtNDMxNS00M2IwLWFkOTAtNmVlNTQ4ZGZlZWQ1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3e733e6f-d6f8-4eee-8040-6e7f381d3d7a&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M2U3MzNlNmYtZDZmOC00ZWVlLTgwNDAtNmU3ZjM4MWQzZDdh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e3e48a32-fb1a-438a-8822-6f0228884700&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ZTNlNDhhMzItZmIxYS00MzhhLTg4MjItNmYwMjI4ODg0NzAw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ad06441a-210f-4de0-b6fa-4bc1be2e58ed&quot;,&quot;properties&quot;:{&quot;noteIndex&quot;:0},&quot;isEdited&quot;:false,&quot;manualOverride&quot;:{&quot;isManuallyOverridden&quot;:false,&quot;citeprocText&quot;:&quot;(Hu et al., 2024)&quot;,&quot;manualOverrideText&quot;:&quot;&quot;},&quot;citationItems&quot;:[{&quot;id&quot;:&quot;9af30380-bf16-3ea8-9781-e39dc9838f01&quot;,&quot;itemData&quot;:{&quot;type&quot;:&quot;article-journal&quot;,&quot;id&quot;:&quot;9af30380-bf16-3ea8-9781-e39dc9838f01&quot;,&quot;title&quot;:&quot;Metabolomics Dysfunction in Replicative Senescence of Periodontal Ligament Stem Cells Regulated by AMPK Signaling Pathway&quot;,&quot;author&quot;:[{&quot;family&quot;:&quot;Hu&quot;,&quot;given&quot;:&quot;Meilin&quot;,&quot;parse-names&quot;:false,&quot;dropping-particle&quot;:&quot;&quot;,&quot;non-dropping-particle&quot;:&quot;&quot;},{&quot;family&quot;:&quot;Liu&quot;,&quot;given&quot;:&quot;Ruiqi&quot;,&quot;parse-names&quot;:false,&quot;dropping-particle&quot;:&quot;&quot;,&quot;non-dropping-particle&quot;:&quot;&quot;},{&quot;family&quot;:&quot;Chen&quot;,&quot;given&quot;:&quot;Xiaoyu&quot;,&quot;parse-names&quot;:false,&quot;dropping-particle&quot;:&quot;&quot;,&quot;non-dropping-particle&quot;:&quot;&quot;},{&quot;family&quot;:&quot;Yan&quot;,&quot;given&quot;:&quot;Shen&quot;,&quot;parse-names&quot;:false,&quot;dropping-particle&quot;:&quot;&quot;,&quot;non-dropping-particle&quot;:&quot;&quot;},{&quot;family&quot;:&quot;Gao&quot;,&quot;given&quot;:&quot;Jian&quot;,&quot;parse-names&quot;:false,&quot;dropping-particle&quot;:&quot;&quot;,&quot;non-dropping-particle&quot;:&quot;&quot;},{&quot;family&quot;:&quot;Zhang&quot;,&quot;given&quot;:&quot;Yao&quot;,&quot;parse-names&quot;:false,&quot;dropping-particle&quot;:&quot;&quot;,&quot;non-dropping-particle&quot;:&quot;&quot;},{&quot;family&quot;:&quot;Wu&quot;,&quot;given&quot;:&quot;Di&quot;,&quot;parse-names&quot;:false,&quot;dropping-particle&quot;:&quot;&quot;,&quot;non-dropping-particle&quot;:&quot;&quot;},{&quot;family&quot;:&quot;Sun&quot;,&quot;given&quot;:&quot;Lu&quot;,&quot;parse-names&quot;:false,&quot;dropping-particle&quot;:&quot;&quot;,&quot;non-dropping-particle&quot;:&quot;&quot;},{&quot;family&quot;:&quot;Jia&quot;,&quot;given&quot;:&quot;Zhi&quot;,&quot;parse-names&quot;:false,&quot;dropping-particle&quot;:&quot;&quot;,&quot;non-dropping-particle&quot;:&quot;&quot;},{&quot;family&quot;:&quot;Sun&quot;,&quot;given&quot;:&quot;Guangyunhao&quot;,&quot;parse-names&quot;:false,&quot;dropping-particle&quot;:&quot;&quot;,&quot;non-dropping-particle&quot;:&quot;&quot;},{&quot;family&quot;:&quot;Liu&quot;,&quot;given&quot;:&quot;Dayong&quot;,&quot;parse-names&quot;:false,&quot;dropping-particle&quot;:&quot;&quot;,&quot;non-dropping-particle&quot;:&quot;&quot;}],&quot;container-title&quot;:&quot;Stem Cells and Development&quot;,&quot;container-title-short&quot;:&quot;Stem Cells Dev.&quot;,&quot;DOI&quot;:&quot;10.1089/scd.2024.0112&quot;,&quot;ISSN&quot;:&quot;15578534&quot;,&quot;PMID&quot;:&quot;39302052&quot;,&quot;issued&quot;:{&quot;date-parts&quot;:[[2024,11,1]]},&quot;page&quot;:&quot;607-615&quot;,&quot;abstract&quot;:&quot;Periodontal ligament mesenchymal stem cells (PDLSCs) are a promising cell resource for stem cell-based regenerative medicine in dentistry, but they inevitably acquire a senescent phenotype after prolonged in vitro expansion. The key regulators of PDLSCs during replicative senescence remain unclear. Here, we sought to elucidate the role of metabolomic changes in determining the cellular senescence of PDLSCs. PDLSCs were cultured to passages 4, 10, and 20. The senescent phenotypes of PDLSCs were detected, and metabolomics analysis was performed. We found that PDLSCs manifested senescence phenotype during passaging. Metabolomics analysis showed that the metabolism of replicative senescence in PDLSCs varied significantly. The AMP-activated protein kinase (AMPK) signaling pathway was closely related to adenosine monophosphate (AMP) levels. The AMP:ATP ratio increased in senescent PDLSCs; however, the levels of p-AMPK, FOXO1 and FOXO3a decreased with senescence. We treated PDLSCs with an activator of the AMPK pathway (AICAR) and observed that the phosphorylated AMPK level at P20 PDLSCs was partially restored. These data delineate that the metabolic process of PDLSCs is active in the early stage of senescence and attenuated in the later stages of senescence; however, the sensitivity of AMPK phosphorylation sites is impaired, causing senescent PDLSCs to fail to respond to changes in energy metabolism.&quot;,&quot;publisher&quot;:&quot;Mary Ann Liebert Inc.&quot;,&quot;issue&quot;:&quot;21-22&quot;,&quot;volume&quot;:&quot;33&quot;},&quot;isTemporary&quot;:false}],&quot;citationTag&quot;:&quot;MENDELEY_CITATION_v3_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&quot;},{&quot;citationID&quot;:&quot;MENDELEY_CITATION_28635152-c57e-46c0-99cb-ff987f5b0640&quot;,&quot;properties&quot;:{&quot;noteIndex&quot;:0},&quot;isEdited&quot;:false,&quot;manualOverride&quot;:{&quot;isManuallyOverridden&quot;:false,&quot;citeprocText&quot;:&quot;(Jia et al., 2025)&quot;,&quot;manualOverrideText&quot;:&quot;&quot;},&quot;citationItems&quot;:[{&quot;id&quot;:&quot;f6ed90fb-92d0-349d-8048-b61b5e28fa81&quot;,&quot;itemData&quot;:{&quot;type&quot;:&quot;article-journal&quot;,&quot;id&quot;:&quot;f6ed90fb-92d0-349d-8048-b61b5e28fa81&quot;,&quot;title&quot;:&quot;Senolytic elimination of senescent cells improved periodontal ligament stem cell-based bone regeneration partially through inhibiting YAP&quot;,&quot;author&quot;:[{&quot;family&quot;:&quot;Jia&quot;,&quot;given&quot;:&quot;Linglu&quot;,&quot;parse-names&quot;:false,&quot;dropping-particle&quot;:&quot;&quot;,&quot;non-dropping-particle&quot;:&quot;&quot;},{&quot;family&quot;:&quot;Xiao&quot;,&quot;given&quot;:&quot;Han&quot;,&quot;parse-names&quot;:false,&quot;dropping-particle&quot;:&quot;&quot;,&quot;non-dropping-particle&quot;:&quot;&quot;},{&quot;family&quot;:&quot;Hao&quot;,&quot;given&quot;:&quot;Zhenghao&quot;,&quot;parse-names&quot;:false,&quot;dropping-particle&quot;:&quot;&quot;,&quot;non-dropping-particle&quot;:&quot;&quot;},{&quot;family&quot;:&quot;Sun&quot;,&quot;given&quot;:&quot;Shaoqing&quot;,&quot;parse-names&quot;:false,&quot;dropping-particle&quot;:&quot;&quot;,&quot;non-dropping-particle&quot;:&quot;&quot;},{&quot;family&quot;:&quot;Zhao&quot;,&quot;given&quot;:&quot;Wenxi&quot;,&quot;parse-names&quot;:false,&quot;dropping-particle&quot;:&quot;&quot;,&quot;non-dropping-particle&quot;:&quot;&quot;},{&quot;family&quot;:&quot;Gong&quot;,&quot;given&quot;:&quot;Zikai&quot;,&quot;parse-names&quot;:false,&quot;dropping-particle&quot;:&quot;&quot;,&quot;non-dropping-particle&quot;:&quot;&quot;},{&quot;family&quot;:&quot;Gu&quot;,&quot;given&quot;:&quot;Weiting&quot;,&quot;parse-names&quot;:false,&quot;dropping-particle&quot;:&quot;&quot;,&quot;non-dropping-particle&quot;:&quot;&quot;},{&quot;family&quot;:&quot;Wen&quot;,&quot;given&quot;:&quot;Yong&quot;,&quot;parse-names&quot;:false,&quot;dropping-particle&quot;:&quot;&quot;,&quot;non-dropping-particle&quot;:&quot;&quot;}],&quot;container-title&quot;:&quot;Biochimica et Biophysica Acta - Molecular Cell Research&quot;,&quot;container-title-short&quot;:&quot;Biochim. Biophys. Acta Mol. Cell Res.&quot;,&quot;DOI&quot;:&quot;10.1016/j.bbamcr.2025.119921&quot;,&quot;ISSN&quot;:&quot;18792596&quot;,&quot;PMID&quot;:&quot;39971252&quot;,&quot;issued&quot;:{&quot;date-parts&quot;:[[2025,3,1]]},&quot;abstract&quot;:&quot;Periodontal ligament stem cell (PDLSC)-based tissue engineering is an important method to promote periodontal tissue regeneration. However, PDLSCs are susceptible to the effects of replicative senescence, leading to reduced proliferation and differentiation abilities and weakened tissue regeneration potential. Senolytics (the combination of dasatinib and quercetin) are drugs that inhibit cellular aging through inducing the apoptosis of senescent cells, but whether they have positive effects during the senescence of PDLSCs is unknown. The present study established a long-term in vitro culture model of PDLSCs and then analyzed the effects of senolytics on the senescence, apoptosis, and osteogenic differentiation of PDLSCs in vitro and PDLSC-based tissue regeneration in vivo. The results showed that senolytics delayed the process of aging in prolonged-cultured PDLSCs and promoted the elimination and apoptosis of senescent cells. Moreover, senolytics improved the osteogenic differentiation ability of both young and senescent PDLSCs in vitro and promoted PDLSC-based alveolar bone regeneration in vivo. Furthermore, senolytics inhibited the expression of YAP in senescent PDLSCs. Their antiaging effects were enhanced when combined with the YAP inhibitor verteporfin, but were inhibited when combined with the YAP activator NIBR-LTSi. Taken together, these findings suggest that senolytics promoted the elimination of senescent PDLSCs and enhanced senescent PDLSC-based bone regeneration, partially through the inhibition of YAP expression.&quot;,&quot;publisher&quot;:&quot;Elsevier B.V.&quot;,&quot;issue&quot;:&quot;3&quot;,&quot;volume&quot;:&quot;1872&quot;},&quot;isTemporary&quot;:false}],&quot;citationTag&quot;:&quot;MENDELEY_CITATION_v3_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&quot;},{&quot;citationID&quot;:&quot;MENDELEY_CITATION_f39bcf01-844c-40c0-a8bb-e7230410b48c&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ZjM5YmNmMDEtODQ0Yy00MGMwLWE4YmItZTcyMzA0MTBiNDhj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3e93293b-1ab4-4b26-a819-c06cbbc699e9&quot;,&quot;properties&quot;:{&quot;noteIndex&quot;:0},&quot;isEdited&quot;:false,&quot;manualOverride&quot;:{&quot;isManuallyOverridden&quot;:false,&quot;citeprocText&quot;:&quot;(Yang et al., 2021)&quot;,&quot;manualOverrideText&quot;:&quot;&quot;},&quot;citationItems&quot;:[{&quot;id&quot;:&quot;7de7e333-6333-3412-ae5e-bfca4c606e3e&quot;,&quot;itemData&quot;:{&quot;type&quot;:&quot;article-journal&quot;,&quot;id&quot;:&quot;7de7e333-6333-3412-ae5e-bfca4c606e3e&quot;,&quot;title&quot;:&quot;Vitamin C alleviates the senescence of periodontal ligament stem cells through inhibition of Notch3 during long-term culture&quot;,&quot;author&quot;:[{&quot;family&quot;:&quot;Yang&quot;,&quot;given&quot;:&quot;Yan&quot;,&quot;parse-names&quot;:false,&quot;dropping-particle&quot;:&quot;&quot;,&quot;non-dropping-particle&quot;:&quot;&quot;},{&quot;family&quot;:&quot;Wang&quot;,&quot;given&quot;:&quot;Tao&quot;,&quot;parse-names&quot;:false,&quot;dropping-particle&quot;:&quot;&quot;,&quot;non-dropping-particle&quot;:&quot;&quot;},{&quot;family&quot;:&quot;Zhang&quot;,&quot;given&quot;:&quot;Sicheng&quot;,&quot;parse-names&quot;:false,&quot;dropping-particle&quot;:&quot;&quot;,&quot;non-dropping-particle&quot;:&quot;&quot;},{&quot;family&quot;:&quot;Jia&quot;,&quot;given&quot;:&quot;Sixun&quot;,&quot;parse-names&quot;:false,&quot;dropping-particle&quot;:&quot;&quot;,&quot;non-dropping-particle&quot;:&quot;&quot;},{&quot;family&quot;:&quot;Chen&quot;,&quot;given&quot;:&quot;Hong&quot;,&quot;parse-names&quot;:false,&quot;dropping-particle&quot;:&quot;&quot;,&quot;non-dropping-particle&quot;:&quot;&quot;},{&quot;family&quot;:&quot;Duan&quot;,&quot;given&quot;:&quot;Yufeng&quot;,&quot;parse-names&quot;:false,&quot;dropping-particle&quot;:&quot;&quot;,&quot;non-dropping-particle&quot;:&quot;&quot;},{&quot;family&quot;:&quot;Wang&quot;,&quot;given&quot;:&quot;Shikai&quot;,&quot;parse-names&quot;:false,&quot;dropping-particle&quot;:&quot;&quot;,&quot;non-dropping-particle&quot;:&quot;&quot;},{&quot;family&quot;:&quot;Chen&quot;,&quot;given&quot;:&quot;Guoqing&quot;,&quot;parse-names&quot;:false,&quot;dropping-particle&quot;:&quot;&quot;,&quot;non-dropping-particle&quot;:&quot;&quot;},{&quot;family&quot;:&quot;Tian&quot;,&quot;given&quot;:&quot;Weidong&quot;,&quot;parse-names&quot;:false,&quot;dropping-particle&quot;:&quot;&quot;,&quot;non-dropping-particle&quot;:&quot;&quot;}],&quot;container-title&quot;:&quot;Journal of Cellular Physiology&quot;,&quot;container-title-short&quot;:&quot;J. Cell. Physiol.&quot;,&quot;DOI&quot;:&quot;10.1002/jcp.29930&quot;,&quot;ISSN&quot;:&quot;10974652&quot;,&quot;PMID&quot;:&quot;32662081&quot;,&quot;issued&quot;:{&quot;date-parts&quot;:[[2021,2,1]]},&quot;page&quot;:&quot;1237-1251&quot;,&quot;abstract&quot;:&quot;Periodontal ligament stem cells (PDLSCs), as potential “seed cells” for periodontal tissue repair and regeneration, require to be expanded in vitro for a large scale. Senescence of PDLSCs occurred during long-term culture may compromise the therapeutic effects of PDLSCs. Medium supplements may be useful in antisenescence. However, the effects and mechanisms of vitamin C (Vc) treatment on PDLSCs during long-term culture are still unclear. In this study, we identified that Vc-treated PDLSCs cells maintained a slender morphology, higher growth rate and migration capacity, stemness, and osteogenic differentiation capability during a long-term culture. Moreover, we also identified that Notch3 was significantly upregulated during the cell senescence, and Vc treatment alleviated the senescence of PDLSCs through inhibition of Notch3 during long-term culture. In summary, Vc treatment suppressed PDLSCs senescence by reducing the expression of Notch3 and might be a simple and useful strategy to inhibit cellular senescence during the cell long-term culture.&quot;,&quot;publisher&quot;:&quot;Wiley-Liss Inc.&quot;,&quot;issue&quot;:&quot;2&quot;,&quot;volume&quot;:&quot;236&quot;},&quot;isTemporary&quot;:false,&quot;suppress-author&quot;:false,&quot;composite&quot;:false,&quot;author-only&quot;:false}],&quot;citationTag&quot;:&quot;MENDELEY_CITATION_v3_eyJjaXRhdGlvbklEIjoiTUVOREVMRVlfQ0lUQVRJT05fM2U5MzI5M2ItMWFiNC00YjI2LWE4MTktYzA2Y2JiYzY5OWU5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quot;},{&quot;citationID&quot;:&quot;MENDELEY_CITATION_a87f1141-cf1a-4c83-accf-6dee022ead31&quot;,&quot;properties&quot;:{&quot;noteIndex&quot;:0},&quot;isEdited&quot;:false,&quot;manualOverride&quot;:{&quot;isManuallyOverridden&quot;:false,&quot;citeprocText&quot;:&quot;(Christodoulou et al., 2013)&quot;,&quot;manualOverrideText&quot;:&quot;&quot;},&quot;citationItems&quot;:[{&quot;id&quot;:&quot;16505905-171c-3bc6-bb85-290e48b9a0e1&quot;,&quot;itemData&quot;:{&quot;type&quot;:&quot;article-journal&quot;,&quot;id&quot;:&quot;16505905-171c-3bc6-bb85-290e48b9a0e1&quot;,&quot;title&quot;:&quot;Comparative evaluation of human mesenchymal stem cells of fetal (Wharton's Jelly) and adult (adipose tissue) origin during prolonged in vitro expansion: Considerations for cytotherapy&quot;,&quot;author&quot;:[{&quot;family&quot;:&quot;Christodoulou&quot;,&quot;given&quot;:&quot;I.&quot;,&quot;parse-names&quot;:false,&quot;dropping-particle&quot;:&quot;&quot;,&quot;non-dropping-particle&quot;:&quot;&quot;},{&quot;family&quot;:&quot;Kolisis&quot;,&quot;given&quot;:&quot;F. N.&quot;,&quot;parse-names&quot;:false,&quot;dropping-particle&quot;:&quot;&quot;,&quot;non-dropping-particle&quot;:&quot;&quot;},{&quot;family&quot;:&quot;Papaevangeliou&quot;,&quot;given&quot;:&quot;D.&quot;,&quot;parse-names&quot;:false,&quot;dropping-particle&quot;:&quot;&quot;,&quot;non-dropping-particle&quot;:&quot;&quot;},{&quot;family&quot;:&quot;Zoumpourlis&quot;,&quot;given&quot;:&quot;V.&quot;,&quot;parse-names&quot;:false,&quot;dropping-particle&quot;:&quot;&quot;,&quot;non-dropping-particle&quot;:&quot;&quot;}],&quot;container-title&quot;:&quot;Stem Cells International&quot;,&quot;container-title-short&quot;:&quot;Stem Cells Int.&quot;,&quot;DOI&quot;:&quot;10.1155/2013/246134&quot;,&quot;ISSN&quot;:&quot;16879678&quot;,&quot;issued&quot;:{&quot;date-parts&quot;:[[2013]]},&quot;abstract&quot;:&quot;Mesenchymal stem cells (MSCs) are somatic cells with a dual capacity for self-renewal and differentiation, and diverse therapeutic applicability, both experimentally and in the clinic. These cells can be isolated from various human tissues that may differ anatomically or developmentally with relative ease. Heterogeneity due to biological origin or in vitro manipulation is, nevertheless, considerable and may equate to differences in qualitative and quantitative characteristics which can prove crucial for successful therapeutic use. With this in mind, in the present study we have evaluated the proliferation kinetics and phenotypic characteristics of MSCs derived from two abundant sources, that is, fetal umbilical cord matrix (Wharton's jelly) and adult adipose tissue (termed WJSC and ADSC, resp.) during prolonged in vitro expansion, a process necessary for obtaining cell numbers sufficient for clinical application. Our results show that WJSC are derived with relatively high efficiency and bear a substantially increased proliferation capacity whilst largely sustaining the expression of typical immunophenotypic markers, whereas ADSC exhibit a reduced proliferation potential showing typical signs of senescence at an early stage. By combining kinetic with phenotypic data we identify culture thresholds up to which both cell types maintain their stem properties, and we discuss the practical implications of their differences. © 2013 I. Christodoulou et al.&quot;},&quot;isTemporary&quot;:false}],&quot;citationTag&quot;:&quot;MENDELEY_CITATION_v3_eyJjaXRhdGlvbklEIjoiTUVOREVMRVlfQ0lUQVRJT05fYTg3ZjExNDEtY2YxYS00YzgzLWFjY2YtNmRlZTAyMmVhZDMx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quot;},{&quot;citationID&quot;:&quot;MENDELEY_CITATION_bafe8f4a-0ac5-48d6-a28f-94c37eaf00e1&quot;,&quot;properties&quot;:{&quot;noteIndex&quot;:0},&quot;isEdited&quot;:false,&quot;manualOverride&quot;:{&quot;isManuallyOverridden&quot;:false,&quot;citeprocText&quot;:&quot;(Zhuang et al., 2015)&quot;,&quot;manualOverrideText&quot;:&quot;&quot;},&quot;citationItems&quot;:[{&quot;id&quot;:&quot;0aa0909d-6440-31dd-a01e-94504375040b&quot;,&quot;itemData&quot;:{&quot;type&quot;:&quot;article-journal&quot;,&quot;id&quot;:&quot;0aa0909d-6440-31dd-a01e-94504375040b&quot;,&quot;title&quot;:&quot;Comparison of biological properties of umbilical cord.derived mesenchymal stem cells from early and late passages: Immunomodulatory ability is enhanced in aged cells&quot;,&quot;author&quot;:[{&quot;family&quot;:&quot;Zhuang&quot;,&quot;given&quot;:&quot;Yong&quot;,&quot;parse-names&quot;:false,&quot;dropping-particle&quot;:&quot;&quot;,&quot;non-dropping-particle&quot;:&quot;&quot;},{&quot;family&quot;:&quot;Li&quot;,&quot;given&quot;:&quot;Dong&quot;,&quot;parse-names&quot;:false,&quot;dropping-particle&quot;:&quot;&quot;,&quot;non-dropping-particle&quot;:&quot;&quot;},{&quot;family&quot;:&quot;Fu&quot;,&quot;given&quot;:&quot;Jinqiu&quot;,&quot;parse-names&quot;:false,&quot;dropping-particle&quot;:&quot;&quot;,&quot;non-dropping-particle&quot;:&quot;&quot;},{&quot;family&quot;:&quot;Shi&quot;,&quot;given&quot;:&quot;Qing&quot;,&quot;parse-names&quot;:false,&quot;dropping-particle&quot;:&quot;&quot;,&quot;non-dropping-particle&quot;:&quot;&quot;},{&quot;family&quot;:&quot;Lu&quot;,&quot;given&quot;:&quot;Yuanyuan&quot;,&quot;parse-names&quot;:false,&quot;dropping-particle&quot;:&quot;&quot;,&quot;non-dropping-particle&quot;:&quot;&quot;},{&quot;family&quot;:&quot;Ju&quot;,&quot;given&quot;:&quot;Xiuli&quot;,&quot;parse-names&quot;:false,&quot;dropping-particle&quot;:&quot;&quot;,&quot;non-dropping-particle&quot;:&quot;&quot;}],&quot;container-title&quot;:&quot;Molecular Medicine Reports&quot;,&quot;container-title-short&quot;:&quot;Mol. Med. Rep.&quot;,&quot;DOI&quot;:&quot;10.3892/mmr.2014.2755&quot;,&quot;ISSN&quot;:&quot;17913004&quot;,&quot;PMID&quot;:&quot;25339265&quot;,&quot;issued&quot;:{&quot;date-parts&quot;:[[2015,1,1]]},&quot;page&quot;:&quot;166-174&quot;,&quot;abstract&quot;:&quot;Mesenchymal stem cells (MSCs) are a potential source of adult stem cells for cell.based therapeutics due to their substantial multilineage differentiation capacity and secretory functions. No information is presently available regarding the maintenance of immunosuppressive properties of this cell type with repeated passages. It was therefore the aim of the present study to analyze the biological properties, particularly the immunoregulatory effect, of MSCs from late passages. The differences between young and old MSCs in morphology, cell surface antigen phenotype, proliferation, gene expression and immunomodulatory ability were investigated. The results of the current study demonstrated that with the passage of cells, senescent MSCs displayed a characteristically enlarged and flattened morphology, different gene expression profiles and stronger immunosuppressive activities. Increased interleukin-6 production may be a possible underlying mechanism for this enhanced immunomodulatory ability of MSCs. These findings suggest that aged MSCs may provide a treatment option for patients with graft versus host disease and other diseases associated with dysregulation of the immune system.&quot;,&quot;publisher&quot;:&quot;Spandidos Publications&quot;,&quot;issue&quot;:&quot;1&quot;,&quot;volume&quot;:&quot;11&quot;},&quot;isTemporary&quot;:false}],&quot;citationTag&quot;:&quot;MENDELEY_CITATION_v3_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&quot;},{&quot;citationID&quot;:&quot;MENDELEY_CITATION_f8931a3f-96bb-4f01-8af7-f4c0ea10f798&quot;,&quot;properties&quot;:{&quot;noteIndex&quot;:0},&quot;isEdited&quot;:false,&quot;manualOverride&quot;:{&quot;isManuallyOverridden&quot;:false,&quot;citeprocText&quot;:&quot;(Jin et al., 2016)&quot;,&quot;manualOverrideText&quot;:&quot;&quot;},&quot;citationItems&quot;:[{&quot;id&quot;:&quot;44caa3dc-860f-3e8a-a005-c232880c46c4&quot;,&quot;itemData&quot;:{&quot;type&quot;:&quot;article-journal&quot;,&quot;id&quot;:&quot;44caa3dc-860f-3e8a-a005-c232880c46c4&quot;,&quot;title&quot;:&quot;Downregulation of Melanoma Cell Adhesion Molecule (MCAM/CD146) Accelerates Cellular Senescence in Human Umbilical Cord Blood-Derived Mesenchymal Stem Cells&quot;,&quot;author&quot;:[{&quot;family&quot;:&quot;Jin&quot;,&quot;given&quot;:&quot;Hye Jin&quot;,&quot;parse-names&quot;:false,&quot;dropping-particle&quot;:&quot;&quot;,&quot;non-dropping-particle&quot;:&quot;&quot;},{&quot;family&quot;:&quot;Kwon&quot;,&quot;given&quot;:&quot;Ji Hye&quot;,&quot;parse-names&quot;:false,&quot;dropping-particle&quot;:&quot;&quot;,&quot;non-dropping-particle&quot;:&quot;&quot;},{&quot;family&quot;:&quot;Kim&quot;,&quot;given&quot;:&quot;Miyeon&quot;,&quot;parse-names&quot;:false,&quot;dropping-particle&quot;:&quot;&quot;,&quot;non-dropping-particle&quot;:&quot;&quot;},{&quot;family&quot;:&quot;Bae&quot;,&quot;given&quot;:&quot;Yun Kyung&quot;,&quot;parse-names&quot;:false,&quot;dropping-particle&quot;:&quot;&quot;,&quot;non-dropping-particle&quot;:&quot;&quot;},{&quot;family&quot;:&quot;Choi&quot;,&quot;given&quot;:&quot;Soo Jin&quot;,&quot;parse-names&quot;:false,&quot;dropping-particle&quot;:&quot;&quot;,&quot;non-dropping-particle&quot;:&quot;&quot;},{&quot;family&quot;:&quot;Oh&quot;,&quot;given&quot;:&quot;Wonil&quot;,&quot;parse-names&quot;:false,&quot;dropping-particle&quot;:&quot;&quot;,&quot;non-dropping-particle&quot;:&quot;&quot;},{&quot;family&quot;:&quot;Yang&quot;,&quot;given&quot;:&quot;Yoon Sun&quot;,&quot;parse-names&quot;:false,&quot;dropping-particle&quot;:&quot;&quot;,&quot;non-dropping-particle&quot;:&quot;&quot;},{&quot;family&quot;:&quot;Jeon&quot;,&quot;given&quot;:&quot;Hong Bae&quot;,&quot;parse-names&quot;:false,&quot;dropping-particle&quot;:&quot;&quot;,&quot;non-dropping-particle&quot;:&quot;&quot;}],&quot;container-title&quot;:&quot;Stem Cells Translational Medicine&quot;,&quot;container-title-short&quot;:&quot;Stem Cells Transl. Med.&quot;,&quot;DOI&quot;:&quot;10.5966/sctm.2015-0109&quot;,&quot;ISSN&quot;:&quot;2157-6564&quot;,&quot;PMID&quot;:&quot;26941359&quot;,&quot;issued&quot;:{&quot;date-parts&quot;:[[2016,4,1]]},&quot;page&quot;:&quot;427-439&quot;,&quot;abstract&quot;:&quot;UNLABELLED Therapeutic applications of mesenchymal stem cells (MSCs) for treating various diseases have increased in recent years. To ensure that treatment is effective, an adequate MSC dosage should be determined before these cells are used for therapeutic purposes. To obtain a sufficient number of cells for therapeutic applications, MSCs must be expanded in long-term cell culture, which inevitably triggers cellular senescence. In this study, we investigated the surface markers of human umbilical cord blood-derived MSCs (hUCB-MSCs) associated with cellular senescence using fluorescence-activated cell sorting analysis and 242 cell surface-marker antibodies. Among these surface proteins, we selected the melanoma cell adhesion molecule (MCAM/CD146) for further study with the aim of validating observed expression differences and investigating the associated implications in hUCB-MSCs during cellular senescence. We observed that CD146 expression markedly decreased in hUCB-MSCs following prolonged in vitro expansion. Using preparative sorting, we found that hUCB-MSCs with high CD146 expression displayed high growth rates, multilineage differentiation, expression of stemness markers, and telomerase activity, as well as significantly lower expression of the senescence markers p16, p21, p53, and senescence-associated β-galactosidase, compared with that observed in hUCB-MSCs with low-level CD146 expression. In contrast, CD146 downregulation with small interfering RNAs enhanced the senescence phenotype. In addition, CD146 suppression in hUCB-MSCs caused downregulation of other cellular senescence regulators, including Bmi-1, Id1, and Twist1. Collectively, our results suggest that CD146 regulates cellular senescence; thus, it could be used as a therapeutic marker to identify senescent hUCB-MSCs. SIGNIFICANCE One of the fundamental requirements for mesenchymal stem cell (MSC)-based therapies is the expansion of MSCs during long-term culture because a sufficient number of functional cells is required. However, long-term growth inevitably induces cellular senescence, which potentially causes poor clinical outcomes by inducing growth arrest and the loss of stem cell properties. Thus, the identification of markers for evaluating the status of MSC senescence during long-term culture may enhance the success of MSC-based therapy. This study provides strong evidence that CD146 is a novel and useful marker for predicting senescence in human umbilical cord blood-derived MSCs (hUCB-MSCs), and CD146 can potentially be applied in quality-control assessments of hUCB-MSC-based therapy.&quot;,&quot;publisher&quot;:&quot;Oxford University Press (OUP)&quot;,&quot;issue&quot;:&quot;4&quot;,&quot;volume&quot;:&quot;5&quot;},&quot;isTemporary&quot;:false}],&quot;citationTag&quot;:&quot;MENDELEY_CITATION_v3_eyJjaXRhdGlvbklEIjoiTUVOREVMRVlfQ0lUQVRJT05fZjg5MzFhM2YtOTZiYi00ZjAxLThhZjctZjRjMGVhMTBmNzk4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quot;},{&quot;citationID&quot;:&quot;MENDELEY_CITATION_7392acb5-6208-4893-9d49-cc3ce4540871&quot;,&quot;properties&quot;:{&quot;noteIndex&quot;:0},&quot;isEdited&quot;:false,&quot;manualOverride&quot;:{&quot;isManuallyOverridden&quot;:false,&quot;citeprocText&quot;:&quot;(M. Kim et al., 2020)&quot;,&quot;manualOverrideText&quot;:&quot;&quot;},&quot;citationItems&quot;:[{&quot;id&quot;:&quot;cf510979-49b3-3042-b18d-d96fc9baad2b&quot;,&quot;itemData&quot;:{&quot;type&quot;:&quot;article-journal&quot;,&quot;id&quot;:&quot;cf510979-49b3-3042-b18d-d96fc9baad2b&quot;,&quot;title&quot;:&quot;A Small-Sized Population of Human Umbilical Cord Blood-Derived Mesenchymal Stem Cells Shows High Stemness Properties and Therapeutic Benefit&quot;,&quot;author&quot;:[{&quot;family&quot;:&quot;Kim&quot;,&quot;given&quot;:&quot;Miyeon&quot;,&quot;parse-names&quot;:false,&quot;dropping-particle&quot;:&quot;&quot;,&quot;non-dropping-particle&quot;:&quot;&quot;},{&quot;family&quot;:&quot;Bae&quot;,&quot;given&quot;:&quot;Yun Kyung&quot;,&quot;parse-names&quot;:false,&quot;dropping-particle&quot;:&quot;&quot;,&quot;non-dropping-particle&quot;:&quot;&quot;},{&quot;family&quot;:&quot;Um&quot;,&quot;given&quot;:&quot;Soyoun&quot;,&quot;parse-names&quot;:false,&quot;dropping-particle&quot;:&quot;&quot;,&quot;non-dropping-particle&quot;:&quot;&quot;},{&quot;family&quot;:&quot;Kwon&quot;,&quot;given&quot;:&quot;Ji Hye&quot;,&quot;parse-names&quot;:false,&quot;dropping-particle&quot;:&quot;&quot;,&quot;non-dropping-particle&quot;:&quot;&quot;},{&quot;family&quot;:&quot;Kim&quot;,&quot;given&quot;:&quot;Gee Hye&quot;,&quot;parse-names&quot;:false,&quot;dropping-particle&quot;:&quot;&quot;,&quot;non-dropping-particle&quot;:&quot;&quot;},{&quot;family&quot;:&quot;Choi&quot;,&quot;given&quot;:&quot;Soo Jin&quot;,&quot;parse-names&quot;:false,&quot;dropping-particle&quot;:&quot;&quot;,&quot;non-dropping-particle&quot;:&quot;&quot;},{&quot;family&quot;:&quot;Oh&quot;,&quot;given&quot;:&quot;Wonil&quot;,&quot;parse-names&quot;:false,&quot;dropping-particle&quot;:&quot;&quot;,&quot;non-dropping-particle&quot;:&quot;&quot;},{&quot;family&quot;:&quot;Jin&quot;,&quot;given&quot;:&quot;Hye Jin&quot;,&quot;parse-names&quot;:false,&quot;dropping-particle&quot;:&quot;&quot;,&quot;non-dropping-particle&quot;:&quot;&quot;}],&quot;container-title&quot;:&quot;Stem Cells International&quot;,&quot;container-title-short&quot;:&quot;Stem Cells Int.&quot;,&quot;DOI&quot;:&quot;10.1155/2020/5924983&quot;,&quot;ISSN&quot;:&quot;16879678&quot;,&quot;issued&quot;:{&quot;date-parts&quot;:[[2020]]},&quot;abstract&quot;:&quot;Mesenchymal stem cells (MSCs) represent a promising means to promote tissue regeneration. However, the heterogeneity of MSCs impedes their use for regenerative medicine. Further investigation of this phenotype is required to develop cell therapies with improved clinical efficacy. Here, a small-sized population of human umbilical cord blood-derived MSCs (UCB-MSCs) was isolated using a filter and centrifuge system to analyze its stem cell characteristics. Consequently, this population showed higher cell growth and lower senescence. Additionally, it exhibited diverse stem cell properties including differentiation, stemness, and adhesion, as compared to those of the population before isolation. Using cell surface protein array or sorting analysis, both EGFR and CD49f were identified as markers associated with the small-sized population. Accordingly, suppression of these surface proteins abolished the superior characteristics of this population. Moreover, compared to that with large or nonisolated populations, the small-sized population showed greater therapeutic efficacy by promoting the engraftment potential of infused cells and reducing lung damage in an emphysema mouse model. Therefore, the isolation of this small-sized population of UCB-MSCs could be a simple and effective way to enhance the efficacy of cell therapy.&quot;,&quot;publisher&quot;:&quot;Hindawi Limited&quot;,&quot;volume&quot;:&quot;2020&quot;},&quot;isTemporary&quot;:false}],&quot;citationTag&quot;:&quot;MENDELEY_CITATION_v3_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&quot;},{&quot;citationID&quot;:&quot;MENDELEY_CITATION_217eb8f7-8232-4e2d-8d09-8b46b570cbdd&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MjE3ZWI4ZjctODIzMi00ZTJkLThkMDktOGI0NmI1NzBjYmRk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ee9e9a51-948d-4374-965c-c3641ae9a254&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ZWU5ZTlhNTEtOTQ4ZC00Mzc0LTk2NWMtYzM2NDFhZTlhMjU0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531763a8-881b-4894-b672-cf4e34a9f419&quot;,&quot;properties&quot;:{&quot;noteIndex&quot;:0},&quot;isEdited&quot;:false,&quot;manualOverride&quot;:{&quot;isManuallyOverridden&quot;:false,&quot;citeprocText&quot;:&quot;(Alt et al., 2012)&quot;,&quot;manualOverrideText&quot;:&quot;&quot;},&quot;citationItems&quot;:[{&quot;id&quot;:&quot;12b9e8cf-4df1-369a-8388-0dcda1309a4c&quot;,&quot;itemData&quot;:{&quot;type&quot;:&quot;article-journal&quot;,&quot;id&quot;:&quot;12b9e8cf-4df1-369a-8388-0dcda1309a4c&quot;,&quot;title&quot;:&quot;Aging alters tissue resident mesenchymal stem cell properties&quot;,&quot;author&quot;:[{&quot;family&quot;:&quot;Alt&quot;,&quot;given&quot;:&quot;Eckhard U.&quot;,&quot;parse-names&quot;:false,&quot;dropping-particle&quot;:&quot;&quot;,&quot;non-dropping-particle&quot;:&quot;&quot;},{&quot;family&quot;:&quot;Senst&quot;,&quot;given&quot;:&quot;Christiane&quot;,&quot;parse-names&quot;:false,&quot;dropping-particle&quot;:&quot;&quot;,&quot;non-dropping-particle&quot;:&quot;&quot;},{&quot;family&quot;:&quot;Murthy&quot;,&quot;given&quot;:&quot;Subramanyam N.&quot;,&quot;parse-names&quot;:false,&quot;dropping-particle&quot;:&quot;&quot;,&quot;non-dropping-particle&quot;:&quot;&quot;},{&quot;family&quot;:&quot;Slakey&quot;,&quot;given&quot;:&quot;Douglas P.&quot;,&quot;parse-names&quot;:false,&quot;dropping-particle&quot;:&quot;&quot;,&quot;non-dropping-particle&quot;:&quot;&quot;},{&quot;family&quot;:&quot;Dupin&quot;,&quot;given&quot;:&quot;Charles L.&quot;,&quot;parse-names&quot;:false,&quot;dropping-particle&quot;:&quot;&quot;,&quot;non-dropping-particle&quot;:&quot;&quot;},{&quot;family&quot;:&quot;Chaffin&quot;,&quot;given&quot;:&quot;Abigail E.&quot;,&quot;parse-names&quot;:false,&quot;dropping-particle&quot;:&quot;&quot;,&quot;non-dropping-particle&quot;:&quot;&quot;},{&quot;family&quot;:&quot;Kadowitz&quot;,&quot;given&quot;:&quot;Philip J.&quot;,&quot;parse-names&quot;:false,&quot;dropping-particle&quot;:&quot;&quot;,&quot;non-dropping-particle&quot;:&quot;&quot;},{&quot;family&quot;:&quot;Izadpanah&quot;,&quot;given&quot;:&quot;Reza&quot;,&quot;parse-names&quot;:false,&quot;dropping-particle&quot;:&quot;&quot;,&quot;non-dropping-particle&quot;:&quot;&quot;}],&quot;container-title&quot;:&quot;Stem Cell Research&quot;,&quot;container-title-short&quot;:&quot;Stem Cell Res.&quot;,&quot;DOI&quot;:&quot;10.1016/j.scr.2011.11.002&quot;,&quot;ISSN&quot;:&quot;18735061&quot;,&quot;PMID&quot;:&quot;22265741&quot;,&quot;issued&quot;:{&quot;date-parts&quot;:[[2012,3]]},&quot;page&quot;:&quot;215-225&quot;,&quot;abstract&quot;:&quot;Tissue resident mesenchymal stem cells (MSCs) are known to participate in tissue regeneration that follows cell turnover, apoptosis, or necrosis. It has been long known that aging impedes an organism's repair/regeneration capabilities. In order to study the age associated changes, the molecular characteristics of adipose tissue derived MSCs (ASCs) from three age groups of healthy volunteers i.e., young, middle aged, and aged were investigated. The number and multilineage differentiation potential of ASCs declined with age. Aging reduces the proliferative capacity along with increases in cellular senescence. A significant increase in quiescence of G2 and S phase was observed in ASCs from aged donors. The expression of genes related to senescence such as CHEK1 and cyclin-dependent kinase inhibitor p16 ink4a was increased with age, however genes of apoptosis were downregulated. Further, an age-dependent abnormality in the expression of DNA break repair genes was observed. Global microRNA analysis revealed an abnormal expression of mir-27b, mir-106a, mir-199a, and let-7. In ubiquitously distributed adipose tissue (and ASCs), aging brings about important alterations, which might be critical for tissue regeneration and homeostasis. Our findings therefore provide a better understanding of the mechanism(s) involved in stem cell aging and regenerative potential, and this in turn may affect tissue repair that declines with aging. © 2011 Elsevier B.V.&quot;,&quot;issue&quot;:&quot;2&quot;,&quot;volume&quot;:&quot;8&quot;},&quot;isTemporary&quot;:false}],&quot;citationTag&quot;:&quot;MENDELEY_CITATION_v3_eyJjaXRhdGlvbklEIjoiTUVOREVMRVlfQ0lUQVRJT05fNTMxNzYzYTgtODgxYi00ODk0LWI2NzItY2Y0ZTM0YTlmNDE5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quot;},{&quot;citationID&quot;:&quot;MENDELEY_CITATION_5bcd5d5d-072c-448f-b68d-c306e69c8eaa&quot;,&quot;properties&quot;:{&quot;noteIndex&quot;:0},&quot;isEdited&quot;:false,&quot;manualOverride&quot;:{&quot;isManuallyOverridden&quot;:false,&quot;citeprocText&quot;:&quot;(Choudhery et al., 2014)&quot;,&quot;manualOverrideText&quot;:&quot;&quot;},&quot;citationItems&quot;:[{&quot;id&quot;:&quot;d9f4042b-7b3c-3aab-abaf-7834f353e4e8&quot;,&quot;itemData&quot;:{&quot;type&quot;:&quot;report&quot;,&quot;id&quot;:&quot;d9f4042b-7b3c-3aab-abaf-7834f353e4e8&quot;,&quot;title&quot;:&quot;Donor age negatively impacts adipose tissue-derived mesenchymal stem cell expansion and differentiation&quot;,&quot;author&quot;:[{&quot;family&quot;:&quot;Choudhery&quot;,&quot;given&quot;:&quot;Mahmood S&quot;,&quot;parse-names&quot;:false,&quot;dropping-particle&quot;:&quot;&quot;,&quot;non-dropping-particle&quot;:&quot;&quot;},{&quot;family&quot;:&quot;Badowski&quot;,&quot;given&quot;:&quot;Michael&quot;,&quot;parse-names&quot;:false,&quot;dropping-particle&quot;:&quot;&quot;,&quot;non-dropping-particle&quot;:&quot;&quot;},{&quot;family&quot;:&quot;Muise&quot;,&quot;given&quot;:&quot;Angela&quot;,&quot;parse-names&quot;:false,&quot;dropping-particle&quot;:&quot;&quot;,&quot;non-dropping-particle&quot;:&quot;&quot;},{&quot;family&quot;:&quot;Pierce&quot;,&quot;given&quot;:&quot;John&quot;,&quot;parse-names&quot;:false,&quot;dropping-particle&quot;:&quot;&quot;,&quot;non-dropping-particle&quot;:&quot;&quot;},{&quot;family&quot;:&quot;Harris&quot;,&quot;given&quot;:&quot;David T&quot;,&quot;parse-names&quot;:false,&quot;dropping-particle&quot;:&quot;&quot;,&quot;non-dropping-particle&quot;:&quot;&quot;}],&quot;URL&quot;:&quot;http://www.translational-medicine.com/content/12/1/8&quot;,&quot;issued&quot;:{&quot;date-parts&quot;:[[2014]]},&quot;abstract&quot;:&quot;Background: Human adipose tissue is an ideal autologous source of mesenchymal stem cells (MSCs) for various regenerative medicine and tissue engineering strategies. Aged patients are one of the primary target populations for many promising applications. It has long been known that advanced age is negatively correlated with an organism's reparative and regenerative potential, but little and conflicting information is available about the effects of age on the quality of human adipose tissue derived MSCs (hAT-MSCs). Methods: To study the influence of age, the expansion and in vitro differentiation potential of hAT-MSCs from young (&lt;30 years), adult (35-50 years) and aged (&gt;60 years) individuals were investigated. MSCs were characterized for expression of the genes p16 INK4a and p21 along with measurements of population doublings (PD), superoxide dismutase (SOD) activity, cellular senescence and differentiation potential.&quot;,&quot;container-title-short&quot;:&quot;&quot;},&quot;isTemporary&quot;:false}],&quot;citationTag&quot;:&quot;MENDELEY_CITATION_v3_eyJjaXRhdGlvbklEIjoiTUVOREVMRVlfQ0lUQVRJT05fNWJjZDVkNWQtMDcyYy00NDhmLWI2OGQtYzMwNmU2OWM4ZWFh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quot;},{&quot;citationID&quot;:&quot;MENDELEY_CITATION_555e3331-65a5-4eeb-89f7-7732d4935289&quot;,&quot;properties&quot;:{&quot;noteIndex&quot;:0},&quot;isEdited&quot;:false,&quot;manualOverride&quot;:{&quot;isManuallyOverridden&quot;:false,&quot;citeprocText&quot;:&quot;(Kornicka et al., 2015)&quot;,&quot;manualOverrideText&quot;:&quot;&quot;},&quot;citationItems&quot;:[{&quot;id&quot;:&quot;7897c646-2ad8-39c6-a85e-49778acdb199&quot;,&quot;itemData&quot;:{&quot;type&quot;:&quot;article-journal&quot;,&quot;id&quot;:&quot;7897c646-2ad8-39c6-a85e-49778acdb199&quot;,&quot;title&quot;:&quot;The Effect of Age on Osteogenic and Adipogenic Differentiation Potential of Human Adipose Derived Stromal Stem Cells (hASCs) and the Impact of Stress Factors in the Course of the Differentiation Process&quot;,&quot;author&quot;:[{&quot;family&quot;:&quot;Kornicka&quot;,&quot;given&quot;:&quot;Katarzyna&quot;,&quot;parse-names&quot;:false,&quot;dropping-particle&quot;:&quot;&quot;,&quot;non-dropping-particle&quot;:&quot;&quot;},{&quot;family&quot;:&quot;Marycz&quot;,&quot;given&quot;:&quot;Krzysztof&quot;,&quot;parse-names&quot;:false,&quot;dropping-particle&quot;:&quot;&quot;,&quot;non-dropping-particle&quot;:&quot;&quot;},{&quot;family&quot;:&quot;Tomaszewski&quot;,&quot;given&quot;:&quot;Krzysztof Andrzej&quot;,&quot;parse-names&quot;:false,&quot;dropping-particle&quot;:&quot;&quot;,&quot;non-dropping-particle&quot;:&quot;&quot;},{&quot;family&quot;:&quot;Marędziak&quot;,&quot;given&quot;:&quot;Monika&quot;,&quot;parse-names&quot;:false,&quot;dropping-particle&quot;:&quot;&quot;,&quot;non-dropping-particle&quot;:&quot;&quot;},{&quot;family&quot;:&quot;Smieszek&quot;,&quot;given&quot;:&quot;Agnieszka&quot;,&quot;parse-names&quot;:false,&quot;dropping-particle&quot;:&quot;&quot;,&quot;non-dropping-particle&quot;:&quot;&quot;}],&quot;container-title&quot;:&quot;Oxidative Medicine and Cellular Longevity&quot;,&quot;container-title-short&quot;:&quot;Oxid. Med. Cell. Longev.&quot;,&quot;DOI&quot;:&quot;10.1155/2015/309169&quot;,&quot;ISSN&quot;:&quot;19420994&quot;,&quot;PMID&quot;:&quot;26246868&quot;,&quot;issued&quot;:{&quot;date-parts&quot;:[[2015]]},&quot;abstract&quot;:&quot;Human adipose tissue is a great source of autologous mesenchymal stem cells (hASCs), which are recognized for their vast therapeutic applications. Their ability to self-renew and differentiate into several lineages makes them a promising tool for cell-based therapies in different types of degenerative diseases. Thus it is crucial to evaluate age-related changes in hASCs, as the elderly are a group that will benefit most from their considerable potential. In this study we investigated the effect of donor age on growth kinetics, cellular senescence marker levels, and osteogenic and adipogenic potential of hASCs. It also has been known that, during life, organisms accumulate oxidative damage that negatively affects cell metabolism. Taking this into consideration, we evaluated the levels of nitric oxide, reactive oxygen species, and superoxide dismutase activity. We observed that ROS and NO increase with aging, while SOD activity is significantly reduced. Moreover cells obtained from older patients displayed senescence associated features, for example, β-galactosidase activity, enlarged morphology, and p53 protein upregulation. All of those characteristics seem to contribute to decreased proliferation potential of those cells. Our results suggest that due to aging some cellular modification may be required before applying aged cells efficiently in therapies such as tissue engineering and regenerative medicine.&quot;,&quot;publisher&quot;:&quot;Hindawi Publishing Corporation&quot;,&quot;volume&quot;:&quot;2015&quot;},&quot;isTemporary&quot;:false,&quot;suppress-author&quot;:false,&quot;composite&quot;:false,&quot;author-only&quot;:false}],&quot;citationTag&quot;:&quot;MENDELEY_CITATION_v3_eyJjaXRhdGlvbklEIjoiTUVOREVMRVlfQ0lUQVRJT05fNTU1ZTMzMzEtNjVhNS00ZWViLTg5ZjctNzczMmQ0OTM1Mjg5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quot;},{&quot;citationID&quot;:&quot;MENDELEY_CITATION_0791947a-789d-45f8-8ed5-4d2f43d99647&quot;,&quot;properties&quot;:{&quot;noteIndex&quot;:0},&quot;isEdited&quot;:false,&quot;manualOverride&quot;:{&quot;isManuallyOverridden&quot;:false,&quot;citeprocText&quot;:&quot;(Legzdina et al., 2016b)&quot;,&quot;manualOverrideText&quot;:&quot;&quot;},&quot;citationItems&quot;:[{&quot;id&quot;:&quot;f589550e-7e25-33a3-8322-1a4019d37dd7&quot;,&quot;itemData&quot;:{&quot;type&quot;:&quot;article-journal&quot;,&quot;id&quot;:&quot;f589550e-7e25-33a3-8322-1a4019d37dd7&quot;,&quot;title&quot;:&quot;Characterization of senescence of culture-expanded human adipose-derived mesenchymal stem cells&quot;,&quot;author&quot;:[{&quot;family&quot;:&quot;Legzdina&quot;,&quot;given&quot;:&quot;Diana&quot;,&quot;parse-names&quot;:false,&quot;dropping-particle&quot;:&quot;&quot;,&quot;non-dropping-particle&quot;:&quot;&quot;},{&quot;family&quot;:&quot;Romanauska&quot;,&quot;given&quot;:&quot;Anete&quot;,&quot;parse-names&quot;:false,&quot;dropping-particle&quot;:&quot;&quot;,&quot;non-dropping-particle&quot;:&quot;&quot;},{&quot;family&quot;:&quot;Nikulshin&quot;,&quot;given&quot;:&quot;Sergey&quot;,&quot;parse-names&quot;:false,&quot;dropping-particle&quot;:&quot;&quot;,&quot;non-dropping-particle&quot;:&quot;&quot;},{&quot;family&quot;:&quot;Kozlovska&quot;,&quot;given&quot;:&quot;Tatjana&quot;,&quot;parse-names&quot;:false,&quot;dropping-particle&quot;:&quot;&quot;,&quot;non-dropping-particle&quot;:&quot;&quot;},{&quot;family&quot;:&quot;Berzins&quot;,&quot;given&quot;:&quot;Uldis&quot;,&quot;parse-names&quot;:false,&quot;dropping-particle&quot;:&quot;&quot;,&quot;non-dropping-particle&quot;:&quot;&quot;}],&quot;container-title&quot;:&quot;International Journal of Stem Cells&quot;,&quot;container-title-short&quot;:&quot;Int. J. Stem Cells&quot;,&quot;DOI&quot;:&quot;10.15283/ijsc.2016.9.1.124&quot;,&quot;ISSN&quot;:&quot;20055447&quot;,&quot;issued&quot;:{&quot;date-parts&quot;:[[2016]]},&quot;page&quot;:&quot;124-136&quot;,&quot;abstract&quot;:&quot;Background and Objectives: Adipose-derived mesenchymal stem cells (ADSCs) are promising candidates in regenerative medicine. The need for in vitro propagation to obtain therapeutic quantities of the cells imposes a risk of impaired functionality due to cellular senescence. The aim of the study was to analyze in vitro senescence of previously cryopreserved human ADSCs subjected to serial passages in cell culture. Methods and Results: ADSC cultures from 8 donors were cultivated until proliferation arrest was reached. A gradual decline of ADSC fitness was observed by altered cell morphology, loss of proliferative, clonogenic and differentiation abilities and increased β-galactosidase expression all of which occurred in a donor-specific manner. Relative telomere length (RTL) analysis revealed that only three tested cultures encountered replicative senescence. The presence of two ADSC subsets with significantly different RTL and cell size was discovered. The heterogeneity of ADSC cultures was supported by the intermittent nature of aging seen in tested samples. Conclusions: We conclude that the onset of in vitro senescence of ADSCs is a strongly donor-specific process which is complicated by the intricate dynamics of cell subsets present in ADSC population. This complexity needs to be carefully considered when elaborating protocols for personalized cellular therapy.&quot;,&quot;publisher&quot;:&quot;Sungkyunkwan University&quot;,&quot;issue&quot;:&quot;1&quot;,&quot;volume&quot;:&quot;9&quot;},&quot;isTemporary&quot;:false,&quot;suppress-author&quot;:false,&quot;composite&quot;:false,&quot;author-only&quot;:false}],&quot;citationTag&quot;:&quot;MENDELEY_CITATION_v3_eyJjaXRhdGlvbklEIjoiTUVOREVMRVlfQ0lUQVRJT05fMDc5MTk0N2EtNzg5ZC00NWY4LThlZDUtNGQyZjQzZDk5NjQ3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quot;},{&quot;citationID&quot;:&quot;MENDELEY_CITATION_070c3a91-ce55-44c3-8b46-7ab563fdf19b&quot;,&quot;properties&quot;:{&quot;noteIndex&quot;:0},&quot;isEdited&quot;:false,&quot;manualOverride&quot;:{&quot;isManuallyOverridden&quot;:false,&quot;citeprocText&quot;:&quot;(W. Wu et al., 2013)&quot;,&quot;manualOverrideText&quot;:&quot;&quot;},&quot;citationItems&quot;:[{&quot;id&quot;:&quot;6b0d5fcd-d1fa-3d37-8be2-daa9e9262abd&quot;,&quot;itemData&quot;:{&quot;type&quot;:&quot;article-journal&quot;,&quot;id&quot;:&quot;6b0d5fcd-d1fa-3d37-8be2-daa9e9262abd&quot;,&quot;title&quot;:&quot;The effect of age on human adipose-derived stem cells&quot;,&quot;author&quot;:[{&quot;family&quot;:&quot;Wu&quot;,&quot;given&quot;:&quot;Wei&quot;,&quot;parse-names&quot;:false,&quot;dropping-particle&quot;:&quot;&quot;,&quot;non-dropping-particle&quot;:&quot;&quot;},{&quot;family&quot;:&quot;Niklason&quot;,&quot;given&quot;:&quot;Laura&quot;,&quot;parse-names&quot;:false,&quot;dropping-particle&quot;:&quot;&quot;,&quot;non-dropping-particle&quot;:&quot;&quot;},{&quot;family&quot;:&quot;Steinbacher&quot;,&quot;given&quot;:&quot;Derek M.&quot;,&quot;parse-names&quot;:false,&quot;dropping-particle&quot;:&quot;&quot;,&quot;non-dropping-particle&quot;:&quot;&quot;}],&quot;container-title&quot;:&quot;Plastic and Reconstructive Surgery&quot;,&quot;container-title-short&quot;:&quot;Plast. Reconstr. Surg.&quot;,&quot;DOI&quot;:&quot;10.1097/PRS.0b013e3182729cfc&quot;,&quot;ISSN&quot;:&quot;00321052&quot;,&quot;PMID&quot;:&quot;22965240&quot;,&quot;issued&quot;:{&quot;date-parts&quot;:[[2013,1]]},&quot;page&quot;:&quot;27-37&quot;,&quot;abstract&quot;:&quot;Background:: Adipose-derived mesenchymal stem cells are a robust, multipotent cell source. They are easily harvested and exhibit promise in a variety of regenerative applications. The purpose of this study was to evaluate the aging impact on adipose-derived mesenchymal stem cells, relating to morphology, senescent properties, growth factor expression, and osteogenesis. Methods:: Cells obtained from distinct age groups (infant, adult, and elderly) were cultured. Morphology was examined using microscopy, and cell surface markers were interrogated using flow cytometry. Telomere length was measured using real-time polymerase chain reaction. Expression of pertinent angiogenic and osteogenic growth factors was compared. Osteogenic capability was investigated further by evaluating induction response, and by quantification of mRNA expression of RUNX-2 and osteocalcin. Results:: The same isolating ratio of mesenchymal stem cells was derived from each donor, regardless of age. The infant adipose-derived stem cells exhibited elongated spindle morphology and increased telomere length compared with older cells. Angiogenic factors were more highly expressed by infant cells, whereas osteogenic expression was similar among all ages. Response to osteogenic induction was more profound in infant than in older stem cells, as evidenced by alkaline phosphatase and alizarin red staining, as was bone-related gene expression. Conclusions:: Adipose-derived mesenchymal stem cells are available across all age groups. Infant-derived cells are morphologically spindle-shaped, with long telomeres, and exhibit enhanced angiogenic and osteogenic capabilities compared with older cells. Conversely, all age groups exhibit similar osteogenic paracrine activity, and the authors posit that clinical applicability is conserved during the adult to elderly period. © 2012 by the American Society of Plastic Surgeons.&quot;,&quot;issue&quot;:&quot;1&quot;,&quot;volume&quot;:&quot;131&quot;},&quot;isTemporary&quot;:false,&quot;suppress-author&quot;:false,&quot;composite&quot;:false,&quot;author-only&quot;:false}],&quot;citationTag&quot;:&quot;MENDELEY_CITATION_v3_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&quot;},{&quot;citationID&quot;:&quot;MENDELEY_CITATION_662c0ba2-ab39-4229-8ba5-104c21530def&quot;,&quot;properties&quot;:{&quot;noteIndex&quot;:0},&quot;isEdited&quot;:false,&quot;manualOverride&quot;:{&quot;isManuallyOverridden&quot;:false,&quot;citeprocText&quot;:&quot;(S. H. Wu et al., 2022)&quot;,&quot;manualOverrideText&quot;:&quot;&quot;},&quot;citationItems&quot;:[{&quot;id&quot;:&quot;c60704f4-e1cb-3c46-b13d-716d8dfb42e4&quot;,&quot;itemData&quot;:{&quot;type&quot;:&quot;article-journal&quot;,&quot;id&quot;:&quot;c60704f4-e1cb-3c46-b13d-716d8dfb42e4&quot;,&quot;title&quot;:&quot;Comparison of the Infant and Adult Adipose-Derived Mesenchymal Stem Cells in Proliferation, Senescence, Anti-oxidative Ability and Differentiation Potential&quot;,&quot;author&quot;:[{&quot;family&quot;:&quot;Wu&quot;,&quot;given&quot;:&quot;Szu Hsien&quot;,&quot;parse-names&quot;:false,&quot;dropping-particle&quot;:&quot;&quot;,&quot;non-dropping-particle&quot;:&quot;&quot;},{&quot;family&quot;:&quot;Yu&quot;,&quot;given&quot;:&quot;Jin Huei&quot;,&quot;parse-names&quot;:false,&quot;dropping-particle&quot;:&quot;&quot;,&quot;non-dropping-particle&quot;:&quot;&quot;},{&quot;family&quot;:&quot;Liao&quot;,&quot;given&quot;:&quot;Yu Ting&quot;,&quot;parse-names&quot;:false,&quot;dropping-particle&quot;:&quot;&quot;,&quot;non-dropping-particle&quot;:&quot;&quot;},{&quot;family&quot;:&quot;Liu&quot;,&quot;given&quot;:&quot;Kuo Hao&quot;,&quot;parse-names&quot;:false,&quot;dropping-particle&quot;:&quot;&quot;,&quot;non-dropping-particle&quot;:&quot;&quot;},{&quot;family&quot;:&quot;Chiang&quot;,&quot;given&quot;:&quot;En Rung&quot;,&quot;parse-names&quot;:false,&quot;dropping-particle&quot;:&quot;&quot;,&quot;non-dropping-particle&quot;:&quot;&quot;},{&quot;family&quot;:&quot;Chang&quot;,&quot;given&quot;:&quot;Ming Chau&quot;,&quot;parse-names&quot;:false,&quot;dropping-particle&quot;:&quot;&quot;,&quot;non-dropping-particle&quot;:&quot;&quot;},{&quot;family&quot;:&quot;Wang&quot;,&quot;given&quot;:&quot;Jung pan&quot;,&quot;parse-names&quot;:false,&quot;dropping-particle&quot;:&quot;&quot;,&quot;non-dropping-particle&quot;:&quot;&quot;}],&quot;container-title&quot;:&quot;Tissue Engineering and Regenerative Medicine&quot;,&quot;container-title-short&quot;:&quot;Tissue Eng. Regen. Med.&quot;,&quot;DOI&quot;:&quot;10.1007/s13770-022-00431-x&quot;,&quot;ISSN&quot;:&quot;22125469&quot;,&quot;PMID&quot;:&quot;35247199&quot;,&quot;issued&quot;:{&quot;date-parts&quot;:[[2022,6,1]]},&quot;page&quot;:&quot;589-601&quot;,&quot;abstract&quot;:&quot;Background:: Infant adipose-derived mesenchymal stem cells (ADSCs) collected from excised polydactyly fat tissue, which was surgical waste, could be cultured and expanded in vitro in this study. In addition, the collecting process would not cause pain in the host. In this study, the proliferation, reduction of senescence, anti-oxidative ability, and differentiation potential in the infant ADSCs were compared with those in the adult ADSCs harvested from thigh liposuction to determine the availability of infant ADSCs. Methods:: Proliferation was determined by detecting the fold changes in cell numbers and doubling time periods. Senescence was analyzed by investigating the age-related gene expression levels and the replicative stress. The superoxide dismutase (SOD) gene expression, adipogenic, neurogenic, osteogenic, and tenogenic differentiation were compared by RT-qPCR. The chondrogenic differentiation efficiency was also determined using RT-qPCR and immunohistochemical staining. Results:: The proliferation, SOD (SOD1, SOD2 and SOD3) gene expression, the stemness-related gene (c-MYC) and telomerase reverse transcriptase of the infant ADSCs at early passages were enhanced compared with those of the adults'. Cellular senescence related genes, including p16, p21 and p53, and replicative stress were reduced in the infant ADSCs. The adipogenic genes (PPARγ and LPL) and neurogenic genes (MAP2 and NEFH) of the infant ADSC differentiated cells were significantly higher than those of the adults’ while the expression of the osteogenic genes (OCN and RUNX) and tenogenic genes (TNC and COL3A1) of both demonstrated opposite results. The chondrogenic markers (SOX9, COL2 and COL10) were enhanced in the infant ADSC differentiated chondrogenic pellets, and the expression levels of SODs were decreased during the differentiation process. Conclusion:: Cultured infant ADSCs demonstrate less cellular senescence and replicative stress, higher proliferation rates, better antioxidant defense activity, and higher potential of chondrogenic, adipogenic and neurogenic differentiation.&quot;,&quot;publisher&quot;:&quot;Korean Tissue Engineering and Regenerative Medicine Society&quot;,&quot;issue&quot;:&quot;3&quot;,&quot;volume&quot;:&quot;19&quot;},&quot;isTemporary&quot;:false,&quot;suppress-author&quot;:false,&quot;composite&quot;:false,&quot;author-only&quot;:false}],&quot;citationTag&quot;:&quot;MENDELEY_CITATION_v3_eyJjaXRhdGlvbklEIjoiTUVOREVMRVlfQ0lUQVRJT05fNjYyYzBiYTItYWIzOS00MjI5LThiYTUtMTA0YzIxNTMwZGVm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quot;},{&quot;citationID&quot;:&quot;MENDELEY_CITATION_029324d6-3276-4237-871d-8deee55db714&quot;,&quot;properties&quot;:{&quot;noteIndex&quot;:0},&quot;isEdited&quot;:false,&quot;manualOverride&quot;:{&quot;isManuallyOverridden&quot;:false,&quot;citeprocText&quot;:&quot;(Ye et al., 2016)&quot;,&quot;manualOverrideText&quot;:&quot;&quot;},&quot;citationItems&quot;:[{&quot;id&quot;:&quot;dfed87b6-cfc9-3328-8941-d7c9a84a84f2&quot;,&quot;itemData&quot;:{&quot;type&quot;:&quot;article-journal&quot;,&quot;id&quot;:&quot;dfed87b6-cfc9-3328-8941-d7c9a84a84f2&quot;,&quot;title&quot;:&quot;Age-related changes in the regenerative potential of adipose-derived stem cells isolated from the prominent fat pads in human lower eyelids&quot;,&quot;author&quot;:[{&quot;family&quot;:&quot;Ye&quot;,&quot;given&quot;:&quot;Xinhai&quot;,&quot;parse-names&quot;:false,&quot;dropping-particle&quot;:&quot;&quot;,&quot;non-dropping-particle&quot;:&quot;&quot;},{&quot;family&quot;:&quot;Liao&quot;,&quot;given&quot;:&quot;Caihe&quot;,&quot;parse-names&quot;:false,&quot;dropping-particle&quot;:&quot;&quot;,&quot;non-dropping-particle&quot;:&quot;&quot;},{&quot;family&quot;:&quot;Liu&quot;,&quot;given&quot;:&quot;Guangpeng&quot;,&quot;parse-names&quot;:false,&quot;dropping-particle&quot;:&quot;&quot;,&quot;non-dropping-particle&quot;:&quot;&quot;},{&quot;family&quot;:&quot;Xu&quot;,&quot;given&quot;:&quot;Yipin&quot;,&quot;parse-names&quot;:false,&quot;dropping-particle&quot;:&quot;&quot;,&quot;non-dropping-particle&quot;:&quot;&quot;},{&quot;family&quot;:&quot;Tan&quot;,&quot;given&quot;:&quot;Jian&quot;,&quot;parse-names&quot;:false,&quot;dropping-particle&quot;:&quot;&quot;,&quot;non-dropping-particle&quot;:&quot;&quot;},{&quot;family&quot;:&quot;Song&quot;,&quot;given&quot;:&quot;Zhenshun&quot;,&quot;parse-names&quot;:false,&quot;dropping-particle&quot;:&quot;&quot;,&quot;non-dropping-particle&quot;:&quot;&quot;}],&quot;container-title&quot;:&quot;PLoS ONE&quot;,&quot;container-title-short&quot;:&quot;PLoS One&quot;,&quot;DOI&quot;:&quot;10.1371/journal.pone.0166590&quot;,&quot;ISSN&quot;:&quot;19326203&quot;,&quot;PMID&quot;:&quot;27855196&quot;,&quot;issued&quot;:{&quot;date-parts&quot;:[[2016,11,1]]},&quot;abstract&quot;:&quot;The existence of multipotent adipose-derived stem cells isolated from human orbital fat (OF) tissue has shown great therapeutic potential in tissue engineering and regenerative medicine. But the use of stem cells for therapeutic applications is influenced by their proliferative and differentiation potentials, which may be affected by the age of the donor. So far there is little knowledge about the effects of donor age on the biological properties of human orbital adipose-derived stem cells (OASCs). The intraorbital fat protrusion in the lower eyelids occurs as an aging process, and the protruded fat is routinely removed during aesthetic surgeries. Based on the ease of OF harvest and the availability of OASCs, we investigated in this study the relationship between age and the differentiation and proliferation potentials of human OASCs. Human orbital adipose samples were harvested from young (with normal lower eyelid appearance) and old donors (having protruded fat pads in the lower eyelids). The morphological properties of orbital adipocytes were assessed and the fat cell size displayed a decreasing trend with advancing age. OASCs were isolated from the fat samples, expanded in vitro and cultured under appropriate inducive conditions. Compared to the young cells, although no difference was found in the cell yield and phenotype expression, aged OASCs showed fewer progenitor cell numbers, reduced proliferative rates, increased senescent features and decreased differentiation potentials towards adipogenic, osteogenic and chondrogenic lineages. Our data suggested that using autologous OASCs from elderly patients for potential therapeutic purposes might be restricted.&quot;,&quot;publisher&quot;:&quot;Public Library of Science&quot;,&quot;issue&quot;:&quot;11&quot;,&quot;volume&quot;:&quot;11&quot;},&quot;isTemporary&quot;:false,&quot;suppress-author&quot;:false,&quot;composite&quot;:false,&quot;author-only&quot;:false}],&quot;citationTag&quot;:&quot;MENDELEY_CITATION_v3_eyJjaXRhdGlvbklEIjoiTUVOREVMRVlfQ0lUQVRJT05fMDI5MzI0ZDYtMzI3Ni00MjM3LTg3MWQtOGRlZWU1NWRiNzE0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quot;},{&quot;citationID&quot;:&quot;MENDELEY_CITATION_dfca281d-68e5-4626-805d-e8b29de74e3a&quot;,&quot;properties&quot;:{&quot;noteIndex&quot;:0},&quot;isEdited&quot;:false,&quot;manualOverride&quot;:{&quot;isManuallyOverridden&quot;:false,&quot;citeprocText&quot;:&quot;(Stolzing et al., 2008)&quot;,&quot;manualOverrideText&quot;:&quot;&quot;},&quot;citationItems&quot;:[{&quot;id&quot;:&quot;9c60d382-c271-30b0-b616-8a347d682325&quot;,&quot;itemData&quot;:{&quot;type&quot;:&quot;article-journal&quot;,&quot;id&quot;:&quot;9c60d382-c271-30b0-b616-8a347d682325&quot;,&quot;title&quot;:&quot;Age-related changes in human bone marrow-derived mesenchymal stem cells: Consequences for cell therapies&quot;,&quot;author&quot;:[{&quot;family&quot;:&quot;Stolzing&quot;,&quot;given&quot;:&quot;A.&quot;,&quot;parse-names&quot;:false,&quot;dropping-particle&quot;:&quot;&quot;,&quot;non-dropping-particle&quot;:&quot;&quot;},{&quot;family&quot;:&quot;Jones&quot;,&quot;given&quot;:&quot;E.&quot;,&quot;parse-names&quot;:false,&quot;dropping-particle&quot;:&quot;&quot;,&quot;non-dropping-particle&quot;:&quot;&quot;},{&quot;family&quot;:&quot;McGonagle&quot;,&quot;given&quot;:&quot;D.&quot;,&quot;parse-names&quot;:false,&quot;dropping-particle&quot;:&quot;&quot;,&quot;non-dropping-particle&quot;:&quot;&quot;},{&quot;family&quot;:&quot;Scutt&quot;,&quot;given&quot;:&quot;A.&quot;,&quot;parse-names&quot;:false,&quot;dropping-particle&quot;:&quot;&quot;,&quot;non-dropping-particle&quot;:&quot;&quot;}],&quot;container-title&quot;:&quot;Mechanisms of Ageing and Development&quot;,&quot;container-title-short&quot;:&quot;Mech. Ageing Dev.&quot;,&quot;DOI&quot;:&quot;10.1016/j.mad.2007.12.002&quot;,&quot;ISSN&quot;:&quot;00476374&quot;,&quot;PMID&quot;:&quot;18241911&quot;,&quot;issued&quot;:{&quot;date-parts&quot;:[[2008,3]]},&quot;page&quot;:&quot;163-173&quot;,&quot;abstract&quot;:&quot;Human mesenchymal stem cells (hMSC) represent a promising cell-based therapy for a number of degenerative conditions. Understanding the effect of aging on hMSCs is crucial for autologous therapy development in older subject whom degenerative diseases typically afflict. Previous investigations into the effects of aging on hMSC have proved contradictory due to the relative narrow age ranges of subjects assessed and the exclusive reliance of in vitro assays. This study seeks to address this controversy by using a wider range of donor ages and by measuring indices of cellular aging as well as hMSC numbers ex vivo and proliferation rates. CFU-f analysis and flow cytometry analysis using a CD45low/D7fib+ve/LNGF+ve gating strategy were employed. In addition a variety of markers of cellular aging, oxidative damage and senescence measured. A reduction in CFU-f and CD45low/D7fib+ve/LNGF+ve cell numbers were noted in adulthood relative to childhood. Indices of aging including oxidative damage, ROS levels and p21 and p53 all increased suggesting a loss of MSC fitness with age. These data suggest that hMSC numbers obtained by marrow aspiration decline with age. Furthermore, there is an age-related decline in overall BM MSC \&quot;fitness\&quot; which might lead to problems when using autologous aged MSC for cell-based therapies. © 2007 Elsevier Ireland Ltd. All rights reserved.&quot;,&quot;issue&quot;:&quot;3&quot;,&quot;volume&quot;:&quot;129&quot;},&quot;isTemporary&quot;:false}],&quot;citationTag&quot;:&quot;MENDELEY_CITATION_v3_eyJjaXRhdGlvbklEIjoiTUVOREVMRVlfQ0lUQVRJT05fZGZjYTI4MWQtNjhlNS00NjI2LTgwNWQtZThiMjlkZTc0ZTNh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quot;},{&quot;citationID&quot;:&quot;MENDELEY_CITATION_4cad05af-decc-4b66-9836-5039c2a56e2f&quot;,&quot;properties&quot;:{&quot;noteIndex&quot;:0},&quot;isEdited&quot;:false,&quot;manualOverride&quot;:{&quot;isManuallyOverridden&quot;:false,&quot;citeprocText&quot;:&quot;(Chen et al., 2024)&quot;,&quot;manualOverrideText&quot;:&quot;&quot;},&quot;citationItems&quot;:[{&quot;id&quot;:&quot;022d14ca-b725-3ed4-b7f0-dc108a27d8ad&quot;,&quot;itemData&quot;:{&quot;type&quot;:&quot;article-journal&quot;,&quot;id&quot;:&quot;022d14ca-b725-3ed4-b7f0-dc108a27d8ad&quot;,&quot;title&quot;:&quot;Platelet-derived exosomes alleviate tendon stem/progenitor cell senescence and ferroptosis by regulating AMPK/Nrf2/GPX4 signaling and improve tendon-bone junction regeneration in rats&quot;,&quot;author&quot;:[{&quot;family&quot;:&quot;Chen&quot;,&quot;given&quot;:&quot;Deheng&quot;,&quot;parse-names&quot;:false,&quot;dropping-particle&quot;:&quot;&quot;,&quot;non-dropping-particle&quot;:&quot;&quot;},{&quot;family&quot;:&quot;Tang&quot;,&quot;given&quot;:&quot;Qian&quot;,&quot;parse-names&quot;:false,&quot;dropping-particle&quot;:&quot;&quot;,&quot;non-dropping-particle&quot;:&quot;&quot;},{&quot;family&quot;:&quot;Song&quot;,&quot;given&quot;:&quot;Wei&quot;,&quot;parse-names&quot;:false,&quot;dropping-particle&quot;:&quot;&quot;,&quot;non-dropping-particle&quot;:&quot;&quot;},{&quot;family&quot;:&quot;He&quot;,&quot;given&quot;:&quot;Yaohua&quot;,&quot;parse-names&quot;:false,&quot;dropping-particle&quot;:&quot;&quot;,&quot;non-dropping-particle&quot;:&quot;&quot;}],&quot;container-title&quot;:&quot;Journal of Orthopaedic Surgery and Research&quot;,&quot;container-title-short&quot;:&quot;J. Orthop. Surg. Res.&quot;,&quot;DOI&quot;:&quot;10.1186/s13018-024-04869-8&quot;,&quot;ISSN&quot;:&quot;1749799X&quot;,&quot;PMID&quot;:&quot;38943181&quot;,&quot;issued&quot;:{&quot;date-parts&quot;:[[2024,12,1]]},&quot;abstract&quot;:&quot;Background: Tendon stem/progenitor cell (TSPC) senescence contributes to tendon degeneration and impaired tendon repair, resulting in age-related tendon disorders. Ferroptosis, a unique iron-dependent form of programmed cell death, might participate in the process of senescence. However, whether ferroptosis plays a role in TSPC senescence and tendon regeneration remains unclear. Recent studies reported that Platelet-derived exosomes (PL-Exos) might provide significant advantages in musculoskeletal regeneration and inflammation regulation. The effects and mechanism of PL-Exos on TSPC senescence and tendon regeneration are worthy of further study. Methods: Herein, we examined the role of ferroptosis in the pathogenesis of TSPC senescence. PL-Exos were isolated and determined by TEM, particle size analysis, western blot and mass spectrometry identification. We investigated the function and underlying mechanisms of PL-Exos in TSPC senescence and ferroptosis via western blot, real-time quantitative polymerase chain reaction, and immunofluorescence analysis in vitro. Tendon regeneration was evaluated by HE staining, Safranin-O staining, and biomechanical tests in a rotator cuff tear model in rats. Results: We discovered that ferroptosis was involved in senescent TSPCs. Furthermore, PL-Exos mitigated the aging phenotypes and ferroptosis of TSPCs induced by t-BHP and preserved their proliferation and tenogenic capacity. The in vivo animal results indicated that PL-Exos improved tendon-bone healing properties and mechanical strength. Mechanistically, PL-Exos activated AMPK phosphorylation and the downstream nuclear factor erythroid 2-related factor 2 (Nrf2)/glutathione peroxidase 4 (GPX4) signaling pathway, leading to the suppression of lipid peroxidation. AMPK inhibition or GPX4 inhibition blocked the protective effect of PL-Exos against t-BHP-induced ferroptosis and senescence. Conclusion: In conclusion, ferroptosis might play a crucial role in TSPC aging. AMPK/Nrf2/GPX4 activation by PL-Exos was found to inhibit ferroptosis, consequently leading to the suppression of senescence in TSPCs. Our results provided new theoretical evidence for the potential application of PL-Exos to restrain tendon degeneration and promote tendon regeneration.&quot;,&quot;publisher&quot;:&quot;BioMed Central Ltd&quot;,&quot;issue&quot;:&quot;1&quot;,&quot;volume&quot;:&quot;19&quot;},&quot;isTemporary&quot;:false}],&quot;citationTag&quot;:&quot;MENDELEY_CITATION_v3_eyJjaXRhdGlvbklEIjoiTUVOREVMRVlfQ0lUQVRJT05fNGNhZDA1YWYtZGVjYy00YjY2LTk4MzYtNTAzOWMyYTU2ZTJm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quot;},{&quot;citationID&quot;:&quot;MENDELEY_CITATION_1e76c44c-f2a0-41ad-b07a-ab953d53db60&quot;,&quot;properties&quot;:{&quot;noteIndex&quot;:0},&quot;isEdited&quot;:false,&quot;manualOverride&quot;:{&quot;isManuallyOverridden&quot;:true,&quot;citeprocText&quot;:&quot;(X. Feng, Xing, et al., 2014)&quot;,&quot;manualOverrideText&quot;:&quot;(Feng et al., 2014b)&quot;},&quot;citationItems&quot;:[{&quot;id&quot;:&quot;716da167-1ac8-347f-b4d2-e4636a3525c0&quot;,&quot;itemData&quot;:{&quot;type&quot;:&quot;article-journal&quot;,&quot;id&quot;:&quot;716da167-1ac8-347f-b4d2-e4636a3525c0&quot;,&quot;title&quot;:&quot;P16INK4A mediates age-related changes in mesenchymal stem cells derived from human dental pulp through the DNA damage and stress response&quot;,&quot;author&quot;:[{&quot;family&quot;:&quot;Feng&quot;,&quot;given&quot;:&quot;Xingmei&quot;,&quot;parse-names&quot;:false,&quot;dropping-particle&quot;:&quot;&quot;,&quot;non-dropping-particle&quot;:&quot;&quot;},{&quot;family&quot;:&quot;Xing&quot;,&quot;given&quot;:&quot;Jing&quot;,&quot;parse-names&quot;:false,&quot;dropping-particle&quot;:&quot;&quot;,&quot;non-dropping-particle&quot;:&quot;&quot;},{&quot;family&quot;:&quot;Feng&quot;,&quot;given&quot;:&quot;Guijuan&quot;,&quot;parse-names&quot;:false,&quot;dropping-particle&quot;:&quot;&quot;,&quot;non-dropping-particle&quot;:&quot;&quot;},{&quot;family&quot;:&quot;Huang&quot;,&quot;given&quot;:&quot;Dan&quot;,&quot;parse-names&quot;:false,&quot;dropping-particle&quot;:&quot;&quot;,&quot;non-dropping-particle&quot;:&quot;&quot;},{&quot;family&quot;:&quot;Lu&quot;,&quot;given&quot;:&quot;Xiaohui&quot;,&quot;parse-names&quot;:false,&quot;dropping-particle&quot;:&quot;&quot;,&quot;non-dropping-particle&quot;:&quot;&quot;},{&quot;family&quot;:&quot;Liu&quot;,&quot;given&quot;:&quot;Suzhe&quot;,&quot;parse-names&quot;:false,&quot;dropping-particle&quot;:&quot;&quot;,&quot;non-dropping-particle&quot;:&quot;&quot;},{&quot;family&quot;:&quot;Tan&quot;,&quot;given&quot;:&quot;Wei&quot;,&quot;parse-names&quot;:false,&quot;dropping-particle&quot;:&quot;&quot;,&quot;non-dropping-particle&quot;:&quot;&quot;},{&quot;family&quot;:&quot;Li&quot;,&quot;given&quot;:&quot;Liren&quot;,&quot;parse-names&quot;:false,&quot;dropping-particle&quot;:&quot;&quot;,&quot;non-dropping-particle&quot;:&quot;&quot;},{&quot;family&quot;:&quot;Gu&quot;,&quot;given&quot;:&quot;Zhifeng&quot;,&quot;parse-names&quot;:false,&quot;dropping-particle&quot;:&quot;&quot;,&quot;non-dropping-particle&quot;:&quot;&quot;}],&quot;container-title&quot;:&quot;Mechanisms of Ageing and Development&quot;,&quot;container-title-short&quot;:&quot;Mech. Ageing Dev.&quot;,&quot;DOI&quot;:&quot;10.1016/j.mad.2014.09.004&quot;,&quot;ISSN&quot;:&quot;18726216&quot;,&quot;PMID&quot;:&quot;25304494&quot;,&quot;issued&quot;:{&quot;date-parts&quot;:[[2014,11,1]]},&quot;page&quot;:&quot;46-55&quot;,&quot;abstract&quot;:&quot;Mesenchymal stem cells derived from human dental pulp (DP-MSCs) are characterized by self-renewal and multi-lineage differentiation, which play important roles in regenerative medicine. Autologous transfers, as non-immunogenic, constitute the safest approach in cellular transplantations. However, their use may be limited by age-related changes. In the study, we compared DP-MSCs isolated from human in five age groups: 5-12y, 12-20y, 20-35y, 35-50y, and &gt;50y. We tested the effect of age on proliferation, differentiation, senescence-associated β-galactosidase (SA-β-gal), cell cycle and programmed cell death. DP-MSCs showed characteristics of senescence as a function of age. Meanwhile, the expression of p16INK4A and γ-H2A.X significantly increased with age, whereas heat shock protein 60 (HSP60) was decreased in the senescent DP-MSCs. Reactive oxygen species (ROS) staining showed the number of ROS-stained cells and the DCFH fluorescent level were higher in the aged group. Further we examined the senescence of DP-MSCs after modulating p16INK4A signaling. The results indicated the dysfunction of DP-MSCs was reversed by p16INK4A siRNA. In summary, our study indicated p16INK4A pathway may play a critical role in DP-MSCs age-related changes and the DNA damage response (DDR) and stress response may be the main mediators of DP-MSCs senescence induced by excessive activation of p16INK4A signaling.&quot;,&quot;publisher&quot;:&quot;Elsevier Ireland Ltd&quot;,&quot;volume&quot;:&quot;141-142&quot;},&quot;isTemporary&quot;:false}],&quot;citationTag&quot;:&quot;MENDELEY_CITATION_v3_eyJjaXRhdGlvbklEIjoiTUVOREVMRVlfQ0lUQVRJT05fMWU3NmM0NGMtZjJhMC00MWFkLWIwN2EtYWI5NTNkNTNkYjYwIiwicHJvcGVydGllcyI6eyJub3RlSW5kZXgiOjB9LCJpc0VkaXRlZCI6ZmFsc2UsIm1hbnVhbE92ZXJyaWRlIjp7ImlzTWFudWFsbHlPdmVycmlkZGVuIjp0cnVlLCJjaXRlcHJvY1RleHQiOiIoWC4gRmVuZywgWGluZywgZXQgYWwuLCAyMDE0KSIsIm1hbnVhbE92ZXJyaWRlVGV4dCI6IihGZW5nIGV0IGFsLiwgMjAxNGIp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quot;},{&quot;citationID&quot;:&quot;MENDELEY_CITATION_e6200a0d-3dc5-48a6-a35d-4fd004ff04ef&quot;,&quot;properties&quot;:{&quot;noteIndex&quot;:0},&quot;isEdited&quot;:false,&quot;manualOverride&quot;:{&quot;isManuallyOverridden&quot;:false,&quot;citeprocText&quot;:&quot;(Horibe et al., 2014a)&quot;,&quot;manualOverrideText&quot;:&quot;&quot;},&quot;citationItems&quot;:[{&quot;id&quot;:&quot;a9a2b6bf-93e6-3c89-98d4-6583c994e51b&quot;,&quot;itemData&quot;:{&quot;type&quot;:&quot;article-journal&quot;,&quot;id&quot;:&quot;a9a2b6bf-93e6-3c89-98d4-6583c994e51b&quot;,&quot;title&quot;:&quot;Isolation of a stable subpopulation of Mobilized Dental Pulp Stem Cells (MDPSCs) with high proliferation, migration, and regeneration potential is independent of age&quot;,&quot;author&quot;:[{&quot;family&quot;:&quot;Horibe&quot;,&quot;given&quot;:&quot;Hiroshi&quot;,&quot;parse-names&quot;:false,&quot;dropping-particle&quot;:&quot;&quot;,&quot;non-dropping-particle&quot;:&quot;&quot;},{&quot;family&quot;:&quot;Murakami&quot;,&quot;given&quot;:&quot;Masashi&quot;,&quot;parse-names&quot;:false,&quot;dropping-particle&quot;:&quot;&quot;,&quot;non-dropping-particle&quot;:&quot;&quot;},{&quot;family&quot;:&quot;Iohara&quot;,&quot;given&quot;:&quot;Koichiro&quot;,&quot;parse-names&quot;:false,&quot;dropping-particle&quot;:&quot;&quot;,&quot;non-dropping-particle&quot;:&quot;&quot;},{&quot;family&quot;:&quot;Hayashi&quot;,&quot;given&quot;:&quot;Yuki&quot;,&quot;parse-names&quot;:false,&quot;dropping-particle&quot;:&quot;&quot;,&quot;non-dropping-particle&quot;:&quot;&quot;},{&quot;family&quot;:&quot;Takeuchi&quot;,&quot;given&quot;:&quot;Norio&quot;,&quot;parse-names&quot;:false,&quot;dropping-particle&quot;:&quot;&quot;,&quot;non-dropping-particle&quot;:&quot;&quot;},{&quot;family&quot;:&quot;Takei&quot;,&quot;given&quot;:&quot;Yoshifumi&quot;,&quot;parse-names&quot;:false,&quot;dropping-particle&quot;:&quot;&quot;,&quot;non-dropping-particle&quot;:&quot;&quot;},{&quot;family&quot;:&quot;Kurita&quot;,&quot;given&quot;:&quot;Kenichi&quot;,&quot;parse-names&quot;:false,&quot;dropping-particle&quot;:&quot;&quot;,&quot;non-dropping-particle&quot;:&quot;&quot;},{&quot;family&quot;:&quot;Nakashima&quot;,&quot;given&quot;:&quot;Misako&quot;,&quot;parse-names&quot;:false,&quot;dropping-particle&quot;:&quot;&quot;,&quot;non-dropping-particle&quot;:&quot;&quot;}],&quot;container-title&quot;:&quot;PLoS ONE&quot;,&quot;container-title-short&quot;:&quot;PLoS One&quot;,&quot;DOI&quot;:&quot;10.1371/journal.pone.0098553&quot;,&quot;ISSN&quot;:&quot;19326203&quot;,&quot;PMID&quot;:&quot;24870376&quot;,&quot;issued&quot;:{&quot;date-parts&quot;:[[2014,5,28]]},&quot;abstract&quot;:&quot;Insights into the understanding of the influence of the age of MSCs on their cellular responses and regenerative potential are critical for stem cell therapy in the clinic. We have isolated dental pulp stem cells (DPSCs) subsets based on their migratory response to granulocyte-colony stimulating factor (G-CSF) (MDPSCs) from young and aged donors. The aged MDPSCs were efficiently enriched in stem cells, expressing high levels of trophic factors with high proliferation, migration and anti-apoptotic effects compared to young MDPSCs. In contrast, significant differences in those properties were detected between aged and young colony-derived DPSCs. Unlike DPSCs, MDPSCs showed a small age-dependent increase in senescence-associated β-galactosidase (SA-β-gal) production and senescence markers including p16, p21, Interleukin (IL)-1β, -6, -8, and Groα in long-term culture. There was no difference between aged and young MDPSCs in telomerase activity. The regenerative potential of aged MDPSCs was similar to that of young MDPSCs in an ischemic hindlimb model and an ectopic tooth root model. These results demonstrated that the stem cell properties and the high regenerative potential of MDPSCs are independent of age, demonstrating an immense utility for clinical applications by autologous cell transplantation in dental pulp regeneration and ischemic diseases. © 2014 Horibe et al.&quot;,&quot;publisher&quot;:&quot;Public Library of Science&quot;,&quot;issue&quot;:&quot;5&quot;,&quot;volume&quot;:&quot;9&quot;},&quot;isTemporary&quot;:false}],&quot;citationTag&quot;:&quot;MENDELEY_CITATION_v3_eyJjaXRhdGlvbklEIjoiTUVOREVMRVlfQ0lUQVRJT05fZTYyMDBhMGQtM2RjNS00OGE2LWEzNWQtNGZkMDA0ZmYwNGVm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quot;},{&quot;citationID&quot;:&quot;MENDELEY_CITATION_7766e1b3-ff12-45d4-9bfe-bf2529e3f941&quot;,&quot;properties&quot;:{&quot;noteIndex&quot;:0},&quot;isEdited&quot;:false,&quot;manualOverride&quot;:{&quot;isManuallyOverridden&quot;:false,&quot;citeprocText&quot;:&quot;(Iezzi et al., 2019)&quot;,&quot;manualOverrideText&quot;:&quot;&quot;},&quot;citationItems&quot;:[{&quot;id&quot;:&quot;b0fce73b-7bb9-3979-8aa4-ca7eb0ec115e&quot;,&quot;itemData&quot;:{&quot;type&quot;:&quot;article-journal&quot;,&quot;id&quot;:&quot;b0fce73b-7bb9-3979-8aa4-ca7eb0ec115e&quot;,&quot;title&quot;:&quot;Dental pulp stem cells senescence and regenerative potential relationship&quot;,&quot;author&quot;:[{&quot;family&quot;:&quot;Iezzi&quot;,&quot;given&quot;:&quot;Iolanda&quot;,&quot;parse-names&quot;:false,&quot;dropping-particle&quot;:&quot;&quot;,&quot;non-dropping-particle&quot;:&quot;&quot;},{&quot;family&quot;:&quot;Cerqueni&quot;,&quot;given&quot;:&quot;Giorgia&quot;,&quot;parse-names&quot;:false,&quot;dropping-particle&quot;:&quot;&quot;,&quot;non-dropping-particle&quot;:&quot;&quot;},{&quot;family&quot;:&quot;Licini&quot;,&quot;given&quot;:&quot;Caterina&quot;,&quot;parse-names&quot;:false,&quot;dropping-particle&quot;:&quot;&quot;,&quot;non-dropping-particle&quot;:&quot;&quot;},{&quot;family&quot;:&quot;Lucarini&quot;,&quot;given&quot;:&quot;Guendalina&quot;,&quot;parse-names&quot;:false,&quot;dropping-particle&quot;:&quot;&quot;,&quot;non-dropping-particle&quot;:&quot;&quot;},{&quot;family&quot;:&quot;Mattioli Belmonte&quot;,&quot;given&quot;:&quot;Monica&quot;,&quot;parse-names&quot;:false,&quot;dropping-particle&quot;:&quot;&quot;,&quot;non-dropping-particle&quot;:&quot;&quot;}],&quot;container-title&quot;:&quot;Journal of Cellular Physiology&quot;,&quot;container-title-short&quot;:&quot;J. Cell. Physiol.&quot;,&quot;DOI&quot;:&quot;10.1002/jcp.27472&quot;,&quot;ISSN&quot;:&quot;10974652&quot;,&quot;PMID&quot;:&quot;30362542&quot;,&quot;issued&quot;:{&quot;date-parts&quot;:[[2019,5,1]]},&quot;page&quot;:&quot;7186-7197&quot;,&quot;abstract&quot;:&quot;Uncomplicated treatments for pulpitis and periodontitis continues to be challenging and regenerative approaches could meet this contingency. Dental pulp stem cells (DPSCs) represent a good candidate for oral recovering therapies. Here, we investigated changes in morphology, proliferation, and in vitro differentiation toward mesenchymal and neuronal phenotypes of human DPSCs harvested from differently aged donors. Aging is a physiologic phenomenon occurring with time that hamper body’s capability to maintain homeostasis also affecting the functional reserve. Cytofluorimetric, immunohistochemical, quantitative reverse-transcription polymerase chain reaction (qRT-PCR), and western blot analyses were performed to gain insight for successful regenerative strategies in elderly. We observed a decline in DPSCs proliferation and differentiation potential with age. Interestingly, these cells behaved differently under osteogenic or odontogenic stimuli, showing different age-related mineralization capabilities. Similarly, neurogenic differentiation decreased with age. In conclusion, our observations represent a valid tool for the development of tailored regenerative strategies in an aging society.&quot;,&quot;publisher&quot;:&quot;Wiley-Liss Inc.&quot;,&quot;issue&quot;:&quot;5&quot;,&quot;volume&quot;:&quot;234&quot;},&quot;isTemporary&quot;:false}],&quot;citationTag&quot;:&quot;MENDELEY_CITATION_v3_eyJjaXRhdGlvbklEIjoiTUVOREVMRVlfQ0lUQVRJT05fNzc2NmUxYjMtZmYxMi00NWQ0LTliZmUtYmYyNTI5ZTNmOTQx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quot;},{&quot;citationID&quot;:&quot;MENDELEY_CITATION_08def31c-afda-4e9f-af6f-9baa3ba66c3f&quot;,&quot;properties&quot;:{&quot;noteIndex&quot;:0},&quot;isEdited&quot;:false,&quot;manualOverride&quot;:{&quot;isManuallyOverridden&quot;:true,&quot;citeprocText&quot;:&quot;(X. Wang et al., 2025)&quot;,&quot;manualOverrideText&quot;:&quot;(Wang et al., 2025)b&quot;},&quot;citationItems&quot;:[{&quot;id&quot;:&quot;06292c9e-8f29-3936-8012-ad7431391893&quot;,&quot;itemData&quot;:{&quot;type&quot;:&quot;article-journal&quot;,&quot;id&quot;:&quot;06292c9e-8f29-3936-8012-ad7431391893&quot;,&quot;title&quot;:&quot;NUP62 alleviates senescence and promotes the stemness of human dental pulp stem cells via NSD2-dependent epigenetic reprogramming&quot;,&quot;author&quot;:[{&quot;family&quot;:&quot;Wang&quot;,&quot;given&quot;:&quot;Xiping&quot;,&quot;parse-names&quot;:false,&quot;dropping-particle&quot;:&quot;&quot;,&quot;non-dropping-particle&quot;:&quot;&quot;},{&quot;family&quot;:&quot;Wang&quot;,&quot;given&quot;:&quot;Li&quot;,&quot;parse-names&quot;:false,&quot;dropping-particle&quot;:&quot;&quot;,&quot;non-dropping-particle&quot;:&quot;&quot;},{&quot;family&quot;:&quot;Zhou&quot;,&quot;given&quot;:&quot;Linxi&quot;,&quot;parse-names&quot;:false,&quot;dropping-particle&quot;:&quot;&quot;,&quot;non-dropping-particle&quot;:&quot;&quot;},{&quot;family&quot;:&quot;Chen&quot;,&quot;given&quot;:&quot;Lu&quot;,&quot;parse-names&quot;:false,&quot;dropping-particle&quot;:&quot;&quot;,&quot;non-dropping-particle&quot;:&quot;&quot;},{&quot;family&quot;:&quot;Shi&quot;,&quot;given&quot;:&quot;Jiayi&quot;,&quot;parse-names&quot;:false,&quot;dropping-particle&quot;:&quot;&quot;,&quot;non-dropping-particle&quot;:&quot;&quot;},{&quot;family&quot;:&quot;Ge&quot;,&quot;given&quot;:&quot;Jing&quot;,&quot;parse-names&quot;:false,&quot;dropping-particle&quot;:&quot;&quot;,&quot;non-dropping-particle&quot;:&quot;&quot;},{&quot;family&quot;:&quot;Tian&quot;,&quot;given&quot;:&quot;Sha&quot;,&quot;parse-names&quot;:false,&quot;dropping-particle&quot;:&quot;&quot;,&quot;non-dropping-particle&quot;:&quot;&quot;},{&quot;family&quot;:&quot;Yang&quot;,&quot;given&quot;:&quot;Zihan&quot;,&quot;parse-names&quot;:false,&quot;dropping-particle&quot;:&quot;&quot;,&quot;non-dropping-particle&quot;:&quot;&quot;},{&quot;family&quot;:&quot;Zhou&quot;,&quot;given&quot;:&quot;Yuqiong&quot;,&quot;parse-names&quot;:false,&quot;dropping-particle&quot;:&quot;&quot;,&quot;non-dropping-particle&quot;:&quot;&quot;},{&quot;family&quot;:&quot;Yu&quot;,&quot;given&quot;:&quot;Qihao&quot;,&quot;parse-names&quot;:false,&quot;dropping-particle&quot;:&quot;&quot;,&quot;non-dropping-particle&quot;:&quot;&quot;},{&quot;family&quot;:&quot;Jin&quot;,&quot;given&quot;:&quot;Jiacheng&quot;,&quot;parse-names&quot;:false,&quot;dropping-particle&quot;:&quot;&quot;,&quot;non-dropping-particle&quot;:&quot;&quot;},{&quot;family&quot;:&quot;Ding&quot;,&quot;given&quot;:&quot;Chen&quot;,&quot;parse-names&quot;:false,&quot;dropping-particle&quot;:&quot;&quot;,&quot;non-dropping-particle&quot;:&quot;&quot;},{&quot;family&quot;:&quot;Pan&quot;,&quot;given&quot;:&quot;Yihuai&quot;,&quot;parse-names&quot;:false,&quot;dropping-particle&quot;:&quot;&quot;,&quot;non-dropping-particle&quot;:&quot;&quot;},{&quot;family&quot;:&quot;Zou&quot;,&quot;given&quot;:&quot;Duohong&quot;,&quot;parse-names&quot;:false,&quot;dropping-particle&quot;:&quot;&quot;,&quot;non-dropping-particle&quot;:&quot;&quot;}],&quot;container-title&quot;:&quot;International Journal of Oral Science &quot;,&quot;DOI&quot;:&quot;10.1038/s41368-025-00362-y&quot;,&quot;ISSN&quot;:&quot;20493169&quot;,&quot;PMID&quot;:&quot;40246825&quot;,&quot;issued&quot;:{&quot;date-parts&quot;:[[2025,12,1]]},&quot;abstract&quot;:&quot;Stem cells play a crucial role in maintaining tissue regenerative capacity and homeostasis. However, mechanisms associated with stem cell senescence require further investigation. In this study, we conducted a proteomic analysis of human dental pulp stem cells (HDPSCs) obtained from individuals of various ages. Our findings showed that the expression of NUP62 was decreased in aged HDPSCs. We discovered that NUP62 alleviated senescence-associated phenotypes and enhanced differentiation potential both in vitro and in vivo. Conversely, the knocking down of NUP62 expression aggravated the senescence-associated phenotypes and impaired the proliferation and migration capacity of HDPSCs. Through RNA-sequence and decoding the epigenomic landscapes remodeled induced by NUP62 overexpression, we found that NUP62 helps alleviate senescence in HDPSCs by enhancing the nuclear transport of the transcription factor E2F1. This, in turn, stimulates the transcription of the epigenetic enzyme NSD2. Finally, the overexpression of NUP62 influences the H3K36me2 and H3K36me3 modifications of anti-aging genes (HMGA1, HMGA2, and SIRT6). Our results demonstrated that NUP62 regulates the fate of HDPSCs via NSD2-dependent epigenetic reprogramming.&quot;,&quot;publisher&quot;:&quot;Springer Nature&quot;,&quot;issue&quot;:&quot;1&quot;,&quot;volume&quot;:&quot;17&quot;,&quot;container-title-short&quot;:&quot;&quot;},&quot;isTemporary&quot;:false,&quot;suppress-author&quot;:false,&quot;composite&quot;:false,&quot;author-only&quot;:false}],&quot;citationTag&quot;:&quot;MENDELEY_CITATION_v3_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&quot;},{&quot;citationID&quot;:&quot;MENDELEY_CITATION_b1626602-5380-4a20-a623-124e552b4271&quot;,&quot;properties&quot;:{&quot;noteIndex&quot;:0},&quot;isEdited&quot;:false,&quot;manualOverride&quot;:{&quot;isManuallyOverridden&quot;:false,&quot;citeprocText&quot;:&quot;(Christodoulou et al., 2013)&quot;,&quot;manualOverrideText&quot;:&quot;&quot;},&quot;citationItems&quot;:[{&quot;id&quot;:&quot;16505905-171c-3bc6-bb85-290e48b9a0e1&quot;,&quot;itemData&quot;:{&quot;type&quot;:&quot;article-journal&quot;,&quot;id&quot;:&quot;16505905-171c-3bc6-bb85-290e48b9a0e1&quot;,&quot;title&quot;:&quot;Comparative evaluation of human mesenchymal stem cells of fetal (Wharton's Jelly) and adult (adipose tissue) origin during prolonged in vitro expansion: Considerations for cytotherapy&quot;,&quot;author&quot;:[{&quot;family&quot;:&quot;Christodoulou&quot;,&quot;given&quot;:&quot;I.&quot;,&quot;parse-names&quot;:false,&quot;dropping-particle&quot;:&quot;&quot;,&quot;non-dropping-particle&quot;:&quot;&quot;},{&quot;family&quot;:&quot;Kolisis&quot;,&quot;given&quot;:&quot;F. N.&quot;,&quot;parse-names&quot;:false,&quot;dropping-particle&quot;:&quot;&quot;,&quot;non-dropping-particle&quot;:&quot;&quot;},{&quot;family&quot;:&quot;Papaevangeliou&quot;,&quot;given&quot;:&quot;D.&quot;,&quot;parse-names&quot;:false,&quot;dropping-particle&quot;:&quot;&quot;,&quot;non-dropping-particle&quot;:&quot;&quot;},{&quot;family&quot;:&quot;Zoumpourlis&quot;,&quot;given&quot;:&quot;V.&quot;,&quot;parse-names&quot;:false,&quot;dropping-particle&quot;:&quot;&quot;,&quot;non-dropping-particle&quot;:&quot;&quot;}],&quot;container-title&quot;:&quot;Stem Cells International&quot;,&quot;container-title-short&quot;:&quot;Stem Cells Int.&quot;,&quot;DOI&quot;:&quot;10.1155/2013/246134&quot;,&quot;ISSN&quot;:&quot;16879678&quot;,&quot;issued&quot;:{&quot;date-parts&quot;:[[2013]]},&quot;abstract&quot;:&quot;Mesenchymal stem cells (MSCs) are somatic cells with a dual capacity for self-renewal and differentiation, and diverse therapeutic applicability, both experimentally and in the clinic. These cells can be isolated from various human tissues that may differ anatomically or developmentally with relative ease. Heterogeneity due to biological origin or in vitro manipulation is, nevertheless, considerable and may equate to differences in qualitative and quantitative characteristics which can prove crucial for successful therapeutic use. With this in mind, in the present study we have evaluated the proliferation kinetics and phenotypic characteristics of MSCs derived from two abundant sources, that is, fetal umbilical cord matrix (Wharton's jelly) and adult adipose tissue (termed WJSC and ADSC, resp.) during prolonged in vitro expansion, a process necessary for obtaining cell numbers sufficient for clinical application. Our results show that WJSC are derived with relatively high efficiency and bear a substantially increased proliferation capacity whilst largely sustaining the expression of typical immunophenotypic markers, whereas ADSC exhibit a reduced proliferation potential showing typical signs of senescence at an early stage. By combining kinetic with phenotypic data we identify culture thresholds up to which both cell types maintain their stem properties, and we discuss the practical implications of their differences. © 2013 I. Christodoulou et al.&quot;},&quot;isTemporary&quot;:false}],&quot;citationTag&quot;:&quot;MENDELEY_CITATION_v3_eyJjaXRhdGlvbklEIjoiTUVOREVMRVlfQ0lUQVRJT05fYjE2MjY2MDItNTM4MC00YTIwLWE2MjMtMTI0ZTU1MmI0Mjcx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quot;},{&quot;citationID&quot;:&quot;MENDELEY_CITATION_dd9cb1e3-899d-43f1-806a-2fc9737ad967&quot;,&quot;properties&quot;:{&quot;noteIndex&quot;:0},&quot;isEdited&quot;:false,&quot;manualOverride&quot;:{&quot;isManuallyOverridden&quot;:false,&quot;citeprocText&quot;:&quot;(Gruber et al., 2012)&quot;,&quot;manualOverrideText&quot;:&quot;&quot;},&quot;citationItems&quot;:[{&quot;id&quot;:&quot;89582859-732f-3a2d-afe9-82a9b7088838&quot;,&quot;itemData&quot;:{&quot;type&quot;:&quot;article-journal&quot;,&quot;id&quot;:&quot;89582859-732f-3a2d-afe9-82a9b7088838&quot;,&quot;title&quot;:&quot;Human adipose-derived mesenchymal stem cells: Serial passaging, doubling time and cell senescence&quot;,&quot;author&quot;:[{&quot;family&quot;:&quot;Gruber&quot;,&quot;given&quot;:&quot;H. E.&quot;,&quot;parse-names&quot;:false,&quot;dropping-particle&quot;:&quot;&quot;,&quot;non-dropping-particle&quot;:&quot;&quot;},{&quot;family&quot;:&quot;Somayaji&quot;,&quot;given&quot;:&quot;S.&quot;,&quot;parse-names&quot;:false,&quot;dropping-particle&quot;:&quot;&quot;,&quot;non-dropping-particle&quot;:&quot;&quot;},{&quot;family&quot;:&quot;Riley&quot;,&quot;given&quot;:&quot;F.&quot;,&quot;parse-names&quot;:false,&quot;dropping-particle&quot;:&quot;&quot;,&quot;non-dropping-particle&quot;:&quot;&quot;},{&quot;family&quot;:&quot;Hoelscher&quot;,&quot;given&quot;:&quot;G. L.&quot;,&quot;parse-names&quot;:false,&quot;dropping-particle&quot;:&quot;&quot;,&quot;non-dropping-particle&quot;:&quot;&quot;},{&quot;family&quot;:&quot;Norton&quot;,&quot;given&quot;:&quot;H. J.&quot;,&quot;parse-names&quot;:false,&quot;dropping-particle&quot;:&quot;&quot;,&quot;non-dropping-particle&quot;:&quot;&quot;},{&quot;family&quot;:&quot;Ingram&quot;,&quot;given&quot;:&quot;J.&quot;,&quot;parse-names&quot;:false,&quot;dropping-particle&quot;:&quot;&quot;,&quot;non-dropping-particle&quot;:&quot;&quot;},{&quot;family&quot;:&quot;Hanley&quot;,&quot;given&quot;:&quot;E. N.&quot;,&quot;parse-names&quot;:false,&quot;dropping-particle&quot;:&quot;&quot;,&quot;non-dropping-particle&quot;:&quot;&quot;}],&quot;container-title&quot;:&quot;Biotechnic and Histochemistry&quot;,&quot;DOI&quot;:&quot;10.3109/10520295.2011.649785&quot;,&quot;ISSN&quot;:&quot;14737760&quot;,&quot;issued&quot;:{&quot;date-parts&quot;:[[2012]]},&quot;page&quot;:&quot;303-311&quot;,&quot;abstract&quot;:&quot;Adult adipose-derived mesenchymal stem cells (AD-MSC) are very interesting to our research group because they are easy to harvest, they are abundant in humans, and they have potential clinical applications in autologous cell therapy for disc degeneration. We examined these cells through sequential serial passages to assess osteogenic and chondrogenic capabilities, mean doubling time and cell senescence. Osteogenic and chondrogenic potencies were maintained through 13 passages. Mean passage doubling time increased significantly with increasing passage number. When donor age was evaluated, passages 1-4 from older donors had significantly longer doubling times compared to cells from younger donors. Passages 5-11 showed similar findings when analyzed by donor age. The mean percent senescence increased significantly with cell passaging, rising from 0% at passage 1 to 3.4% at passage 13. These novel data suggest that caution should be exercised when using AD-MSC with long passage times. © 2012 The Biological Stain Commission.&quot;,&quot;publisher&quot;:&quot;Informa Healthcare&quot;,&quot;issue&quot;:&quot;4&quot;,&quot;volume&quot;:&quot;87&quot;,&quot;container-title-short&quot;:&quot;&quot;},&quot;isTemporary&quot;:false}],&quot;citationTag&quot;:&quot;MENDELEY_CITATION_v3_eyJjaXRhdGlvbklEIjoiTUVOREVMRVlfQ0lUQVRJT05fZGQ5Y2IxZTMtODk5ZC00M2YxLTgwNmEtMmZjOTczN2FkOTY3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quot;},{&quot;citationID&quot;:&quot;MENDELEY_CITATION_5e969a78-32d5-4916-b4b3-55f702ff28b2&quot;,&quot;properties&quot;:{&quot;noteIndex&quot;:0},&quot;isEdited&quot;:false,&quot;manualOverride&quot;:{&quot;isManuallyOverridden&quot;:false,&quot;citeprocText&quot;:&quot;(Legzdina et al., 2016b)&quot;,&quot;manualOverrideText&quot;:&quot;&quot;},&quot;citationItems&quot;:[{&quot;id&quot;:&quot;f589550e-7e25-33a3-8322-1a4019d37dd7&quot;,&quot;itemData&quot;:{&quot;type&quot;:&quot;article-journal&quot;,&quot;id&quot;:&quot;f589550e-7e25-33a3-8322-1a4019d37dd7&quot;,&quot;title&quot;:&quot;Characterization of senescence of culture-expanded human adipose-derived mesenchymal stem cells&quot;,&quot;author&quot;:[{&quot;family&quot;:&quot;Legzdina&quot;,&quot;given&quot;:&quot;Diana&quot;,&quot;parse-names&quot;:false,&quot;dropping-particle&quot;:&quot;&quot;,&quot;non-dropping-particle&quot;:&quot;&quot;},{&quot;family&quot;:&quot;Romanauska&quot;,&quot;given&quot;:&quot;Anete&quot;,&quot;parse-names&quot;:false,&quot;dropping-particle&quot;:&quot;&quot;,&quot;non-dropping-particle&quot;:&quot;&quot;},{&quot;family&quot;:&quot;Nikulshin&quot;,&quot;given&quot;:&quot;Sergey&quot;,&quot;parse-names&quot;:false,&quot;dropping-particle&quot;:&quot;&quot;,&quot;non-dropping-particle&quot;:&quot;&quot;},{&quot;family&quot;:&quot;Kozlovska&quot;,&quot;given&quot;:&quot;Tatjana&quot;,&quot;parse-names&quot;:false,&quot;dropping-particle&quot;:&quot;&quot;,&quot;non-dropping-particle&quot;:&quot;&quot;},{&quot;family&quot;:&quot;Berzins&quot;,&quot;given&quot;:&quot;Uldis&quot;,&quot;parse-names&quot;:false,&quot;dropping-particle&quot;:&quot;&quot;,&quot;non-dropping-particle&quot;:&quot;&quot;}],&quot;container-title&quot;:&quot;International Journal of Stem Cells&quot;,&quot;container-title-short&quot;:&quot;Int. J. Stem Cells&quot;,&quot;DOI&quot;:&quot;10.15283/ijsc.2016.9.1.124&quot;,&quot;ISSN&quot;:&quot;20055447&quot;,&quot;issued&quot;:{&quot;date-parts&quot;:[[2016]]},&quot;page&quot;:&quot;124-136&quot;,&quot;abstract&quot;:&quot;Background and Objectives: Adipose-derived mesenchymal stem cells (ADSCs) are promising candidates in regenerative medicine. The need for in vitro propagation to obtain therapeutic quantities of the cells imposes a risk of impaired functionality due to cellular senescence. The aim of the study was to analyze in vitro senescence of previously cryopreserved human ADSCs subjected to serial passages in cell culture. Methods and Results: ADSC cultures from 8 donors were cultivated until proliferation arrest was reached. A gradual decline of ADSC fitness was observed by altered cell morphology, loss of proliferative, clonogenic and differentiation abilities and increased β-galactosidase expression all of which occurred in a donor-specific manner. Relative telomere length (RTL) analysis revealed that only three tested cultures encountered replicative senescence. The presence of two ADSC subsets with significantly different RTL and cell size was discovered. The heterogeneity of ADSC cultures was supported by the intermittent nature of aging seen in tested samples. Conclusions: We conclude that the onset of in vitro senescence of ADSCs is a strongly donor-specific process which is complicated by the intricate dynamics of cell subsets present in ADSC population. This complexity needs to be carefully considered when elaborating protocols for personalized cellular therapy.&quot;,&quot;publisher&quot;:&quot;Sungkyunkwan University&quot;,&quot;issue&quot;:&quot;1&quot;,&quot;volume&quot;:&quot;9&quot;},&quot;isTemporary&quot;:false,&quot;suppress-author&quot;:false,&quot;composite&quot;:false,&quot;author-only&quot;:false}],&quot;citationTag&quot;:&quot;MENDELEY_CITATION_v3_eyJjaXRhdGlvbklEIjoiTUVOREVMRVlfQ0lUQVRJT05fNWU5NjlhNzgtMzJkNS00OTE2LWI0YjMtNTVmNzAyZmYyOGIy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quot;},{&quot;citationID&quot;:&quot;MENDELEY_CITATION_05b12d66-2973-413a-98a7-abc5460f7f89&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MDViMTJkNjYtMjk3My00MTNhLTk4YTctYWJjNTQ2MGY3Zjg5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9ace0286-f02d-42c2-9b24-c1ea53c1f6c3&quot;,&quot;properties&quot;:{&quot;noteIndex&quot;:0},&quot;isEdited&quot;:false,&quot;manualOverride&quot;:{&quot;isManuallyOverridden&quot;:true,&quot;citeprocText&quot;:&quot;(Truong et al., 2019)&quot;,&quot;manualOverrideText&quot;:&quot;(Truong, et al., 2019)&quot;},&quot;citationItems&quot;:[{&quot;id&quot;:&quot;831fa20e-0856-3b5e-953c-646fe920c958&quot;,&quot;itemData&quot;:{&quot;type&quot;:&quot;chapter&quot;,&quot;id&quot;:&quot;831fa20e-0856-3b5e-953c-646fe920c958&quot;,&quot;title&quot;:&quot;Characterization of Senescence of Human Adipose-Derived Stem Cells After Long-Term Expansion&quot;,&quot;author&quot;:[{&quot;family&quot;:&quot;Truong&quot;,&quot;given&quot;:&quot;Nhat Chau&quot;,&quot;parse-names&quot;:false,&quot;dropping-particle&quot;:&quot;&quot;,&quot;non-dropping-particle&quot;:&quot;&quot;},{&quot;family&quot;:&quot;Bui&quot;,&quot;given&quot;:&quot;Khanh Hong Thien&quot;,&quot;parse-names&quot;:false,&quot;dropping-particle&quot;:&quot;&quot;,&quot;non-dropping-particle&quot;:&quot;&quot;},{&quot;family&quot;:&quot;Pham&quot;,&quot;given&quot;:&quot;Phuc&quot;,&quot;parse-names&quot;:false,&quot;dropping-particle&quot;:&quot;&quot;,&quot;non-dropping-particle&quot;:&quot;Van&quot;}],&quot;container-title&quot;:&quot;Advances in Experimental Medicine and Biology&quot;,&quot;container-title-short&quot;:&quot;Adv. Exp. Med. Biol.&quot;,&quot;DOI&quot;:&quot;10.1007/5584_2018_235&quot;,&quot;ISSN&quot;:&quot;22148019&quot;,&quot;PMID&quot;:&quot;30242785&quot;,&quot;issued&quot;:{&quot;date-parts&quot;:[[2019]]},&quot;page&quot;:&quot;109-128&quot;,&quot;abstract&quot;:&quot;Introduction: Since the 1980s, adipose-derived stem cells (ASCs) have become a powerful and potential source for stem cell-based therapy, regenerative medicine, and even drug delivery in cancer treatment. The development of off-the-shelf mesenchymal stem cells (MSCs), including ASCs, has rapidly advanced in recent years with several clinical trials and approved products. In this technology, ASCs should be expanded long term in order to harvest higher cell number. In this study, senescence of ASCs after long-term expansion was evaluated. Methods: Human ASCs (hASCs) were isolated and cultured continuously at a density of 103 cells/cm2 up to passage 15. The cells were assessed for aging via changes in the following: characteristics of MSCs, mitochondrial activity, accumulation of beta-galactosidase, and expression of tumor suppressor genes. Results: The results showed that following in vitro expansion to the 15th passage, ASCs did not show changes in immunophenotype, except for decreased expression of CD105. However, the cells increased in size and in shape and complexity (toward the “fried egg” morphology). They also almost ceased to proliferate in passage 15. Nonetheless, they maintained in vitro differentiation potential toward osteoblasts, chondrocytes, and adipocytes. Expression of tumor suppressor genes p53 and p16 did not significantly change, while p27 was significantly downregulated. Mitochondrial activities also decreased slightly in culture from passage 5 to passage 10 and remained stable to passage 15. ASCs also showed increased accumulation of beta-galactosidase in culture, but it was negligible. Conclusion: In conclusion, hASCs exhibited some particular characteristics of aged stem cells when the number of subculture cells increased. However, up to passage 10, ASCs also retained almost all of the characteristics of MSCs.&quot;,&quot;publisher&quot;:&quot;Springer New York LLC&quot;,&quot;volume&quot;:&quot;1084&quot;},&quot;isTemporary&quot;:false,&quot;suppress-author&quot;:false,&quot;composite&quot;:false,&quot;author-only&quot;:false}],&quot;citationTag&quot;:&quot;MENDELEY_CITATION_v3_eyJjaXRhdGlvbklEIjoiTUVOREVMRVlfQ0lUQVRJT05fOWFjZTAyODYtZjAyZC00MmMyLTliMjQtYzFlYTUzYzFmNmMz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quot;},{&quot;citationID&quot;:&quot;MENDELEY_CITATION_4e6df009-de48-41dc-b8b1-2018474be30a&quot;,&quot;properties&quot;:{&quot;noteIndex&quot;:0},&quot;isEdited&quot;:false,&quot;manualOverride&quot;:{&quot;isManuallyOverridden&quot;:true,&quot;citeprocText&quot;:&quot;(J. Wang et al., 2025a)&quot;,&quot;manualOverrideText&quot;:&quot;(Wang et al., 2025)a&quot;},&quot;citationItems&quot;:[{&quot;id&quot;:&quot;9e92b64b-61e3-381f-88bc-9450dcdbc774&quot;,&quot;itemData&quot;:{&quot;type&quot;:&quot;article-journal&quot;,&quot;id&quot;:&quot;9e92b64b-61e3-381f-88bc-9450dcdbc774&quot;,&quot;title&quot;:&quot;Retarding human adipose-derived MSCs senescence and promoting tendon repair using cell sheet engineering with a histone methyltransferase inhibitor&quot;,&quot;author&quot;:[{&quot;family&quot;:&quot;Wang&quot;,&quot;given&quot;:&quot;Junjuan&quot;,&quot;parse-names&quot;:false,&quot;dropping-particle&quot;:&quot;&quot;,&quot;non-dropping-particle&quot;:&quot;&quot;},{&quot;family&quot;:&quot;Jian&quot;,&quot;given&quot;:&quot;Ke&quot;,&quot;parse-names&quot;:false,&quot;dropping-particle&quot;:&quot;&quot;,&quot;non-dropping-particle&quot;:&quot;&quot;},{&quot;family&quot;:&quot;Yang&quot;,&quot;given&quot;:&quot;Qing&quot;,&quot;parse-names&quot;:false,&quot;dropping-particle&quot;:&quot;&quot;,&quot;non-dropping-particle&quot;:&quot;&quot;},{&quot;family&quot;:&quot;Gu&quot;,&quot;given&quot;:&quot;Chunyi&quot;,&quot;parse-names&quot;:false,&quot;dropping-particle&quot;:&quot;&quot;,&quot;non-dropping-particle&quot;:&quot;&quot;},{&quot;family&quot;:&quot;Sheng&quot;,&quot;given&quot;:&quot;Jiajun&quot;,&quot;parse-names&quot;:false,&quot;dropping-particle&quot;:&quot;&quot;,&quot;non-dropping-particle&quot;:&quot;&quot;},{&quot;family&quot;:&quot;Zhou&quot;,&quot;given&quot;:&quot;Yan&quot;,&quot;parse-names&quot;:false,&quot;dropping-particle&quot;:&quot;&quot;,&quot;non-dropping-particle&quot;:&quot;&quot;},{&quot;family&quot;:&quot;Yin&quot;,&quot;given&quot;:&quot;Hantian&quot;,&quot;parse-names&quot;:false,&quot;dropping-particle&quot;:&quot;&quot;,&quot;non-dropping-particle&quot;:&quot;&quot;},{&quot;family&quot;:&quot;Zhang&quot;,&quot;given&quot;:&quot;Zhihan&quot;,&quot;parse-names&quot;:false,&quot;dropping-particle&quot;:&quot;&quot;,&quot;non-dropping-particle&quot;:&quot;&quot;},{&quot;family&quot;:&quot;Hua&quot;,&quot;given&quot;:&quot;Kouzhen&quot;,&quot;parse-names&quot;:false,&quot;dropping-particle&quot;:&quot;&quot;,&quot;non-dropping-particle&quot;:&quot;&quot;},{&quot;family&quot;:&quot;Zhang&quot;,&quot;given&quot;:&quot;Can&quot;,&quot;parse-names&quot;:false,&quot;dropping-particle&quot;:&quot;&quot;,&quot;non-dropping-particle&quot;:&quot;&quot;}],&quot;container-title&quot;:&quot;Scientific Reports&quot;,&quot;container-title-short&quot;:&quot;Sci. Rep.&quot;,&quot;DOI&quot;:&quot;10.1038/s41598-025-89234-3&quot;,&quot;ISSN&quot;:&quot;20452322&quot;,&quot;PMID&quot;:&quot;39979391&quot;,&quot;issued&quot;:{&quot;date-parts&quot;:[[2025,12,1]]},&quot;abstract&quot;:&quot;Mesenchymal stem cell (MSC) holds immense potential as candidates for cell therapy in the treatment of tendon injuries due to their remarkable ability for multiple cell differentiation. However, the proliferative and differentiation capacity of MSCs has been limited by cellular senescence during the process of expanding culture. Therefore, in this study, our aim was to maintain the beneficial properties of MSCs. We found that SETD7, a histone methyltransferase, was upregulated during ex vivo expansion of human adipose-derived mesenchymal stem cells (hAD-MSCs). Pharmacological inhibition of SETD7 with PFI-2 in hAD-MSCs cultures delayed their senescence, as evident by the diminished expression of senescent-associated genes and the maintenance of their proliferation and differentiation capacity. Upon transplantation, cell sheets derived from hAD-MSCs expanded with PFI-2 were better able to accelerate tendon repair. Therefore, the present findings reveal that SETD7 is an important target to improve the expansion of hAD-MSCs by delaying senescence, which is importance for the development of efficient stem cell-based therapeutic approaches.&quot;,&quot;publisher&quot;:&quot;Nature Research&quot;,&quot;issue&quot;:&quot;1&quot;,&quot;volume&quot;:&quot;15&quot;},&quot;isTemporary&quot;:false,&quot;suppress-author&quot;:false,&quot;composite&quot;:false,&quot;author-only&quot;:false}],&quot;citationTag&quot;:&quot;MENDELEY_CITATION_v3_eyJjaXRhdGlvbklEIjoiTUVOREVMRVlfQ0lUQVRJT05fNGU2ZGYwMDktZGU0OC00MWRjLWI4YjEtMjAxODQ3NGJlMzBh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quot;},{&quot;citationID&quot;:&quot;MENDELEY_CITATION_533808a8-048d-4df2-aab9-0db0a52ee9dc&quot;,&quot;properties&quot;:{&quot;noteIndex&quot;:0},&quot;isEdited&quot;:false,&quot;manualOverride&quot;:{&quot;isManuallyOverridden&quot;:false,&quot;citeprocText&quot;:&quot;(Bertolo et al., 2016)&quot;,&quot;manualOverrideText&quot;:&quot;&quot;},&quot;citationItems&quot;:[{&quot;id&quot;:&quot;31ebb3dc-aeb5-3813-951f-0692d020580d&quot;,&quot;itemData&quot;:{&quot;type&quot;:&quot;article-journal&quot;,&quot;id&quot;:&quot;31ebb3dc-aeb5-3813-951f-0692d020580d&quot;,&quot;title&quot;:&quot;An in vitro expansion score for tissue-engineering applications with human bone marrow-derived mesenchymal stem cells&quot;,&quot;author&quot;:[{&quot;family&quot;:&quot;Bertolo&quot;,&quot;given&quot;:&quot;Alessandro&quot;,&quot;parse-names&quot;:false,&quot;dropping-particle&quot;:&quot;&quot;,&quot;non-dropping-particle&quot;:&quot;&quot;},{&quot;family&quot;:&quot;Mehr&quot;,&quot;given&quot;:&quot;Marco&quot;,&quot;parse-names&quot;:false,&quot;dropping-particle&quot;:&quot;&quot;,&quot;non-dropping-particle&quot;:&quot;&quot;},{&quot;family&quot;:&quot;Janner-Jametti&quot;,&quot;given&quot;:&quot;Tiziana&quot;,&quot;parse-names&quot;:false,&quot;dropping-particle&quot;:&quot;&quot;,&quot;non-dropping-particle&quot;:&quot;&quot;},{&quot;family&quot;:&quot;Graumann&quot;,&quot;given&quot;:&quot;Ursula&quot;,&quot;parse-names&quot;:false,&quot;dropping-particle&quot;:&quot;&quot;,&quot;non-dropping-particle&quot;:&quot;&quot;},{&quot;family&quot;:&quot;Aebli&quot;,&quot;given&quot;:&quot;Niklaus&quot;,&quot;parse-names&quot;:false,&quot;dropping-particle&quot;:&quot;&quot;,&quot;non-dropping-particle&quot;:&quot;&quot;},{&quot;family&quot;:&quot;Baur&quot;,&quot;given&quot;:&quot;Martin&quot;,&quot;parse-names&quot;:false,&quot;dropping-particle&quot;:&quot;&quot;,&quot;non-dropping-particle&quot;:&quot;&quot;},{&quot;family&quot;:&quot;Ferguson&quot;,&quot;given&quot;:&quot;Stephen J.&quot;,&quot;parse-names&quot;:false,&quot;dropping-particle&quot;:&quot;&quot;,&quot;non-dropping-particle&quot;:&quot;&quot;},{&quot;family&quot;:&quot;Stoyanov&quot;,&quot;given&quot;:&quot;Jivko&quot;,&quot;parse-names&quot;:false,&quot;dropping-particle&quot;:&quot;V.&quot;,&quot;non-dropping-particle&quot;:&quot;&quot;}],&quot;container-title&quot;:&quot;Journal of Tissue Engineering and Regenerative Medicine&quot;,&quot;container-title-short&quot;:&quot;J. Tissue Eng. Regen. Med.&quot;,&quot;DOI&quot;:&quot;10.1002/term.1734&quot;,&quot;ISSN&quot;:&quot;19327005&quot;,&quot;PMID&quot;:&quot;23576360&quot;,&quot;issued&quot;:{&quot;date-parts&quot;:[[2016,2,1]]},&quot;page&quot;:&quot;149-161&quot;,&quot;abstract&quot;:&quot;Human bone marrow-derived mesenchymal stem cells (MSCs) have limited growth potential in vitro and cease to divide due to replicative senescence, which from a tissue-engineering perspective has practical implications, such as defining the correct starting points for differentiation and transplantation. Time spent in culture before the loss of required differentiation potential is different and reflects patient variability, which is a problem for cell expansion. This study aimed to develop a score set which can be used to quantify the senescent state of MSCs and predict whether cells preserve their ability to differentiate to osteogenic, adipogenic and chondrogenic phenotypes, based on colony-forming unit (CFU) assay, population doubling time (PDT), senescence-associated β-galactosidase (SA-β-Gal) activity, cell size, telomere length and gene expression of MSCs cultured in vitro over 11 passages. This set of morphological, physiological and genetic senescence markers was correlated to the ability of MSCs to differentiate. Differentiation efficiency was assessed by marker genes and protein expression. CFUs decreased with increasing passage number, whereas SA-β-Gal activity and PDT increased; however, the correlation with MSCs' differentiation potential was sometimes unexpected. The expression of genes related to senescence was higher in late-passage cells than in early-passage cells. Early-passage cells underwent efficient osteogenic differentiation, with mid-passage cells performing best in chondrogenic differentiation. Late-passage cells preserve only adipogenic differentiation potential. Based on this marker set, we propose a senescence score in which combined markers give a reliable quality control of MSCs, not depending only on mechanistic passage number.&quot;,&quot;publisher&quot;:&quot;John Wiley and Sons Ltd&quot;,&quot;issue&quot;:&quot;2&quot;,&quot;volume&quot;:&quot;10&quot;},&quot;isTemporary&quot;:false}],&quot;citationTag&quot;:&quot;MENDELEY_CITATION_v3_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&quot;},{&quot;citationID&quot;:&quot;MENDELEY_CITATION_10a9ee41-f715-4425-bde9-c07be1b996fe&quot;,&quot;properties&quot;:{&quot;noteIndex&quot;:0},&quot;isEdited&quot;:false,&quot;manualOverride&quot;:{&quot;isManuallyOverridden&quot;:false,&quot;citeprocText&quot;:&quot;(Bonab et al., 2006)&quot;,&quot;manualOverrideText&quot;:&quot;&quot;},&quot;citationItems&quot;:[{&quot;id&quot;:&quot;27eadcf0-862e-387a-8163-50b3d49644f0&quot;,&quot;itemData&quot;:{&quot;type&quot;:&quot;article-journal&quot;,&quot;id&quot;:&quot;27eadcf0-862e-387a-8163-50b3d49644f0&quot;,&quot;title&quot;:&quot;Aging of mesenchymal stem cell in vitro&quot;,&quot;author&quot;:[{&quot;family&quot;:&quot;Bonab&quot;,&quot;given&quot;:&quot;Mandana Mohyeddin&quot;,&quot;parse-names&quot;:false,&quot;dropping-particle&quot;:&quot;&quot;,&quot;non-dropping-particle&quot;:&quot;&quot;},{&quot;family&quot;:&quot;Alimoghaddam&quot;,&quot;given&quot;:&quot;Kamran&quot;,&quot;parse-names&quot;:false,&quot;dropping-particle&quot;:&quot;&quot;,&quot;non-dropping-particle&quot;:&quot;&quot;},{&quot;family&quot;:&quot;Talebian&quot;,&quot;given&quot;:&quot;Fatemeh&quot;,&quot;parse-names&quot;:false,&quot;dropping-particle&quot;:&quot;&quot;,&quot;non-dropping-particle&quot;:&quot;&quot;},{&quot;family&quot;:&quot;Ghaffari&quot;,&quot;given&quot;:&quot;Syed Hamid&quot;,&quot;parse-names&quot;:false,&quot;dropping-particle&quot;:&quot;&quot;,&quot;non-dropping-particle&quot;:&quot;&quot;},{&quot;family&quot;:&quot;Ghavamzadeh&quot;,&quot;given&quot;:&quot;Ardeshir&quot;,&quot;parse-names&quot;:false,&quot;dropping-particle&quot;:&quot;&quot;,&quot;non-dropping-particle&quot;:&quot;&quot;},{&quot;family&quot;:&quot;Nikbin&quot;,&quot;given&quot;:&quot;Behrouz&quot;,&quot;parse-names&quot;:false,&quot;dropping-particle&quot;:&quot;&quot;,&quot;non-dropping-particle&quot;:&quot;&quot;}],&quot;container-title&quot;:&quot;BMC Cell Biology&quot;,&quot;container-title-short&quot;:&quot;BMC Cell Biol.&quot;,&quot;DOI&quot;:&quot;10.1186/1471-2121-7-14&quot;,&quot;ISSN&quot;:&quot;14712121&quot;,&quot;PMID&quot;:&quot;16529651&quot;,&quot;issued&quot;:{&quot;date-parts&quot;:[[2006,3,10]]},&quot;abstract&quot;:&quot;Background: A hot new topic in medical treatment is the use of mesenchymal stem cells (MSC) in therapy. The low frequency of this subpopulation of stem cells in bone marrow (BM) necessitates their in vitro expansion prior to clinical use. We evaluated the effect of long term culture on the senescence of these cells. Results: The mean long term culture was 118 days and the mean passage number was 9. The average number of PD decreased from 7.7 to 1.2 in the 10th passage. The mean telomere length decreased from 9.19 Kbp to 8.7 kbp in the 9th passage. Differentiation potential dropped from the 6th passage on. The culture's morphological abnormalities were typical of the Hayflick model of cellular aging. Conclusion: We believe that MSC enter senescence almost undetectably from the moment of in vitro culturing. Simultaneously these cells are losing their stem cell characteristics. Therefore, it is much better to consider them for cell and gene therapy early on. © 2006 Bonab et al; licensee BioMed Central Ltd.&quot;,&quot;volume&quot;:&quot;7&quot;},&quot;isTemporary&quot;:false}],&quot;citationTag&quot;:&quot;MENDELEY_CITATION_v3_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&quot;},{&quot;citationID&quot;:&quot;MENDELEY_CITATION_1e29c027-4d65-47ad-a1a9-a83979bf473e&quot;,&quot;properties&quot;:{&quot;noteIndex&quot;:0},&quot;isEdited&quot;:false,&quot;manualOverride&quot;:{&quot;isManuallyOverridden&quot;:false,&quot;citeprocText&quot;:&quot;(H. Cheng et al., 2011a)&quot;,&quot;manualOverrideText&quot;:&quot;&quot;},&quot;citationItems&quot;:[{&quot;id&quot;:&quot;ab9ff687-a07a-33e4-985d-e6e37d83453d&quot;,&quot;itemData&quot;:{&quot;type&quot;:&quot;article-journal&quot;,&quot;id&quot;:&quot;ab9ff687-a07a-33e4-985d-e6e37d83453d&quot;,&quot;title&quot;:&quot;Replicative senescence of human bone marrow and umbilical cord derived mesenchymal stem cells and their differentiation to adipocytes and osteoblasts&quot;,&quot;author&quot;:[{&quot;family&quot;:&quot;Cheng&quot;,&quot;given&quot;:&quot;Huanchen&quot;,&quot;parse-names&quot;:false,&quot;dropping-particle&quot;:&quot;&quot;,&quot;non-dropping-particle&quot;:&quot;&quot;},{&quot;family&quot;:&quot;Qiu&quot;,&quot;given&quot;:&quot;Lin&quot;,&quot;parse-names&quot;:false,&quot;dropping-particle&quot;:&quot;&quot;,&quot;non-dropping-particle&quot;:&quot;&quot;},{&quot;family&quot;:&quot;Ma&quot;,&quot;given&quot;:&quot;Jun&quot;,&quot;parse-names&quot;:false,&quot;dropping-particle&quot;:&quot;&quot;,&quot;non-dropping-particle&quot;:&quot;&quot;},{&quot;family&quot;:&quot;Zhang&quot;,&quot;given&quot;:&quot;Hao&quot;,&quot;parse-names&quot;:false,&quot;dropping-particle&quot;:&quot;&quot;,&quot;non-dropping-particle&quot;:&quot;&quot;},{&quot;family&quot;:&quot;Cheng&quot;,&quot;given&quot;:&quot;Mei&quot;,&quot;parse-names&quot;:false,&quot;dropping-particle&quot;:&quot;&quot;,&quot;non-dropping-particle&quot;:&quot;&quot;},{&quot;family&quot;:&quot;Li&quot;,&quot;given&quot;:&quot;Wei&quot;,&quot;parse-names&quot;:false,&quot;dropping-particle&quot;:&quot;&quot;,&quot;non-dropping-particle&quot;:&quot;&quot;},{&quot;family&quot;:&quot;Zhao&quot;,&quot;given&quot;:&quot;Xuefei&quot;,&quot;parse-names&quot;:false,&quot;dropping-particle&quot;:&quot;&quot;,&quot;non-dropping-particle&quot;:&quot;&quot;},{&quot;family&quot;:&quot;Liu&quot;,&quot;given&quot;:&quot;Keyu&quot;,&quot;parse-names&quot;:false,&quot;dropping-particle&quot;:&quot;&quot;,&quot;non-dropping-particle&quot;:&quot;&quot;}],&quot;container-title&quot;:&quot;Molecular Biology Reports&quot;,&quot;container-title-short&quot;:&quot;Mol. Biol. Rep.&quot;,&quot;DOI&quot;:&quot;10.1007/s11033-010-0665-2&quot;,&quot;ISSN&quot;:&quot;03014851&quot;,&quot;PMID&quot;:&quot;21188535&quot;,&quot;issued&quot;:{&quot;date-parts&quot;:[[2011,11]]},&quot;page&quot;:&quot;5161-5168&quot;,&quot;abstract&quot;:&quot;Mesenchymal stem cells (MSC) which have self-renewal and multiple differentiation potential in vitro play important roles in regenerative medicine and tissue engineering. However, long-term culture in vitro leads to senescence which results in the growth arrest and reduction of differentiation. In this study, MSC derived from human bone-marrow (BM-MSC) and umbilical cord (UC-MSC) were cultured in vitro lasted to senescence. Senescence and apoptosis detection showed that the senescent cells increased significantly but the increase of apoptosis was not significant in the long term culture. Senescence related genes p16, p21 and p53 increased gradually in BM-MSC. However, p16 and p53 reduced and then increased but with the gradual increase of p21 in UC-MSC. Adipogenic differentiation decreased whereas the propensity for osteogenic differentiation increased in senescent MSC. Real time RT-PCR demonstrated that both C/EBPa and PPARγ decreased in senescent BM-MSC. However, in UC-MSC, PPARγ decreased but C/EBPa increased in late phase compared to early phase. The study demonstrated p21 was important in the senescence of BM-MSC and UC-MSC. C/EBPa and PPARγ could regulate the balance of adipogenic differentiation in BM-MSC but only PPARγ not C/EBPa was involved in the adipogenic differentiation in UC-MSC. © 2011 Springer Science+Business Media B.V.&quot;,&quot;issue&quot;:&quot;8&quot;,&quot;volume&quot;:&quot;38&quot;},&quot;isTemporary&quot;:false}],&quot;citationTag&quot;:&quot;MENDELEY_CITATION_v3_eyJjaXRhdGlvbklEIjoiTUVOREVMRVlfQ0lUQVRJT05fMWUyOWMwMjctNGQ2NS00N2FkLWExYTktYTgzOTc5YmY0NzNl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quot;},{&quot;citationID&quot;:&quot;MENDELEY_CITATION_e7ca2863-7c53-4e18-8b64-6b21c1ac4217&quot;,&quot;properties&quot;:{&quot;noteIndex&quot;:0},&quot;isEdited&quot;:false,&quot;manualOverride&quot;:{&quot;isManuallyOverridden&quot;:false,&quot;citeprocText&quot;:&quot;(S. N. Kim et al., 2021)&quot;,&quot;manualOverrideText&quot;:&quot;&quot;},&quot;citationItems&quot;:[{&quot;id&quot;:&quot;19d6fec9-fa2e-3fe3-991b-73bf93ccdb1c&quot;,&quot;itemData&quot;:{&quot;type&quot;:&quot;article-journal&quot;,&quot;id&quot;:&quot;19d6fec9-fa2e-3fe3-991b-73bf93ccdb1c&quot;,&quot;title&quot;:&quot;Culturing at Low Cell Density Delays Cellular Senescence of Human Bone Marrow-Derived Mesenchymal Stem Cells in Long-Term Cultures&quot;,&quot;author&quot;:[{&quot;family&quot;:&quot;Kim&quot;,&quot;given&quot;:&quot;Si Na&quot;,&quot;parse-names&quot;:false,&quot;dropping-particle&quot;:&quot;&quot;,&quot;non-dropping-particle&quot;:&quot;&quot;},{&quot;family&quot;:&quot;Choi&quot;,&quot;given&quot;:&quot;Byeol&quot;,&quot;parse-names&quot;:false,&quot;dropping-particle&quot;:&quot;&quot;,&quot;non-dropping-particle&quot;:&quot;&quot;},{&quot;family&quot;:&quot;Lee&quot;,&quot;given&quot;:&quot;Chan Ju&quot;,&quot;parse-names&quot;:false,&quot;dropping-particle&quot;:&quot;&quot;,&quot;non-dropping-particle&quot;:&quot;&quot;},{&quot;family&quot;:&quot;Moon&quot;,&quot;given&quot;:&quot;Jeong Hyun&quot;,&quot;parse-names&quot;:false,&quot;dropping-particle&quot;:&quot;&quot;,&quot;non-dropping-particle&quot;:&quot;&quot;},{&quot;family&quot;:&quot;Kim&quot;,&quot;given&quot;:&quot;Min Kyoung&quot;,&quot;parse-names&quot;:false,&quot;dropping-particle&quot;:&quot;&quot;,&quot;non-dropping-particle&quot;:&quot;&quot;},{&quot;family&quot;:&quot;Chung&quot;,&quot;given&quot;:&quot;Eunkyung&quot;,&quot;parse-names&quot;:false,&quot;dropping-particle&quot;:&quot;&quot;,&quot;non-dropping-particle&quot;:&quot;&quot;},{&quot;family&quot;:&quot;Song&quot;,&quot;given&quot;:&quot;Sun Uk&quot;,&quot;parse-names&quot;:false,&quot;dropping-particle&quot;:&quot;&quot;,&quot;non-dropping-particle&quot;:&quot;&quot;}],&quot;container-title&quot;:&quot;International Journal of Stem Cells&quot;,&quot;container-title-short&quot;:&quot;Int. J. Stem Cells&quot;,&quot;DOI&quot;:&quot;10.15283/ijsc20078&quot;,&quot;ISSN&quot;:&quot;20055447&quot;,&quot;issued&quot;:{&quot;date-parts&quot;:[[2021]]},&quot;page&quot;:&quot;103-111&quot;,&quot;abstract&quot;:&quot;Background and Objectives: Mesenchymal stem cells (MSCs) have immense therapeutic potential for treating intractable and immune diseases. They also have applications in regenerative medicine in which distinct treatments do not exist. Thus, MSCs are gaining attention as important raw materials in the field of cell therapy. Importantly, the number of MSCs in the bone marrow is limited and they are present only in small quantities. Therefore, mass production of MSCs through long-term culture is necessary to use them in cell therapy. However, MSCs undergo cellular senescence through repeated passages during mass production. In this study, we explored methods to prolong the limited lifetime of MSCs by culturing them with different seeding densities. Methods and Results: We observed that in long-term cultures, low-density (LD, 50 cells/cm2) MSCs showed higher population doubling level, leading to greater fold increase, than high-density (HD, 4,000 cells/cm2) MSCs. LD-MSCs suppressed the expression of aging-related genes. We also showed that reactive oxygen species (ROS) were decreased in LD-MSCs compared to that in HD-MSCs. Further, proliferation potential increased when ROS were inhibited in HD-MSCs. Conclusions: The results in this study suggest that MSC senescence can be delayed and that life span can be extended by controlling cell density in vitro. These results can be used as important data for the mass production of stem cell therapeutic products.&quot;,&quot;publisher&quot;:&quot;Sungkyunkwan University&quot;,&quot;issue&quot;:&quot;1&quot;,&quot;volume&quot;:&quot;14&quot;},&quot;isTemporary&quot;:false}],&quot;citationTag&quot;:&quot;MENDELEY_CITATION_v3_eyJjaXRhdGlvbklEIjoiTUVOREVMRVlfQ0lUQVRJT05fZTdjYTI4NjMtN2M1My00ZTE4LThiNjQtNmIyMWMxYWM0MjE3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quot;},{&quot;citationID&quot;:&quot;MENDELEY_CITATION_422add0b-e942-4f3a-835c-2b4a65921cb4&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NDIyYWRkMGItZTk0Mi00ZjNhLTgzNWMtMmI0YTY1OTIxY2I0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340317c3-725f-4b50-bbe1-532ed0574ad4&quot;,&quot;properties&quot;:{&quot;noteIndex&quot;:0},&quot;isEdited&quot;:false,&quot;manualOverride&quot;:{&quot;isManuallyOverridden&quot;:false,&quot;citeprocText&quot;:&quot;(Wagner et al., 2008)&quot;,&quot;manualOverrideText&quot;:&quot;&quot;},&quot;citationItems&quot;:[{&quot;id&quot;:&quot;b1bbe505-3108-3200-9b49-05544940ef4c&quot;,&quot;itemData&quot;:{&quot;type&quot;:&quot;article-journal&quot;,&quot;id&quot;:&quot;b1bbe505-3108-3200-9b49-05544940ef4c&quot;,&quot;title&quot;:&quot;Replicative senescence of mesenchymal stem cells: A continuous and organized process&quot;,&quot;author&quot;:[{&quot;family&quot;:&quot;Wagner&quot;,&quot;given&quot;:&quot;Wolfgang&quot;,&quot;parse-names&quot;:false,&quot;dropping-particle&quot;:&quot;&quot;,&quot;non-dropping-particle&quot;:&quot;&quot;},{&quot;family&quot;:&quot;Horn&quot;,&quot;given&quot;:&quot;Patrick&quot;,&quot;parse-names&quot;:false,&quot;dropping-particle&quot;:&quot;&quot;,&quot;non-dropping-particle&quot;:&quot;&quot;},{&quot;family&quot;:&quot;Castoldi&quot;,&quot;given&quot;:&quot;Mirco&quot;,&quot;parse-names&quot;:false,&quot;dropping-particle&quot;:&quot;&quot;,&quot;non-dropping-particle&quot;:&quot;&quot;},{&quot;family&quot;:&quot;Diehlmann&quot;,&quot;given&quot;:&quot;Anke&quot;,&quot;parse-names&quot;:false,&quot;dropping-particle&quot;:&quot;&quot;,&quot;non-dropping-particle&quot;:&quot;&quot;},{&quot;family&quot;:&quot;Bork&quot;,&quot;given&quot;:&quot;Simone&quot;,&quot;parse-names&quot;:false,&quot;dropping-particle&quot;:&quot;&quot;,&quot;non-dropping-particle&quot;:&quot;&quot;},{&quot;family&quot;:&quot;Saffrich&quot;,&quot;given&quot;:&quot;Rainer&quot;,&quot;parse-names&quot;:false,&quot;dropping-particle&quot;:&quot;&quot;,&quot;non-dropping-particle&quot;:&quot;&quot;},{&quot;family&quot;:&quot;Benes&quot;,&quot;given&quot;:&quot;Vladimir&quot;,&quot;parse-names&quot;:false,&quot;dropping-particle&quot;:&quot;&quot;,&quot;non-dropping-particle&quot;:&quot;&quot;},{&quot;family&quot;:&quot;Blake&quot;,&quot;given&quot;:&quot;Jonathon&quot;,&quot;parse-names&quot;:false,&quot;dropping-particle&quot;:&quot;&quot;,&quot;non-dropping-particle&quot;:&quot;&quot;},{&quot;family&quot;:&quot;Pfister&quot;,&quot;given&quot;:&quot;Stefan&quot;,&quot;parse-names&quot;:false,&quot;dropping-particle&quot;:&quot;&quot;,&quot;non-dropping-particle&quot;:&quot;&quot;},{&quot;family&quot;:&quot;Eckstein&quot;,&quot;given&quot;:&quot;Volker&quot;,&quot;parse-names&quot;:false,&quot;dropping-particle&quot;:&quot;&quot;,&quot;non-dropping-particle&quot;:&quot;&quot;},{&quot;family&quot;:&quot;Ho&quot;,&quot;given&quot;:&quot;Anthony D.&quot;,&quot;parse-names&quot;:false,&quot;dropping-particle&quot;:&quot;&quot;,&quot;non-dropping-particle&quot;:&quot;&quot;}],&quot;container-title&quot;:&quot;PLoS ONE&quot;,&quot;container-title-short&quot;:&quot;PLoS One&quot;,&quot;DOI&quot;:&quot;10.1371/journal.pone.0002213&quot;,&quot;ISSN&quot;:&quot;19326203&quot;,&quot;PMID&quot;:&quot;18493317&quot;,&quot;issued&quot;:{&quot;date-parts&quot;:[[2008,5,21]]},&quot;abstract&quot;:&quot;Mesenchymal stem cells (MSC) comprise a promising tool for cellular therapy. These cells are usually culture expanded prior to their application. However, a precise molecular definition of MSC and the sequel of long-term in vitro culture are yet unknown. In this study, we have addressed the impact of replicative senescence on human MSC preparations. Within 43 to 77 days of cultivation 17 to 12 passages), MSC demonstrated morphological abnormalities, enlargement, attenuated expression of specific surface markers, and ultimately proliferation arrest. Adipogenic differentiation potential decreased whereas the propensity for osteogenic differentiation increased. mRNA expression profiling revealed a consistent pattern of alterations in the global gene expression signature of MSC at different passages. These changes are not restricted to later passages, but are continuously acquired with increasing passages. Genes involved in cell cycle, DNA replication and DNA repair are significantly down-regulated in late passages. Genes from chromosome 4q21 were over-represented among differentially regulated transcripts. Differential expression of 10 genes has been verified in independent donor samples as well as in MSC that were isolated under different culture conditions. Furthermore,miRNA expression profiling revealed an up-regulation of hsa-mir-371, hsa-mir-369-5P, hsa-mir-29c, hsa-mir-499 and hsa-let-7f upon in vitro propagation. Our studies indicate that replicative senescence of MSC preparations is a continuous process starting from the first passage onwards. This process includes far reaching alterations in phenotype, differentiation potential, global gene expression patterns, and miRNA profiles that need to be considered for therapeutic application of MSC preparations. © 2008 Wagner et al.&quot;,&quot;issue&quot;:&quot;5&quot;,&quot;volume&quot;:&quot;3&quot;},&quot;isTemporary&quot;:false,&quot;suppress-author&quot;:false,&quot;composite&quot;:false,&quot;author-only&quot;:false}],&quot;citationTag&quot;:&quot;MENDELEY_CITATION_v3_eyJjaXRhdGlvbklEIjoiTUVOREVMRVlfQ0lUQVRJT05fMzQwMzE3YzMtNzI1Zi00YjUwLWJiZTEtNTMyZWQwNTc0YWQ0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quot;},{&quot;citationID&quot;:&quot;MENDELEY_CITATION_b964e292-6bde-4217-a098-c966a10d8940&quot;,&quot;properties&quot;:{&quot;noteIndex&quot;:0},&quot;isEdited&quot;:false,&quot;manualOverride&quot;:{&quot;isManuallyOverridden&quot;:false,&quot;citeprocText&quot;:&quot;(Wenjing et al., 2024a)&quot;,&quot;manualOverrideText&quot;:&quot;&quot;},&quot;citationItems&quot;:[{&quot;id&quot;:&quot;42cda071-b00c-3b4b-bbd2-78bf1c36bd55&quot;,&quot;itemData&quot;:{&quot;type&quot;:&quot;article-journal&quot;,&quot;id&quot;:&quot;42cda071-b00c-3b4b-bbd2-78bf1c36bd55&quot;,&quot;title&quot;:&quot;Effects of long-term subculture on biological characteristics of bone marrow mesenchymal stem cells&quot;,&quot;author&quot;:[{&quot;family&quot;:&quot;Wenjing&quot;,&quot;given&quot;:&quot;Zhao&quot;,&quot;parse-names&quot;:false,&quot;dropping-particle&quot;:&quot;&quot;,&quot;non-dropping-particle&quot;:&quot;&quot;},{&quot;family&quot;:&quot;Baikun&quot;,&quot;given&quot;:&quot;Liu&quot;,&quot;parse-names&quot;:false,&quot;dropping-particle&quot;:&quot;&quot;,&quot;non-dropping-particle&quot;:&quot;&quot;},{&quot;family&quot;:&quot;Qiulian&quot;,&quot;given&quot;:&quot;Li&quot;,&quot;parse-names&quot;:false,&quot;dropping-particle&quot;:&quot;&quot;,&quot;non-dropping-particle&quot;:&quot;&quot;},{&quot;family&quot;:&quot;Xi&quot;,&quot;given&quot;:&quot;Chen&quot;,&quot;parse-names&quot;:false,&quot;dropping-particle&quot;:&quot;&quot;,&quot;non-dropping-particle&quot;:&quot;&quot;}],&quot;container-title&quot;:&quot;Chinese Journal of Tissue Engineering Research&quot;,&quot;DOI&quot;:&quot;10.12307/2024.702&quot;,&quot;ISSN&quot;:&quot;20954344&quot;,&quot;issued&quot;:{&quot;date-parts&quot;:[[2024,11,8]]},&quot;page&quot;:&quot;4926-4930&quot;,&quot;abstract&quot;:&quot;BACKGROUND: There is still controversy whether human bone marrow mesenchymal stem cells can maintain their biological characteristics, energy metabolism patterns, and multidirectional differentiation potential after long-term expression in vitro. Further comprehensive and systematic research is needed. OBJECTIVE: To evaluate the effects of long-term expansion in vitro on the biological characteristics of mesenchymal stem cells. METHODS: Human bone marrow mesenchymal stem cells cultured to passage 5, 10, and 15 in vitro. MTT assay was used to detect cell proliferation ability. Flow cytometry was used to detect cell cycle. The multi-differentiation potential of mesenchymal stem cells was detected by inducing to adipogenic, osteogenic and chondrogenic differentiation. Cell migration and invasion abilities were detected by scratch test and Transwell assay. The mitochondrial oxidative phosphorylation and glycolysis function were analyzed using energy metabolism analyzer. The cell senescence was detected by senescence-associated β-galactosidase staining. The expression levels of p21, p16, and p53 proteins were detected by western blot assay. RESULTS AND CONCLUSION: Bone marrow mesenchymal stem cells at passages 5, 10, and 15 grew adherently; the volume of passage 15 mesenchymal stem cells increased and its proliferation ability decreased; the percentage of S-phase cells decreased (P &lt; 0.05). With the increase of culture passages, the migration and invasion abilities decreased gradually (P &lt; 0.05). There was no significant difference in the differentiation potential, demonstrated by adipogenic, osteogenic and chondrogenesis induction. The ability of oxidative phosphorylation of mitochondria and glycolysis decreased gradually (P &lt; 0.05). The number of senescence-associated β-galactosidase-positive cells increased with the increase of passages (P &lt; 0.05), and the expression of senescence protein p21, p16, and p53 increased gradually (P &lt; 0.05). The results indicated that the biological characterization of mesenchymal stem cells changed after long-term in vitro expansion. Mesenchymal stem cells cultured over 10 passages may have a reduced activity due to increasing senescence. Therefore, bone marrow mesenchymal stem cells cultured less than 10 passages are suitable for clinical research/therapy.&quot;,&quot;publisher&quot;:&quot;Publishing House of Chinese Journal of Tissue Engineering Research&quot;,&quot;issue&quot;:&quot;31&quot;,&quot;volume&quot;:&quot;28&quot;,&quot;container-title-short&quot;:&quot;&quot;},&quot;isTemporary&quot;:false}],&quot;citationTag&quot;:&quot;MENDELEY_CITATION_v3_eyJjaXRhdGlvbklEIjoiTUVOREVMRVlfQ0lUQVRJT05fYjk2NGUyOTItNmJkZS00MjE3LWEwOTgtYzk2NmExMGQ4OTQw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quot;},{&quot;citationID&quot;:&quot;MENDELEY_CITATION_6e9ab51c-8327-4114-a336-05b6c9551896&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NmU5YWI1MWMtODMyNy00MTE0LWEzMzYtMDViNmM5NTUxODk2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caa8b23b-e738-4b9e-af7c-026146d865eb&quot;,&quot;properties&quot;:{&quot;noteIndex&quot;:0},&quot;isEdited&quot;:false,&quot;manualOverride&quot;:{&quot;isManuallyOverridden&quot;:false,&quot;citeprocText&quot;:&quot;(B. Li et al., 2025)&quot;,&quot;manualOverrideText&quot;:&quot;&quot;},&quot;citationItems&quot;:[{&quot;id&quot;:&quot;2dad8a63-3048-3e37-bdf7-4ba39f7d5b59&quot;,&quot;itemData&quot;:{&quot;type&quot;:&quot;article-journal&quot;,&quot;id&quot;:&quot;2dad8a63-3048-3e37-bdf7-4ba39f7d5b59&quot;,&quot;title&quot;:&quot;FTO Suppresses Dental Pulp Stem Cell Senescence by Destabilizing NOLC1 mRNA&quot;,&quot;author&quot;:[{&quot;family&quot;:&quot;Li&quot;,&quot;given&quot;:&quot;Bingrong&quot;,&quot;parse-names&quot;:false,&quot;dropping-particle&quot;:&quot;&quot;,&quot;non-dropping-particle&quot;:&quot;&quot;},{&quot;family&quot;:&quot;Xu&quot;,&quot;given&quot;:&quot;Mi&quot;,&quot;parse-names&quot;:false,&quot;dropping-particle&quot;:&quot;&quot;,&quot;non-dropping-particle&quot;:&quot;&quot;},{&quot;family&quot;:&quot;Huang&quot;,&quot;given&quot;:&quot;Junjun&quot;,&quot;parse-names&quot;:false,&quot;dropping-particle&quot;:&quot;&quot;,&quot;non-dropping-particle&quot;:&quot;&quot;},{&quot;family&quot;:&quot;Jia&quot;,&quot;given&quot;:&quot;Rong&quot;,&quot;parse-names&quot;:false,&quot;dropping-particle&quot;:&quot;&quot;,&quot;non-dropping-particle&quot;:&quot;&quot;}],&quot;container-title&quot;:&quot;Biomolecules&quot;,&quot;container-title-short&quot;:&quot;Biomolecules&quot;,&quot;DOI&quot;:&quot;10.3390/biom15111627&quot;,&quot;ISSN&quot;:&quot;2218273X&quot;,&quot;PMID&quot;:&quot;41301545&quot;,&quot;issued&quot;:{&quot;date-parts&quot;:[[2025,11,1]]},&quot;abstract&quot;:&quot;Cellular senescence is an intricate process that severely restricts stem cell function. The N6-methyladenosine (m6A) eraser, fat mass and obesity-associated (FTO) protein control several aspects of stem cell fate, including differentiation, self-renewal, and senescence. However, the role of FTO in dental pulp stem cell (DPSC) senescence has not yet been elucidated. This study aimed to explore the role of FTO in DPSC senescence. FTO expression decreases during DPSC senescence. FTO depletion inhibited DPSC proliferation, accelerated senescence, and increased reactive oxygen species (ROS) levels. FTO overexpression reduced DPSC senescence, enhanced proliferation, and decreased ROS accumulation. RNA sequencing demonstrated that FTO knockdown inhibited ribosomal RNA precursor (pre-rRNA) biogenesis. We found nucleolar and coiled-body phosphoprotein 1 (NOLC1) as a novel target of FTO. NOLC1 was upregulated after FTO knockdown and promoted DPSC senescence. Mechanistically, FTO downregulation increased the m6A modifications of NOLC1 mRNA, increasing the stability of the NOLC1 mRNA. NOLC1 upregulation inhibits the transcription of pre-rRNA, causing nucleolar stress and p53 accumulation. In addition, NOLC1 knockdown partially rescued FTO deficiency-induced DPSC senescence. Our findings identified the significant role of the FTO/NOLC1/p53 axis in DPSC senescence and provide new insights to prevent the aging of DPSCs, which is beneficial for the application of DPSCs in regenerative medicine and stem cell therapy.&quot;,&quot;publisher&quot;:&quot;Multidisciplinary Digital Publishing Institute (MDPI)&quot;,&quot;issue&quot;:&quot;11&quot;,&quot;volume&quot;:&quot;15&quot;},&quot;isTemporary&quot;:false,&quot;suppress-author&quot;:false,&quot;composite&quot;:false,&quot;author-only&quot;:false}],&quot;citationTag&quot;:&quot;MENDELEY_CITATION_v3_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&quot;},{&quot;citationID&quot;:&quot;MENDELEY_CITATION_64003e1d-5bfa-4ed0-9547-17d5ef1d0325&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NjQwMDNlMWQtNWJmYS00ZWQwLTk1NDctMTdkNWVmMWQwMzI1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66a882ed-5d3f-42d7-8297-18b873fe0e71&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NjZhODgyZWQtNWQzZi00MmQ3LTgyOTctMThiODczZmUwZTcx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345161da-ef1c-4e70-921b-2d850efeea84&quot;,&quot;properties&quot;:{&quot;noteIndex&quot;:0},&quot;isEdited&quot;:false,&quot;manualOverride&quot;:{&quot;isManuallyOverridden&quot;:false,&quot;citeprocText&quot;:&quot;(Jia et al., 2025)&quot;,&quot;manualOverrideText&quot;:&quot;&quot;},&quot;citationItems&quot;:[{&quot;id&quot;:&quot;f6ed90fb-92d0-349d-8048-b61b5e28fa81&quot;,&quot;itemData&quot;:{&quot;type&quot;:&quot;article-journal&quot;,&quot;id&quot;:&quot;f6ed90fb-92d0-349d-8048-b61b5e28fa81&quot;,&quot;title&quot;:&quot;Senolytic elimination of senescent cells improved periodontal ligament stem cell-based bone regeneration partially through inhibiting YAP&quot;,&quot;author&quot;:[{&quot;family&quot;:&quot;Jia&quot;,&quot;given&quot;:&quot;Linglu&quot;,&quot;parse-names&quot;:false,&quot;dropping-particle&quot;:&quot;&quot;,&quot;non-dropping-particle&quot;:&quot;&quot;},{&quot;family&quot;:&quot;Xiao&quot;,&quot;given&quot;:&quot;Han&quot;,&quot;parse-names&quot;:false,&quot;dropping-particle&quot;:&quot;&quot;,&quot;non-dropping-particle&quot;:&quot;&quot;},{&quot;family&quot;:&quot;Hao&quot;,&quot;given&quot;:&quot;Zhenghao&quot;,&quot;parse-names&quot;:false,&quot;dropping-particle&quot;:&quot;&quot;,&quot;non-dropping-particle&quot;:&quot;&quot;},{&quot;family&quot;:&quot;Sun&quot;,&quot;given&quot;:&quot;Shaoqing&quot;,&quot;parse-names&quot;:false,&quot;dropping-particle&quot;:&quot;&quot;,&quot;non-dropping-particle&quot;:&quot;&quot;},{&quot;family&quot;:&quot;Zhao&quot;,&quot;given&quot;:&quot;Wenxi&quot;,&quot;parse-names&quot;:false,&quot;dropping-particle&quot;:&quot;&quot;,&quot;non-dropping-particle&quot;:&quot;&quot;},{&quot;family&quot;:&quot;Gong&quot;,&quot;given&quot;:&quot;Zikai&quot;,&quot;parse-names&quot;:false,&quot;dropping-particle&quot;:&quot;&quot;,&quot;non-dropping-particle&quot;:&quot;&quot;},{&quot;family&quot;:&quot;Gu&quot;,&quot;given&quot;:&quot;Weiting&quot;,&quot;parse-names&quot;:false,&quot;dropping-particle&quot;:&quot;&quot;,&quot;non-dropping-particle&quot;:&quot;&quot;},{&quot;family&quot;:&quot;Wen&quot;,&quot;given&quot;:&quot;Yong&quot;,&quot;parse-names&quot;:false,&quot;dropping-particle&quot;:&quot;&quot;,&quot;non-dropping-particle&quot;:&quot;&quot;}],&quot;container-title&quot;:&quot;Biochimica et Biophysica Acta - Molecular Cell Research&quot;,&quot;container-title-short&quot;:&quot;Biochim. Biophys. Acta Mol. Cell Res.&quot;,&quot;DOI&quot;:&quot;10.1016/j.bbamcr.2025.119921&quot;,&quot;ISSN&quot;:&quot;18792596&quot;,&quot;PMID&quot;:&quot;39971252&quot;,&quot;issued&quot;:{&quot;date-parts&quot;:[[2025,3,1]]},&quot;abstract&quot;:&quot;Periodontal ligament stem cell (PDLSC)-based tissue engineering is an important method to promote periodontal tissue regeneration. However, PDLSCs are susceptible to the effects of replicative senescence, leading to reduced proliferation and differentiation abilities and weakened tissue regeneration potential. Senolytics (the combination of dasatinib and quercetin) are drugs that inhibit cellular aging through inducing the apoptosis of senescent cells, but whether they have positive effects during the senescence of PDLSCs is unknown. The present study established a long-term in vitro culture model of PDLSCs and then analyzed the effects of senolytics on the senescence, apoptosis, and osteogenic differentiation of PDLSCs in vitro and PDLSC-based tissue regeneration in vivo. The results showed that senolytics delayed the process of aging in prolonged-cultured PDLSCs and promoted the elimination and apoptosis of senescent cells. Moreover, senolytics improved the osteogenic differentiation ability of both young and senescent PDLSCs in vitro and promoted PDLSC-based alveolar bone regeneration in vivo. Furthermore, senolytics inhibited the expression of YAP in senescent PDLSCs. Their antiaging effects were enhanced when combined with the YAP inhibitor verteporfin, but were inhibited when combined with the YAP activator NIBR-LTSi. Taken together, these findings suggest that senolytics promoted the elimination of senescent PDLSCs and enhanced senescent PDLSC-based bone regeneration, partially through the inhibition of YAP expression.&quot;,&quot;publisher&quot;:&quot;Elsevier B.V.&quot;,&quot;issue&quot;:&quot;3&quot;,&quot;volume&quot;:&quot;1872&quot;},&quot;isTemporary&quot;:false}],&quot;citationTag&quot;:&quot;MENDELEY_CITATION_v3_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&quot;},{&quot;citationID&quot;:&quot;MENDELEY_CITATION_fc9122d7-daa1-460e-94a3-34cee469b763&quot;,&quot;properties&quot;:{&quot;noteIndex&quot;:0},&quot;isEdited&quot;:false,&quot;manualOverride&quot;:{&quot;isManuallyOverridden&quot;:false,&quot;citeprocText&quot;:&quot;(Ma et al., 2019a)&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ZmM5MTIyZDctZGFhMS00NjBlLTk0YTMtMzRjZWU0NjliNzYzIiwicHJvcGVydGllcyI6eyJub3RlSW5kZXgiOjB9LCJpc0VkaXRlZCI6ZmFsc2UsIm1hbnVhbE92ZXJyaWRlIjp7ImlzTWFudWFsbHlPdmVycmlkZGVuIjpmYWxzZSwiY2l0ZXByb2NUZXh0IjoiKE1hIGV0IGFsLiwgMjAxOWE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&quot;},{&quot;citationID&quot;:&quot;MENDELEY_CITATION_bb8fe93d-5024-41f9-bbc1-4ccbb5ef14e5&quot;,&quot;properties&quot;:{&quot;noteIndex&quot;:0},&quot;isEdited&quot;:false,&quot;manualOverride&quot;:{&quot;isManuallyOverridden&quot;:false,&quot;citeprocText&quot;:&quot;(Yang et al., 2021)&quot;,&quot;manualOverrideText&quot;:&quot;&quot;},&quot;citationItems&quot;:[{&quot;id&quot;:&quot;7de7e333-6333-3412-ae5e-bfca4c606e3e&quot;,&quot;itemData&quot;:{&quot;type&quot;:&quot;article-journal&quot;,&quot;id&quot;:&quot;7de7e333-6333-3412-ae5e-bfca4c606e3e&quot;,&quot;title&quot;:&quot;Vitamin C alleviates the senescence of periodontal ligament stem cells through inhibition of Notch3 during long-term culture&quot;,&quot;author&quot;:[{&quot;family&quot;:&quot;Yang&quot;,&quot;given&quot;:&quot;Yan&quot;,&quot;parse-names&quot;:false,&quot;dropping-particle&quot;:&quot;&quot;,&quot;non-dropping-particle&quot;:&quot;&quot;},{&quot;family&quot;:&quot;Wang&quot;,&quot;given&quot;:&quot;Tao&quot;,&quot;parse-names&quot;:false,&quot;dropping-particle&quot;:&quot;&quot;,&quot;non-dropping-particle&quot;:&quot;&quot;},{&quot;family&quot;:&quot;Zhang&quot;,&quot;given&quot;:&quot;Sicheng&quot;,&quot;parse-names&quot;:false,&quot;dropping-particle&quot;:&quot;&quot;,&quot;non-dropping-particle&quot;:&quot;&quot;},{&quot;family&quot;:&quot;Jia&quot;,&quot;given&quot;:&quot;Sixun&quot;,&quot;parse-names&quot;:false,&quot;dropping-particle&quot;:&quot;&quot;,&quot;non-dropping-particle&quot;:&quot;&quot;},{&quot;family&quot;:&quot;Chen&quot;,&quot;given&quot;:&quot;Hong&quot;,&quot;parse-names&quot;:false,&quot;dropping-particle&quot;:&quot;&quot;,&quot;non-dropping-particle&quot;:&quot;&quot;},{&quot;family&quot;:&quot;Duan&quot;,&quot;given&quot;:&quot;Yufeng&quot;,&quot;parse-names&quot;:false,&quot;dropping-particle&quot;:&quot;&quot;,&quot;non-dropping-particle&quot;:&quot;&quot;},{&quot;family&quot;:&quot;Wang&quot;,&quot;given&quot;:&quot;Shikai&quot;,&quot;parse-names&quot;:false,&quot;dropping-particle&quot;:&quot;&quot;,&quot;non-dropping-particle&quot;:&quot;&quot;},{&quot;family&quot;:&quot;Chen&quot;,&quot;given&quot;:&quot;Guoqing&quot;,&quot;parse-names&quot;:false,&quot;dropping-particle&quot;:&quot;&quot;,&quot;non-dropping-particle&quot;:&quot;&quot;},{&quot;family&quot;:&quot;Tian&quot;,&quot;given&quot;:&quot;Weidong&quot;,&quot;parse-names&quot;:false,&quot;dropping-particle&quot;:&quot;&quot;,&quot;non-dropping-particle&quot;:&quot;&quot;}],&quot;container-title&quot;:&quot;Journal of Cellular Physiology&quot;,&quot;container-title-short&quot;:&quot;J. Cell. Physiol.&quot;,&quot;DOI&quot;:&quot;10.1002/jcp.29930&quot;,&quot;ISSN&quot;:&quot;10974652&quot;,&quot;PMID&quot;:&quot;32662081&quot;,&quot;issued&quot;:{&quot;date-parts&quot;:[[2021,2,1]]},&quot;page&quot;:&quot;1237-1251&quot;,&quot;abstract&quot;:&quot;Periodontal ligament stem cells (PDLSCs), as potential “seed cells” for periodontal tissue repair and regeneration, require to be expanded in vitro for a large scale. Senescence of PDLSCs occurred during long-term culture may compromise the therapeutic effects of PDLSCs. Medium supplements may be useful in antisenescence. However, the effects and mechanisms of vitamin C (Vc) treatment on PDLSCs during long-term culture are still unclear. In this study, we identified that Vc-treated PDLSCs cells maintained a slender morphology, higher growth rate and migration capacity, stemness, and osteogenic differentiation capability during a long-term culture. Moreover, we also identified that Notch3 was significantly upregulated during the cell senescence, and Vc treatment alleviated the senescence of PDLSCs through inhibition of Notch3 during long-term culture. In summary, Vc treatment suppressed PDLSCs senescence by reducing the expression of Notch3 and might be a simple and useful strategy to inhibit cellular senescence during the cell long-term culture.&quot;,&quot;publisher&quot;:&quot;Wiley-Liss Inc.&quot;,&quot;issue&quot;:&quot;2&quot;,&quot;volume&quot;:&quot;236&quot;},&quot;isTemporary&quot;:false,&quot;suppress-author&quot;:false,&quot;composite&quot;:false,&quot;author-only&quot;:false}],&quot;citationTag&quot;:&quot;MENDELEY_CITATION_v3_eyJjaXRhdGlvbklEIjoiTUVOREVMRVlfQ0lUQVRJT05fYmI4ZmU5M2QtNTAyNC00MWY5LWJiYzEtNGNjYmI1ZWYxNGU1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quot;},{&quot;citationID&quot;:&quot;MENDELEY_CITATION_2f6171c9-3a33-45a7-bece-5ef9ba2b13d5&quot;,&quot;properties&quot;:{&quot;noteIndex&quot;:0},&quot;isEdited&quot;:false,&quot;manualOverride&quot;:{&quot;isManuallyOverridden&quot;:false,&quot;citeprocText&quot;:&quot;(H. Cheng et al., 2011a)&quot;,&quot;manualOverrideText&quot;:&quot;&quot;},&quot;citationItems&quot;:[{&quot;id&quot;:&quot;ab9ff687-a07a-33e4-985d-e6e37d83453d&quot;,&quot;itemData&quot;:{&quot;type&quot;:&quot;article-journal&quot;,&quot;id&quot;:&quot;ab9ff687-a07a-33e4-985d-e6e37d83453d&quot;,&quot;title&quot;:&quot;Replicative senescence of human bone marrow and umbilical cord derived mesenchymal stem cells and their differentiation to adipocytes and osteoblasts&quot;,&quot;author&quot;:[{&quot;family&quot;:&quot;Cheng&quot;,&quot;given&quot;:&quot;Huanchen&quot;,&quot;parse-names&quot;:false,&quot;dropping-particle&quot;:&quot;&quot;,&quot;non-dropping-particle&quot;:&quot;&quot;},{&quot;family&quot;:&quot;Qiu&quot;,&quot;given&quot;:&quot;Lin&quot;,&quot;parse-names&quot;:false,&quot;dropping-particle&quot;:&quot;&quot;,&quot;non-dropping-particle&quot;:&quot;&quot;},{&quot;family&quot;:&quot;Ma&quot;,&quot;given&quot;:&quot;Jun&quot;,&quot;parse-names&quot;:false,&quot;dropping-particle&quot;:&quot;&quot;,&quot;non-dropping-particle&quot;:&quot;&quot;},{&quot;family&quot;:&quot;Zhang&quot;,&quot;given&quot;:&quot;Hao&quot;,&quot;parse-names&quot;:false,&quot;dropping-particle&quot;:&quot;&quot;,&quot;non-dropping-particle&quot;:&quot;&quot;},{&quot;family&quot;:&quot;Cheng&quot;,&quot;given&quot;:&quot;Mei&quot;,&quot;parse-names&quot;:false,&quot;dropping-particle&quot;:&quot;&quot;,&quot;non-dropping-particle&quot;:&quot;&quot;},{&quot;family&quot;:&quot;Li&quot;,&quot;given&quot;:&quot;Wei&quot;,&quot;parse-names&quot;:false,&quot;dropping-particle&quot;:&quot;&quot;,&quot;non-dropping-particle&quot;:&quot;&quot;},{&quot;family&quot;:&quot;Zhao&quot;,&quot;given&quot;:&quot;Xuefei&quot;,&quot;parse-names&quot;:false,&quot;dropping-particle&quot;:&quot;&quot;,&quot;non-dropping-particle&quot;:&quot;&quot;},{&quot;family&quot;:&quot;Liu&quot;,&quot;given&quot;:&quot;Keyu&quot;,&quot;parse-names&quot;:false,&quot;dropping-particle&quot;:&quot;&quot;,&quot;non-dropping-particle&quot;:&quot;&quot;}],&quot;container-title&quot;:&quot;Molecular Biology Reports&quot;,&quot;container-title-short&quot;:&quot;Mol. Biol. Rep.&quot;,&quot;DOI&quot;:&quot;10.1007/s11033-010-0665-2&quot;,&quot;ISSN&quot;:&quot;03014851&quot;,&quot;PMID&quot;:&quot;21188535&quot;,&quot;issued&quot;:{&quot;date-parts&quot;:[[2011,11]]},&quot;page&quot;:&quot;5161-5168&quot;,&quot;abstract&quot;:&quot;Mesenchymal stem cells (MSC) which have self-renewal and multiple differentiation potential in vitro play important roles in regenerative medicine and tissue engineering. However, long-term culture in vitro leads to senescence which results in the growth arrest and reduction of differentiation. In this study, MSC derived from human bone-marrow (BM-MSC) and umbilical cord (UC-MSC) were cultured in vitro lasted to senescence. Senescence and apoptosis detection showed that the senescent cells increased significantly but the increase of apoptosis was not significant in the long term culture. Senescence related genes p16, p21 and p53 increased gradually in BM-MSC. However, p16 and p53 reduced and then increased but with the gradual increase of p21 in UC-MSC. Adipogenic differentiation decreased whereas the propensity for osteogenic differentiation increased in senescent MSC. Real time RT-PCR demonstrated that both C/EBPa and PPARγ decreased in senescent BM-MSC. However, in UC-MSC, PPARγ decreased but C/EBPa increased in late phase compared to early phase. The study demonstrated p21 was important in the senescence of BM-MSC and UC-MSC. C/EBPa and PPARγ could regulate the balance of adipogenic differentiation in BM-MSC but only PPARγ not C/EBPa was involved in the adipogenic differentiation in UC-MSC. © 2011 Springer Science+Business Media B.V.&quot;,&quot;issue&quot;:&quot;8&quot;,&quot;volume&quot;:&quot;38&quot;},&quot;isTemporary&quot;:false}],&quot;citationTag&quot;:&quot;MENDELEY_CITATION_v3_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&quot;},{&quot;citationID&quot;:&quot;MENDELEY_CITATION_4bfa0b4b-61ea-4eb6-abb1-8b399f7b656e&quot;,&quot;properties&quot;:{&quot;noteIndex&quot;:0},&quot;isEdited&quot;:false,&quot;manualOverride&quot;:{&quot;isManuallyOverridden&quot;:false,&quot;citeprocText&quot;:&quot;(Christodoulou et al., 2013)&quot;,&quot;manualOverrideText&quot;:&quot;&quot;},&quot;citationItems&quot;:[{&quot;id&quot;:&quot;16505905-171c-3bc6-bb85-290e48b9a0e1&quot;,&quot;itemData&quot;:{&quot;type&quot;:&quot;article-journal&quot;,&quot;id&quot;:&quot;16505905-171c-3bc6-bb85-290e48b9a0e1&quot;,&quot;title&quot;:&quot;Comparative evaluation of human mesenchymal stem cells of fetal (Wharton's Jelly) and adult (adipose tissue) origin during prolonged in vitro expansion: Considerations for cytotherapy&quot;,&quot;author&quot;:[{&quot;family&quot;:&quot;Christodoulou&quot;,&quot;given&quot;:&quot;I.&quot;,&quot;parse-names&quot;:false,&quot;dropping-particle&quot;:&quot;&quot;,&quot;non-dropping-particle&quot;:&quot;&quot;},{&quot;family&quot;:&quot;Kolisis&quot;,&quot;given&quot;:&quot;F. N.&quot;,&quot;parse-names&quot;:false,&quot;dropping-particle&quot;:&quot;&quot;,&quot;non-dropping-particle&quot;:&quot;&quot;},{&quot;family&quot;:&quot;Papaevangeliou&quot;,&quot;given&quot;:&quot;D.&quot;,&quot;parse-names&quot;:false,&quot;dropping-particle&quot;:&quot;&quot;,&quot;non-dropping-particle&quot;:&quot;&quot;},{&quot;family&quot;:&quot;Zoumpourlis&quot;,&quot;given&quot;:&quot;V.&quot;,&quot;parse-names&quot;:false,&quot;dropping-particle&quot;:&quot;&quot;,&quot;non-dropping-particle&quot;:&quot;&quot;}],&quot;container-title&quot;:&quot;Stem Cells International&quot;,&quot;container-title-short&quot;:&quot;Stem Cells Int.&quot;,&quot;DOI&quot;:&quot;10.1155/2013/246134&quot;,&quot;ISSN&quot;:&quot;16879678&quot;,&quot;issued&quot;:{&quot;date-parts&quot;:[[2013]]},&quot;abstract&quot;:&quot;Mesenchymal stem cells (MSCs) are somatic cells with a dual capacity for self-renewal and differentiation, and diverse therapeutic applicability, both experimentally and in the clinic. These cells can be isolated from various human tissues that may differ anatomically or developmentally with relative ease. Heterogeneity due to biological origin or in vitro manipulation is, nevertheless, considerable and may equate to differences in qualitative and quantitative characteristics which can prove crucial for successful therapeutic use. With this in mind, in the present study we have evaluated the proliferation kinetics and phenotypic characteristics of MSCs derived from two abundant sources, that is, fetal umbilical cord matrix (Wharton's jelly) and adult adipose tissue (termed WJSC and ADSC, resp.) during prolonged in vitro expansion, a process necessary for obtaining cell numbers sufficient for clinical application. Our results show that WJSC are derived with relatively high efficiency and bear a substantially increased proliferation capacity whilst largely sustaining the expression of typical immunophenotypic markers, whereas ADSC exhibit a reduced proliferation potential showing typical signs of senescence at an early stage. By combining kinetic with phenotypic data we identify culture thresholds up to which both cell types maintain their stem properties, and we discuss the practical implications of their differences. © 2013 I. Christodoulou et al.&quot;},&quot;isTemporary&quot;:false}],&quot;citationTag&quot;:&quot;MENDELEY_CITATION_v3_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&quot;},{&quot;citationID&quot;:&quot;MENDELEY_CITATION_d4376c18-e0e6-4879-a0f5-38b99e7c4777&quot;,&quot;properties&quot;:{&quot;noteIndex&quot;:0},&quot;isEdited&quot;:false,&quot;manualOverride&quot;:{&quot;isManuallyOverridden&quot;:false,&quot;citeprocText&quot;:&quot;(Govarthanan et al., 2025)&quot;,&quot;manualOverrideText&quot;:&quot;&quot;},&quot;citationItems&quot;:[{&quot;id&quot;:&quot;f41c3154-1b97-3ce6-bbc3-d5a9d8f01a0b&quot;,&quot;itemData&quot;:{&quot;type&quot;:&quot;article-journal&quot;,&quot;id&quot;:&quot;f41c3154-1b97-3ce6-bbc3-d5a9d8f01a0b&quot;,&quot;title&quot;:&quot;Inhibition of GSK-3β Restores Differentiation Potential of Late-Passage Mesenchymal Stem Cells&quot;,&quot;author&quot;:[{&quot;family&quot;:&quot;Govarthanan&quot;,&quot;given&quot;:&quot;Kavitha&quot;,&quot;parse-names&quot;:false,&quot;dropping-particle&quot;:&quot;&quot;,&quot;non-dropping-particle&quot;:&quot;&quot;},{&quot;family&quot;:&quot;Meenakshi Sundaram&quot;,&quot;given&quot;:&quot;Raja Sundari&quot;,&quot;parse-names&quot;:false,&quot;dropping-particle&quot;:&quot;&quot;,&quot;non-dropping-particle&quot;:&quot;&quot;},{&quot;family&quot;:&quot;Richard&quot;,&quot;given&quot;:&quot;Arthi Sunil&quot;,&quot;parse-names&quot;:false,&quot;dropping-particle&quot;:&quot;&quot;,&quot;non-dropping-particle&quot;:&quot;&quot;},{&quot;family&quot;:&quot;Chabathula&quot;,&quot;given&quot;:&quot;Siva Chander&quot;,&quot;parse-names&quot;:false,&quot;dropping-particle&quot;:&quot;&quot;,&quot;non-dropping-particle&quot;:&quot;&quot;},{&quot;family&quot;:&quot;Rupert&quot;,&quot;given&quot;:&quot;Secunda&quot;,&quot;parse-names&quot;:false,&quot;dropping-particle&quot;:&quot;&quot;,&quot;non-dropping-particle&quot;:&quot;&quot;},{&quot;family&quot;:&quot;Sathyanesan&quot;,&quot;given&quot;:&quot;Jeswanth&quot;,&quot;parse-names&quot;:false,&quot;dropping-particle&quot;:&quot;&quot;,&quot;non-dropping-particle&quot;:&quot;&quot;},{&quot;family&quot;:&quot;Verma&quot;,&quot;given&quot;:&quot;Rama Shanker&quot;,&quot;parse-names&quot;:false,&quot;dropping-particle&quot;:&quot;&quot;,&quot;non-dropping-particle&quot;:&quot;&quot;},{&quot;family&quot;:&quot;Jeyaraman&quot;,&quot;given&quot;:&quot;Naveen&quot;,&quot;parse-names&quot;:false,&quot;dropping-particle&quot;:&quot;&quot;,&quot;non-dropping-particle&quot;:&quot;&quot;},{&quot;family&quot;:&quot;Jeyaraman&quot;,&quot;given&quot;:&quot;Madhan&quot;,&quot;parse-names&quot;:false,&quot;dropping-particle&quot;:&quot;&quot;,&quot;non-dropping-particle&quot;:&quot;&quot;},{&quot;family&quot;:&quot;Rajendran&quot;,&quot;given&quot;:&quot;Ramya Lakshmi&quot;,&quot;parse-names&quot;:false,&quot;dropping-particle&quot;:&quot;&quot;,&quot;non-dropping-particle&quot;:&quot;&quot;},{&quot;family&quot;:&quot;Gangadaran&quot;,&quot;given&quot;:&quot;Prakash&quot;,&quot;parse-names&quot;:false,&quot;dropping-particle&quot;:&quot;&quot;,&quot;non-dropping-particle&quot;:&quot;&quot;},{&quot;family&quot;:&quot;Ahn&quot;,&quot;given&quot;:&quot;Byeong Cheol&quot;,&quot;parse-names&quot;:false,&quot;dropping-particle&quot;:&quot;&quot;,&quot;non-dropping-particle&quot;:&quot;&quot;}],&quot;container-title&quot;:&quot;Pharmaceuticals&quot;,&quot;DOI&quot;:&quot;10.3390/ph18040483&quot;,&quot;ISSN&quot;:&quot;14248247&quot;,&quot;issued&quot;:{&quot;date-parts&quot;:[[2025,4,1]]},&quot;abstract&quot;:&quot;Background/Objectives: Mesenchymal stem cells (MSCs) are regarded as a promising cell type with significant therapeutic benefits owing to their ease of isolation, maintenance, and characterisation. However, repeated passages during cultural maintenance frequently result in cellular senescence, limiting their utility in regenerative medicine. Methods: We investigated the differentiation capability between early- (P3) and late-passage MSCs (&gt;P15) and tested the potential of Wnt agonist 99021 to reverse MSCs using standard cell culture protocols that define minimal criteria for MSCs, primarily tri-lineage differentiation assays, biochemical staining gene expression analysis, and senescence assays. Results: We initially noticed distinct signs of morphological aging between early- (P3) and late-passage MSCs (&gt;P15) and further examined the differentiation capability between early- (P3) and late-passage MSCs (&gt;P15). We found a diminished differentiation potential in late-passage MSCs. Our senescence assay also revealed &gt;P15 cells were able to absorb the senescence dye, indicating that &gt;P15 MSCs underwent senescence. We further demonstrated that CHIR 99021 reversed the differentiation inhibitory potential-mediated impasse of late-passage MSCs by employing tri-lineage specific differentiation assays, biochemical labelling, and gene expression analysis. Senescence assays after CHIR 99021 treatment also revealed no senescence dye uptake at all. Conclusions: Our findings demonstrated that CHIR 99021 Wnt agonist maybe aids in the reversal of MSC aging-related differentiation inhibition glitches and offers a proven demonstrated protocol for rejuvenating late-passage MSCs. Thus, CHIR99021 treatment inherently reverts the tri-lineage potency in late-passage MSCs, and this method could be further employed to ensure a plentiful MSC source for clinical purposes.&quot;,&quot;publisher&quot;:&quot;Multidisciplinary Digital Publishing Institute (MDPI)&quot;,&quot;issue&quot;:&quot;4&quot;,&quot;volume&quot;:&quot;18&quot;,&quot;container-title-short&quot;:&quot;&quot;},&quot;isTemporary&quot;:false}],&quot;citationTag&quot;:&quot;MENDELEY_CITATION_v3_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&quot;},{&quot;citationID&quot;:&quot;MENDELEY_CITATION_c0c97f03-6d0c-49d1-8201-f44593b749dd&quot;,&quot;properties&quot;:{&quot;noteIndex&quot;:0},&quot;isEdited&quot;:false,&quot;manualOverride&quot;:{&quot;isManuallyOverridden&quot;:false,&quot;citeprocText&quot;:&quot;(Scheers et al., 2013)&quot;,&quot;manualOverrideText&quot;:&quot;&quot;},&quot;citationItems&quot;:[{&quot;id&quot;:&quot;b453419e-5821-39d3-9387-3ac59b2e6493&quot;,&quot;itemData&quot;:{&quot;type&quot;:&quot;article-journal&quot;,&quot;id&quot;:&quot;b453419e-5821-39d3-9387-3ac59b2e6493&quot;,&quot;title&quot;:&quot;Human Umbilical Cord Matrix Stem Cells Maintain Multilineage Differentiation Abilities and Do Not Transform during Long-Term Culture&quot;,&quot;author&quot;:[{&quot;family&quot;:&quot;Scheers&quot;,&quot;given&quot;:&quot;Isabelle&quot;,&quot;parse-names&quot;:false,&quot;dropping-particle&quot;:&quot;&quot;,&quot;non-dropping-particle&quot;:&quot;&quot;},{&quot;family&quot;:&quot;Lombard&quot;,&quot;given&quot;:&quot;Catherine&quot;,&quot;parse-names&quot;:false,&quot;dropping-particle&quot;:&quot;&quot;,&quot;non-dropping-particle&quot;:&quot;&quot;},{&quot;family&quot;:&quot;Paganelli&quot;,&quot;given&quot;:&quot;Massimiliano&quot;,&quot;parse-names&quot;:false,&quot;dropping-particle&quot;:&quot;&quot;,&quot;non-dropping-particle&quot;:&quot;&quot;},{&quot;family&quot;:&quot;Campard&quot;,&quot;given&quot;:&quot;David&quot;,&quot;parse-names&quot;:false,&quot;dropping-particle&quot;:&quot;&quot;,&quot;non-dropping-particle&quot;:&quot;&quot;},{&quot;family&quot;:&quot;Najimi&quot;,&quot;given&quot;:&quot;Mustapha&quot;,&quot;parse-names&quot;:false,&quot;dropping-particle&quot;:&quot;&quot;,&quot;non-dropping-particle&quot;:&quot;&quot;},{&quot;family&quot;:&quot;Gala&quot;,&quot;given&quot;:&quot;Jean Luc&quot;,&quot;parse-names&quot;:false,&quot;dropping-particle&quot;:&quot;&quot;,&quot;non-dropping-particle&quot;:&quot;&quot;},{&quot;family&quot;:&quot;Decottignies&quot;,&quot;given&quot;:&quot;Anabelle&quot;,&quot;parse-names&quot;:false,&quot;dropping-particle&quot;:&quot;&quot;,&quot;non-dropping-particle&quot;:&quot;&quot;},{&quot;family&quot;:&quot;Sokal&quot;,&quot;given&quot;:&quot;Etienne&quot;,&quot;parse-names&quot;:false,&quot;dropping-particle&quot;:&quot;&quot;,&quot;non-dropping-particle&quot;:&quot;&quot;}],&quot;container-title&quot;:&quot;PLoS ONE&quot;,&quot;container-title-short&quot;:&quot;PLoS One&quot;,&quot;DOI&quot;:&quot;10.1371/journal.pone.0071374&quot;,&quot;ISSN&quot;:&quot;19326203&quot;,&quot;issued&quot;:{&quot;date-parts&quot;:[[2013,8,9]]},&quot;abstract&quot;:&quot;Umbilical cord matrix stem cells (UCMSC) have generated great interest in various therapeutic approaches, including liver regeneration. This article aims to analyze the specific characteristics and the potential occurrence of premalignant alterations of UCMSC during long-term expansion, which are important issues for clinical applications. UCMSC were isolated from the umbilical cord of 14 full-term newborns and expanded in vitro until senescence. We examined the long-term growth potential, senescence characteristics, immunophenotype and multilineage differentiation capacity of these cells. In addition, their genetic stability was assessed through karyotyping, telomerase maintenance mechanisms and analysis of expression and functionality of cell cycle regulation genes. The tumorigenic potential was also studied in immunocompromised mice. In vitro, UCMSC reached up to 33.7±2.1 cumulative population doublings before entering replicative senescence. Their immunophenotype and differentiation potential, notably into hepatocyte-like cells, remained stable over time. Cytogenetic analyses did not reveal any chromosomal abnormality and the expression of oncogenes was not induced. Telomere maintenance mechanisms were not activated. Just as UCMSC lacked transformed features in vitro, they could not give rise to tumors in vivo. UCMSC could be expanded in long-term cultures while maintaining stable genetic features and endodermal differentiation potential. UCMSC therefore represent safe candidates for liver regenerative medicine. © 2013 Scheers et al.&quot;,&quot;issue&quot;:&quot;8&quot;,&quot;volume&quot;:&quot;8&quot;},&quot;isTemporary&quot;:false}],&quot;citationTag&quot;:&quot;MENDELEY_CITATION_v3_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&quot;},{&quot;citationID&quot;:&quot;MENDELEY_CITATION_f79facb4-5174-4ff3-968f-0c5718732261&quot;,&quot;properties&quot;:{&quot;noteIndex&quot;:0},&quot;isEdited&quot;:false,&quot;manualOverride&quot;:{&quot;isManuallyOverridden&quot;:false,&quot;citeprocText&quot;:&quot;(Jin et al., 2016)&quot;,&quot;manualOverrideText&quot;:&quot;&quot;},&quot;citationItems&quot;:[{&quot;id&quot;:&quot;44caa3dc-860f-3e8a-a005-c232880c46c4&quot;,&quot;itemData&quot;:{&quot;type&quot;:&quot;article-journal&quot;,&quot;id&quot;:&quot;44caa3dc-860f-3e8a-a005-c232880c46c4&quot;,&quot;title&quot;:&quot;Downregulation of Melanoma Cell Adhesion Molecule (MCAM/CD146) Accelerates Cellular Senescence in Human Umbilical Cord Blood-Derived Mesenchymal Stem Cells&quot;,&quot;author&quot;:[{&quot;family&quot;:&quot;Jin&quot;,&quot;given&quot;:&quot;Hye Jin&quot;,&quot;parse-names&quot;:false,&quot;dropping-particle&quot;:&quot;&quot;,&quot;non-dropping-particle&quot;:&quot;&quot;},{&quot;family&quot;:&quot;Kwon&quot;,&quot;given&quot;:&quot;Ji Hye&quot;,&quot;parse-names&quot;:false,&quot;dropping-particle&quot;:&quot;&quot;,&quot;non-dropping-particle&quot;:&quot;&quot;},{&quot;family&quot;:&quot;Kim&quot;,&quot;given&quot;:&quot;Miyeon&quot;,&quot;parse-names&quot;:false,&quot;dropping-particle&quot;:&quot;&quot;,&quot;non-dropping-particle&quot;:&quot;&quot;},{&quot;family&quot;:&quot;Bae&quot;,&quot;given&quot;:&quot;Yun Kyung&quot;,&quot;parse-names&quot;:false,&quot;dropping-particle&quot;:&quot;&quot;,&quot;non-dropping-particle&quot;:&quot;&quot;},{&quot;family&quot;:&quot;Choi&quot;,&quot;given&quot;:&quot;Soo Jin&quot;,&quot;parse-names&quot;:false,&quot;dropping-particle&quot;:&quot;&quot;,&quot;non-dropping-particle&quot;:&quot;&quot;},{&quot;family&quot;:&quot;Oh&quot;,&quot;given&quot;:&quot;Wonil&quot;,&quot;parse-names&quot;:false,&quot;dropping-particle&quot;:&quot;&quot;,&quot;non-dropping-particle&quot;:&quot;&quot;},{&quot;family&quot;:&quot;Yang&quot;,&quot;given&quot;:&quot;Yoon Sun&quot;,&quot;parse-names&quot;:false,&quot;dropping-particle&quot;:&quot;&quot;,&quot;non-dropping-particle&quot;:&quot;&quot;},{&quot;family&quot;:&quot;Jeon&quot;,&quot;given&quot;:&quot;Hong Bae&quot;,&quot;parse-names&quot;:false,&quot;dropping-particle&quot;:&quot;&quot;,&quot;non-dropping-particle&quot;:&quot;&quot;}],&quot;container-title&quot;:&quot;Stem Cells Translational Medicine&quot;,&quot;container-title-short&quot;:&quot;Stem Cells Transl. Med.&quot;,&quot;DOI&quot;:&quot;10.5966/sctm.2015-0109&quot;,&quot;ISSN&quot;:&quot;2157-6564&quot;,&quot;PMID&quot;:&quot;26941359&quot;,&quot;issued&quot;:{&quot;date-parts&quot;:[[2016,4,1]]},&quot;page&quot;:&quot;427-439&quot;,&quot;abstract&quot;:&quot;UNLABELLED Therapeutic applications of mesenchymal stem cells (MSCs) for treating various diseases have increased in recent years. To ensure that treatment is effective, an adequate MSC dosage should be determined before these cells are used for therapeutic purposes. To obtain a sufficient number of cells for therapeutic applications, MSCs must be expanded in long-term cell culture, which inevitably triggers cellular senescence. In this study, we investigated the surface markers of human umbilical cord blood-derived MSCs (hUCB-MSCs) associated with cellular senescence using fluorescence-activated cell sorting analysis and 242 cell surface-marker antibodies. Among these surface proteins, we selected the melanoma cell adhesion molecule (MCAM/CD146) for further study with the aim of validating observed expression differences and investigating the associated implications in hUCB-MSCs during cellular senescence. We observed that CD146 expression markedly decreased in hUCB-MSCs following prolonged in vitro expansion. Using preparative sorting, we found that hUCB-MSCs with high CD146 expression displayed high growth rates, multilineage differentiation, expression of stemness markers, and telomerase activity, as well as significantly lower expression of the senescence markers p16, p21, p53, and senescence-associated β-galactosidase, compared with that observed in hUCB-MSCs with low-level CD146 expression. In contrast, CD146 downregulation with small interfering RNAs enhanced the senescence phenotype. In addition, CD146 suppression in hUCB-MSCs caused downregulation of other cellular senescence regulators, including Bmi-1, Id1, and Twist1. Collectively, our results suggest that CD146 regulates cellular senescence; thus, it could be used as a therapeutic marker to identify senescent hUCB-MSCs. SIGNIFICANCE One of the fundamental requirements for mesenchymal stem cell (MSC)-based therapies is the expansion of MSCs during long-term culture because a sufficient number of functional cells is required. However, long-term growth inevitably induces cellular senescence, which potentially causes poor clinical outcomes by inducing growth arrest and the loss of stem cell properties. Thus, the identification of markers for evaluating the status of MSC senescence during long-term culture may enhance the success of MSC-based therapy. This study provides strong evidence that CD146 is a novel and useful marker for predicting senescence in human umbilical cord blood-derived MSCs (hUCB-MSCs), and CD146 can potentially be applied in quality-control assessments of hUCB-MSC-based therapy.&quot;,&quot;publisher&quot;:&quot;Oxford University Press (OUP)&quot;,&quot;issue&quot;:&quot;4&quot;,&quot;volume&quot;:&quot;5&quot;},&quot;isTemporary&quot;:false}],&quot;citationTag&quot;:&quot;MENDELEY_CITATION_v3_eyJjaXRhdGlvbklEIjoiTUVOREVMRVlfQ0lUQVRJT05fZjc5ZmFjYjQtNTE3NC00ZmYzLTk2OGYtMGM1NzE4NzMyMjYx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quot;},{&quot;citationID&quot;:&quot;MENDELEY_CITATION_b75cb29b-3319-4003-86a9-0d879f114585&quot;,&quot;properties&quot;:{&quot;noteIndex&quot;:0},&quot;isEdited&quot;:false,&quot;manualOverride&quot;:{&quot;isManuallyOverridden&quot;:false,&quot;citeprocText&quot;:&quot;(Alt et al., 2012)&quot;,&quot;manualOverrideText&quot;:&quot;&quot;},&quot;citationItems&quot;:[{&quot;id&quot;:&quot;12b9e8cf-4df1-369a-8388-0dcda1309a4c&quot;,&quot;itemData&quot;:{&quot;type&quot;:&quot;article-journal&quot;,&quot;id&quot;:&quot;12b9e8cf-4df1-369a-8388-0dcda1309a4c&quot;,&quot;title&quot;:&quot;Aging alters tissue resident mesenchymal stem cell properties&quot;,&quot;author&quot;:[{&quot;family&quot;:&quot;Alt&quot;,&quot;given&quot;:&quot;Eckhard U.&quot;,&quot;parse-names&quot;:false,&quot;dropping-particle&quot;:&quot;&quot;,&quot;non-dropping-particle&quot;:&quot;&quot;},{&quot;family&quot;:&quot;Senst&quot;,&quot;given&quot;:&quot;Christiane&quot;,&quot;parse-names&quot;:false,&quot;dropping-particle&quot;:&quot;&quot;,&quot;non-dropping-particle&quot;:&quot;&quot;},{&quot;family&quot;:&quot;Murthy&quot;,&quot;given&quot;:&quot;Subramanyam N.&quot;,&quot;parse-names&quot;:false,&quot;dropping-particle&quot;:&quot;&quot;,&quot;non-dropping-particle&quot;:&quot;&quot;},{&quot;family&quot;:&quot;Slakey&quot;,&quot;given&quot;:&quot;Douglas P.&quot;,&quot;parse-names&quot;:false,&quot;dropping-particle&quot;:&quot;&quot;,&quot;non-dropping-particle&quot;:&quot;&quot;},{&quot;family&quot;:&quot;Dupin&quot;,&quot;given&quot;:&quot;Charles L.&quot;,&quot;parse-names&quot;:false,&quot;dropping-particle&quot;:&quot;&quot;,&quot;non-dropping-particle&quot;:&quot;&quot;},{&quot;family&quot;:&quot;Chaffin&quot;,&quot;given&quot;:&quot;Abigail E.&quot;,&quot;parse-names&quot;:false,&quot;dropping-particle&quot;:&quot;&quot;,&quot;non-dropping-particle&quot;:&quot;&quot;},{&quot;family&quot;:&quot;Kadowitz&quot;,&quot;given&quot;:&quot;Philip J.&quot;,&quot;parse-names&quot;:false,&quot;dropping-particle&quot;:&quot;&quot;,&quot;non-dropping-particle&quot;:&quot;&quot;},{&quot;family&quot;:&quot;Izadpanah&quot;,&quot;given&quot;:&quot;Reza&quot;,&quot;parse-names&quot;:false,&quot;dropping-particle&quot;:&quot;&quot;,&quot;non-dropping-particle&quot;:&quot;&quot;}],&quot;container-title&quot;:&quot;Stem Cell Research&quot;,&quot;container-title-short&quot;:&quot;Stem Cell Res.&quot;,&quot;DOI&quot;:&quot;10.1016/j.scr.2011.11.002&quot;,&quot;ISSN&quot;:&quot;18735061&quot;,&quot;PMID&quot;:&quot;22265741&quot;,&quot;issued&quot;:{&quot;date-parts&quot;:[[2012,3]]},&quot;page&quot;:&quot;215-225&quot;,&quot;abstract&quot;:&quot;Tissue resident mesenchymal stem cells (MSCs) are known to participate in tissue regeneration that follows cell turnover, apoptosis, or necrosis. It has been long known that aging impedes an organism's repair/regeneration capabilities. In order to study the age associated changes, the molecular characteristics of adipose tissue derived MSCs (ASCs) from three age groups of healthy volunteers i.e., young, middle aged, and aged were investigated. The number and multilineage differentiation potential of ASCs declined with age. Aging reduces the proliferative capacity along with increases in cellular senescence. A significant increase in quiescence of G2 and S phase was observed in ASCs from aged donors. The expression of genes related to senescence such as CHEK1 and cyclin-dependent kinase inhibitor p16 ink4a was increased with age, however genes of apoptosis were downregulated. Further, an age-dependent abnormality in the expression of DNA break repair genes was observed. Global microRNA analysis revealed an abnormal expression of mir-27b, mir-106a, mir-199a, and let-7. In ubiquitously distributed adipose tissue (and ASCs), aging brings about important alterations, which might be critical for tissue regeneration and homeostasis. Our findings therefore provide a better understanding of the mechanism(s) involved in stem cell aging and regenerative potential, and this in turn may affect tissue repair that declines with aging. © 2011 Elsevier B.V.&quot;,&quot;issue&quot;:&quot;2&quot;,&quot;volume&quot;:&quot;8&quot;},&quot;isTemporary&quot;:false}],&quot;citationTag&quot;:&quot;MENDELEY_CITATION_v3_eyJjaXRhdGlvbklEIjoiTUVOREVMRVlfQ0lUQVRJT05fYjc1Y2IyOWItMzMxOS00MDAzLTg2YTktMGQ4NzlmMTE0NTg1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quot;},{&quot;citationID&quot;:&quot;MENDELEY_CITATION_b663f126-1707-46a7-91f3-88483493d49f&quot;,&quot;properties&quot;:{&quot;noteIndex&quot;:0},&quot;isEdited&quot;:false,&quot;manualOverride&quot;:{&quot;isManuallyOverridden&quot;:false,&quot;citeprocText&quot;:&quot;(Choudhery et al., 2014)&quot;,&quot;manualOverrideText&quot;:&quot;&quot;},&quot;citationItems&quot;:[{&quot;id&quot;:&quot;d9f4042b-7b3c-3aab-abaf-7834f353e4e8&quot;,&quot;itemData&quot;:{&quot;type&quot;:&quot;report&quot;,&quot;id&quot;:&quot;d9f4042b-7b3c-3aab-abaf-7834f353e4e8&quot;,&quot;title&quot;:&quot;Donor age negatively impacts adipose tissue-derived mesenchymal stem cell expansion and differentiation&quot;,&quot;author&quot;:[{&quot;family&quot;:&quot;Choudhery&quot;,&quot;given&quot;:&quot;Mahmood S&quot;,&quot;parse-names&quot;:false,&quot;dropping-particle&quot;:&quot;&quot;,&quot;non-dropping-particle&quot;:&quot;&quot;},{&quot;family&quot;:&quot;Badowski&quot;,&quot;given&quot;:&quot;Michael&quot;,&quot;parse-names&quot;:false,&quot;dropping-particle&quot;:&quot;&quot;,&quot;non-dropping-particle&quot;:&quot;&quot;},{&quot;family&quot;:&quot;Muise&quot;,&quot;given&quot;:&quot;Angela&quot;,&quot;parse-names&quot;:false,&quot;dropping-particle&quot;:&quot;&quot;,&quot;non-dropping-particle&quot;:&quot;&quot;},{&quot;family&quot;:&quot;Pierce&quot;,&quot;given&quot;:&quot;John&quot;,&quot;parse-names&quot;:false,&quot;dropping-particle&quot;:&quot;&quot;,&quot;non-dropping-particle&quot;:&quot;&quot;},{&quot;family&quot;:&quot;Harris&quot;,&quot;given&quot;:&quot;David T&quot;,&quot;parse-names&quot;:false,&quot;dropping-particle&quot;:&quot;&quot;,&quot;non-dropping-particle&quot;:&quot;&quot;}],&quot;URL&quot;:&quot;http://www.translational-medicine.com/content/12/1/8&quot;,&quot;issued&quot;:{&quot;date-parts&quot;:[[2014]]},&quot;abstract&quot;:&quot;Background: Human adipose tissue is an ideal autologous source of mesenchymal stem cells (MSCs) for various regenerative medicine and tissue engineering strategies. Aged patients are one of the primary target populations for many promising applications. It has long been known that advanced age is negatively correlated with an organism's reparative and regenerative potential, but little and conflicting information is available about the effects of age on the quality of human adipose tissue derived MSCs (hAT-MSCs). Methods: To study the influence of age, the expansion and in vitro differentiation potential of hAT-MSCs from young (&lt;30 years), adult (35-50 years) and aged (&gt;60 years) individuals were investigated. MSCs were characterized for expression of the genes p16 INK4a and p21 along with measurements of population doublings (PD), superoxide dismutase (SOD) activity, cellular senescence and differentiation potential.&quot;,&quot;container-title-short&quot;:&quot;&quot;},&quot;isTemporary&quot;:false}],&quot;citationTag&quot;:&quot;MENDELEY_CITATION_v3_eyJjaXRhdGlvbklEIjoiTUVOREVMRVlfQ0lUQVRJT05fYjY2M2YxMjYtMTcwNy00NmE3LTkxZjMtODg0ODM0OTNkNDlm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quot;},{&quot;citationID&quot;:&quot;MENDELEY_CITATION_3e32867a-2061-45e3-ab81-06d3be4bd04e&quot;,&quot;properties&quot;:{&quot;noteIndex&quot;:0},&quot;isEdited&quot;:false,&quot;manualOverride&quot;:{&quot;isManuallyOverridden&quot;:false,&quot;citeprocText&quot;:&quot;(Kornicka et al., 2015)&quot;,&quot;manualOverrideText&quot;:&quot;&quot;},&quot;citationItems&quot;:[{&quot;id&quot;:&quot;7897c646-2ad8-39c6-a85e-49778acdb199&quot;,&quot;itemData&quot;:{&quot;type&quot;:&quot;article-journal&quot;,&quot;id&quot;:&quot;7897c646-2ad8-39c6-a85e-49778acdb199&quot;,&quot;title&quot;:&quot;The Effect of Age on Osteogenic and Adipogenic Differentiation Potential of Human Adipose Derived Stromal Stem Cells (hASCs) and the Impact of Stress Factors in the Course of the Differentiation Process&quot;,&quot;author&quot;:[{&quot;family&quot;:&quot;Kornicka&quot;,&quot;given&quot;:&quot;Katarzyna&quot;,&quot;parse-names&quot;:false,&quot;dropping-particle&quot;:&quot;&quot;,&quot;non-dropping-particle&quot;:&quot;&quot;},{&quot;family&quot;:&quot;Marycz&quot;,&quot;given&quot;:&quot;Krzysztof&quot;,&quot;parse-names&quot;:false,&quot;dropping-particle&quot;:&quot;&quot;,&quot;non-dropping-particle&quot;:&quot;&quot;},{&quot;family&quot;:&quot;Tomaszewski&quot;,&quot;given&quot;:&quot;Krzysztof Andrzej&quot;,&quot;parse-names&quot;:false,&quot;dropping-particle&quot;:&quot;&quot;,&quot;non-dropping-particle&quot;:&quot;&quot;},{&quot;family&quot;:&quot;Marędziak&quot;,&quot;given&quot;:&quot;Monika&quot;,&quot;parse-names&quot;:false,&quot;dropping-particle&quot;:&quot;&quot;,&quot;non-dropping-particle&quot;:&quot;&quot;},{&quot;family&quot;:&quot;Smieszek&quot;,&quot;given&quot;:&quot;Agnieszka&quot;,&quot;parse-names&quot;:false,&quot;dropping-particle&quot;:&quot;&quot;,&quot;non-dropping-particle&quot;:&quot;&quot;}],&quot;container-title&quot;:&quot;Oxidative Medicine and Cellular Longevity&quot;,&quot;container-title-short&quot;:&quot;Oxid. Med. Cell. Longev.&quot;,&quot;DOI&quot;:&quot;10.1155/2015/309169&quot;,&quot;ISSN&quot;:&quot;19420994&quot;,&quot;PMID&quot;:&quot;26246868&quot;,&quot;issued&quot;:{&quot;date-parts&quot;:[[2015]]},&quot;abstract&quot;:&quot;Human adipose tissue is a great source of autologous mesenchymal stem cells (hASCs), which are recognized for their vast therapeutic applications. Their ability to self-renew and differentiate into several lineages makes them a promising tool for cell-based therapies in different types of degenerative diseases. Thus it is crucial to evaluate age-related changes in hASCs, as the elderly are a group that will benefit most from their considerable potential. In this study we investigated the effect of donor age on growth kinetics, cellular senescence marker levels, and osteogenic and adipogenic potential of hASCs. It also has been known that, during life, organisms accumulate oxidative damage that negatively affects cell metabolism. Taking this into consideration, we evaluated the levels of nitric oxide, reactive oxygen species, and superoxide dismutase activity. We observed that ROS and NO increase with aging, while SOD activity is significantly reduced. Moreover cells obtained from older patients displayed senescence associated features, for example, β-galactosidase activity, enlarged morphology, and p53 protein upregulation. All of those characteristics seem to contribute to decreased proliferation potential of those cells. Our results suggest that due to aging some cellular modification may be required before applying aged cells efficiently in therapies such as tissue engineering and regenerative medicine.&quot;,&quot;publisher&quot;:&quot;Hindawi Publishing Corporation&quot;,&quot;volume&quot;:&quot;2015&quot;},&quot;isTemporary&quot;:false,&quot;suppress-author&quot;:false,&quot;composite&quot;:false,&quot;author-only&quot;:false}],&quot;citationTag&quot;:&quot;MENDELEY_CITATION_v3_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&quot;},{&quot;citationID&quot;:&quot;MENDELEY_CITATION_0a12a00e-81d0-4224-8fb5-ea4c58f4a0c3&quot;,&quot;properties&quot;:{&quot;noteIndex&quot;:0},&quot;isEdited&quot;:false,&quot;manualOverride&quot;:{&quot;isManuallyOverridden&quot;:false,&quot;citeprocText&quot;:&quot;(Legzdina et al., 2016b)&quot;,&quot;manualOverrideText&quot;:&quot;&quot;},&quot;citationItems&quot;:[{&quot;id&quot;:&quot;f589550e-7e25-33a3-8322-1a4019d37dd7&quot;,&quot;itemData&quot;:{&quot;type&quot;:&quot;article-journal&quot;,&quot;id&quot;:&quot;f589550e-7e25-33a3-8322-1a4019d37dd7&quot;,&quot;title&quot;:&quot;Characterization of senescence of culture-expanded human adipose-derived mesenchymal stem cells&quot;,&quot;author&quot;:[{&quot;family&quot;:&quot;Legzdina&quot;,&quot;given&quot;:&quot;Diana&quot;,&quot;parse-names&quot;:false,&quot;dropping-particle&quot;:&quot;&quot;,&quot;non-dropping-particle&quot;:&quot;&quot;},{&quot;family&quot;:&quot;Romanauska&quot;,&quot;given&quot;:&quot;Anete&quot;,&quot;parse-names&quot;:false,&quot;dropping-particle&quot;:&quot;&quot;,&quot;non-dropping-particle&quot;:&quot;&quot;},{&quot;family&quot;:&quot;Nikulshin&quot;,&quot;given&quot;:&quot;Sergey&quot;,&quot;parse-names&quot;:false,&quot;dropping-particle&quot;:&quot;&quot;,&quot;non-dropping-particle&quot;:&quot;&quot;},{&quot;family&quot;:&quot;Kozlovska&quot;,&quot;given&quot;:&quot;Tatjana&quot;,&quot;parse-names&quot;:false,&quot;dropping-particle&quot;:&quot;&quot;,&quot;non-dropping-particle&quot;:&quot;&quot;},{&quot;family&quot;:&quot;Berzins&quot;,&quot;given&quot;:&quot;Uldis&quot;,&quot;parse-names&quot;:false,&quot;dropping-particle&quot;:&quot;&quot;,&quot;non-dropping-particle&quot;:&quot;&quot;}],&quot;container-title&quot;:&quot;International Journal of Stem Cells&quot;,&quot;container-title-short&quot;:&quot;Int. J. Stem Cells&quot;,&quot;DOI&quot;:&quot;10.15283/ijsc.2016.9.1.124&quot;,&quot;ISSN&quot;:&quot;20055447&quot;,&quot;issued&quot;:{&quot;date-parts&quot;:[[2016]]},&quot;page&quot;:&quot;124-136&quot;,&quot;abstract&quot;:&quot;Background and Objectives: Adipose-derived mesenchymal stem cells (ADSCs) are promising candidates in regenerative medicine. The need for in vitro propagation to obtain therapeutic quantities of the cells imposes a risk of impaired functionality due to cellular senescence. The aim of the study was to analyze in vitro senescence of previously cryopreserved human ADSCs subjected to serial passages in cell culture. Methods and Results: ADSC cultures from 8 donors were cultivated until proliferation arrest was reached. A gradual decline of ADSC fitness was observed by altered cell morphology, loss of proliferative, clonogenic and differentiation abilities and increased β-galactosidase expression all of which occurred in a donor-specific manner. Relative telomere length (RTL) analysis revealed that only three tested cultures encountered replicative senescence. The presence of two ADSC subsets with significantly different RTL and cell size was discovered. The heterogeneity of ADSC cultures was supported by the intermittent nature of aging seen in tested samples. Conclusions: We conclude that the onset of in vitro senescence of ADSCs is a strongly donor-specific process which is complicated by the intricate dynamics of cell subsets present in ADSC population. This complexity needs to be carefully considered when elaborating protocols for personalized cellular therapy.&quot;,&quot;publisher&quot;:&quot;Sungkyunkwan University&quot;,&quot;issue&quot;:&quot;1&quot;,&quot;volume&quot;:&quot;9&quot;},&quot;isTemporary&quot;:false,&quot;suppress-author&quot;:false,&quot;composite&quot;:false,&quot;author-only&quot;:false}],&quot;citationTag&quot;:&quot;MENDELEY_CITATION_v3_eyJjaXRhdGlvbklEIjoiTUVOREVMRVlfQ0lUQVRJT05fMGExMmEwMGUtODFkMC00MjI0LThmYjUtZWE0YzU4ZjRhMGMz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quot;},{&quot;citationID&quot;:&quot;MENDELEY_CITATION_3d0bc4e4-7417-4faf-9ed5-632df7cf5984&quot;,&quot;properties&quot;:{&quot;noteIndex&quot;:0},&quot;isEdited&quot;:false,&quot;manualOverride&quot;:{&quot;isManuallyOverridden&quot;:false,&quot;citeprocText&quot;:&quot;(S. H. Wu et al., 2022)&quot;,&quot;manualOverrideText&quot;:&quot;&quot;},&quot;citationItems&quot;:[{&quot;id&quot;:&quot;c60704f4-e1cb-3c46-b13d-716d8dfb42e4&quot;,&quot;itemData&quot;:{&quot;type&quot;:&quot;article-journal&quot;,&quot;id&quot;:&quot;c60704f4-e1cb-3c46-b13d-716d8dfb42e4&quot;,&quot;title&quot;:&quot;Comparison of the Infant and Adult Adipose-Derived Mesenchymal Stem Cells in Proliferation, Senescence, Anti-oxidative Ability and Differentiation Potential&quot;,&quot;author&quot;:[{&quot;family&quot;:&quot;Wu&quot;,&quot;given&quot;:&quot;Szu Hsien&quot;,&quot;parse-names&quot;:false,&quot;dropping-particle&quot;:&quot;&quot;,&quot;non-dropping-particle&quot;:&quot;&quot;},{&quot;family&quot;:&quot;Yu&quot;,&quot;given&quot;:&quot;Jin Huei&quot;,&quot;parse-names&quot;:false,&quot;dropping-particle&quot;:&quot;&quot;,&quot;non-dropping-particle&quot;:&quot;&quot;},{&quot;family&quot;:&quot;Liao&quot;,&quot;given&quot;:&quot;Yu Ting&quot;,&quot;parse-names&quot;:false,&quot;dropping-particle&quot;:&quot;&quot;,&quot;non-dropping-particle&quot;:&quot;&quot;},{&quot;family&quot;:&quot;Liu&quot;,&quot;given&quot;:&quot;Kuo Hao&quot;,&quot;parse-names&quot;:false,&quot;dropping-particle&quot;:&quot;&quot;,&quot;non-dropping-particle&quot;:&quot;&quot;},{&quot;family&quot;:&quot;Chiang&quot;,&quot;given&quot;:&quot;En Rung&quot;,&quot;parse-names&quot;:false,&quot;dropping-particle&quot;:&quot;&quot;,&quot;non-dropping-particle&quot;:&quot;&quot;},{&quot;family&quot;:&quot;Chang&quot;,&quot;given&quot;:&quot;Ming Chau&quot;,&quot;parse-names&quot;:false,&quot;dropping-particle&quot;:&quot;&quot;,&quot;non-dropping-particle&quot;:&quot;&quot;},{&quot;family&quot;:&quot;Wang&quot;,&quot;given&quot;:&quot;Jung pan&quot;,&quot;parse-names&quot;:false,&quot;dropping-particle&quot;:&quot;&quot;,&quot;non-dropping-particle&quot;:&quot;&quot;}],&quot;container-title&quot;:&quot;Tissue Engineering and Regenerative Medicine&quot;,&quot;container-title-short&quot;:&quot;Tissue Eng. Regen. Med.&quot;,&quot;DOI&quot;:&quot;10.1007/s13770-022-00431-x&quot;,&quot;ISSN&quot;:&quot;22125469&quot;,&quot;PMID&quot;:&quot;35247199&quot;,&quot;issued&quot;:{&quot;date-parts&quot;:[[2022,6,1]]},&quot;page&quot;:&quot;589-601&quot;,&quot;abstract&quot;:&quot;Background:: Infant adipose-derived mesenchymal stem cells (ADSCs) collected from excised polydactyly fat tissue, which was surgical waste, could be cultured and expanded in vitro in this study. In addition, the collecting process would not cause pain in the host. In this study, the proliferation, reduction of senescence, anti-oxidative ability, and differentiation potential in the infant ADSCs were compared with those in the adult ADSCs harvested from thigh liposuction to determine the availability of infant ADSCs. Methods:: Proliferation was determined by detecting the fold changes in cell numbers and doubling time periods. Senescence was analyzed by investigating the age-related gene expression levels and the replicative stress. The superoxide dismutase (SOD) gene expression, adipogenic, neurogenic, osteogenic, and tenogenic differentiation were compared by RT-qPCR. The chondrogenic differentiation efficiency was also determined using RT-qPCR and immunohistochemical staining. Results:: The proliferation, SOD (SOD1, SOD2 and SOD3) gene expression, the stemness-related gene (c-MYC) and telomerase reverse transcriptase of the infant ADSCs at early passages were enhanced compared with those of the adults'. Cellular senescence related genes, including p16, p21 and p53, and replicative stress were reduced in the infant ADSCs. The adipogenic genes (PPARγ and LPL) and neurogenic genes (MAP2 and NEFH) of the infant ADSC differentiated cells were significantly higher than those of the adults’ while the expression of the osteogenic genes (OCN and RUNX) and tenogenic genes (TNC and COL3A1) of both demonstrated opposite results. The chondrogenic markers (SOX9, COL2 and COL10) were enhanced in the infant ADSC differentiated chondrogenic pellets, and the expression levels of SODs were decreased during the differentiation process. Conclusion:: Cultured infant ADSCs demonstrate less cellular senescence and replicative stress, higher proliferation rates, better antioxidant defense activity, and higher potential of chondrogenic, adipogenic and neurogenic differentiation.&quot;,&quot;publisher&quot;:&quot;Korean Tissue Engineering and Regenerative Medicine Society&quot;,&quot;issue&quot;:&quot;3&quot;,&quot;volume&quot;:&quot;19&quot;},&quot;isTemporary&quot;:false,&quot;suppress-author&quot;:false,&quot;composite&quot;:false,&quot;author-only&quot;:false}],&quot;citationTag&quot;:&quot;MENDELEY_CITATION_v3_eyJjaXRhdGlvbklEIjoiTUVOREVMRVlfQ0lUQVRJT05fM2QwYmM0ZTQtNzQxNy00ZmFmLTllZDUtNjMyZGY3Y2Y1OTg0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quot;},{&quot;citationID&quot;:&quot;MENDELEY_CITATION_22e32251-806f-47b0-9afb-567336ee4c04&quot;,&quot;properties&quot;:{&quot;noteIndex&quot;:0},&quot;isEdited&quot;:false,&quot;manualOverride&quot;:{&quot;isManuallyOverridden&quot;:false,&quot;citeprocText&quot;:&quot;(Ye et al., 2016)&quot;,&quot;manualOverrideText&quot;:&quot;&quot;},&quot;citationItems&quot;:[{&quot;id&quot;:&quot;dfed87b6-cfc9-3328-8941-d7c9a84a84f2&quot;,&quot;itemData&quot;:{&quot;type&quot;:&quot;article-journal&quot;,&quot;id&quot;:&quot;dfed87b6-cfc9-3328-8941-d7c9a84a84f2&quot;,&quot;title&quot;:&quot;Age-related changes in the regenerative potential of adipose-derived stem cells isolated from the prominent fat pads in human lower eyelids&quot;,&quot;author&quot;:[{&quot;family&quot;:&quot;Ye&quot;,&quot;given&quot;:&quot;Xinhai&quot;,&quot;parse-names&quot;:false,&quot;dropping-particle&quot;:&quot;&quot;,&quot;non-dropping-particle&quot;:&quot;&quot;},{&quot;family&quot;:&quot;Liao&quot;,&quot;given&quot;:&quot;Caihe&quot;,&quot;parse-names&quot;:false,&quot;dropping-particle&quot;:&quot;&quot;,&quot;non-dropping-particle&quot;:&quot;&quot;},{&quot;family&quot;:&quot;Liu&quot;,&quot;given&quot;:&quot;Guangpeng&quot;,&quot;parse-names&quot;:false,&quot;dropping-particle&quot;:&quot;&quot;,&quot;non-dropping-particle&quot;:&quot;&quot;},{&quot;family&quot;:&quot;Xu&quot;,&quot;given&quot;:&quot;Yipin&quot;,&quot;parse-names&quot;:false,&quot;dropping-particle&quot;:&quot;&quot;,&quot;non-dropping-particle&quot;:&quot;&quot;},{&quot;family&quot;:&quot;Tan&quot;,&quot;given&quot;:&quot;Jian&quot;,&quot;parse-names&quot;:false,&quot;dropping-particle&quot;:&quot;&quot;,&quot;non-dropping-particle&quot;:&quot;&quot;},{&quot;family&quot;:&quot;Song&quot;,&quot;given&quot;:&quot;Zhenshun&quot;,&quot;parse-names&quot;:false,&quot;dropping-particle&quot;:&quot;&quot;,&quot;non-dropping-particle&quot;:&quot;&quot;}],&quot;container-title&quot;:&quot;PLoS ONE&quot;,&quot;container-title-short&quot;:&quot;PLoS One&quot;,&quot;DOI&quot;:&quot;10.1371/journal.pone.0166590&quot;,&quot;ISSN&quot;:&quot;19326203&quot;,&quot;PMID&quot;:&quot;27855196&quot;,&quot;issued&quot;:{&quot;date-parts&quot;:[[2016,11,1]]},&quot;abstract&quot;:&quot;The existence of multipotent adipose-derived stem cells isolated from human orbital fat (OF) tissue has shown great therapeutic potential in tissue engineering and regenerative medicine. But the use of stem cells for therapeutic applications is influenced by their proliferative and differentiation potentials, which may be affected by the age of the donor. So far there is little knowledge about the effects of donor age on the biological properties of human orbital adipose-derived stem cells (OASCs). The intraorbital fat protrusion in the lower eyelids occurs as an aging process, and the protruded fat is routinely removed during aesthetic surgeries. Based on the ease of OF harvest and the availability of OASCs, we investigated in this study the relationship between age and the differentiation and proliferation potentials of human OASCs. Human orbital adipose samples were harvested from young (with normal lower eyelid appearance) and old donors (having protruded fat pads in the lower eyelids). The morphological properties of orbital adipocytes were assessed and the fat cell size displayed a decreasing trend with advancing age. OASCs were isolated from the fat samples, expanded in vitro and cultured under appropriate inducive conditions. Compared to the young cells, although no difference was found in the cell yield and phenotype expression, aged OASCs showed fewer progenitor cell numbers, reduced proliferative rates, increased senescent features and decreased differentiation potentials towards adipogenic, osteogenic and chondrogenic lineages. Our data suggested that using autologous OASCs from elderly patients for potential therapeutic purposes might be restricted.&quot;,&quot;publisher&quot;:&quot;Public Library of Science&quot;,&quot;issue&quot;:&quot;11&quot;,&quot;volume&quot;:&quot;11&quot;},&quot;isTemporary&quot;:false,&quot;suppress-author&quot;:false,&quot;composite&quot;:false,&quot;author-only&quot;:false}],&quot;citationTag&quot;:&quot;MENDELEY_CITATION_v3_eyJjaXRhdGlvbklEIjoiTUVOREVMRVlfQ0lUQVRJT05fMjJlMzIyNTEtODA2Zi00N2IwLTlhZmItNTY3MzM2ZWU0YzA0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quot;},{&quot;citationID&quot;:&quot;MENDELEY_CITATION_174f946b-6835-4334-b29b-3b10a6e2711f&quot;,&quot;properties&quot;:{&quot;noteIndex&quot;:0},&quot;isEdited&quot;:false,&quot;manualOverride&quot;:{&quot;isManuallyOverridden&quot;:false,&quot;citeprocText&quot;:&quot;(Stolzing et al., 2008)&quot;,&quot;manualOverrideText&quot;:&quot;&quot;},&quot;citationItems&quot;:[{&quot;id&quot;:&quot;9c60d382-c271-30b0-b616-8a347d682325&quot;,&quot;itemData&quot;:{&quot;type&quot;:&quot;article-journal&quot;,&quot;id&quot;:&quot;9c60d382-c271-30b0-b616-8a347d682325&quot;,&quot;title&quot;:&quot;Age-related changes in human bone marrow-derived mesenchymal stem cells: Consequences for cell therapies&quot;,&quot;author&quot;:[{&quot;family&quot;:&quot;Stolzing&quot;,&quot;given&quot;:&quot;A.&quot;,&quot;parse-names&quot;:false,&quot;dropping-particle&quot;:&quot;&quot;,&quot;non-dropping-particle&quot;:&quot;&quot;},{&quot;family&quot;:&quot;Jones&quot;,&quot;given&quot;:&quot;E.&quot;,&quot;parse-names&quot;:false,&quot;dropping-particle&quot;:&quot;&quot;,&quot;non-dropping-particle&quot;:&quot;&quot;},{&quot;family&quot;:&quot;McGonagle&quot;,&quot;given&quot;:&quot;D.&quot;,&quot;parse-names&quot;:false,&quot;dropping-particle&quot;:&quot;&quot;,&quot;non-dropping-particle&quot;:&quot;&quot;},{&quot;family&quot;:&quot;Scutt&quot;,&quot;given&quot;:&quot;A.&quot;,&quot;parse-names&quot;:false,&quot;dropping-particle&quot;:&quot;&quot;,&quot;non-dropping-particle&quot;:&quot;&quot;}],&quot;container-title&quot;:&quot;Mechanisms of Ageing and Development&quot;,&quot;container-title-short&quot;:&quot;Mech. Ageing Dev.&quot;,&quot;DOI&quot;:&quot;10.1016/j.mad.2007.12.002&quot;,&quot;ISSN&quot;:&quot;00476374&quot;,&quot;PMID&quot;:&quot;18241911&quot;,&quot;issued&quot;:{&quot;date-parts&quot;:[[2008,3]]},&quot;page&quot;:&quot;163-173&quot;,&quot;abstract&quot;:&quot;Human mesenchymal stem cells (hMSC) represent a promising cell-based therapy for a number of degenerative conditions. Understanding the effect of aging on hMSCs is crucial for autologous therapy development in older subject whom degenerative diseases typically afflict. Previous investigations into the effects of aging on hMSC have proved contradictory due to the relative narrow age ranges of subjects assessed and the exclusive reliance of in vitro assays. This study seeks to address this controversy by using a wider range of donor ages and by measuring indices of cellular aging as well as hMSC numbers ex vivo and proliferation rates. CFU-f analysis and flow cytometry analysis using a CD45low/D7fib+ve/LNGF+ve gating strategy were employed. In addition a variety of markers of cellular aging, oxidative damage and senescence measured. A reduction in CFU-f and CD45low/D7fib+ve/LNGF+ve cell numbers were noted in adulthood relative to childhood. Indices of aging including oxidative damage, ROS levels and p21 and p53 all increased suggesting a loss of MSC fitness with age. These data suggest that hMSC numbers obtained by marrow aspiration decline with age. Furthermore, there is an age-related decline in overall BM MSC \&quot;fitness\&quot; which might lead to problems when using autologous aged MSC for cell-based therapies. © 2007 Elsevier Ireland Ltd. All rights reserved.&quot;,&quot;issue&quot;:&quot;3&quot;,&quot;volume&quot;:&quot;129&quot;},&quot;isTemporary&quot;:false}],&quot;citationTag&quot;:&quot;MENDELEY_CITATION_v3_eyJjaXRhdGlvbklEIjoiTUVOREVMRVlfQ0lUQVRJT05fMTc0Zjk0NmItNjgzNS00MzM0LWIyOWItM2IxMGE2ZTI3MTFm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quot;},{&quot;citationID&quot;:&quot;MENDELEY_CITATION_518fba2a-a216-42d9-9fe5-aaa390805b79&quot;,&quot;properties&quot;:{&quot;noteIndex&quot;:0},&quot;isEdited&quot;:false,&quot;manualOverride&quot;:{&quot;isManuallyOverridden&quot;:true,&quot;citeprocText&quot;:&quot;(X. Feng, Xing, et al., 2014)&quot;,&quot;manualOverrideText&quot;:&quot;(Feng et al., 2014)b&quot;},&quot;citationItems&quot;:[{&quot;id&quot;:&quot;716da167-1ac8-347f-b4d2-e4636a3525c0&quot;,&quot;itemData&quot;:{&quot;type&quot;:&quot;article-journal&quot;,&quot;id&quot;:&quot;716da167-1ac8-347f-b4d2-e4636a3525c0&quot;,&quot;title&quot;:&quot;P16INK4A mediates age-related changes in mesenchymal stem cells derived from human dental pulp through the DNA damage and stress response&quot;,&quot;author&quot;:[{&quot;family&quot;:&quot;Feng&quot;,&quot;given&quot;:&quot;Xingmei&quot;,&quot;parse-names&quot;:false,&quot;dropping-particle&quot;:&quot;&quot;,&quot;non-dropping-particle&quot;:&quot;&quot;},{&quot;family&quot;:&quot;Xing&quot;,&quot;given&quot;:&quot;Jing&quot;,&quot;parse-names&quot;:false,&quot;dropping-particle&quot;:&quot;&quot;,&quot;non-dropping-particle&quot;:&quot;&quot;},{&quot;family&quot;:&quot;Feng&quot;,&quot;given&quot;:&quot;Guijuan&quot;,&quot;parse-names&quot;:false,&quot;dropping-particle&quot;:&quot;&quot;,&quot;non-dropping-particle&quot;:&quot;&quot;},{&quot;family&quot;:&quot;Huang&quot;,&quot;given&quot;:&quot;Dan&quot;,&quot;parse-names&quot;:false,&quot;dropping-particle&quot;:&quot;&quot;,&quot;non-dropping-particle&quot;:&quot;&quot;},{&quot;family&quot;:&quot;Lu&quot;,&quot;given&quot;:&quot;Xiaohui&quot;,&quot;parse-names&quot;:false,&quot;dropping-particle&quot;:&quot;&quot;,&quot;non-dropping-particle&quot;:&quot;&quot;},{&quot;family&quot;:&quot;Liu&quot;,&quot;given&quot;:&quot;Suzhe&quot;,&quot;parse-names&quot;:false,&quot;dropping-particle&quot;:&quot;&quot;,&quot;non-dropping-particle&quot;:&quot;&quot;},{&quot;family&quot;:&quot;Tan&quot;,&quot;given&quot;:&quot;Wei&quot;,&quot;parse-names&quot;:false,&quot;dropping-particle&quot;:&quot;&quot;,&quot;non-dropping-particle&quot;:&quot;&quot;},{&quot;family&quot;:&quot;Li&quot;,&quot;given&quot;:&quot;Liren&quot;,&quot;parse-names&quot;:false,&quot;dropping-particle&quot;:&quot;&quot;,&quot;non-dropping-particle&quot;:&quot;&quot;},{&quot;family&quot;:&quot;Gu&quot;,&quot;given&quot;:&quot;Zhifeng&quot;,&quot;parse-names&quot;:false,&quot;dropping-particle&quot;:&quot;&quot;,&quot;non-dropping-particle&quot;:&quot;&quot;}],&quot;container-title&quot;:&quot;Mechanisms of Ageing and Development&quot;,&quot;container-title-short&quot;:&quot;Mech. Ageing Dev.&quot;,&quot;DOI&quot;:&quot;10.1016/j.mad.2014.09.004&quot;,&quot;ISSN&quot;:&quot;18726216&quot;,&quot;PMID&quot;:&quot;25304494&quot;,&quot;issued&quot;:{&quot;date-parts&quot;:[[2014,11,1]]},&quot;page&quot;:&quot;46-55&quot;,&quot;abstract&quot;:&quot;Mesenchymal stem cells derived from human dental pulp (DP-MSCs) are characterized by self-renewal and multi-lineage differentiation, which play important roles in regenerative medicine. Autologous transfers, as non-immunogenic, constitute the safest approach in cellular transplantations. However, their use may be limited by age-related changes. In the study, we compared DP-MSCs isolated from human in five age groups: 5-12y, 12-20y, 20-35y, 35-50y, and &gt;50y. We tested the effect of age on proliferation, differentiation, senescence-associated β-galactosidase (SA-β-gal), cell cycle and programmed cell death. DP-MSCs showed characteristics of senescence as a function of age. Meanwhile, the expression of p16INK4A and γ-H2A.X significantly increased with age, whereas heat shock protein 60 (HSP60) was decreased in the senescent DP-MSCs. Reactive oxygen species (ROS) staining showed the number of ROS-stained cells and the DCFH fluorescent level were higher in the aged group. Further we examined the senescence of DP-MSCs after modulating p16INK4A signaling. The results indicated the dysfunction of DP-MSCs was reversed by p16INK4A siRNA. In summary, our study indicated p16INK4A pathway may play a critical role in DP-MSCs age-related changes and the DNA damage response (DDR) and stress response may be the main mediators of DP-MSCs senescence induced by excessive activation of p16INK4A signaling.&quot;,&quot;publisher&quot;:&quot;Elsevier Ireland Ltd&quot;,&quot;volume&quot;:&quot;141-142&quot;},&quot;isTemporary&quot;:false}],&quot;citationTag&quot;:&quot;MENDELEY_CITATION_v3_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&quot;},{&quot;citationID&quot;:&quot;MENDELEY_CITATION_618bb27f-7dd4-4d75-bf24-b7111c1f75ff&quot;,&quot;properties&quot;:{&quot;noteIndex&quot;:0},&quot;isEdited&quot;:false,&quot;manualOverride&quot;:{&quot;isManuallyOverridden&quot;:false,&quot;citeprocText&quot;:&quot;(Horibe et al., 2014a)&quot;,&quot;manualOverrideText&quot;:&quot;&quot;},&quot;citationItems&quot;:[{&quot;id&quot;:&quot;a9a2b6bf-93e6-3c89-98d4-6583c994e51b&quot;,&quot;itemData&quot;:{&quot;type&quot;:&quot;article-journal&quot;,&quot;id&quot;:&quot;a9a2b6bf-93e6-3c89-98d4-6583c994e51b&quot;,&quot;title&quot;:&quot;Isolation of a stable subpopulation of Mobilized Dental Pulp Stem Cells (MDPSCs) with high proliferation, migration, and regeneration potential is independent of age&quot;,&quot;author&quot;:[{&quot;family&quot;:&quot;Horibe&quot;,&quot;given&quot;:&quot;Hiroshi&quot;,&quot;parse-names&quot;:false,&quot;dropping-particle&quot;:&quot;&quot;,&quot;non-dropping-particle&quot;:&quot;&quot;},{&quot;family&quot;:&quot;Murakami&quot;,&quot;given&quot;:&quot;Masashi&quot;,&quot;parse-names&quot;:false,&quot;dropping-particle&quot;:&quot;&quot;,&quot;non-dropping-particle&quot;:&quot;&quot;},{&quot;family&quot;:&quot;Iohara&quot;,&quot;given&quot;:&quot;Koichiro&quot;,&quot;parse-names&quot;:false,&quot;dropping-particle&quot;:&quot;&quot;,&quot;non-dropping-particle&quot;:&quot;&quot;},{&quot;family&quot;:&quot;Hayashi&quot;,&quot;given&quot;:&quot;Yuki&quot;,&quot;parse-names&quot;:false,&quot;dropping-particle&quot;:&quot;&quot;,&quot;non-dropping-particle&quot;:&quot;&quot;},{&quot;family&quot;:&quot;Takeuchi&quot;,&quot;given&quot;:&quot;Norio&quot;,&quot;parse-names&quot;:false,&quot;dropping-particle&quot;:&quot;&quot;,&quot;non-dropping-particle&quot;:&quot;&quot;},{&quot;family&quot;:&quot;Takei&quot;,&quot;given&quot;:&quot;Yoshifumi&quot;,&quot;parse-names&quot;:false,&quot;dropping-particle&quot;:&quot;&quot;,&quot;non-dropping-particle&quot;:&quot;&quot;},{&quot;family&quot;:&quot;Kurita&quot;,&quot;given&quot;:&quot;Kenichi&quot;,&quot;parse-names&quot;:false,&quot;dropping-particle&quot;:&quot;&quot;,&quot;non-dropping-particle&quot;:&quot;&quot;},{&quot;family&quot;:&quot;Nakashima&quot;,&quot;given&quot;:&quot;Misako&quot;,&quot;parse-names&quot;:false,&quot;dropping-particle&quot;:&quot;&quot;,&quot;non-dropping-particle&quot;:&quot;&quot;}],&quot;container-title&quot;:&quot;PLoS ONE&quot;,&quot;container-title-short&quot;:&quot;PLoS One&quot;,&quot;DOI&quot;:&quot;10.1371/journal.pone.0098553&quot;,&quot;ISSN&quot;:&quot;19326203&quot;,&quot;PMID&quot;:&quot;24870376&quot;,&quot;issued&quot;:{&quot;date-parts&quot;:[[2014,5,28]]},&quot;abstract&quot;:&quot;Insights into the understanding of the influence of the age of MSCs on their cellular responses and regenerative potential are critical for stem cell therapy in the clinic. We have isolated dental pulp stem cells (DPSCs) subsets based on their migratory response to granulocyte-colony stimulating factor (G-CSF) (MDPSCs) from young and aged donors. The aged MDPSCs were efficiently enriched in stem cells, expressing high levels of trophic factors with high proliferation, migration and anti-apoptotic effects compared to young MDPSCs. In contrast, significant differences in those properties were detected between aged and young colony-derived DPSCs. Unlike DPSCs, MDPSCs showed a small age-dependent increase in senescence-associated β-galactosidase (SA-β-gal) production and senescence markers including p16, p21, Interleukin (IL)-1β, -6, -8, and Groα in long-term culture. There was no difference between aged and young MDPSCs in telomerase activity. The regenerative potential of aged MDPSCs was similar to that of young MDPSCs in an ischemic hindlimb model and an ectopic tooth root model. These results demonstrated that the stem cell properties and the high regenerative potential of MDPSCs are independent of age, demonstrating an immense utility for clinical applications by autologous cell transplantation in dental pulp regeneration and ischemic diseases. © 2014 Horibe et al.&quot;,&quot;publisher&quot;:&quot;Public Library of Science&quot;,&quot;issue&quot;:&quot;5&quot;,&quot;volume&quot;:&quot;9&quot;},&quot;isTemporary&quot;:false}],&quot;citationTag&quot;:&quot;MENDELEY_CITATION_v3_eyJjaXRhdGlvbklEIjoiTUVOREVMRVlfQ0lUQVRJT05fNjE4YmIyN2YtN2RkNC00ZDc1LWJmMjQtYjcxMTFjMWY3NWZm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quot;},{&quot;citationID&quot;:&quot;MENDELEY_CITATION_c2653d52-a629-4e3c-b029-64c99260abb3&quot;,&quot;properties&quot;:{&quot;noteIndex&quot;:0},&quot;isEdited&quot;:false,&quot;manualOverride&quot;:{&quot;isManuallyOverridden&quot;:false,&quot;citeprocText&quot;:&quot;(Iezzi et al., 2019)&quot;,&quot;manualOverrideText&quot;:&quot;&quot;},&quot;citationItems&quot;:[{&quot;id&quot;:&quot;b0fce73b-7bb9-3979-8aa4-ca7eb0ec115e&quot;,&quot;itemData&quot;:{&quot;type&quot;:&quot;article-journal&quot;,&quot;id&quot;:&quot;b0fce73b-7bb9-3979-8aa4-ca7eb0ec115e&quot;,&quot;title&quot;:&quot;Dental pulp stem cells senescence and regenerative potential relationship&quot;,&quot;author&quot;:[{&quot;family&quot;:&quot;Iezzi&quot;,&quot;given&quot;:&quot;Iolanda&quot;,&quot;parse-names&quot;:false,&quot;dropping-particle&quot;:&quot;&quot;,&quot;non-dropping-particle&quot;:&quot;&quot;},{&quot;family&quot;:&quot;Cerqueni&quot;,&quot;given&quot;:&quot;Giorgia&quot;,&quot;parse-names&quot;:false,&quot;dropping-particle&quot;:&quot;&quot;,&quot;non-dropping-particle&quot;:&quot;&quot;},{&quot;family&quot;:&quot;Licini&quot;,&quot;given&quot;:&quot;Caterina&quot;,&quot;parse-names&quot;:false,&quot;dropping-particle&quot;:&quot;&quot;,&quot;non-dropping-particle&quot;:&quot;&quot;},{&quot;family&quot;:&quot;Lucarini&quot;,&quot;given&quot;:&quot;Guendalina&quot;,&quot;parse-names&quot;:false,&quot;dropping-particle&quot;:&quot;&quot;,&quot;non-dropping-particle&quot;:&quot;&quot;},{&quot;family&quot;:&quot;Mattioli Belmonte&quot;,&quot;given&quot;:&quot;Monica&quot;,&quot;parse-names&quot;:false,&quot;dropping-particle&quot;:&quot;&quot;,&quot;non-dropping-particle&quot;:&quot;&quot;}],&quot;container-title&quot;:&quot;Journal of Cellular Physiology&quot;,&quot;container-title-short&quot;:&quot;J. Cell. Physiol.&quot;,&quot;DOI&quot;:&quot;10.1002/jcp.27472&quot;,&quot;ISSN&quot;:&quot;10974652&quot;,&quot;PMID&quot;:&quot;30362542&quot;,&quot;issued&quot;:{&quot;date-parts&quot;:[[2019,5,1]]},&quot;page&quot;:&quot;7186-7197&quot;,&quot;abstract&quot;:&quot;Uncomplicated treatments for pulpitis and periodontitis continues to be challenging and regenerative approaches could meet this contingency. Dental pulp stem cells (DPSCs) represent a good candidate for oral recovering therapies. Here, we investigated changes in morphology, proliferation, and in vitro differentiation toward mesenchymal and neuronal phenotypes of human DPSCs harvested from differently aged donors. Aging is a physiologic phenomenon occurring with time that hamper body’s capability to maintain homeostasis also affecting the functional reserve. Cytofluorimetric, immunohistochemical, quantitative reverse-transcription polymerase chain reaction (qRT-PCR), and western blot analyses were performed to gain insight for successful regenerative strategies in elderly. We observed a decline in DPSCs proliferation and differentiation potential with age. Interestingly, these cells behaved differently under osteogenic or odontogenic stimuli, showing different age-related mineralization capabilities. Similarly, neurogenic differentiation decreased with age. In conclusion, our observations represent a valid tool for the development of tailored regenerative strategies in an aging society.&quot;,&quot;publisher&quot;:&quot;Wiley-Liss Inc.&quot;,&quot;issue&quot;:&quot;5&quot;,&quot;volume&quot;:&quot;234&quot;},&quot;isTemporary&quot;:false}],&quot;citationTag&quot;:&quot;MENDELEY_CITATION_v3_eyJjaXRhdGlvbklEIjoiTUVOREVMRVlfQ0lUQVRJT05fYzI2NTNkNTItYTYyOS00ZTNjLWIwMjktNjRjOTkyNjBhYmIz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quot;},{&quot;citationID&quot;:&quot;MENDELEY_CITATION_24eafdc3-82e4-4a4c-8666-820abacdf09a&quot;,&quot;properties&quot;:{&quot;noteIndex&quot;:0},&quot;isEdited&quot;:false,&quot;manualOverride&quot;:{&quot;isManuallyOverridden&quot;:false,&quot;citeprocText&quot;:&quot;(Legzdina et al., 2016b)&quot;,&quot;manualOverrideText&quot;:&quot;&quot;},&quot;citationItems&quot;:[{&quot;id&quot;:&quot;f589550e-7e25-33a3-8322-1a4019d37dd7&quot;,&quot;itemData&quot;:{&quot;type&quot;:&quot;article-journal&quot;,&quot;id&quot;:&quot;f589550e-7e25-33a3-8322-1a4019d37dd7&quot;,&quot;title&quot;:&quot;Characterization of senescence of culture-expanded human adipose-derived mesenchymal stem cells&quot;,&quot;author&quot;:[{&quot;family&quot;:&quot;Legzdina&quot;,&quot;given&quot;:&quot;Diana&quot;,&quot;parse-names&quot;:false,&quot;dropping-particle&quot;:&quot;&quot;,&quot;non-dropping-particle&quot;:&quot;&quot;},{&quot;family&quot;:&quot;Romanauska&quot;,&quot;given&quot;:&quot;Anete&quot;,&quot;parse-names&quot;:false,&quot;dropping-particle&quot;:&quot;&quot;,&quot;non-dropping-particle&quot;:&quot;&quot;},{&quot;family&quot;:&quot;Nikulshin&quot;,&quot;given&quot;:&quot;Sergey&quot;,&quot;parse-names&quot;:false,&quot;dropping-particle&quot;:&quot;&quot;,&quot;non-dropping-particle&quot;:&quot;&quot;},{&quot;family&quot;:&quot;Kozlovska&quot;,&quot;given&quot;:&quot;Tatjana&quot;,&quot;parse-names&quot;:false,&quot;dropping-particle&quot;:&quot;&quot;,&quot;non-dropping-particle&quot;:&quot;&quot;},{&quot;family&quot;:&quot;Berzins&quot;,&quot;given&quot;:&quot;Uldis&quot;,&quot;parse-names&quot;:false,&quot;dropping-particle&quot;:&quot;&quot;,&quot;non-dropping-particle&quot;:&quot;&quot;}],&quot;container-title&quot;:&quot;International Journal of Stem Cells&quot;,&quot;container-title-short&quot;:&quot;Int. J. Stem Cells&quot;,&quot;DOI&quot;:&quot;10.15283/ijsc.2016.9.1.124&quot;,&quot;ISSN&quot;:&quot;20055447&quot;,&quot;issued&quot;:{&quot;date-parts&quot;:[[2016]]},&quot;page&quot;:&quot;124-136&quot;,&quot;abstract&quot;:&quot;Background and Objectives: Adipose-derived mesenchymal stem cells (ADSCs) are promising candidates in regenerative medicine. The need for in vitro propagation to obtain therapeutic quantities of the cells imposes a risk of impaired functionality due to cellular senescence. The aim of the study was to analyze in vitro senescence of previously cryopreserved human ADSCs subjected to serial passages in cell culture. Methods and Results: ADSC cultures from 8 donors were cultivated until proliferation arrest was reached. A gradual decline of ADSC fitness was observed by altered cell morphology, loss of proliferative, clonogenic and differentiation abilities and increased β-galactosidase expression all of which occurred in a donor-specific manner. Relative telomere length (RTL) analysis revealed that only three tested cultures encountered replicative senescence. The presence of two ADSC subsets with significantly different RTL and cell size was discovered. The heterogeneity of ADSC cultures was supported by the intermittent nature of aging seen in tested samples. Conclusions: We conclude that the onset of in vitro senescence of ADSCs is a strongly donor-specific process which is complicated by the intricate dynamics of cell subsets present in ADSC population. This complexity needs to be carefully considered when elaborating protocols for personalized cellular therapy.&quot;,&quot;publisher&quot;:&quot;Sungkyunkwan University&quot;,&quot;issue&quot;:&quot;1&quot;,&quot;volume&quot;:&quot;9&quot;},&quot;isTemporary&quot;:false,&quot;suppress-author&quot;:false,&quot;composite&quot;:false,&quot;author-only&quot;:false}],&quot;citationTag&quot;:&quot;MENDELEY_CITATION_v3_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&quot;},{&quot;citationID&quot;:&quot;MENDELEY_CITATION_1f457424-8f7e-450c-8aa3-1fb415c7bd30&quot;,&quot;properties&quot;:{&quot;noteIndex&quot;:0},&quot;isEdited&quot;:false,&quot;manualOverride&quot;:{&quot;isManuallyOverridden&quot;:true,&quot;citeprocText&quot;:&quot;(Truong et al., 2019)&quot;,&quot;manualOverrideText&quot;:&quot;(Truong, et al., 2019)&quot;},&quot;citationItems&quot;:[{&quot;id&quot;:&quot;831fa20e-0856-3b5e-953c-646fe920c958&quot;,&quot;itemData&quot;:{&quot;type&quot;:&quot;chapter&quot;,&quot;id&quot;:&quot;831fa20e-0856-3b5e-953c-646fe920c958&quot;,&quot;title&quot;:&quot;Characterization of Senescence of Human Adipose-Derived Stem Cells After Long-Term Expansion&quot;,&quot;author&quot;:[{&quot;family&quot;:&quot;Truong&quot;,&quot;given&quot;:&quot;Nhat Chau&quot;,&quot;parse-names&quot;:false,&quot;dropping-particle&quot;:&quot;&quot;,&quot;non-dropping-particle&quot;:&quot;&quot;},{&quot;family&quot;:&quot;Bui&quot;,&quot;given&quot;:&quot;Khanh Hong Thien&quot;,&quot;parse-names&quot;:false,&quot;dropping-particle&quot;:&quot;&quot;,&quot;non-dropping-particle&quot;:&quot;&quot;},{&quot;family&quot;:&quot;Pham&quot;,&quot;given&quot;:&quot;Phuc&quot;,&quot;parse-names&quot;:false,&quot;dropping-particle&quot;:&quot;&quot;,&quot;non-dropping-particle&quot;:&quot;Van&quot;}],&quot;container-title&quot;:&quot;Advances in Experimental Medicine and Biology&quot;,&quot;container-title-short&quot;:&quot;Adv. Exp. Med. Biol.&quot;,&quot;DOI&quot;:&quot;10.1007/5584_2018_235&quot;,&quot;ISSN&quot;:&quot;22148019&quot;,&quot;PMID&quot;:&quot;30242785&quot;,&quot;issued&quot;:{&quot;date-parts&quot;:[[2019]]},&quot;page&quot;:&quot;109-128&quot;,&quot;abstract&quot;:&quot;Introduction: Since the 1980s, adipose-derived stem cells (ASCs) have become a powerful and potential source for stem cell-based therapy, regenerative medicine, and even drug delivery in cancer treatment. The development of off-the-shelf mesenchymal stem cells (MSCs), including ASCs, has rapidly advanced in recent years with several clinical trials and approved products. In this technology, ASCs should be expanded long term in order to harvest higher cell number. In this study, senescence of ASCs after long-term expansion was evaluated. Methods: Human ASCs (hASCs) were isolated and cultured continuously at a density of 103 cells/cm2 up to passage 15. The cells were assessed for aging via changes in the following: characteristics of MSCs, mitochondrial activity, accumulation of beta-galactosidase, and expression of tumor suppressor genes. Results: The results showed that following in vitro expansion to the 15th passage, ASCs did not show changes in immunophenotype, except for decreased expression of CD105. However, the cells increased in size and in shape and complexity (toward the “fried egg” morphology). They also almost ceased to proliferate in passage 15. Nonetheless, they maintained in vitro differentiation potential toward osteoblasts, chondrocytes, and adipocytes. Expression of tumor suppressor genes p53 and p16 did not significantly change, while p27 was significantly downregulated. Mitochondrial activities also decreased slightly in culture from passage 5 to passage 10 and remained stable to passage 15. ASCs also showed increased accumulation of beta-galactosidase in culture, but it was negligible. Conclusion: In conclusion, hASCs exhibited some particular characteristics of aged stem cells when the number of subculture cells increased. However, up to passage 10, ASCs also retained almost all of the characteristics of MSCs.&quot;,&quot;publisher&quot;:&quot;Springer New York LLC&quot;,&quot;volume&quot;:&quot;1084&quot;},&quot;isTemporary&quot;:false,&quot;suppress-author&quot;:false,&quot;composite&quot;:false,&quot;author-only&quot;:false}],&quot;citationTag&quot;:&quot;MENDELEY_CITATION_v3_eyJjaXRhdGlvbklEIjoiTUVOREVMRVlfQ0lUQVRJT05fMWY0NTc0MjQtOGY3ZS00NTBjLThhYTMtMWZiNDE1YzdiZDMw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quot;},{&quot;citationID&quot;:&quot;MENDELEY_CITATION_9d22a867-3623-4ec7-a85f-436c382d1e60&quot;,&quot;properties&quot;:{&quot;noteIndex&quot;:0},&quot;isEdited&quot;:false,&quot;manualOverride&quot;:{&quot;isManuallyOverridden&quot;:true,&quot;citeprocText&quot;:&quot;(J. Wang et al., 2025a)&quot;,&quot;manualOverrideText&quot;:&quot;(Wang et al., 2025)a&quot;},&quot;citationItems&quot;:[{&quot;id&quot;:&quot;9e92b64b-61e3-381f-88bc-9450dcdbc774&quot;,&quot;itemData&quot;:{&quot;type&quot;:&quot;article-journal&quot;,&quot;id&quot;:&quot;9e92b64b-61e3-381f-88bc-9450dcdbc774&quot;,&quot;title&quot;:&quot;Retarding human adipose-derived MSCs senescence and promoting tendon repair using cell sheet engineering with a histone methyltransferase inhibitor&quot;,&quot;author&quot;:[{&quot;family&quot;:&quot;Wang&quot;,&quot;given&quot;:&quot;Junjuan&quot;,&quot;parse-names&quot;:false,&quot;dropping-particle&quot;:&quot;&quot;,&quot;non-dropping-particle&quot;:&quot;&quot;},{&quot;family&quot;:&quot;Jian&quot;,&quot;given&quot;:&quot;Ke&quot;,&quot;parse-names&quot;:false,&quot;dropping-particle&quot;:&quot;&quot;,&quot;non-dropping-particle&quot;:&quot;&quot;},{&quot;family&quot;:&quot;Yang&quot;,&quot;given&quot;:&quot;Qing&quot;,&quot;parse-names&quot;:false,&quot;dropping-particle&quot;:&quot;&quot;,&quot;non-dropping-particle&quot;:&quot;&quot;},{&quot;family&quot;:&quot;Gu&quot;,&quot;given&quot;:&quot;Chunyi&quot;,&quot;parse-names&quot;:false,&quot;dropping-particle&quot;:&quot;&quot;,&quot;non-dropping-particle&quot;:&quot;&quot;},{&quot;family&quot;:&quot;Sheng&quot;,&quot;given&quot;:&quot;Jiajun&quot;,&quot;parse-names&quot;:false,&quot;dropping-particle&quot;:&quot;&quot;,&quot;non-dropping-particle&quot;:&quot;&quot;},{&quot;family&quot;:&quot;Zhou&quot;,&quot;given&quot;:&quot;Yan&quot;,&quot;parse-names&quot;:false,&quot;dropping-particle&quot;:&quot;&quot;,&quot;non-dropping-particle&quot;:&quot;&quot;},{&quot;family&quot;:&quot;Yin&quot;,&quot;given&quot;:&quot;Hantian&quot;,&quot;parse-names&quot;:false,&quot;dropping-particle&quot;:&quot;&quot;,&quot;non-dropping-particle&quot;:&quot;&quot;},{&quot;family&quot;:&quot;Zhang&quot;,&quot;given&quot;:&quot;Zhihan&quot;,&quot;parse-names&quot;:false,&quot;dropping-particle&quot;:&quot;&quot;,&quot;non-dropping-particle&quot;:&quot;&quot;},{&quot;family&quot;:&quot;Hua&quot;,&quot;given&quot;:&quot;Kouzhen&quot;,&quot;parse-names&quot;:false,&quot;dropping-particle&quot;:&quot;&quot;,&quot;non-dropping-particle&quot;:&quot;&quot;},{&quot;family&quot;:&quot;Zhang&quot;,&quot;given&quot;:&quot;Can&quot;,&quot;parse-names&quot;:false,&quot;dropping-particle&quot;:&quot;&quot;,&quot;non-dropping-particle&quot;:&quot;&quot;}],&quot;container-title&quot;:&quot;Scientific Reports&quot;,&quot;container-title-short&quot;:&quot;Sci. Rep.&quot;,&quot;DOI&quot;:&quot;10.1038/s41598-025-89234-3&quot;,&quot;ISSN&quot;:&quot;20452322&quot;,&quot;PMID&quot;:&quot;39979391&quot;,&quot;issued&quot;:{&quot;date-parts&quot;:[[2025,12,1]]},&quot;abstract&quot;:&quot;Mesenchymal stem cell (MSC) holds immense potential as candidates for cell therapy in the treatment of tendon injuries due to their remarkable ability for multiple cell differentiation. However, the proliferative and differentiation capacity of MSCs has been limited by cellular senescence during the process of expanding culture. Therefore, in this study, our aim was to maintain the beneficial properties of MSCs. We found that SETD7, a histone methyltransferase, was upregulated during ex vivo expansion of human adipose-derived mesenchymal stem cells (hAD-MSCs). Pharmacological inhibition of SETD7 with PFI-2 in hAD-MSCs cultures delayed their senescence, as evident by the diminished expression of senescent-associated genes and the maintenance of their proliferation and differentiation capacity. Upon transplantation, cell sheets derived from hAD-MSCs expanded with PFI-2 were better able to accelerate tendon repair. Therefore, the present findings reveal that SETD7 is an important target to improve the expansion of hAD-MSCs by delaying senescence, which is importance for the development of efficient stem cell-based therapeutic approaches.&quot;,&quot;publisher&quot;:&quot;Nature Research&quot;,&quot;issue&quot;:&quot;1&quot;,&quot;volume&quot;:&quot;15&quot;},&quot;isTemporary&quot;:false,&quot;suppress-author&quot;:false,&quot;composite&quot;:false,&quot;author-only&quot;:false}],&quot;citationTag&quot;:&quot;MENDELEY_CITATION_v3_eyJjaXRhdGlvbklEIjoiTUVOREVMRVlfQ0lUQVRJT05fOWQyMmE4NjctMzYyMy00ZWM3LWE4NWYtNDM2YzM4MmQxZTYw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quot;},{&quot;citationID&quot;:&quot;MENDELEY_CITATION_4a4f0a1d-e25a-42e4-ab57-9e506d27868b&quot;,&quot;properties&quot;:{&quot;noteIndex&quot;:0},&quot;isEdited&quot;:false,&quot;manualOverride&quot;:{&quot;isManuallyOverridden&quot;:false,&quot;citeprocText&quot;:&quot;(Bertolo et al., 2016)&quot;,&quot;manualOverrideText&quot;:&quot;&quot;},&quot;citationItems&quot;:[{&quot;id&quot;:&quot;31ebb3dc-aeb5-3813-951f-0692d020580d&quot;,&quot;itemData&quot;:{&quot;type&quot;:&quot;article-journal&quot;,&quot;id&quot;:&quot;31ebb3dc-aeb5-3813-951f-0692d020580d&quot;,&quot;title&quot;:&quot;An in vitro expansion score for tissue-engineering applications with human bone marrow-derived mesenchymal stem cells&quot;,&quot;author&quot;:[{&quot;family&quot;:&quot;Bertolo&quot;,&quot;given&quot;:&quot;Alessandro&quot;,&quot;parse-names&quot;:false,&quot;dropping-particle&quot;:&quot;&quot;,&quot;non-dropping-particle&quot;:&quot;&quot;},{&quot;family&quot;:&quot;Mehr&quot;,&quot;given&quot;:&quot;Marco&quot;,&quot;parse-names&quot;:false,&quot;dropping-particle&quot;:&quot;&quot;,&quot;non-dropping-particle&quot;:&quot;&quot;},{&quot;family&quot;:&quot;Janner-Jametti&quot;,&quot;given&quot;:&quot;Tiziana&quot;,&quot;parse-names&quot;:false,&quot;dropping-particle&quot;:&quot;&quot;,&quot;non-dropping-particle&quot;:&quot;&quot;},{&quot;family&quot;:&quot;Graumann&quot;,&quot;given&quot;:&quot;Ursula&quot;,&quot;parse-names&quot;:false,&quot;dropping-particle&quot;:&quot;&quot;,&quot;non-dropping-particle&quot;:&quot;&quot;},{&quot;family&quot;:&quot;Aebli&quot;,&quot;given&quot;:&quot;Niklaus&quot;,&quot;parse-names&quot;:false,&quot;dropping-particle&quot;:&quot;&quot;,&quot;non-dropping-particle&quot;:&quot;&quot;},{&quot;family&quot;:&quot;Baur&quot;,&quot;given&quot;:&quot;Martin&quot;,&quot;parse-names&quot;:false,&quot;dropping-particle&quot;:&quot;&quot;,&quot;non-dropping-particle&quot;:&quot;&quot;},{&quot;family&quot;:&quot;Ferguson&quot;,&quot;given&quot;:&quot;Stephen J.&quot;,&quot;parse-names&quot;:false,&quot;dropping-particle&quot;:&quot;&quot;,&quot;non-dropping-particle&quot;:&quot;&quot;},{&quot;family&quot;:&quot;Stoyanov&quot;,&quot;given&quot;:&quot;Jivko&quot;,&quot;parse-names&quot;:false,&quot;dropping-particle&quot;:&quot;V.&quot;,&quot;non-dropping-particle&quot;:&quot;&quot;}],&quot;container-title&quot;:&quot;Journal of Tissue Engineering and Regenerative Medicine&quot;,&quot;container-title-short&quot;:&quot;J. Tissue Eng. Regen. Med.&quot;,&quot;DOI&quot;:&quot;10.1002/term.1734&quot;,&quot;ISSN&quot;:&quot;19327005&quot;,&quot;PMID&quot;:&quot;23576360&quot;,&quot;issued&quot;:{&quot;date-parts&quot;:[[2016,2,1]]},&quot;page&quot;:&quot;149-161&quot;,&quot;abstract&quot;:&quot;Human bone marrow-derived mesenchymal stem cells (MSCs) have limited growth potential in vitro and cease to divide due to replicative senescence, which from a tissue-engineering perspective has practical implications, such as defining the correct starting points for differentiation and transplantation. Time spent in culture before the loss of required differentiation potential is different and reflects patient variability, which is a problem for cell expansion. This study aimed to develop a score set which can be used to quantify the senescent state of MSCs and predict whether cells preserve their ability to differentiate to osteogenic, adipogenic and chondrogenic phenotypes, based on colony-forming unit (CFU) assay, population doubling time (PDT), senescence-associated β-galactosidase (SA-β-Gal) activity, cell size, telomere length and gene expression of MSCs cultured in vitro over 11 passages. This set of morphological, physiological and genetic senescence markers was correlated to the ability of MSCs to differentiate. Differentiation efficiency was assessed by marker genes and protein expression. CFUs decreased with increasing passage number, whereas SA-β-Gal activity and PDT increased; however, the correlation with MSCs' differentiation potential was sometimes unexpected. The expression of genes related to senescence was higher in late-passage cells than in early-passage cells. Early-passage cells underwent efficient osteogenic differentiation, with mid-passage cells performing best in chondrogenic differentiation. Late-passage cells preserve only adipogenic differentiation potential. Based on this marker set, we propose a senescence score in which combined markers give a reliable quality control of MSCs, not depending only on mechanistic passage number.&quot;,&quot;publisher&quot;:&quot;John Wiley and Sons Ltd&quot;,&quot;issue&quot;:&quot;2&quot;,&quot;volume&quot;:&quot;10&quot;},&quot;isTemporary&quot;:false}],&quot;citationTag&quot;:&quot;MENDELEY_CITATION_v3_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&quot;},{&quot;citationID&quot;:&quot;MENDELEY_CITATION_cb637886-a197-49d8-99f5-d924768a739f&quot;,&quot;properties&quot;:{&quot;noteIndex&quot;:0},&quot;isEdited&quot;:false,&quot;manualOverride&quot;:{&quot;isManuallyOverridden&quot;:false,&quot;citeprocText&quot;:&quot;(Bonab et al., 2006)&quot;,&quot;manualOverrideText&quot;:&quot;&quot;},&quot;citationItems&quot;:[{&quot;id&quot;:&quot;27eadcf0-862e-387a-8163-50b3d49644f0&quot;,&quot;itemData&quot;:{&quot;type&quot;:&quot;article-journal&quot;,&quot;id&quot;:&quot;27eadcf0-862e-387a-8163-50b3d49644f0&quot;,&quot;title&quot;:&quot;Aging of mesenchymal stem cell in vitro&quot;,&quot;author&quot;:[{&quot;family&quot;:&quot;Bonab&quot;,&quot;given&quot;:&quot;Mandana Mohyeddin&quot;,&quot;parse-names&quot;:false,&quot;dropping-particle&quot;:&quot;&quot;,&quot;non-dropping-particle&quot;:&quot;&quot;},{&quot;family&quot;:&quot;Alimoghaddam&quot;,&quot;given&quot;:&quot;Kamran&quot;,&quot;parse-names&quot;:false,&quot;dropping-particle&quot;:&quot;&quot;,&quot;non-dropping-particle&quot;:&quot;&quot;},{&quot;family&quot;:&quot;Talebian&quot;,&quot;given&quot;:&quot;Fatemeh&quot;,&quot;parse-names&quot;:false,&quot;dropping-particle&quot;:&quot;&quot;,&quot;non-dropping-particle&quot;:&quot;&quot;},{&quot;family&quot;:&quot;Ghaffari&quot;,&quot;given&quot;:&quot;Syed Hamid&quot;,&quot;parse-names&quot;:false,&quot;dropping-particle&quot;:&quot;&quot;,&quot;non-dropping-particle&quot;:&quot;&quot;},{&quot;family&quot;:&quot;Ghavamzadeh&quot;,&quot;given&quot;:&quot;Ardeshir&quot;,&quot;parse-names&quot;:false,&quot;dropping-particle&quot;:&quot;&quot;,&quot;non-dropping-particle&quot;:&quot;&quot;},{&quot;family&quot;:&quot;Nikbin&quot;,&quot;given&quot;:&quot;Behrouz&quot;,&quot;parse-names&quot;:false,&quot;dropping-particle&quot;:&quot;&quot;,&quot;non-dropping-particle&quot;:&quot;&quot;}],&quot;container-title&quot;:&quot;BMC Cell Biology&quot;,&quot;container-title-short&quot;:&quot;BMC Cell Biol.&quot;,&quot;DOI&quot;:&quot;10.1186/1471-2121-7-14&quot;,&quot;ISSN&quot;:&quot;14712121&quot;,&quot;PMID&quot;:&quot;16529651&quot;,&quot;issued&quot;:{&quot;date-parts&quot;:[[2006,3,10]]},&quot;abstract&quot;:&quot;Background: A hot new topic in medical treatment is the use of mesenchymal stem cells (MSC) in therapy. The low frequency of this subpopulation of stem cells in bone marrow (BM) necessitates their in vitro expansion prior to clinical use. We evaluated the effect of long term culture on the senescence of these cells. Results: The mean long term culture was 118 days and the mean passage number was 9. The average number of PD decreased from 7.7 to 1.2 in the 10th passage. The mean telomere length decreased from 9.19 Kbp to 8.7 kbp in the 9th passage. Differentiation potential dropped from the 6th passage on. The culture's morphological abnormalities were typical of the Hayflick model of cellular aging. Conclusion: We believe that MSC enter senescence almost undetectably from the moment of in vitro culturing. Simultaneously these cells are losing their stem cell characteristics. Therefore, it is much better to consider them for cell and gene therapy early on. © 2006 Bonab et al; licensee BioMed Central Ltd.&quot;,&quot;volume&quot;:&quot;7&quot;},&quot;isTemporary&quot;:false}],&quot;citationTag&quot;:&quot;MENDELEY_CITATION_v3_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&quot;},{&quot;citationID&quot;:&quot;MENDELEY_CITATION_c3b5c70e-14af-47da-b024-0cbbdb2897f6&quot;,&quot;properties&quot;:{&quot;noteIndex&quot;:0},&quot;isEdited&quot;:false,&quot;manualOverride&quot;:{&quot;isManuallyOverridden&quot;:true,&quot;citeprocText&quot;:&quot;(H. Cheng et al., 2011a)&quot;,&quot;manualOverrideText&quot;:&quot;(Cheng et al., 2011)a&quot;},&quot;citationItems&quot;:[{&quot;id&quot;:&quot;ab9ff687-a07a-33e4-985d-e6e37d83453d&quot;,&quot;itemData&quot;:{&quot;type&quot;:&quot;article-journal&quot;,&quot;id&quot;:&quot;ab9ff687-a07a-33e4-985d-e6e37d83453d&quot;,&quot;title&quot;:&quot;Replicative senescence of human bone marrow and umbilical cord derived mesenchymal stem cells and their differentiation to adipocytes and osteoblasts&quot;,&quot;author&quot;:[{&quot;family&quot;:&quot;Cheng&quot;,&quot;given&quot;:&quot;Huanchen&quot;,&quot;parse-names&quot;:false,&quot;dropping-particle&quot;:&quot;&quot;,&quot;non-dropping-particle&quot;:&quot;&quot;},{&quot;family&quot;:&quot;Qiu&quot;,&quot;given&quot;:&quot;Lin&quot;,&quot;parse-names&quot;:false,&quot;dropping-particle&quot;:&quot;&quot;,&quot;non-dropping-particle&quot;:&quot;&quot;},{&quot;family&quot;:&quot;Ma&quot;,&quot;given&quot;:&quot;Jun&quot;,&quot;parse-names&quot;:false,&quot;dropping-particle&quot;:&quot;&quot;,&quot;non-dropping-particle&quot;:&quot;&quot;},{&quot;family&quot;:&quot;Zhang&quot;,&quot;given&quot;:&quot;Hao&quot;,&quot;parse-names&quot;:false,&quot;dropping-particle&quot;:&quot;&quot;,&quot;non-dropping-particle&quot;:&quot;&quot;},{&quot;family&quot;:&quot;Cheng&quot;,&quot;given&quot;:&quot;Mei&quot;,&quot;parse-names&quot;:false,&quot;dropping-particle&quot;:&quot;&quot;,&quot;non-dropping-particle&quot;:&quot;&quot;},{&quot;family&quot;:&quot;Li&quot;,&quot;given&quot;:&quot;Wei&quot;,&quot;parse-names&quot;:false,&quot;dropping-particle&quot;:&quot;&quot;,&quot;non-dropping-particle&quot;:&quot;&quot;},{&quot;family&quot;:&quot;Zhao&quot;,&quot;given&quot;:&quot;Xuefei&quot;,&quot;parse-names&quot;:false,&quot;dropping-particle&quot;:&quot;&quot;,&quot;non-dropping-particle&quot;:&quot;&quot;},{&quot;family&quot;:&quot;Liu&quot;,&quot;given&quot;:&quot;Keyu&quot;,&quot;parse-names&quot;:false,&quot;dropping-particle&quot;:&quot;&quot;,&quot;non-dropping-particle&quot;:&quot;&quot;}],&quot;container-title&quot;:&quot;Molecular Biology Reports&quot;,&quot;container-title-short&quot;:&quot;Mol. Biol. Rep.&quot;,&quot;DOI&quot;:&quot;10.1007/s11033-010-0665-2&quot;,&quot;ISSN&quot;:&quot;03014851&quot;,&quot;PMID&quot;:&quot;21188535&quot;,&quot;issued&quot;:{&quot;date-parts&quot;:[[2011,11]]},&quot;page&quot;:&quot;5161-5168&quot;,&quot;abstract&quot;:&quot;Mesenchymal stem cells (MSC) which have self-renewal and multiple differentiation potential in vitro play important roles in regenerative medicine and tissue engineering. However, long-term culture in vitro leads to senescence which results in the growth arrest and reduction of differentiation. In this study, MSC derived from human bone-marrow (BM-MSC) and umbilical cord (UC-MSC) were cultured in vitro lasted to senescence. Senescence and apoptosis detection showed that the senescent cells increased significantly but the increase of apoptosis was not significant in the long term culture. Senescence related genes p16, p21 and p53 increased gradually in BM-MSC. However, p16 and p53 reduced and then increased but with the gradual increase of p21 in UC-MSC. Adipogenic differentiation decreased whereas the propensity for osteogenic differentiation increased in senescent MSC. Real time RT-PCR demonstrated that both C/EBPa and PPARγ decreased in senescent BM-MSC. However, in UC-MSC, PPARγ decreased but C/EBPa increased in late phase compared to early phase. The study demonstrated p21 was important in the senescence of BM-MSC and UC-MSC. C/EBPa and PPARγ could regulate the balance of adipogenic differentiation in BM-MSC but only PPARγ not C/EBPa was involved in the adipogenic differentiation in UC-MSC. © 2011 Springer Science+Business Media B.V.&quot;,&quot;issue&quot;:&quot;8&quot;,&quot;volume&quot;:&quot;38&quot;},&quot;isTemporary&quot;:false}],&quot;citationTag&quot;:&quot;MENDELEY_CITATION_v3_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&quot;},{&quot;citationID&quot;:&quot;MENDELEY_CITATION_f8105ef9-86e6-43f9-a439-d4b973184ac3&quot;,&quot;properties&quot;:{&quot;noteIndex&quot;:0},&quot;isEdited&quot;:false,&quot;manualOverride&quot;:{&quot;isManuallyOverridden&quot;:false,&quot;citeprocText&quot;:&quot;(S. N. Kim et al., 2021)&quot;,&quot;manualOverrideText&quot;:&quot;&quot;},&quot;citationItems&quot;:[{&quot;id&quot;:&quot;19d6fec9-fa2e-3fe3-991b-73bf93ccdb1c&quot;,&quot;itemData&quot;:{&quot;type&quot;:&quot;article-journal&quot;,&quot;id&quot;:&quot;19d6fec9-fa2e-3fe3-991b-73bf93ccdb1c&quot;,&quot;title&quot;:&quot;Culturing at Low Cell Density Delays Cellular Senescence of Human Bone Marrow-Derived Mesenchymal Stem Cells in Long-Term Cultures&quot;,&quot;author&quot;:[{&quot;family&quot;:&quot;Kim&quot;,&quot;given&quot;:&quot;Si Na&quot;,&quot;parse-names&quot;:false,&quot;dropping-particle&quot;:&quot;&quot;,&quot;non-dropping-particle&quot;:&quot;&quot;},{&quot;family&quot;:&quot;Choi&quot;,&quot;given&quot;:&quot;Byeol&quot;,&quot;parse-names&quot;:false,&quot;dropping-particle&quot;:&quot;&quot;,&quot;non-dropping-particle&quot;:&quot;&quot;},{&quot;family&quot;:&quot;Lee&quot;,&quot;given&quot;:&quot;Chan Ju&quot;,&quot;parse-names&quot;:false,&quot;dropping-particle&quot;:&quot;&quot;,&quot;non-dropping-particle&quot;:&quot;&quot;},{&quot;family&quot;:&quot;Moon&quot;,&quot;given&quot;:&quot;Jeong Hyun&quot;,&quot;parse-names&quot;:false,&quot;dropping-particle&quot;:&quot;&quot;,&quot;non-dropping-particle&quot;:&quot;&quot;},{&quot;family&quot;:&quot;Kim&quot;,&quot;given&quot;:&quot;Min Kyoung&quot;,&quot;parse-names&quot;:false,&quot;dropping-particle&quot;:&quot;&quot;,&quot;non-dropping-particle&quot;:&quot;&quot;},{&quot;family&quot;:&quot;Chung&quot;,&quot;given&quot;:&quot;Eunkyung&quot;,&quot;parse-names&quot;:false,&quot;dropping-particle&quot;:&quot;&quot;,&quot;non-dropping-particle&quot;:&quot;&quot;},{&quot;family&quot;:&quot;Song&quot;,&quot;given&quot;:&quot;Sun Uk&quot;,&quot;parse-names&quot;:false,&quot;dropping-particle&quot;:&quot;&quot;,&quot;non-dropping-particle&quot;:&quot;&quot;}],&quot;container-title&quot;:&quot;International Journal of Stem Cells&quot;,&quot;container-title-short&quot;:&quot;Int. J. Stem Cells&quot;,&quot;DOI&quot;:&quot;10.15283/ijsc20078&quot;,&quot;ISSN&quot;:&quot;20055447&quot;,&quot;issued&quot;:{&quot;date-parts&quot;:[[2021]]},&quot;page&quot;:&quot;103-111&quot;,&quot;abstract&quot;:&quot;Background and Objectives: Mesenchymal stem cells (MSCs) have immense therapeutic potential for treating intractable and immune diseases. They also have applications in regenerative medicine in which distinct treatments do not exist. Thus, MSCs are gaining attention as important raw materials in the field of cell therapy. Importantly, the number of MSCs in the bone marrow is limited and they are present only in small quantities. Therefore, mass production of MSCs through long-term culture is necessary to use them in cell therapy. However, MSCs undergo cellular senescence through repeated passages during mass production. In this study, we explored methods to prolong the limited lifetime of MSCs by culturing them with different seeding densities. Methods and Results: We observed that in long-term cultures, low-density (LD, 50 cells/cm2) MSCs showed higher population doubling level, leading to greater fold increase, than high-density (HD, 4,000 cells/cm2) MSCs. LD-MSCs suppressed the expression of aging-related genes. We also showed that reactive oxygen species (ROS) were decreased in LD-MSCs compared to that in HD-MSCs. Further, proliferation potential increased when ROS were inhibited in HD-MSCs. Conclusions: The results in this study suggest that MSC senescence can be delayed and that life span can be extended by controlling cell density in vitro. These results can be used as important data for the mass production of stem cell therapeutic products.&quot;,&quot;publisher&quot;:&quot;Sungkyunkwan University&quot;,&quot;issue&quot;:&quot;1&quot;,&quot;volume&quot;:&quot;14&quot;},&quot;isTemporary&quot;:false}],&quot;citationTag&quot;:&quot;MENDELEY_CITATION_v3_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&quot;},{&quot;citationID&quot;:&quot;MENDELEY_CITATION_5f389330-fdc7-4bbd-987e-5017aa3659cf&quot;,&quot;properties&quot;:{&quot;noteIndex&quot;:0},&quot;isEdited&quot;:false,&quot;manualOverride&quot;:{&quot;isManuallyOverridden&quot;:false,&quot;citeprocText&quot;:&quot;(Wagner et al., 2008)&quot;,&quot;manualOverrideText&quot;:&quot;&quot;},&quot;citationItems&quot;:[{&quot;id&quot;:&quot;b1bbe505-3108-3200-9b49-05544940ef4c&quot;,&quot;itemData&quot;:{&quot;type&quot;:&quot;article-journal&quot;,&quot;id&quot;:&quot;b1bbe505-3108-3200-9b49-05544940ef4c&quot;,&quot;title&quot;:&quot;Replicative senescence of mesenchymal stem cells: A continuous and organized process&quot;,&quot;author&quot;:[{&quot;family&quot;:&quot;Wagner&quot;,&quot;given&quot;:&quot;Wolfgang&quot;,&quot;parse-names&quot;:false,&quot;dropping-particle&quot;:&quot;&quot;,&quot;non-dropping-particle&quot;:&quot;&quot;},{&quot;family&quot;:&quot;Horn&quot;,&quot;given&quot;:&quot;Patrick&quot;,&quot;parse-names&quot;:false,&quot;dropping-particle&quot;:&quot;&quot;,&quot;non-dropping-particle&quot;:&quot;&quot;},{&quot;family&quot;:&quot;Castoldi&quot;,&quot;given&quot;:&quot;Mirco&quot;,&quot;parse-names&quot;:false,&quot;dropping-particle&quot;:&quot;&quot;,&quot;non-dropping-particle&quot;:&quot;&quot;},{&quot;family&quot;:&quot;Diehlmann&quot;,&quot;given&quot;:&quot;Anke&quot;,&quot;parse-names&quot;:false,&quot;dropping-particle&quot;:&quot;&quot;,&quot;non-dropping-particle&quot;:&quot;&quot;},{&quot;family&quot;:&quot;Bork&quot;,&quot;given&quot;:&quot;Simone&quot;,&quot;parse-names&quot;:false,&quot;dropping-particle&quot;:&quot;&quot;,&quot;non-dropping-particle&quot;:&quot;&quot;},{&quot;family&quot;:&quot;Saffrich&quot;,&quot;given&quot;:&quot;Rainer&quot;,&quot;parse-names&quot;:false,&quot;dropping-particle&quot;:&quot;&quot;,&quot;non-dropping-particle&quot;:&quot;&quot;},{&quot;family&quot;:&quot;Benes&quot;,&quot;given&quot;:&quot;Vladimir&quot;,&quot;parse-names&quot;:false,&quot;dropping-particle&quot;:&quot;&quot;,&quot;non-dropping-particle&quot;:&quot;&quot;},{&quot;family&quot;:&quot;Blake&quot;,&quot;given&quot;:&quot;Jonathon&quot;,&quot;parse-names&quot;:false,&quot;dropping-particle&quot;:&quot;&quot;,&quot;non-dropping-particle&quot;:&quot;&quot;},{&quot;family&quot;:&quot;Pfister&quot;,&quot;given&quot;:&quot;Stefan&quot;,&quot;parse-names&quot;:false,&quot;dropping-particle&quot;:&quot;&quot;,&quot;non-dropping-particle&quot;:&quot;&quot;},{&quot;family&quot;:&quot;Eckstein&quot;,&quot;given&quot;:&quot;Volker&quot;,&quot;parse-names&quot;:false,&quot;dropping-particle&quot;:&quot;&quot;,&quot;non-dropping-particle&quot;:&quot;&quot;},{&quot;family&quot;:&quot;Ho&quot;,&quot;given&quot;:&quot;Anthony D.&quot;,&quot;parse-names&quot;:false,&quot;dropping-particle&quot;:&quot;&quot;,&quot;non-dropping-particle&quot;:&quot;&quot;}],&quot;container-title&quot;:&quot;PLoS ONE&quot;,&quot;container-title-short&quot;:&quot;PLoS One&quot;,&quot;DOI&quot;:&quot;10.1371/journal.pone.0002213&quot;,&quot;ISSN&quot;:&quot;19326203&quot;,&quot;PMID&quot;:&quot;18493317&quot;,&quot;issued&quot;:{&quot;date-parts&quot;:[[2008,5,21]]},&quot;abstract&quot;:&quot;Mesenchymal stem cells (MSC) comprise a promising tool for cellular therapy. These cells are usually culture expanded prior to their application. However, a precise molecular definition of MSC and the sequel of long-term in vitro culture are yet unknown. In this study, we have addressed the impact of replicative senescence on human MSC preparations. Within 43 to 77 days of cultivation 17 to 12 passages), MSC demonstrated morphological abnormalities, enlargement, attenuated expression of specific surface markers, and ultimately proliferation arrest. Adipogenic differentiation potential decreased whereas the propensity for osteogenic differentiation increased. mRNA expression profiling revealed a consistent pattern of alterations in the global gene expression signature of MSC at different passages. These changes are not restricted to later passages, but are continuously acquired with increasing passages. Genes involved in cell cycle, DNA replication and DNA repair are significantly down-regulated in late passages. Genes from chromosome 4q21 were over-represented among differentially regulated transcripts. Differential expression of 10 genes has been verified in independent donor samples as well as in MSC that were isolated under different culture conditions. Furthermore,miRNA expression profiling revealed an up-regulation of hsa-mir-371, hsa-mir-369-5P, hsa-mir-29c, hsa-mir-499 and hsa-let-7f upon in vitro propagation. Our studies indicate that replicative senescence of MSC preparations is a continuous process starting from the first passage onwards. This process includes far reaching alterations in phenotype, differentiation potential, global gene expression patterns, and miRNA profiles that need to be considered for therapeutic application of MSC preparations. © 2008 Wagner et al.&quot;,&quot;issue&quot;:&quot;5&quot;,&quot;volume&quot;:&quot;3&quot;},&quot;isTemporary&quot;:false,&quot;suppress-author&quot;:false,&quot;composite&quot;:false,&quot;author-only&quot;:false}],&quot;citationTag&quot;:&quot;MENDELEY_CITATION_v3_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&quot;},{&quot;citationID&quot;:&quot;MENDELEY_CITATION_2414446e-9d5e-42d8-8186-ae2b938adf47&quot;,&quot;properties&quot;:{&quot;noteIndex&quot;:0},&quot;isEdited&quot;:false,&quot;manualOverride&quot;:{&quot;isManuallyOverridden&quot;:false,&quot;citeprocText&quot;:&quot;(Wenjing et al., 2024a)&quot;,&quot;manualOverrideText&quot;:&quot;&quot;},&quot;citationItems&quot;:[{&quot;id&quot;:&quot;42cda071-b00c-3b4b-bbd2-78bf1c36bd55&quot;,&quot;itemData&quot;:{&quot;type&quot;:&quot;article-journal&quot;,&quot;id&quot;:&quot;42cda071-b00c-3b4b-bbd2-78bf1c36bd55&quot;,&quot;title&quot;:&quot;Effects of long-term subculture on biological characteristics of bone marrow mesenchymal stem cells&quot;,&quot;author&quot;:[{&quot;family&quot;:&quot;Wenjing&quot;,&quot;given&quot;:&quot;Zhao&quot;,&quot;parse-names&quot;:false,&quot;dropping-particle&quot;:&quot;&quot;,&quot;non-dropping-particle&quot;:&quot;&quot;},{&quot;family&quot;:&quot;Baikun&quot;,&quot;given&quot;:&quot;Liu&quot;,&quot;parse-names&quot;:false,&quot;dropping-particle&quot;:&quot;&quot;,&quot;non-dropping-particle&quot;:&quot;&quot;},{&quot;family&quot;:&quot;Qiulian&quot;,&quot;given&quot;:&quot;Li&quot;,&quot;parse-names&quot;:false,&quot;dropping-particle&quot;:&quot;&quot;,&quot;non-dropping-particle&quot;:&quot;&quot;},{&quot;family&quot;:&quot;Xi&quot;,&quot;given&quot;:&quot;Chen&quot;,&quot;parse-names&quot;:false,&quot;dropping-particle&quot;:&quot;&quot;,&quot;non-dropping-particle&quot;:&quot;&quot;}],&quot;container-title&quot;:&quot;Chinese Journal of Tissue Engineering Research&quot;,&quot;DOI&quot;:&quot;10.12307/2024.702&quot;,&quot;ISSN&quot;:&quot;20954344&quot;,&quot;issued&quot;:{&quot;date-parts&quot;:[[2024,11,8]]},&quot;page&quot;:&quot;4926-4930&quot;,&quot;abstract&quot;:&quot;BACKGROUND: There is still controversy whether human bone marrow mesenchymal stem cells can maintain their biological characteristics, energy metabolism patterns, and multidirectional differentiation potential after long-term expression in vitro. Further comprehensive and systematic research is needed. OBJECTIVE: To evaluate the effects of long-term expansion in vitro on the biological characteristics of mesenchymal stem cells. METHODS: Human bone marrow mesenchymal stem cells cultured to passage 5, 10, and 15 in vitro. MTT assay was used to detect cell proliferation ability. Flow cytometry was used to detect cell cycle. The multi-differentiation potential of mesenchymal stem cells was detected by inducing to adipogenic, osteogenic and chondrogenic differentiation. Cell migration and invasion abilities were detected by scratch test and Transwell assay. The mitochondrial oxidative phosphorylation and glycolysis function were analyzed using energy metabolism analyzer. The cell senescence was detected by senescence-associated β-galactosidase staining. The expression levels of p21, p16, and p53 proteins were detected by western blot assay. RESULTS AND CONCLUSION: Bone marrow mesenchymal stem cells at passages 5, 10, and 15 grew adherently; the volume of passage 15 mesenchymal stem cells increased and its proliferation ability decreased; the percentage of S-phase cells decreased (P &lt; 0.05). With the increase of culture passages, the migration and invasion abilities decreased gradually (P &lt; 0.05). There was no significant difference in the differentiation potential, demonstrated by adipogenic, osteogenic and chondrogenesis induction. The ability of oxidative phosphorylation of mitochondria and glycolysis decreased gradually (P &lt; 0.05). The number of senescence-associated β-galactosidase-positive cells increased with the increase of passages (P &lt; 0.05), and the expression of senescence protein p21, p16, and p53 increased gradually (P &lt; 0.05). The results indicated that the biological characterization of mesenchymal stem cells changed after long-term in vitro expansion. Mesenchymal stem cells cultured over 10 passages may have a reduced activity due to increasing senescence. Therefore, bone marrow mesenchymal stem cells cultured less than 10 passages are suitable for clinical research/therapy.&quot;,&quot;publisher&quot;:&quot;Publishing House of Chinese Journal of Tissue Engineering Research&quot;,&quot;issue&quot;:&quot;31&quot;,&quot;volume&quot;:&quot;28&quot;,&quot;container-title-short&quot;:&quot;&quot;},&quot;isTemporary&quot;:false}],&quot;citationTag&quot;:&quot;MENDELEY_CITATION_v3_eyJjaXRhdGlvbklEIjoiTUVOREVMRVlfQ0lUQVRJT05fMjQxNDQ0NmUtOWQ1ZS00MmQ4LTgxODYtYWUyYjkzOGFkZjQ3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quot;},{&quot;citationID&quot;:&quot;MENDELEY_CITATION_0ac2ac2d-5751-4bd5-8f76-98fdf33a8241&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MGFjMmFjMmQtNTc1MS00YmQ1LThmNzYtOThmZGYzM2E4MjQx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d6bb2035-e64b-4271-a22c-25dd28629eef&quot;,&quot;properties&quot;:{&quot;noteIndex&quot;:0},&quot;isEdited&quot;:false,&quot;manualOverride&quot;:{&quot;isManuallyOverridden&quot;:false,&quot;citeprocText&quot;:&quot;(Diomede et al., 2017)&quot;,&quot;manualOverrideText&quot;:&quot;&quot;},&quot;citationItems&quot;:[{&quot;id&quot;:&quot;4cfc50e7-a75b-3853-bdb6-0d1723dfbcf9&quot;,&quot;itemData&quot;:{&quot;type&quot;:&quot;article-journal&quot;,&quot;id&quot;:&quot;4cfc50e7-a75b-3853-bdb6-0d1723dfbcf9&quot;,&quot;title&quot;:&quot;Stemness maintenance properties in human oral stem cells after long-term passage&quot;,&quot;author&quot;:[{&quot;family&quot;:&quot;Diomede&quot;,&quot;given&quot;:&quot;Francesca&quot;,&quot;parse-names&quot;:false,&quot;dropping-particle&quot;:&quot;&quot;,&quot;non-dropping-particle&quot;:&quot;&quot;},{&quot;family&quot;:&quot;Rajan&quot;,&quot;given&quot;:&quot;Thangavelu Soundara&quot;,&quot;parse-names&quot;:false,&quot;dropping-particle&quot;:&quot;&quot;,&quot;non-dropping-particle&quot;:&quot;&quot;},{&quot;family&quot;:&quot;Gatta&quot;,&quot;given&quot;:&quot;Valentina&quot;,&quot;parse-names&quot;:false,&quot;dropping-particle&quot;:&quot;&quot;,&quot;non-dropping-particle&quot;:&quot;&quot;},{&quot;family&quot;:&quot;D'Aurora&quot;,&quot;given&quot;:&quot;Marco&quot;,&quot;parse-names&quot;:false,&quot;dropping-particle&quot;:&quot;&quot;,&quot;non-dropping-particle&quot;:&quot;&quot;},{&quot;family&quot;:&quot;Merciaro&quot;,&quot;given&quot;:&quot;Ilaria&quot;,&quot;parse-names&quot;:false,&quot;dropping-particle&quot;:&quot;&quot;,&quot;non-dropping-particle&quot;:&quot;&quot;},{&quot;family&quot;:&quot;Marchisio&quot;,&quot;given&quot;:&quot;Marco&quot;,&quot;parse-names&quot;:false,&quot;dropping-particle&quot;:&quot;&quot;,&quot;non-dropping-particle&quot;:&quot;&quot;},{&quot;family&quot;:&quot;Muttini&quot;,&quot;given&quot;:&quot;Aurelio&quot;,&quot;parse-names&quot;:false,&quot;dropping-particle&quot;:&quot;&quot;,&quot;non-dropping-particle&quot;:&quot;&quot;},{&quot;family&quot;:&quot;Caputi&quot;,&quot;given&quot;:&quot;Sergio&quot;,&quot;parse-names&quot;:false,&quot;dropping-particle&quot;:&quot;&quot;,&quot;non-dropping-particle&quot;:&quot;&quot;},{&quot;family&quot;:&quot;Bramanti&quot;,&quot;given&quot;:&quot;Placido&quot;,&quot;parse-names&quot;:false,&quot;dropping-particle&quot;:&quot;&quot;,&quot;non-dropping-particle&quot;:&quot;&quot;},{&quot;family&quot;:&quot;Mazzon&quot;,&quot;given&quot;:&quot;Emanuela&quot;,&quot;parse-names&quot;:false,&quot;dropping-particle&quot;:&quot;&quot;,&quot;non-dropping-particle&quot;:&quot;&quot;},{&quot;family&quot;:&quot;Trubiani&quot;,&quot;given&quot;:&quot;Oriana&quot;,&quot;parse-names&quot;:false,&quot;dropping-particle&quot;:&quot;&quot;,&quot;non-dropping-particle&quot;:&quot;&quot;}],&quot;container-title&quot;:&quot;Stem Cells International&quot;,&quot;container-title-short&quot;:&quot;Stem Cells Int.&quot;,&quot;DOI&quot;:&quot;10.1155/2017/5651287&quot;,&quot;ISSN&quot;:&quot;16879678&quot;,&quot;issued&quot;:{&quot;date-parts&quot;:[[2017]]},&quot;abstract&quot;:&quot;Background. Neural crest-derived mesenchymal stem cells (MSCs) from human oral tissues possess immunomodulatory and regenerative properties and are emerging as a potential therapeutic tool to treat diverse diseases, such as multiple sclerosis, myocardial infarction, and connective tissue damages. In addition to cell-surface antigens, dental MSCs express embryonic stem cell markers as neural crest cells originate from the ectoderm layer. In vitro passages may eventually modify these embryonic marker expressions and other stemness properties, including proliferation. In the present study, we have investigated the expression of proteins involved in cell proliferation/senescence and embryonic stem cell markers during early (passage 2) and late passages (passage 15) in MSCs obtained from human gingiva, periodontal, and dental pulp tissues. Methods. Cell proliferation assay, beta galactosidase staining, immunocytochemistry, and real-time PCR techniques were applied. Results. Cell proliferation assay showed no difference between early and late passages while senescence markers p16 and p21 were considerably increased in late passage. Embryonic stem cell markers including SKIL, MEIS1, and JARID2 were differentially modulated between P2 and P15 cells. Discussion. Our results suggest that the presence of embryonic and proliferation markers even in late passage may potentially endorse the application of dental-derived MSCs in stem cell therapy-based clinical trials.&quot;,&quot;publisher&quot;:&quot;Hindawi Limited&quot;,&quot;volume&quot;:&quot;2017&quot;},&quot;isTemporary&quot;:false}],&quot;citationTag&quot;:&quot;MENDELEY_CITATION_v3_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&quot;},{&quot;citationID&quot;:&quot;MENDELEY_CITATION_13da796f-9b31-4ab8-b5b7-4064d67eaeb9&quot;,&quot;properties&quot;:{&quot;noteIndex&quot;:0},&quot;isEdited&quot;:false,&quot;manualOverride&quot;:{&quot;isManuallyOverridden&quot;:true,&quot;citeprocText&quot;:&quot;(H. Cheng et al., 2011a)&quot;,&quot;manualOverrideText&quot;:&quot;(Cheng et al., 2011)a&quot;},&quot;citationItems&quot;:[{&quot;id&quot;:&quot;ab9ff687-a07a-33e4-985d-e6e37d83453d&quot;,&quot;itemData&quot;:{&quot;type&quot;:&quot;article-journal&quot;,&quot;id&quot;:&quot;ab9ff687-a07a-33e4-985d-e6e37d83453d&quot;,&quot;title&quot;:&quot;Replicative senescence of human bone marrow and umbilical cord derived mesenchymal stem cells and their differentiation to adipocytes and osteoblasts&quot;,&quot;author&quot;:[{&quot;family&quot;:&quot;Cheng&quot;,&quot;given&quot;:&quot;Huanchen&quot;,&quot;parse-names&quot;:false,&quot;dropping-particle&quot;:&quot;&quot;,&quot;non-dropping-particle&quot;:&quot;&quot;},{&quot;family&quot;:&quot;Qiu&quot;,&quot;given&quot;:&quot;Lin&quot;,&quot;parse-names&quot;:false,&quot;dropping-particle&quot;:&quot;&quot;,&quot;non-dropping-particle&quot;:&quot;&quot;},{&quot;family&quot;:&quot;Ma&quot;,&quot;given&quot;:&quot;Jun&quot;,&quot;parse-names&quot;:false,&quot;dropping-particle&quot;:&quot;&quot;,&quot;non-dropping-particle&quot;:&quot;&quot;},{&quot;family&quot;:&quot;Zhang&quot;,&quot;given&quot;:&quot;Hao&quot;,&quot;parse-names&quot;:false,&quot;dropping-particle&quot;:&quot;&quot;,&quot;non-dropping-particle&quot;:&quot;&quot;},{&quot;family&quot;:&quot;Cheng&quot;,&quot;given&quot;:&quot;Mei&quot;,&quot;parse-names&quot;:false,&quot;dropping-particle&quot;:&quot;&quot;,&quot;non-dropping-particle&quot;:&quot;&quot;},{&quot;family&quot;:&quot;Li&quot;,&quot;given&quot;:&quot;Wei&quot;,&quot;parse-names&quot;:false,&quot;dropping-particle&quot;:&quot;&quot;,&quot;non-dropping-particle&quot;:&quot;&quot;},{&quot;family&quot;:&quot;Zhao&quot;,&quot;given&quot;:&quot;Xuefei&quot;,&quot;parse-names&quot;:false,&quot;dropping-particle&quot;:&quot;&quot;,&quot;non-dropping-particle&quot;:&quot;&quot;},{&quot;family&quot;:&quot;Liu&quot;,&quot;given&quot;:&quot;Keyu&quot;,&quot;parse-names&quot;:false,&quot;dropping-particle&quot;:&quot;&quot;,&quot;non-dropping-particle&quot;:&quot;&quot;}],&quot;container-title&quot;:&quot;Molecular Biology Reports&quot;,&quot;container-title-short&quot;:&quot;Mol. Biol. Rep.&quot;,&quot;DOI&quot;:&quot;10.1007/s11033-010-0665-2&quot;,&quot;ISSN&quot;:&quot;03014851&quot;,&quot;PMID&quot;:&quot;21188535&quot;,&quot;issued&quot;:{&quot;date-parts&quot;:[[2011,11]]},&quot;page&quot;:&quot;5161-5168&quot;,&quot;abstract&quot;:&quot;Mesenchymal stem cells (MSC) which have self-renewal and multiple differentiation potential in vitro play important roles in regenerative medicine and tissue engineering. However, long-term culture in vitro leads to senescence which results in the growth arrest and reduction of differentiation. In this study, MSC derived from human bone-marrow (BM-MSC) and umbilical cord (UC-MSC) were cultured in vitro lasted to senescence. Senescence and apoptosis detection showed that the senescent cells increased significantly but the increase of apoptosis was not significant in the long term culture. Senescence related genes p16, p21 and p53 increased gradually in BM-MSC. However, p16 and p53 reduced and then increased but with the gradual increase of p21 in UC-MSC. Adipogenic differentiation decreased whereas the propensity for osteogenic differentiation increased in senescent MSC. Real time RT-PCR demonstrated that both C/EBPa and PPARγ decreased in senescent BM-MSC. However, in UC-MSC, PPARγ decreased but C/EBPa increased in late phase compared to early phase. The study demonstrated p21 was important in the senescence of BM-MSC and UC-MSC. C/EBPa and PPARγ could regulate the balance of adipogenic differentiation in BM-MSC but only PPARγ not C/EBPa was involved in the adipogenic differentiation in UC-MSC. © 2011 Springer Science+Business Media B.V.&quot;,&quot;issue&quot;:&quot;8&quot;,&quot;volume&quot;:&quot;38&quot;},&quot;isTemporary&quot;:false}],&quot;citationTag&quot;:&quot;MENDELEY_CITATION_v3_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&quot;},{&quot;citationID&quot;:&quot;MENDELEY_CITATION_47a03296-05ca-4349-9ac5-eed9c9cf455b&quot;,&quot;properties&quot;:{&quot;noteIndex&quot;:0},&quot;isEdited&quot;:false,&quot;manualOverride&quot;:{&quot;isManuallyOverridden&quot;:false,&quot;citeprocText&quot;:&quot;(Scheers et al., 2013)&quot;,&quot;manualOverrideText&quot;:&quot;&quot;},&quot;citationItems&quot;:[{&quot;id&quot;:&quot;b453419e-5821-39d3-9387-3ac59b2e6493&quot;,&quot;itemData&quot;:{&quot;type&quot;:&quot;article-journal&quot;,&quot;id&quot;:&quot;b453419e-5821-39d3-9387-3ac59b2e6493&quot;,&quot;title&quot;:&quot;Human Umbilical Cord Matrix Stem Cells Maintain Multilineage Differentiation Abilities and Do Not Transform during Long-Term Culture&quot;,&quot;author&quot;:[{&quot;family&quot;:&quot;Scheers&quot;,&quot;given&quot;:&quot;Isabelle&quot;,&quot;parse-names&quot;:false,&quot;dropping-particle&quot;:&quot;&quot;,&quot;non-dropping-particle&quot;:&quot;&quot;},{&quot;family&quot;:&quot;Lombard&quot;,&quot;given&quot;:&quot;Catherine&quot;,&quot;parse-names&quot;:false,&quot;dropping-particle&quot;:&quot;&quot;,&quot;non-dropping-particle&quot;:&quot;&quot;},{&quot;family&quot;:&quot;Paganelli&quot;,&quot;given&quot;:&quot;Massimiliano&quot;,&quot;parse-names&quot;:false,&quot;dropping-particle&quot;:&quot;&quot;,&quot;non-dropping-particle&quot;:&quot;&quot;},{&quot;family&quot;:&quot;Campard&quot;,&quot;given&quot;:&quot;David&quot;,&quot;parse-names&quot;:false,&quot;dropping-particle&quot;:&quot;&quot;,&quot;non-dropping-particle&quot;:&quot;&quot;},{&quot;family&quot;:&quot;Najimi&quot;,&quot;given&quot;:&quot;Mustapha&quot;,&quot;parse-names&quot;:false,&quot;dropping-particle&quot;:&quot;&quot;,&quot;non-dropping-particle&quot;:&quot;&quot;},{&quot;family&quot;:&quot;Gala&quot;,&quot;given&quot;:&quot;Jean Luc&quot;,&quot;parse-names&quot;:false,&quot;dropping-particle&quot;:&quot;&quot;,&quot;non-dropping-particle&quot;:&quot;&quot;},{&quot;family&quot;:&quot;Decottignies&quot;,&quot;given&quot;:&quot;Anabelle&quot;,&quot;parse-names&quot;:false,&quot;dropping-particle&quot;:&quot;&quot;,&quot;non-dropping-particle&quot;:&quot;&quot;},{&quot;family&quot;:&quot;Sokal&quot;,&quot;given&quot;:&quot;Etienne&quot;,&quot;parse-names&quot;:false,&quot;dropping-particle&quot;:&quot;&quot;,&quot;non-dropping-particle&quot;:&quot;&quot;}],&quot;container-title&quot;:&quot;PLoS ONE&quot;,&quot;container-title-short&quot;:&quot;PLoS One&quot;,&quot;DOI&quot;:&quot;10.1371/journal.pone.0071374&quot;,&quot;ISSN&quot;:&quot;19326203&quot;,&quot;issued&quot;:{&quot;date-parts&quot;:[[2013,8,9]]},&quot;abstract&quot;:&quot;Umbilical cord matrix stem cells (UCMSC) have generated great interest in various therapeutic approaches, including liver regeneration. This article aims to analyze the specific characteristics and the potential occurrence of premalignant alterations of UCMSC during long-term expansion, which are important issues for clinical applications. UCMSC were isolated from the umbilical cord of 14 full-term newborns and expanded in vitro until senescence. We examined the long-term growth potential, senescence characteristics, immunophenotype and multilineage differentiation capacity of these cells. In addition, their genetic stability was assessed through karyotyping, telomerase maintenance mechanisms and analysis of expression and functionality of cell cycle regulation genes. The tumorigenic potential was also studied in immunocompromised mice. In vitro, UCMSC reached up to 33.7±2.1 cumulative population doublings before entering replicative senescence. Their immunophenotype and differentiation potential, notably into hepatocyte-like cells, remained stable over time. Cytogenetic analyses did not reveal any chromosomal abnormality and the expression of oncogenes was not induced. Telomere maintenance mechanisms were not activated. Just as UCMSC lacked transformed features in vitro, they could not give rise to tumors in vivo. UCMSC could be expanded in long-term cultures while maintaining stable genetic features and endodermal differentiation potential. UCMSC therefore represent safe candidates for liver regenerative medicine. © 2013 Scheers et al.&quot;,&quot;issue&quot;:&quot;8&quot;,&quot;volume&quot;:&quot;8&quot;},&quot;isTemporary&quot;:false}],&quot;citationTag&quot;:&quot;MENDELEY_CITATION_v3_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&quot;},{&quot;citationID&quot;:&quot;MENDELEY_CITATION_fc58cca2-1078-4b18-b096-da256e369a03&quot;,&quot;properties&quot;:{&quot;noteIndex&quot;:0},&quot;isEdited&quot;:false,&quot;manualOverride&quot;:{&quot;isManuallyOverridden&quot;:false,&quot;citeprocText&quot;:&quot;(Jin et al., 2016)&quot;,&quot;manualOverrideText&quot;:&quot;&quot;},&quot;citationItems&quot;:[{&quot;id&quot;:&quot;44caa3dc-860f-3e8a-a005-c232880c46c4&quot;,&quot;itemData&quot;:{&quot;type&quot;:&quot;article-journal&quot;,&quot;id&quot;:&quot;44caa3dc-860f-3e8a-a005-c232880c46c4&quot;,&quot;title&quot;:&quot;Downregulation of Melanoma Cell Adhesion Molecule (MCAM/CD146) Accelerates Cellular Senescence in Human Umbilical Cord Blood-Derived Mesenchymal Stem Cells&quot;,&quot;author&quot;:[{&quot;family&quot;:&quot;Jin&quot;,&quot;given&quot;:&quot;Hye Jin&quot;,&quot;parse-names&quot;:false,&quot;dropping-particle&quot;:&quot;&quot;,&quot;non-dropping-particle&quot;:&quot;&quot;},{&quot;family&quot;:&quot;Kwon&quot;,&quot;given&quot;:&quot;Ji Hye&quot;,&quot;parse-names&quot;:false,&quot;dropping-particle&quot;:&quot;&quot;,&quot;non-dropping-particle&quot;:&quot;&quot;},{&quot;family&quot;:&quot;Kim&quot;,&quot;given&quot;:&quot;Miyeon&quot;,&quot;parse-names&quot;:false,&quot;dropping-particle&quot;:&quot;&quot;,&quot;non-dropping-particle&quot;:&quot;&quot;},{&quot;family&quot;:&quot;Bae&quot;,&quot;given&quot;:&quot;Yun Kyung&quot;,&quot;parse-names&quot;:false,&quot;dropping-particle&quot;:&quot;&quot;,&quot;non-dropping-particle&quot;:&quot;&quot;},{&quot;family&quot;:&quot;Choi&quot;,&quot;given&quot;:&quot;Soo Jin&quot;,&quot;parse-names&quot;:false,&quot;dropping-particle&quot;:&quot;&quot;,&quot;non-dropping-particle&quot;:&quot;&quot;},{&quot;family&quot;:&quot;Oh&quot;,&quot;given&quot;:&quot;Wonil&quot;,&quot;parse-names&quot;:false,&quot;dropping-particle&quot;:&quot;&quot;,&quot;non-dropping-particle&quot;:&quot;&quot;},{&quot;family&quot;:&quot;Yang&quot;,&quot;given&quot;:&quot;Yoon Sun&quot;,&quot;parse-names&quot;:false,&quot;dropping-particle&quot;:&quot;&quot;,&quot;non-dropping-particle&quot;:&quot;&quot;},{&quot;family&quot;:&quot;Jeon&quot;,&quot;given&quot;:&quot;Hong Bae&quot;,&quot;parse-names&quot;:false,&quot;dropping-particle&quot;:&quot;&quot;,&quot;non-dropping-particle&quot;:&quot;&quot;}],&quot;container-title&quot;:&quot;Stem Cells Translational Medicine&quot;,&quot;container-title-short&quot;:&quot;Stem Cells Transl. Med.&quot;,&quot;DOI&quot;:&quot;10.5966/sctm.2015-0109&quot;,&quot;ISSN&quot;:&quot;2157-6564&quot;,&quot;PMID&quot;:&quot;26941359&quot;,&quot;issued&quot;:{&quot;date-parts&quot;:[[2016,4,1]]},&quot;page&quot;:&quot;427-439&quot;,&quot;abstract&quot;:&quot;UNLABELLED Therapeutic applications of mesenchymal stem cells (MSCs) for treating various diseases have increased in recent years. To ensure that treatment is effective, an adequate MSC dosage should be determined before these cells are used for therapeutic purposes. To obtain a sufficient number of cells for therapeutic applications, MSCs must be expanded in long-term cell culture, which inevitably triggers cellular senescence. In this study, we investigated the surface markers of human umbilical cord blood-derived MSCs (hUCB-MSCs) associated with cellular senescence using fluorescence-activated cell sorting analysis and 242 cell surface-marker antibodies. Among these surface proteins, we selected the melanoma cell adhesion molecule (MCAM/CD146) for further study with the aim of validating observed expression differences and investigating the associated implications in hUCB-MSCs during cellular senescence. We observed that CD146 expression markedly decreased in hUCB-MSCs following prolonged in vitro expansion. Using preparative sorting, we found that hUCB-MSCs with high CD146 expression displayed high growth rates, multilineage differentiation, expression of stemness markers, and telomerase activity, as well as significantly lower expression of the senescence markers p16, p21, p53, and senescence-associated β-galactosidase, compared with that observed in hUCB-MSCs with low-level CD146 expression. In contrast, CD146 downregulation with small interfering RNAs enhanced the senescence phenotype. In addition, CD146 suppression in hUCB-MSCs caused downregulation of other cellular senescence regulators, including Bmi-1, Id1, and Twist1. Collectively, our results suggest that CD146 regulates cellular senescence; thus, it could be used as a therapeutic marker to identify senescent hUCB-MSCs. SIGNIFICANCE One of the fundamental requirements for mesenchymal stem cell (MSC)-based therapies is the expansion of MSCs during long-term culture because a sufficient number of functional cells is required. However, long-term growth inevitably induces cellular senescence, which potentially causes poor clinical outcomes by inducing growth arrest and the loss of stem cell properties. Thus, the identification of markers for evaluating the status of MSC senescence during long-term culture may enhance the success of MSC-based therapy. This study provides strong evidence that CD146 is a novel and useful marker for predicting senescence in human umbilical cord blood-derived MSCs (hUCB-MSCs), and CD146 can potentially be applied in quality-control assessments of hUCB-MSC-based therapy.&quot;,&quot;publisher&quot;:&quot;Oxford University Press (OUP)&quot;,&quot;issue&quot;:&quot;4&quot;,&quot;volume&quot;:&quot;5&quot;},&quot;isTemporary&quot;:false}],&quot;citationTag&quot;:&quot;MENDELEY_CITATION_v3_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&quot;},{&quot;citationID&quot;:&quot;MENDELEY_CITATION_be8cc659-b49c-4f4e-849e-ed1fa634db80&quot;,&quot;properties&quot;:{&quot;noteIndex&quot;:0},&quot;isEdited&quot;:false,&quot;manualOverride&quot;:{&quot;isManuallyOverridden&quot;:false,&quot;citeprocText&quot;:&quot;(Alt et al., 2012)&quot;,&quot;manualOverrideText&quot;:&quot;&quot;},&quot;citationItems&quot;:[{&quot;id&quot;:&quot;12b9e8cf-4df1-369a-8388-0dcda1309a4c&quot;,&quot;itemData&quot;:{&quot;type&quot;:&quot;article-journal&quot;,&quot;id&quot;:&quot;12b9e8cf-4df1-369a-8388-0dcda1309a4c&quot;,&quot;title&quot;:&quot;Aging alters tissue resident mesenchymal stem cell properties&quot;,&quot;author&quot;:[{&quot;family&quot;:&quot;Alt&quot;,&quot;given&quot;:&quot;Eckhard U.&quot;,&quot;parse-names&quot;:false,&quot;dropping-particle&quot;:&quot;&quot;,&quot;non-dropping-particle&quot;:&quot;&quot;},{&quot;family&quot;:&quot;Senst&quot;,&quot;given&quot;:&quot;Christiane&quot;,&quot;parse-names&quot;:false,&quot;dropping-particle&quot;:&quot;&quot;,&quot;non-dropping-particle&quot;:&quot;&quot;},{&quot;family&quot;:&quot;Murthy&quot;,&quot;given&quot;:&quot;Subramanyam N.&quot;,&quot;parse-names&quot;:false,&quot;dropping-particle&quot;:&quot;&quot;,&quot;non-dropping-particle&quot;:&quot;&quot;},{&quot;family&quot;:&quot;Slakey&quot;,&quot;given&quot;:&quot;Douglas P.&quot;,&quot;parse-names&quot;:false,&quot;dropping-particle&quot;:&quot;&quot;,&quot;non-dropping-particle&quot;:&quot;&quot;},{&quot;family&quot;:&quot;Dupin&quot;,&quot;given&quot;:&quot;Charles L.&quot;,&quot;parse-names&quot;:false,&quot;dropping-particle&quot;:&quot;&quot;,&quot;non-dropping-particle&quot;:&quot;&quot;},{&quot;family&quot;:&quot;Chaffin&quot;,&quot;given&quot;:&quot;Abigail E.&quot;,&quot;parse-names&quot;:false,&quot;dropping-particle&quot;:&quot;&quot;,&quot;non-dropping-particle&quot;:&quot;&quot;},{&quot;family&quot;:&quot;Kadowitz&quot;,&quot;given&quot;:&quot;Philip J.&quot;,&quot;parse-names&quot;:false,&quot;dropping-particle&quot;:&quot;&quot;,&quot;non-dropping-particle&quot;:&quot;&quot;},{&quot;family&quot;:&quot;Izadpanah&quot;,&quot;given&quot;:&quot;Reza&quot;,&quot;parse-names&quot;:false,&quot;dropping-particle&quot;:&quot;&quot;,&quot;non-dropping-particle&quot;:&quot;&quot;}],&quot;container-title&quot;:&quot;Stem Cell Research&quot;,&quot;container-title-short&quot;:&quot;Stem Cell Res.&quot;,&quot;DOI&quot;:&quot;10.1016/j.scr.2011.11.002&quot;,&quot;ISSN&quot;:&quot;18735061&quot;,&quot;PMID&quot;:&quot;22265741&quot;,&quot;issued&quot;:{&quot;date-parts&quot;:[[2012,3]]},&quot;page&quot;:&quot;215-225&quot;,&quot;abstract&quot;:&quot;Tissue resident mesenchymal stem cells (MSCs) are known to participate in tissue regeneration that follows cell turnover, apoptosis, or necrosis. It has been long known that aging impedes an organism's repair/regeneration capabilities. In order to study the age associated changes, the molecular characteristics of adipose tissue derived MSCs (ASCs) from three age groups of healthy volunteers i.e., young, middle aged, and aged were investigated. The number and multilineage differentiation potential of ASCs declined with age. Aging reduces the proliferative capacity along with increases in cellular senescence. A significant increase in quiescence of G2 and S phase was observed in ASCs from aged donors. The expression of genes related to senescence such as CHEK1 and cyclin-dependent kinase inhibitor p16 ink4a was increased with age, however genes of apoptosis were downregulated. Further, an age-dependent abnormality in the expression of DNA break repair genes was observed. Global microRNA analysis revealed an abnormal expression of mir-27b, mir-106a, mir-199a, and let-7. In ubiquitously distributed adipose tissue (and ASCs), aging brings about important alterations, which might be critical for tissue regeneration and homeostasis. Our findings therefore provide a better understanding of the mechanism(s) involved in stem cell aging and regenerative potential, and this in turn may affect tissue repair that declines with aging. © 2011 Elsevier B.V.&quot;,&quot;issue&quot;:&quot;2&quot;,&quot;volume&quot;:&quot;8&quot;},&quot;isTemporary&quot;:false}],&quot;citationTag&quot;:&quot;MENDELEY_CITATION_v3_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&quot;},{&quot;citationID&quot;:&quot;MENDELEY_CITATION_8234b141-908e-453a-ba75-0d447f4295da&quot;,&quot;properties&quot;:{&quot;noteIndex&quot;:0},&quot;isEdited&quot;:false,&quot;manualOverride&quot;:{&quot;isManuallyOverridden&quot;:false,&quot;citeprocText&quot;:&quot;(Choudhery et al., 2014)&quot;,&quot;manualOverrideText&quot;:&quot;&quot;},&quot;citationItems&quot;:[{&quot;id&quot;:&quot;d9f4042b-7b3c-3aab-abaf-7834f353e4e8&quot;,&quot;itemData&quot;:{&quot;type&quot;:&quot;report&quot;,&quot;id&quot;:&quot;d9f4042b-7b3c-3aab-abaf-7834f353e4e8&quot;,&quot;title&quot;:&quot;Donor age negatively impacts adipose tissue-derived mesenchymal stem cell expansion and differentiation&quot;,&quot;author&quot;:[{&quot;family&quot;:&quot;Choudhery&quot;,&quot;given&quot;:&quot;Mahmood S&quot;,&quot;parse-names&quot;:false,&quot;dropping-particle&quot;:&quot;&quot;,&quot;non-dropping-particle&quot;:&quot;&quot;},{&quot;family&quot;:&quot;Badowski&quot;,&quot;given&quot;:&quot;Michael&quot;,&quot;parse-names&quot;:false,&quot;dropping-particle&quot;:&quot;&quot;,&quot;non-dropping-particle&quot;:&quot;&quot;},{&quot;family&quot;:&quot;Muise&quot;,&quot;given&quot;:&quot;Angela&quot;,&quot;parse-names&quot;:false,&quot;dropping-particle&quot;:&quot;&quot;,&quot;non-dropping-particle&quot;:&quot;&quot;},{&quot;family&quot;:&quot;Pierce&quot;,&quot;given&quot;:&quot;John&quot;,&quot;parse-names&quot;:false,&quot;dropping-particle&quot;:&quot;&quot;,&quot;non-dropping-particle&quot;:&quot;&quot;},{&quot;family&quot;:&quot;Harris&quot;,&quot;given&quot;:&quot;David T&quot;,&quot;parse-names&quot;:false,&quot;dropping-particle&quot;:&quot;&quot;,&quot;non-dropping-particle&quot;:&quot;&quot;}],&quot;URL&quot;:&quot;http://www.translational-medicine.com/content/12/1/8&quot;,&quot;issued&quot;:{&quot;date-parts&quot;:[[2014]]},&quot;abstract&quot;:&quot;Background: Human adipose tissue is an ideal autologous source of mesenchymal stem cells (MSCs) for various regenerative medicine and tissue engineering strategies. Aged patients are one of the primary target populations for many promising applications. It has long been known that advanced age is negatively correlated with an organism's reparative and regenerative potential, but little and conflicting information is available about the effects of age on the quality of human adipose tissue derived MSCs (hAT-MSCs). Methods: To study the influence of age, the expansion and in vitro differentiation potential of hAT-MSCs from young (&lt;30 years), adult (35-50 years) and aged (&gt;60 years) individuals were investigated. MSCs were characterized for expression of the genes p16 INK4a and p21 along with measurements of population doublings (PD), superoxide dismutase (SOD) activity, cellular senescence and differentiation potential.&quot;,&quot;container-title-short&quot;:&quot;&quot;},&quot;isTemporary&quot;:false}],&quot;citationTag&quot;:&quot;MENDELEY_CITATION_v3_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&quot;},{&quot;citationID&quot;:&quot;MENDELEY_CITATION_488b187f-d8a5-48b0-b5be-7b38b78469bb&quot;,&quot;properties&quot;:{&quot;noteIndex&quot;:0},&quot;isEdited&quot;:false,&quot;manualOverride&quot;:{&quot;isManuallyOverridden&quot;:false,&quot;citeprocText&quot;:&quot;(S. H. Wu et al., 2022)&quot;,&quot;manualOverrideText&quot;:&quot;&quot;},&quot;citationItems&quot;:[{&quot;id&quot;:&quot;c60704f4-e1cb-3c46-b13d-716d8dfb42e4&quot;,&quot;itemData&quot;:{&quot;type&quot;:&quot;article-journal&quot;,&quot;id&quot;:&quot;c60704f4-e1cb-3c46-b13d-716d8dfb42e4&quot;,&quot;title&quot;:&quot;Comparison of the Infant and Adult Adipose-Derived Mesenchymal Stem Cells in Proliferation, Senescence, Anti-oxidative Ability and Differentiation Potential&quot;,&quot;author&quot;:[{&quot;family&quot;:&quot;Wu&quot;,&quot;given&quot;:&quot;Szu Hsien&quot;,&quot;parse-names&quot;:false,&quot;dropping-particle&quot;:&quot;&quot;,&quot;non-dropping-particle&quot;:&quot;&quot;},{&quot;family&quot;:&quot;Yu&quot;,&quot;given&quot;:&quot;Jin Huei&quot;,&quot;parse-names&quot;:false,&quot;dropping-particle&quot;:&quot;&quot;,&quot;non-dropping-particle&quot;:&quot;&quot;},{&quot;family&quot;:&quot;Liao&quot;,&quot;given&quot;:&quot;Yu Ting&quot;,&quot;parse-names&quot;:false,&quot;dropping-particle&quot;:&quot;&quot;,&quot;non-dropping-particle&quot;:&quot;&quot;},{&quot;family&quot;:&quot;Liu&quot;,&quot;given&quot;:&quot;Kuo Hao&quot;,&quot;parse-names&quot;:false,&quot;dropping-particle&quot;:&quot;&quot;,&quot;non-dropping-particle&quot;:&quot;&quot;},{&quot;family&quot;:&quot;Chiang&quot;,&quot;given&quot;:&quot;En Rung&quot;,&quot;parse-names&quot;:false,&quot;dropping-particle&quot;:&quot;&quot;,&quot;non-dropping-particle&quot;:&quot;&quot;},{&quot;family&quot;:&quot;Chang&quot;,&quot;given&quot;:&quot;Ming Chau&quot;,&quot;parse-names&quot;:false,&quot;dropping-particle&quot;:&quot;&quot;,&quot;non-dropping-particle&quot;:&quot;&quot;},{&quot;family&quot;:&quot;Wang&quot;,&quot;given&quot;:&quot;Jung pan&quot;,&quot;parse-names&quot;:false,&quot;dropping-particle&quot;:&quot;&quot;,&quot;non-dropping-particle&quot;:&quot;&quot;}],&quot;container-title&quot;:&quot;Tissue Engineering and Regenerative Medicine&quot;,&quot;container-title-short&quot;:&quot;Tissue Eng. Regen. Med.&quot;,&quot;DOI&quot;:&quot;10.1007/s13770-022-00431-x&quot;,&quot;ISSN&quot;:&quot;22125469&quot;,&quot;PMID&quot;:&quot;35247199&quot;,&quot;issued&quot;:{&quot;date-parts&quot;:[[2022,6,1]]},&quot;page&quot;:&quot;589-601&quot;,&quot;abstract&quot;:&quot;Background:: Infant adipose-derived mesenchymal stem cells (ADSCs) collected from excised polydactyly fat tissue, which was surgical waste, could be cultured and expanded in vitro in this study. In addition, the collecting process would not cause pain in the host. In this study, the proliferation, reduction of senescence, anti-oxidative ability, and differentiation potential in the infant ADSCs were compared with those in the adult ADSCs harvested from thigh liposuction to determine the availability of infant ADSCs. Methods:: Proliferation was determined by detecting the fold changes in cell numbers and doubling time periods. Senescence was analyzed by investigating the age-related gene expression levels and the replicative stress. The superoxide dismutase (SOD) gene expression, adipogenic, neurogenic, osteogenic, and tenogenic differentiation were compared by RT-qPCR. The chondrogenic differentiation efficiency was also determined using RT-qPCR and immunohistochemical staining. Results:: The proliferation, SOD (SOD1, SOD2 and SOD3) gene expression, the stemness-related gene (c-MYC) and telomerase reverse transcriptase of the infant ADSCs at early passages were enhanced compared with those of the adults'. Cellular senescence related genes, including p16, p21 and p53, and replicative stress were reduced in the infant ADSCs. The adipogenic genes (PPARγ and LPL) and neurogenic genes (MAP2 and NEFH) of the infant ADSC differentiated cells were significantly higher than those of the adults’ while the expression of the osteogenic genes (OCN and RUNX) and tenogenic genes (TNC and COL3A1) of both demonstrated opposite results. The chondrogenic markers (SOX9, COL2 and COL10) were enhanced in the infant ADSC differentiated chondrogenic pellets, and the expression levels of SODs were decreased during the differentiation process. Conclusion:: Cultured infant ADSCs demonstrate less cellular senescence and replicative stress, higher proliferation rates, better antioxidant defense activity, and higher potential of chondrogenic, adipogenic and neurogenic differentiation.&quot;,&quot;publisher&quot;:&quot;Korean Tissue Engineering and Regenerative Medicine Society&quot;,&quot;issue&quot;:&quot;3&quot;,&quot;volume&quot;:&quot;19&quot;},&quot;isTemporary&quot;:false,&quot;suppress-author&quot;:false,&quot;composite&quot;:false,&quot;author-only&quot;:false}],&quot;citationTag&quot;:&quot;MENDELEY_CITATION_v3_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&quot;},{&quot;citationID&quot;:&quot;MENDELEY_CITATION_d5a98c85-1de1-43fb-9347-ddbb88864512&quot;,&quot;properties&quot;:{&quot;noteIndex&quot;:0},&quot;isEdited&quot;:false,&quot;manualOverride&quot;:{&quot;isManuallyOverridden&quot;:false,&quot;citeprocText&quot;:&quot;(Ye et al., 2016)&quot;,&quot;manualOverrideText&quot;:&quot;&quot;},&quot;citationItems&quot;:[{&quot;id&quot;:&quot;dfed87b6-cfc9-3328-8941-d7c9a84a84f2&quot;,&quot;itemData&quot;:{&quot;type&quot;:&quot;article-journal&quot;,&quot;id&quot;:&quot;dfed87b6-cfc9-3328-8941-d7c9a84a84f2&quot;,&quot;title&quot;:&quot;Age-related changes in the regenerative potential of adipose-derived stem cells isolated from the prominent fat pads in human lower eyelids&quot;,&quot;author&quot;:[{&quot;family&quot;:&quot;Ye&quot;,&quot;given&quot;:&quot;Xinhai&quot;,&quot;parse-names&quot;:false,&quot;dropping-particle&quot;:&quot;&quot;,&quot;non-dropping-particle&quot;:&quot;&quot;},{&quot;family&quot;:&quot;Liao&quot;,&quot;given&quot;:&quot;Caihe&quot;,&quot;parse-names&quot;:false,&quot;dropping-particle&quot;:&quot;&quot;,&quot;non-dropping-particle&quot;:&quot;&quot;},{&quot;family&quot;:&quot;Liu&quot;,&quot;given&quot;:&quot;Guangpeng&quot;,&quot;parse-names&quot;:false,&quot;dropping-particle&quot;:&quot;&quot;,&quot;non-dropping-particle&quot;:&quot;&quot;},{&quot;family&quot;:&quot;Xu&quot;,&quot;given&quot;:&quot;Yipin&quot;,&quot;parse-names&quot;:false,&quot;dropping-particle&quot;:&quot;&quot;,&quot;non-dropping-particle&quot;:&quot;&quot;},{&quot;family&quot;:&quot;Tan&quot;,&quot;given&quot;:&quot;Jian&quot;,&quot;parse-names&quot;:false,&quot;dropping-particle&quot;:&quot;&quot;,&quot;non-dropping-particle&quot;:&quot;&quot;},{&quot;family&quot;:&quot;Song&quot;,&quot;given&quot;:&quot;Zhenshun&quot;,&quot;parse-names&quot;:false,&quot;dropping-particle&quot;:&quot;&quot;,&quot;non-dropping-particle&quot;:&quot;&quot;}],&quot;container-title&quot;:&quot;PLoS ONE&quot;,&quot;container-title-short&quot;:&quot;PLoS One&quot;,&quot;DOI&quot;:&quot;10.1371/journal.pone.0166590&quot;,&quot;ISSN&quot;:&quot;19326203&quot;,&quot;PMID&quot;:&quot;27855196&quot;,&quot;issued&quot;:{&quot;date-parts&quot;:[[2016,11,1]]},&quot;abstract&quot;:&quot;The existence of multipotent adipose-derived stem cells isolated from human orbital fat (OF) tissue has shown great therapeutic potential in tissue engineering and regenerative medicine. But the use of stem cells for therapeutic applications is influenced by their proliferative and differentiation potentials, which may be affected by the age of the donor. So far there is little knowledge about the effects of donor age on the biological properties of human orbital adipose-derived stem cells (OASCs). The intraorbital fat protrusion in the lower eyelids occurs as an aging process, and the protruded fat is routinely removed during aesthetic surgeries. Based on the ease of OF harvest and the availability of OASCs, we investigated in this study the relationship between age and the differentiation and proliferation potentials of human OASCs. Human orbital adipose samples were harvested from young (with normal lower eyelid appearance) and old donors (having protruded fat pads in the lower eyelids). The morphological properties of orbital adipocytes were assessed and the fat cell size displayed a decreasing trend with advancing age. OASCs were isolated from the fat samples, expanded in vitro and cultured under appropriate inducive conditions. Compared to the young cells, although no difference was found in the cell yield and phenotype expression, aged OASCs showed fewer progenitor cell numbers, reduced proliferative rates, increased senescent features and decreased differentiation potentials towards adipogenic, osteogenic and chondrogenic lineages. Our data suggested that using autologous OASCs from elderly patients for potential therapeutic purposes might be restricted.&quot;,&quot;publisher&quot;:&quot;Public Library of Science&quot;,&quot;issue&quot;:&quot;11&quot;,&quot;volume&quot;:&quot;11&quot;},&quot;isTemporary&quot;:false,&quot;suppress-author&quot;:false,&quot;composite&quot;:false,&quot;author-only&quot;:false}],&quot;citationTag&quot;:&quot;MENDELEY_CITATION_v3_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&quot;},{&quot;citationID&quot;:&quot;MENDELEY_CITATION_b8a37010-1be4-4c49-a395-820e480c463e&quot;,&quot;properties&quot;:{&quot;noteIndex&quot;:0},&quot;isEdited&quot;:false,&quot;manualOverride&quot;:{&quot;isManuallyOverridden&quot;:false,&quot;citeprocText&quot;:&quot;(Stolzing et al., 2008)&quot;,&quot;manualOverrideText&quot;:&quot;&quot;},&quot;citationItems&quot;:[{&quot;id&quot;:&quot;9c60d382-c271-30b0-b616-8a347d682325&quot;,&quot;itemData&quot;:{&quot;type&quot;:&quot;article-journal&quot;,&quot;id&quot;:&quot;9c60d382-c271-30b0-b616-8a347d682325&quot;,&quot;title&quot;:&quot;Age-related changes in human bone marrow-derived mesenchymal stem cells: Consequences for cell therapies&quot;,&quot;author&quot;:[{&quot;family&quot;:&quot;Stolzing&quot;,&quot;given&quot;:&quot;A.&quot;,&quot;parse-names&quot;:false,&quot;dropping-particle&quot;:&quot;&quot;,&quot;non-dropping-particle&quot;:&quot;&quot;},{&quot;family&quot;:&quot;Jones&quot;,&quot;given&quot;:&quot;E.&quot;,&quot;parse-names&quot;:false,&quot;dropping-particle&quot;:&quot;&quot;,&quot;non-dropping-particle&quot;:&quot;&quot;},{&quot;family&quot;:&quot;McGonagle&quot;,&quot;given&quot;:&quot;D.&quot;,&quot;parse-names&quot;:false,&quot;dropping-particle&quot;:&quot;&quot;,&quot;non-dropping-particle&quot;:&quot;&quot;},{&quot;family&quot;:&quot;Scutt&quot;,&quot;given&quot;:&quot;A.&quot;,&quot;parse-names&quot;:false,&quot;dropping-particle&quot;:&quot;&quot;,&quot;non-dropping-particle&quot;:&quot;&quot;}],&quot;container-title&quot;:&quot;Mechanisms of Ageing and Development&quot;,&quot;container-title-short&quot;:&quot;Mech. Ageing Dev.&quot;,&quot;DOI&quot;:&quot;10.1016/j.mad.2007.12.002&quot;,&quot;ISSN&quot;:&quot;00476374&quot;,&quot;PMID&quot;:&quot;18241911&quot;,&quot;issued&quot;:{&quot;date-parts&quot;:[[2008,3]]},&quot;page&quot;:&quot;163-173&quot;,&quot;abstract&quot;:&quot;Human mesenchymal stem cells (hMSC) represent a promising cell-based therapy for a number of degenerative conditions. Understanding the effect of aging on hMSCs is crucial for autologous therapy development in older subject whom degenerative diseases typically afflict. Previous investigations into the effects of aging on hMSC have proved contradictory due to the relative narrow age ranges of subjects assessed and the exclusive reliance of in vitro assays. This study seeks to address this controversy by using a wider range of donor ages and by measuring indices of cellular aging as well as hMSC numbers ex vivo and proliferation rates. CFU-f analysis and flow cytometry analysis using a CD45low/D7fib+ve/LNGF+ve gating strategy were employed. In addition a variety of markers of cellular aging, oxidative damage and senescence measured. A reduction in CFU-f and CD45low/D7fib+ve/LNGF+ve cell numbers were noted in adulthood relative to childhood. Indices of aging including oxidative damage, ROS levels and p21 and p53 all increased suggesting a loss of MSC fitness with age. These data suggest that hMSC numbers obtained by marrow aspiration decline with age. Furthermore, there is an age-related decline in overall BM MSC \&quot;fitness\&quot; which might lead to problems when using autologous aged MSC for cell-based therapies. © 2007 Elsevier Ireland Ltd. All rights reserved.&quot;,&quot;issue&quot;:&quot;3&quot;,&quot;volume&quot;:&quot;129&quot;},&quot;isTemporary&quot;:false}],&quot;citationTag&quot;:&quot;MENDELEY_CITATION_v3_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&quot;},{&quot;citationID&quot;:&quot;MENDELEY_CITATION_926d25ce-3451-420f-822d-f7f412e9672e&quot;,&quot;properties&quot;:{&quot;noteIndex&quot;:0},&quot;isEdited&quot;:false,&quot;manualOverride&quot;:{&quot;isManuallyOverridden&quot;:false,&quot;citeprocText&quot;:&quot;(Iezzi et al., 2019)&quot;,&quot;manualOverrideText&quot;:&quot;&quot;},&quot;citationItems&quot;:[{&quot;id&quot;:&quot;b0fce73b-7bb9-3979-8aa4-ca7eb0ec115e&quot;,&quot;itemData&quot;:{&quot;type&quot;:&quot;article-journal&quot;,&quot;id&quot;:&quot;b0fce73b-7bb9-3979-8aa4-ca7eb0ec115e&quot;,&quot;title&quot;:&quot;Dental pulp stem cells senescence and regenerative potential relationship&quot;,&quot;author&quot;:[{&quot;family&quot;:&quot;Iezzi&quot;,&quot;given&quot;:&quot;Iolanda&quot;,&quot;parse-names&quot;:false,&quot;dropping-particle&quot;:&quot;&quot;,&quot;non-dropping-particle&quot;:&quot;&quot;},{&quot;family&quot;:&quot;Cerqueni&quot;,&quot;given&quot;:&quot;Giorgia&quot;,&quot;parse-names&quot;:false,&quot;dropping-particle&quot;:&quot;&quot;,&quot;non-dropping-particle&quot;:&quot;&quot;},{&quot;family&quot;:&quot;Licini&quot;,&quot;given&quot;:&quot;Caterina&quot;,&quot;parse-names&quot;:false,&quot;dropping-particle&quot;:&quot;&quot;,&quot;non-dropping-particle&quot;:&quot;&quot;},{&quot;family&quot;:&quot;Lucarini&quot;,&quot;given&quot;:&quot;Guendalina&quot;,&quot;parse-names&quot;:false,&quot;dropping-particle&quot;:&quot;&quot;,&quot;non-dropping-particle&quot;:&quot;&quot;},{&quot;family&quot;:&quot;Mattioli Belmonte&quot;,&quot;given&quot;:&quot;Monica&quot;,&quot;parse-names&quot;:false,&quot;dropping-particle&quot;:&quot;&quot;,&quot;non-dropping-particle&quot;:&quot;&quot;}],&quot;container-title&quot;:&quot;Journal of Cellular Physiology&quot;,&quot;container-title-short&quot;:&quot;J. Cell. Physiol.&quot;,&quot;DOI&quot;:&quot;10.1002/jcp.27472&quot;,&quot;ISSN&quot;:&quot;10974652&quot;,&quot;PMID&quot;:&quot;30362542&quot;,&quot;issued&quot;:{&quot;date-parts&quot;:[[2019,5,1]]},&quot;page&quot;:&quot;7186-7197&quot;,&quot;abstract&quot;:&quot;Uncomplicated treatments for pulpitis and periodontitis continues to be challenging and regenerative approaches could meet this contingency. Dental pulp stem cells (DPSCs) represent a good candidate for oral recovering therapies. Here, we investigated changes in morphology, proliferation, and in vitro differentiation toward mesenchymal and neuronal phenotypes of human DPSCs harvested from differently aged donors. Aging is a physiologic phenomenon occurring with time that hamper body’s capability to maintain homeostasis also affecting the functional reserve. Cytofluorimetric, immunohistochemical, quantitative reverse-transcription polymerase chain reaction (qRT-PCR), and western blot analyses were performed to gain insight for successful regenerative strategies in elderly. We observed a decline in DPSCs proliferation and differentiation potential with age. Interestingly, these cells behaved differently under osteogenic or odontogenic stimuli, showing different age-related mineralization capabilities. Similarly, neurogenic differentiation decreased with age. In conclusion, our observations represent a valid tool for the development of tailored regenerative strategies in an aging society.&quot;,&quot;publisher&quot;:&quot;Wiley-Liss Inc.&quot;,&quot;issue&quot;:&quot;5&quot;,&quot;volume&quot;:&quot;234&quot;},&quot;isTemporary&quot;:false}],&quot;citationTag&quot;:&quot;MENDELEY_CITATION_v3_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&quot;},{&quot;citationID&quot;:&quot;MENDELEY_CITATION_56ecb0b4-95f9-4c27-b2b3-f246f3937331&quot;,&quot;properties&quot;:{&quot;noteIndex&quot;:0},&quot;isEdited&quot;:false,&quot;manualOverride&quot;:{&quot;isManuallyOverridden&quot;:false,&quot;citeprocText&quot;:&quot;(Gruber et al., 2012)&quot;,&quot;manualOverrideText&quot;:&quot;&quot;},&quot;citationItems&quot;:[{&quot;id&quot;:&quot;89582859-732f-3a2d-afe9-82a9b7088838&quot;,&quot;itemData&quot;:{&quot;type&quot;:&quot;article-journal&quot;,&quot;id&quot;:&quot;89582859-732f-3a2d-afe9-82a9b7088838&quot;,&quot;title&quot;:&quot;Human adipose-derived mesenchymal stem cells: Serial passaging, doubling time and cell senescence&quot;,&quot;author&quot;:[{&quot;family&quot;:&quot;Gruber&quot;,&quot;given&quot;:&quot;H. E.&quot;,&quot;parse-names&quot;:false,&quot;dropping-particle&quot;:&quot;&quot;,&quot;non-dropping-particle&quot;:&quot;&quot;},{&quot;family&quot;:&quot;Somayaji&quot;,&quot;given&quot;:&quot;S.&quot;,&quot;parse-names&quot;:false,&quot;dropping-particle&quot;:&quot;&quot;,&quot;non-dropping-particle&quot;:&quot;&quot;},{&quot;family&quot;:&quot;Riley&quot;,&quot;given&quot;:&quot;F.&quot;,&quot;parse-names&quot;:false,&quot;dropping-particle&quot;:&quot;&quot;,&quot;non-dropping-particle&quot;:&quot;&quot;},{&quot;family&quot;:&quot;Hoelscher&quot;,&quot;given&quot;:&quot;G. L.&quot;,&quot;parse-names&quot;:false,&quot;dropping-particle&quot;:&quot;&quot;,&quot;non-dropping-particle&quot;:&quot;&quot;},{&quot;family&quot;:&quot;Norton&quot;,&quot;given&quot;:&quot;H. J.&quot;,&quot;parse-names&quot;:false,&quot;dropping-particle&quot;:&quot;&quot;,&quot;non-dropping-particle&quot;:&quot;&quot;},{&quot;family&quot;:&quot;Ingram&quot;,&quot;given&quot;:&quot;J.&quot;,&quot;parse-names&quot;:false,&quot;dropping-particle&quot;:&quot;&quot;,&quot;non-dropping-particle&quot;:&quot;&quot;},{&quot;family&quot;:&quot;Hanley&quot;,&quot;given&quot;:&quot;E. N.&quot;,&quot;parse-names&quot;:false,&quot;dropping-particle&quot;:&quot;&quot;,&quot;non-dropping-particle&quot;:&quot;&quot;}],&quot;container-title&quot;:&quot;Biotechnic and Histochemistry&quot;,&quot;DOI&quot;:&quot;10.3109/10520295.2011.649785&quot;,&quot;ISSN&quot;:&quot;14737760&quot;,&quot;issued&quot;:{&quot;date-parts&quot;:[[2012]]},&quot;page&quot;:&quot;303-311&quot;,&quot;abstract&quot;:&quot;Adult adipose-derived mesenchymal stem cells (AD-MSC) are very interesting to our research group because they are easy to harvest, they are abundant in humans, and they have potential clinical applications in autologous cell therapy for disc degeneration. We examined these cells through sequential serial passages to assess osteogenic and chondrogenic capabilities, mean doubling time and cell senescence. Osteogenic and chondrogenic potencies were maintained through 13 passages. Mean passage doubling time increased significantly with increasing passage number. When donor age was evaluated, passages 1-4 from older donors had significantly longer doubling times compared to cells from younger donors. Passages 5-11 showed similar findings when analyzed by donor age. The mean percent senescence increased significantly with cell passaging, rising from 0% at passage 1 to 3.4% at passage 13. These novel data suggest that caution should be exercised when using AD-MSC with long passage times. © 2012 The Biological Stain Commission.&quot;,&quot;publisher&quot;:&quot;Informa Healthcare&quot;,&quot;issue&quot;:&quot;4&quot;,&quot;volume&quot;:&quot;87&quot;,&quot;container-title-short&quot;:&quot;&quot;},&quot;isTemporary&quot;:false}],&quot;citationTag&quot;:&quot;MENDELEY_CITATION_v3_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&quot;},{&quot;citationID&quot;:&quot;MENDELEY_CITATION_506329e0-ffcf-4197-a0d4-9fee848f85d4&quot;,&quot;properties&quot;:{&quot;noteIndex&quot;:0},&quot;isEdited&quot;:false,&quot;manualOverride&quot;:{&quot;isManuallyOverridden&quot;:true,&quot;citeprocText&quot;:&quot;(Truong et al., 2019)&quot;,&quot;manualOverrideText&quot;:&quot;(Truong, et al., 2019)&quot;},&quot;citationItems&quot;:[{&quot;id&quot;:&quot;831fa20e-0856-3b5e-953c-646fe920c958&quot;,&quot;itemData&quot;:{&quot;type&quot;:&quot;chapter&quot;,&quot;id&quot;:&quot;831fa20e-0856-3b5e-953c-646fe920c958&quot;,&quot;title&quot;:&quot;Characterization of Senescence of Human Adipose-Derived Stem Cells After Long-Term Expansion&quot;,&quot;author&quot;:[{&quot;family&quot;:&quot;Truong&quot;,&quot;given&quot;:&quot;Nhat Chau&quot;,&quot;parse-names&quot;:false,&quot;dropping-particle&quot;:&quot;&quot;,&quot;non-dropping-particle&quot;:&quot;&quot;},{&quot;family&quot;:&quot;Bui&quot;,&quot;given&quot;:&quot;Khanh Hong Thien&quot;,&quot;parse-names&quot;:false,&quot;dropping-particle&quot;:&quot;&quot;,&quot;non-dropping-particle&quot;:&quot;&quot;},{&quot;family&quot;:&quot;Pham&quot;,&quot;given&quot;:&quot;Phuc&quot;,&quot;parse-names&quot;:false,&quot;dropping-particle&quot;:&quot;&quot;,&quot;non-dropping-particle&quot;:&quot;Van&quot;}],&quot;container-title&quot;:&quot;Advances in Experimental Medicine and Biology&quot;,&quot;container-title-short&quot;:&quot;Adv. Exp. Med. Biol.&quot;,&quot;DOI&quot;:&quot;10.1007/5584_2018_235&quot;,&quot;ISSN&quot;:&quot;22148019&quot;,&quot;PMID&quot;:&quot;30242785&quot;,&quot;issued&quot;:{&quot;date-parts&quot;:[[2019]]},&quot;page&quot;:&quot;109-128&quot;,&quot;abstract&quot;:&quot;Introduction: Since the 1980s, adipose-derived stem cells (ASCs) have become a powerful and potential source for stem cell-based therapy, regenerative medicine, and even drug delivery in cancer treatment. The development of off-the-shelf mesenchymal stem cells (MSCs), including ASCs, has rapidly advanced in recent years with several clinical trials and approved products. In this technology, ASCs should be expanded long term in order to harvest higher cell number. In this study, senescence of ASCs after long-term expansion was evaluated. Methods: Human ASCs (hASCs) were isolated and cultured continuously at a density of 103 cells/cm2 up to passage 15. The cells were assessed for aging via changes in the following: characteristics of MSCs, mitochondrial activity, accumulation of beta-galactosidase, and expression of tumor suppressor genes. Results: The results showed that following in vitro expansion to the 15th passage, ASCs did not show changes in immunophenotype, except for decreased expression of CD105. However, the cells increased in size and in shape and complexity (toward the “fried egg” morphology). They also almost ceased to proliferate in passage 15. Nonetheless, they maintained in vitro differentiation potential toward osteoblasts, chondrocytes, and adipocytes. Expression of tumor suppressor genes p53 and p16 did not significantly change, while p27 was significantly downregulated. Mitochondrial activities also decreased slightly in culture from passage 5 to passage 10 and remained stable to passage 15. ASCs also showed increased accumulation of beta-galactosidase in culture, but it was negligible. Conclusion: In conclusion, hASCs exhibited some particular characteristics of aged stem cells when the number of subculture cells increased. However, up to passage 10, ASCs also retained almost all of the characteristics of MSCs.&quot;,&quot;publisher&quot;:&quot;Springer New York LLC&quot;,&quot;volume&quot;:&quot;1084&quot;},&quot;isTemporary&quot;:false,&quot;suppress-author&quot;:false,&quot;composite&quot;:false,&quot;author-only&quot;:false}],&quot;citationTag&quot;:&quot;MENDELEY_CITATION_v3_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&quot;},{&quot;citationID&quot;:&quot;MENDELEY_CITATION_3aad4bb3-927c-4977-9ee7-ea3e2b28e6fe&quot;,&quot;properties&quot;:{&quot;noteIndex&quot;:0},&quot;isEdited&quot;:false,&quot;manualOverride&quot;:{&quot;isManuallyOverridden&quot;:true,&quot;citeprocText&quot;:&quot;(J. Wang et al., 2025a)&quot;,&quot;manualOverrideText&quot;:&quot;(Wang et al., 2025)a&quot;},&quot;citationItems&quot;:[{&quot;id&quot;:&quot;9e92b64b-61e3-381f-88bc-9450dcdbc774&quot;,&quot;itemData&quot;:{&quot;type&quot;:&quot;article-journal&quot;,&quot;id&quot;:&quot;9e92b64b-61e3-381f-88bc-9450dcdbc774&quot;,&quot;title&quot;:&quot;Retarding human adipose-derived MSCs senescence and promoting tendon repair using cell sheet engineering with a histone methyltransferase inhibitor&quot;,&quot;author&quot;:[{&quot;family&quot;:&quot;Wang&quot;,&quot;given&quot;:&quot;Junjuan&quot;,&quot;parse-names&quot;:false,&quot;dropping-particle&quot;:&quot;&quot;,&quot;non-dropping-particle&quot;:&quot;&quot;},{&quot;family&quot;:&quot;Jian&quot;,&quot;given&quot;:&quot;Ke&quot;,&quot;parse-names&quot;:false,&quot;dropping-particle&quot;:&quot;&quot;,&quot;non-dropping-particle&quot;:&quot;&quot;},{&quot;family&quot;:&quot;Yang&quot;,&quot;given&quot;:&quot;Qing&quot;,&quot;parse-names&quot;:false,&quot;dropping-particle&quot;:&quot;&quot;,&quot;non-dropping-particle&quot;:&quot;&quot;},{&quot;family&quot;:&quot;Gu&quot;,&quot;given&quot;:&quot;Chunyi&quot;,&quot;parse-names&quot;:false,&quot;dropping-particle&quot;:&quot;&quot;,&quot;non-dropping-particle&quot;:&quot;&quot;},{&quot;family&quot;:&quot;Sheng&quot;,&quot;given&quot;:&quot;Jiajun&quot;,&quot;parse-names&quot;:false,&quot;dropping-particle&quot;:&quot;&quot;,&quot;non-dropping-particle&quot;:&quot;&quot;},{&quot;family&quot;:&quot;Zhou&quot;,&quot;given&quot;:&quot;Yan&quot;,&quot;parse-names&quot;:false,&quot;dropping-particle&quot;:&quot;&quot;,&quot;non-dropping-particle&quot;:&quot;&quot;},{&quot;family&quot;:&quot;Yin&quot;,&quot;given&quot;:&quot;Hantian&quot;,&quot;parse-names&quot;:false,&quot;dropping-particle&quot;:&quot;&quot;,&quot;non-dropping-particle&quot;:&quot;&quot;},{&quot;family&quot;:&quot;Zhang&quot;,&quot;given&quot;:&quot;Zhihan&quot;,&quot;parse-names&quot;:false,&quot;dropping-particle&quot;:&quot;&quot;,&quot;non-dropping-particle&quot;:&quot;&quot;},{&quot;family&quot;:&quot;Hua&quot;,&quot;given&quot;:&quot;Kouzhen&quot;,&quot;parse-names&quot;:false,&quot;dropping-particle&quot;:&quot;&quot;,&quot;non-dropping-particle&quot;:&quot;&quot;},{&quot;family&quot;:&quot;Zhang&quot;,&quot;given&quot;:&quot;Can&quot;,&quot;parse-names&quot;:false,&quot;dropping-particle&quot;:&quot;&quot;,&quot;non-dropping-particle&quot;:&quot;&quot;}],&quot;container-title&quot;:&quot;Scientific Reports&quot;,&quot;container-title-short&quot;:&quot;Sci. Rep.&quot;,&quot;DOI&quot;:&quot;10.1038/s41598-025-89234-3&quot;,&quot;ISSN&quot;:&quot;20452322&quot;,&quot;PMID&quot;:&quot;39979391&quot;,&quot;issued&quot;:{&quot;date-parts&quot;:[[2025,12,1]]},&quot;abstract&quot;:&quot;Mesenchymal stem cell (MSC) holds immense potential as candidates for cell therapy in the treatment of tendon injuries due to their remarkable ability for multiple cell differentiation. However, the proliferative and differentiation capacity of MSCs has been limited by cellular senescence during the process of expanding culture. Therefore, in this study, our aim was to maintain the beneficial properties of MSCs. We found that SETD7, a histone methyltransferase, was upregulated during ex vivo expansion of human adipose-derived mesenchymal stem cells (hAD-MSCs). Pharmacological inhibition of SETD7 with PFI-2 in hAD-MSCs cultures delayed their senescence, as evident by the diminished expression of senescent-associated genes and the maintenance of their proliferation and differentiation capacity. Upon transplantation, cell sheets derived from hAD-MSCs expanded with PFI-2 were better able to accelerate tendon repair. Therefore, the present findings reveal that SETD7 is an important target to improve the expansion of hAD-MSCs by delaying senescence, which is importance for the development of efficient stem cell-based therapeutic approaches.&quot;,&quot;publisher&quot;:&quot;Nature Research&quot;,&quot;issue&quot;:&quot;1&quot;,&quot;volume&quot;:&quot;15&quot;},&quot;isTemporary&quot;:false,&quot;suppress-author&quot;:false,&quot;composite&quot;:false,&quot;author-only&quot;:false}],&quot;citationTag&quot;:&quot;MENDELEY_CITATION_v3_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&quot;},{&quot;citationID&quot;:&quot;MENDELEY_CITATION_a7461163-1772-484a-8c1f-680c4f52ac90&quot;,&quot;properties&quot;:{&quot;noteIndex&quot;:0},&quot;isEdited&quot;:false,&quot;manualOverride&quot;:{&quot;isManuallyOverridden&quot;:false,&quot;citeprocText&quot;:&quot;(Bertolo et al., 2016)&quot;,&quot;manualOverrideText&quot;:&quot;&quot;},&quot;citationItems&quot;:[{&quot;id&quot;:&quot;31ebb3dc-aeb5-3813-951f-0692d020580d&quot;,&quot;itemData&quot;:{&quot;type&quot;:&quot;article-journal&quot;,&quot;id&quot;:&quot;31ebb3dc-aeb5-3813-951f-0692d020580d&quot;,&quot;title&quot;:&quot;An in vitro expansion score for tissue-engineering applications with human bone marrow-derived mesenchymal stem cells&quot;,&quot;author&quot;:[{&quot;family&quot;:&quot;Bertolo&quot;,&quot;given&quot;:&quot;Alessandro&quot;,&quot;parse-names&quot;:false,&quot;dropping-particle&quot;:&quot;&quot;,&quot;non-dropping-particle&quot;:&quot;&quot;},{&quot;family&quot;:&quot;Mehr&quot;,&quot;given&quot;:&quot;Marco&quot;,&quot;parse-names&quot;:false,&quot;dropping-particle&quot;:&quot;&quot;,&quot;non-dropping-particle&quot;:&quot;&quot;},{&quot;family&quot;:&quot;Janner-Jametti&quot;,&quot;given&quot;:&quot;Tiziana&quot;,&quot;parse-names&quot;:false,&quot;dropping-particle&quot;:&quot;&quot;,&quot;non-dropping-particle&quot;:&quot;&quot;},{&quot;family&quot;:&quot;Graumann&quot;,&quot;given&quot;:&quot;Ursula&quot;,&quot;parse-names&quot;:false,&quot;dropping-particle&quot;:&quot;&quot;,&quot;non-dropping-particle&quot;:&quot;&quot;},{&quot;family&quot;:&quot;Aebli&quot;,&quot;given&quot;:&quot;Niklaus&quot;,&quot;parse-names&quot;:false,&quot;dropping-particle&quot;:&quot;&quot;,&quot;non-dropping-particle&quot;:&quot;&quot;},{&quot;family&quot;:&quot;Baur&quot;,&quot;given&quot;:&quot;Martin&quot;,&quot;parse-names&quot;:false,&quot;dropping-particle&quot;:&quot;&quot;,&quot;non-dropping-particle&quot;:&quot;&quot;},{&quot;family&quot;:&quot;Ferguson&quot;,&quot;given&quot;:&quot;Stephen J.&quot;,&quot;parse-names&quot;:false,&quot;dropping-particle&quot;:&quot;&quot;,&quot;non-dropping-particle&quot;:&quot;&quot;},{&quot;family&quot;:&quot;Stoyanov&quot;,&quot;given&quot;:&quot;Jivko&quot;,&quot;parse-names&quot;:false,&quot;dropping-particle&quot;:&quot;V.&quot;,&quot;non-dropping-particle&quot;:&quot;&quot;}],&quot;container-title&quot;:&quot;Journal of Tissue Engineering and Regenerative Medicine&quot;,&quot;container-title-short&quot;:&quot;J. Tissue Eng. Regen. Med.&quot;,&quot;DOI&quot;:&quot;10.1002/term.1734&quot;,&quot;ISSN&quot;:&quot;19327005&quot;,&quot;PMID&quot;:&quot;23576360&quot;,&quot;issued&quot;:{&quot;date-parts&quot;:[[2016,2,1]]},&quot;page&quot;:&quot;149-161&quot;,&quot;abstract&quot;:&quot;Human bone marrow-derived mesenchymal stem cells (MSCs) have limited growth potential in vitro and cease to divide due to replicative senescence, which from a tissue-engineering perspective has practical implications, such as defining the correct starting points for differentiation and transplantation. Time spent in culture before the loss of required differentiation potential is different and reflects patient variability, which is a problem for cell expansion. This study aimed to develop a score set which can be used to quantify the senescent state of MSCs and predict whether cells preserve their ability to differentiate to osteogenic, adipogenic and chondrogenic phenotypes, based on colony-forming unit (CFU) assay, population doubling time (PDT), senescence-associated β-galactosidase (SA-β-Gal) activity, cell size, telomere length and gene expression of MSCs cultured in vitro over 11 passages. This set of morphological, physiological and genetic senescence markers was correlated to the ability of MSCs to differentiate. Differentiation efficiency was assessed by marker genes and protein expression. CFUs decreased with increasing passage number, whereas SA-β-Gal activity and PDT increased; however, the correlation with MSCs' differentiation potential was sometimes unexpected. The expression of genes related to senescence was higher in late-passage cells than in early-passage cells. Early-passage cells underwent efficient osteogenic differentiation, with mid-passage cells performing best in chondrogenic differentiation. Late-passage cells preserve only adipogenic differentiation potential. Based on this marker set, we propose a senescence score in which combined markers give a reliable quality control of MSCs, not depending only on mechanistic passage number.&quot;,&quot;publisher&quot;:&quot;John Wiley and Sons Ltd&quot;,&quot;issue&quot;:&quot;2&quot;,&quot;volume&quot;:&quot;10&quot;},&quot;isTemporary&quot;:false}],&quot;citationTag&quot;:&quot;MENDELEY_CITATION_v3_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&quot;},{&quot;citationID&quot;:&quot;MENDELEY_CITATION_cad06dda-3fa1-4b5f-9c90-87fa9c0dce41&quot;,&quot;properties&quot;:{&quot;noteIndex&quot;:0},&quot;isEdited&quot;:false,&quot;manualOverride&quot;:{&quot;isManuallyOverridden&quot;:false,&quot;citeprocText&quot;:&quot;(Wenjing et al., 2024a)&quot;,&quot;manualOverrideText&quot;:&quot;&quot;},&quot;citationItems&quot;:[{&quot;id&quot;:&quot;42cda071-b00c-3b4b-bbd2-78bf1c36bd55&quot;,&quot;itemData&quot;:{&quot;type&quot;:&quot;article-journal&quot;,&quot;id&quot;:&quot;42cda071-b00c-3b4b-bbd2-78bf1c36bd55&quot;,&quot;title&quot;:&quot;Effects of long-term subculture on biological characteristics of bone marrow mesenchymal stem cells&quot;,&quot;author&quot;:[{&quot;family&quot;:&quot;Wenjing&quot;,&quot;given&quot;:&quot;Zhao&quot;,&quot;parse-names&quot;:false,&quot;dropping-particle&quot;:&quot;&quot;,&quot;non-dropping-particle&quot;:&quot;&quot;},{&quot;family&quot;:&quot;Baikun&quot;,&quot;given&quot;:&quot;Liu&quot;,&quot;parse-names&quot;:false,&quot;dropping-particle&quot;:&quot;&quot;,&quot;non-dropping-particle&quot;:&quot;&quot;},{&quot;family&quot;:&quot;Qiulian&quot;,&quot;given&quot;:&quot;Li&quot;,&quot;parse-names&quot;:false,&quot;dropping-particle&quot;:&quot;&quot;,&quot;non-dropping-particle&quot;:&quot;&quot;},{&quot;family&quot;:&quot;Xi&quot;,&quot;given&quot;:&quot;Chen&quot;,&quot;parse-names&quot;:false,&quot;dropping-particle&quot;:&quot;&quot;,&quot;non-dropping-particle&quot;:&quot;&quot;}],&quot;container-title&quot;:&quot;Chinese Journal of Tissue Engineering Research&quot;,&quot;DOI&quot;:&quot;10.12307/2024.702&quot;,&quot;ISSN&quot;:&quot;20954344&quot;,&quot;issued&quot;:{&quot;date-parts&quot;:[[2024,11,8]]},&quot;page&quot;:&quot;4926-4930&quot;,&quot;abstract&quot;:&quot;BACKGROUND: There is still controversy whether human bone marrow mesenchymal stem cells can maintain their biological characteristics, energy metabolism patterns, and multidirectional differentiation potential after long-term expression in vitro. Further comprehensive and systematic research is needed. OBJECTIVE: To evaluate the effects of long-term expansion in vitro on the biological characteristics of mesenchymal stem cells. METHODS: Human bone marrow mesenchymal stem cells cultured to passage 5, 10, and 15 in vitro. MTT assay was used to detect cell proliferation ability. Flow cytometry was used to detect cell cycle. The multi-differentiation potential of mesenchymal stem cells was detected by inducing to adipogenic, osteogenic and chondrogenic differentiation. Cell migration and invasion abilities were detected by scratch test and Transwell assay. The mitochondrial oxidative phosphorylation and glycolysis function were analyzed using energy metabolism analyzer. The cell senescence was detected by senescence-associated β-galactosidase staining. The expression levels of p21, p16, and p53 proteins were detected by western blot assay. RESULTS AND CONCLUSION: Bone marrow mesenchymal stem cells at passages 5, 10, and 15 grew adherently; the volume of passage 15 mesenchymal stem cells increased and its proliferation ability decreased; the percentage of S-phase cells decreased (P &lt; 0.05). With the increase of culture passages, the migration and invasion abilities decreased gradually (P &lt; 0.05). There was no significant difference in the differentiation potential, demonstrated by adipogenic, osteogenic and chondrogenesis induction. The ability of oxidative phosphorylation of mitochondria and glycolysis decreased gradually (P &lt; 0.05). The number of senescence-associated β-galactosidase-positive cells increased with the increase of passages (P &lt; 0.05), and the expression of senescence protein p21, p16, and p53 increased gradually (P &lt; 0.05). The results indicated that the biological characterization of mesenchymal stem cells changed after long-term in vitro expansion. Mesenchymal stem cells cultured over 10 passages may have a reduced activity due to increasing senescence. Therefore, bone marrow mesenchymal stem cells cultured less than 10 passages are suitable for clinical research/therapy.&quot;,&quot;publisher&quot;:&quot;Publishing House of Chinese Journal of Tissue Engineering Research&quot;,&quot;issue&quot;:&quot;31&quot;,&quot;volume&quot;:&quot;28&quot;,&quot;container-title-short&quot;:&quot;&quot;},&quot;isTemporary&quot;:false}],&quot;citationTag&quot;:&quot;MENDELEY_CITATION_v3_eyJjaXRhdGlvbklEIjoiTUVOREVMRVlfQ0lUQVRJT05fY2FkMDZkZGEtM2ZhMS00YjVmLTljOTAtODdmYTljMGRjZTQx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quot;},{&quot;citationID&quot;:&quot;MENDELEY_CITATION_c39f4875-2feb-498b-8f84-3706250bcb53&quot;,&quot;properties&quot;:{&quot;noteIndex&quot;:0},&quot;isEdited&quot;:false,&quot;manualOverride&quot;:{&quot;isManuallyOverridden&quot;:false,&quot;citeprocText&quot;:&quot;(Govarthanan et al., 2025)&quot;,&quot;manualOverrideText&quot;:&quot;&quot;},&quot;citationItems&quot;:[{&quot;id&quot;:&quot;f41c3154-1b97-3ce6-bbc3-d5a9d8f01a0b&quot;,&quot;itemData&quot;:{&quot;type&quot;:&quot;article-journal&quot;,&quot;id&quot;:&quot;f41c3154-1b97-3ce6-bbc3-d5a9d8f01a0b&quot;,&quot;title&quot;:&quot;Inhibition of GSK-3β Restores Differentiation Potential of Late-Passage Mesenchymal Stem Cells&quot;,&quot;author&quot;:[{&quot;family&quot;:&quot;Govarthanan&quot;,&quot;given&quot;:&quot;Kavitha&quot;,&quot;parse-names&quot;:false,&quot;dropping-particle&quot;:&quot;&quot;,&quot;non-dropping-particle&quot;:&quot;&quot;},{&quot;family&quot;:&quot;Meenakshi Sundaram&quot;,&quot;given&quot;:&quot;Raja Sundari&quot;,&quot;parse-names&quot;:false,&quot;dropping-particle&quot;:&quot;&quot;,&quot;non-dropping-particle&quot;:&quot;&quot;},{&quot;family&quot;:&quot;Richard&quot;,&quot;given&quot;:&quot;Arthi Sunil&quot;,&quot;parse-names&quot;:false,&quot;dropping-particle&quot;:&quot;&quot;,&quot;non-dropping-particle&quot;:&quot;&quot;},{&quot;family&quot;:&quot;Chabathula&quot;,&quot;given&quot;:&quot;Siva Chander&quot;,&quot;parse-names&quot;:false,&quot;dropping-particle&quot;:&quot;&quot;,&quot;non-dropping-particle&quot;:&quot;&quot;},{&quot;family&quot;:&quot;Rupert&quot;,&quot;given&quot;:&quot;Secunda&quot;,&quot;parse-names&quot;:false,&quot;dropping-particle&quot;:&quot;&quot;,&quot;non-dropping-particle&quot;:&quot;&quot;},{&quot;family&quot;:&quot;Sathyanesan&quot;,&quot;given&quot;:&quot;Jeswanth&quot;,&quot;parse-names&quot;:false,&quot;dropping-particle&quot;:&quot;&quot;,&quot;non-dropping-particle&quot;:&quot;&quot;},{&quot;family&quot;:&quot;Verma&quot;,&quot;given&quot;:&quot;Rama Shanker&quot;,&quot;parse-names&quot;:false,&quot;dropping-particle&quot;:&quot;&quot;,&quot;non-dropping-particle&quot;:&quot;&quot;},{&quot;family&quot;:&quot;Jeyaraman&quot;,&quot;given&quot;:&quot;Naveen&quot;,&quot;parse-names&quot;:false,&quot;dropping-particle&quot;:&quot;&quot;,&quot;non-dropping-particle&quot;:&quot;&quot;},{&quot;family&quot;:&quot;Jeyaraman&quot;,&quot;given&quot;:&quot;Madhan&quot;,&quot;parse-names&quot;:false,&quot;dropping-particle&quot;:&quot;&quot;,&quot;non-dropping-particle&quot;:&quot;&quot;},{&quot;family&quot;:&quot;Rajendran&quot;,&quot;given&quot;:&quot;Ramya Lakshmi&quot;,&quot;parse-names&quot;:false,&quot;dropping-particle&quot;:&quot;&quot;,&quot;non-dropping-particle&quot;:&quot;&quot;},{&quot;family&quot;:&quot;Gangadaran&quot;,&quot;given&quot;:&quot;Prakash&quot;,&quot;parse-names&quot;:false,&quot;dropping-particle&quot;:&quot;&quot;,&quot;non-dropping-particle&quot;:&quot;&quot;},{&quot;family&quot;:&quot;Ahn&quot;,&quot;given&quot;:&quot;Byeong Cheol&quot;,&quot;parse-names&quot;:false,&quot;dropping-particle&quot;:&quot;&quot;,&quot;non-dropping-particle&quot;:&quot;&quot;}],&quot;container-title&quot;:&quot;Pharmaceuticals&quot;,&quot;DOI&quot;:&quot;10.3390/ph18040483&quot;,&quot;ISSN&quot;:&quot;14248247&quot;,&quot;issued&quot;:{&quot;date-parts&quot;:[[2025,4,1]]},&quot;abstract&quot;:&quot;Background/Objectives: Mesenchymal stem cells (MSCs) are regarded as a promising cell type with significant therapeutic benefits owing to their ease of isolation, maintenance, and characterisation. However, repeated passages during cultural maintenance frequently result in cellular senescence, limiting their utility in regenerative medicine. Methods: We investigated the differentiation capability between early- (P3) and late-passage MSCs (&gt;P15) and tested the potential of Wnt agonist 99021 to reverse MSCs using standard cell culture protocols that define minimal criteria for MSCs, primarily tri-lineage differentiation assays, biochemical staining gene expression analysis, and senescence assays. Results: We initially noticed distinct signs of morphological aging between early- (P3) and late-passage MSCs (&gt;P15) and further examined the differentiation capability between early- (P3) and late-passage MSCs (&gt;P15). We found a diminished differentiation potential in late-passage MSCs. Our senescence assay also revealed &gt;P15 cells were able to absorb the senescence dye, indicating that &gt;P15 MSCs underwent senescence. We further demonstrated that CHIR 99021 reversed the differentiation inhibitory potential-mediated impasse of late-passage MSCs by employing tri-lineage specific differentiation assays, biochemical labelling, and gene expression analysis. Senescence assays after CHIR 99021 treatment also revealed no senescence dye uptake at all. Conclusions: Our findings demonstrated that CHIR 99021 Wnt agonist maybe aids in the reversal of MSC aging-related differentiation inhibition glitches and offers a proven demonstrated protocol for rejuvenating late-passage MSCs. Thus, CHIR99021 treatment inherently reverts the tri-lineage potency in late-passage MSCs, and this method could be further employed to ensure a plentiful MSC source for clinical purposes.&quot;,&quot;publisher&quot;:&quot;Multidisciplinary Digital Publishing Institute (MDPI)&quot;,&quot;issue&quot;:&quot;4&quot;,&quot;volume&quot;:&quot;18&quot;,&quot;container-title-short&quot;:&quot;&quot;},&quot;isTemporary&quot;:false}],&quot;citationTag&quot;:&quot;MENDELEY_CITATION_v3_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&quot;},{&quot;citationID&quot;:&quot;MENDELEY_CITATION_65d3226c-67d2-4be4-817b-3fc67d0ed4e9&quot;,&quot;properties&quot;:{&quot;noteIndex&quot;:0},&quot;isEdited&quot;:false,&quot;manualOverride&quot;:{&quot;isManuallyOverridden&quot;:false,&quot;citeprocText&quot;:&quot;(Chen et al., 2024)&quot;,&quot;manualOverrideText&quot;:&quot;&quot;},&quot;citationItems&quot;:[{&quot;id&quot;:&quot;022d14ca-b725-3ed4-b7f0-dc108a27d8ad&quot;,&quot;itemData&quot;:{&quot;type&quot;:&quot;article-journal&quot;,&quot;id&quot;:&quot;022d14ca-b725-3ed4-b7f0-dc108a27d8ad&quot;,&quot;title&quot;:&quot;Platelet-derived exosomes alleviate tendon stem/progenitor cell senescence and ferroptosis by regulating AMPK/Nrf2/GPX4 signaling and improve tendon-bone junction regeneration in rats&quot;,&quot;author&quot;:[{&quot;family&quot;:&quot;Chen&quot;,&quot;given&quot;:&quot;Deheng&quot;,&quot;parse-names&quot;:false,&quot;dropping-particle&quot;:&quot;&quot;,&quot;non-dropping-particle&quot;:&quot;&quot;},{&quot;family&quot;:&quot;Tang&quot;,&quot;given&quot;:&quot;Qian&quot;,&quot;parse-names&quot;:false,&quot;dropping-particle&quot;:&quot;&quot;,&quot;non-dropping-particle&quot;:&quot;&quot;},{&quot;family&quot;:&quot;Song&quot;,&quot;given&quot;:&quot;Wei&quot;,&quot;parse-names&quot;:false,&quot;dropping-particle&quot;:&quot;&quot;,&quot;non-dropping-particle&quot;:&quot;&quot;},{&quot;family&quot;:&quot;He&quot;,&quot;given&quot;:&quot;Yaohua&quot;,&quot;parse-names&quot;:false,&quot;dropping-particle&quot;:&quot;&quot;,&quot;non-dropping-particle&quot;:&quot;&quot;}],&quot;container-title&quot;:&quot;Journal of Orthopaedic Surgery and Research&quot;,&quot;container-title-short&quot;:&quot;J. Orthop. Surg. Res.&quot;,&quot;DOI&quot;:&quot;10.1186/s13018-024-04869-8&quot;,&quot;ISSN&quot;:&quot;1749799X&quot;,&quot;PMID&quot;:&quot;38943181&quot;,&quot;issued&quot;:{&quot;date-parts&quot;:[[2024,12,1]]},&quot;abstract&quot;:&quot;Background: Tendon stem/progenitor cell (TSPC) senescence contributes to tendon degeneration and impaired tendon repair, resulting in age-related tendon disorders. Ferroptosis, a unique iron-dependent form of programmed cell death, might participate in the process of senescence. However, whether ferroptosis plays a role in TSPC senescence and tendon regeneration remains unclear. Recent studies reported that Platelet-derived exosomes (PL-Exos) might provide significant advantages in musculoskeletal regeneration and inflammation regulation. The effects and mechanism of PL-Exos on TSPC senescence and tendon regeneration are worthy of further study. Methods: Herein, we examined the role of ferroptosis in the pathogenesis of TSPC senescence. PL-Exos were isolated and determined by TEM, particle size analysis, western blot and mass spectrometry identification. We investigated the function and underlying mechanisms of PL-Exos in TSPC senescence and ferroptosis via western blot, real-time quantitative polymerase chain reaction, and immunofluorescence analysis in vitro. Tendon regeneration was evaluated by HE staining, Safranin-O staining, and biomechanical tests in a rotator cuff tear model in rats. Results: We discovered that ferroptosis was involved in senescent TSPCs. Furthermore, PL-Exos mitigated the aging phenotypes and ferroptosis of TSPCs induced by t-BHP and preserved their proliferation and tenogenic capacity. The in vivo animal results indicated that PL-Exos improved tendon-bone healing properties and mechanical strength. Mechanistically, PL-Exos activated AMPK phosphorylation and the downstream nuclear factor erythroid 2-related factor 2 (Nrf2)/glutathione peroxidase 4 (GPX4) signaling pathway, leading to the suppression of lipid peroxidation. AMPK inhibition or GPX4 inhibition blocked the protective effect of PL-Exos against t-BHP-induced ferroptosis and senescence. Conclusion: In conclusion, ferroptosis might play a crucial role in TSPC aging. AMPK/Nrf2/GPX4 activation by PL-Exos was found to inhibit ferroptosis, consequently leading to the suppression of senescence in TSPCs. Our results provided new theoretical evidence for the potential application of PL-Exos to restrain tendon degeneration and promote tendon regeneration.&quot;,&quot;publisher&quot;:&quot;BioMed Central Ltd&quot;,&quot;issue&quot;:&quot;1&quot;,&quot;volume&quot;:&quot;19&quot;},&quot;isTemporary&quot;:false}],&quot;citationTag&quot;:&quot;MENDELEY_CITATION_v3_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quot;},{&quot;citationID&quot;:&quot;MENDELEY_CITATION_393a797c-acd3-4557-bf2c-81da70453a54&quot;,&quot;properties&quot;:{&quot;noteIndex&quot;:0},&quot;isEdited&quot;:false,&quot;manualOverride&quot;:{&quot;isManuallyOverridden&quot;:false,&quot;citeprocText&quot;:&quot;(Wenjing et al., 2024a)&quot;,&quot;manualOverrideText&quot;:&quot;&quot;},&quot;citationItems&quot;:[{&quot;id&quot;:&quot;42cda071-b00c-3b4b-bbd2-78bf1c36bd55&quot;,&quot;itemData&quot;:{&quot;type&quot;:&quot;article-journal&quot;,&quot;id&quot;:&quot;42cda071-b00c-3b4b-bbd2-78bf1c36bd55&quot;,&quot;title&quot;:&quot;Effects of long-term subculture on biological characteristics of bone marrow mesenchymal stem cells&quot;,&quot;author&quot;:[{&quot;family&quot;:&quot;Wenjing&quot;,&quot;given&quot;:&quot;Zhao&quot;,&quot;parse-names&quot;:false,&quot;dropping-particle&quot;:&quot;&quot;,&quot;non-dropping-particle&quot;:&quot;&quot;},{&quot;family&quot;:&quot;Baikun&quot;,&quot;given&quot;:&quot;Liu&quot;,&quot;parse-names&quot;:false,&quot;dropping-particle&quot;:&quot;&quot;,&quot;non-dropping-particle&quot;:&quot;&quot;},{&quot;family&quot;:&quot;Qiulian&quot;,&quot;given&quot;:&quot;Li&quot;,&quot;parse-names&quot;:false,&quot;dropping-particle&quot;:&quot;&quot;,&quot;non-dropping-particle&quot;:&quot;&quot;},{&quot;family&quot;:&quot;Xi&quot;,&quot;given&quot;:&quot;Chen&quot;,&quot;parse-names&quot;:false,&quot;dropping-particle&quot;:&quot;&quot;,&quot;non-dropping-particle&quot;:&quot;&quot;}],&quot;container-title&quot;:&quot;Chinese Journal of Tissue Engineering Research&quot;,&quot;DOI&quot;:&quot;10.12307/2024.702&quot;,&quot;ISSN&quot;:&quot;20954344&quot;,&quot;issued&quot;:{&quot;date-parts&quot;:[[2024,11,8]]},&quot;page&quot;:&quot;4926-4930&quot;,&quot;abstract&quot;:&quot;BACKGROUND: There is still controversy whether human bone marrow mesenchymal stem cells can maintain their biological characteristics, energy metabolism patterns, and multidirectional differentiation potential after long-term expression in vitro. Further comprehensive and systematic research is needed. OBJECTIVE: To evaluate the effects of long-term expansion in vitro on the biological characteristics of mesenchymal stem cells. METHODS: Human bone marrow mesenchymal stem cells cultured to passage 5, 10, and 15 in vitro. MTT assay was used to detect cell proliferation ability. Flow cytometry was used to detect cell cycle. The multi-differentiation potential of mesenchymal stem cells was detected by inducing to adipogenic, osteogenic and chondrogenic differentiation. Cell migration and invasion abilities were detected by scratch test and Transwell assay. The mitochondrial oxidative phosphorylation and glycolysis function were analyzed using energy metabolism analyzer. The cell senescence was detected by senescence-associated β-galactosidase staining. The expression levels of p21, p16, and p53 proteins were detected by western blot assay. RESULTS AND CONCLUSION: Bone marrow mesenchymal stem cells at passages 5, 10, and 15 grew adherently; the volume of passage 15 mesenchymal stem cells increased and its proliferation ability decreased; the percentage of S-phase cells decreased (P &lt; 0.05). With the increase of culture passages, the migration and invasion abilities decreased gradually (P &lt; 0.05). There was no significant difference in the differentiation potential, demonstrated by adipogenic, osteogenic and chondrogenesis induction. The ability of oxidative phosphorylation of mitochondria and glycolysis decreased gradually (P &lt; 0.05). The number of senescence-associated β-galactosidase-positive cells increased with the increase of passages (P &lt; 0.05), and the expression of senescence protein p21, p16, and p53 increased gradually (P &lt; 0.05). The results indicated that the biological characterization of mesenchymal stem cells changed after long-term in vitro expansion. Mesenchymal stem cells cultured over 10 passages may have a reduced activity due to increasing senescence. Therefore, bone marrow mesenchymal stem cells cultured less than 10 passages are suitable for clinical research/therapy.&quot;,&quot;publisher&quot;:&quot;Publishing House of Chinese Journal of Tissue Engineering Research&quot;,&quot;issue&quot;:&quot;31&quot;,&quot;volume&quot;:&quot;28&quot;,&quot;container-title-short&quot;:&quot;&quot;},&quot;isTemporary&quot;:false}],&quot;citationTag&quot;:&quot;MENDELEY_CITATION_v3_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&quot;},{&quot;citationID&quot;:&quot;MENDELEY_CITATION_d508033f-05ee-4e1a-9345-6370fe12a9f6&quot;,&quot;properties&quot;:{&quot;noteIndex&quot;:0},&quot;isEdited&quot;:false,&quot;manualOverride&quot;:{&quot;isManuallyOverridden&quot;:false,&quot;citeprocText&quot;:&quot;(Yang et al., 2021)&quot;,&quot;manualOverrideText&quot;:&quot;&quot;},&quot;citationItems&quot;:[{&quot;id&quot;:&quot;7de7e333-6333-3412-ae5e-bfca4c606e3e&quot;,&quot;itemData&quot;:{&quot;type&quot;:&quot;article-journal&quot;,&quot;id&quot;:&quot;7de7e333-6333-3412-ae5e-bfca4c606e3e&quot;,&quot;title&quot;:&quot;Vitamin C alleviates the senescence of periodontal ligament stem cells through inhibition of Notch3 during long-term culture&quot;,&quot;author&quot;:[{&quot;family&quot;:&quot;Yang&quot;,&quot;given&quot;:&quot;Yan&quot;,&quot;parse-names&quot;:false,&quot;dropping-particle&quot;:&quot;&quot;,&quot;non-dropping-particle&quot;:&quot;&quot;},{&quot;family&quot;:&quot;Wang&quot;,&quot;given&quot;:&quot;Tao&quot;,&quot;parse-names&quot;:false,&quot;dropping-particle&quot;:&quot;&quot;,&quot;non-dropping-particle&quot;:&quot;&quot;},{&quot;family&quot;:&quot;Zhang&quot;,&quot;given&quot;:&quot;Sicheng&quot;,&quot;parse-names&quot;:false,&quot;dropping-particle&quot;:&quot;&quot;,&quot;non-dropping-particle&quot;:&quot;&quot;},{&quot;family&quot;:&quot;Jia&quot;,&quot;given&quot;:&quot;Sixun&quot;,&quot;parse-names&quot;:false,&quot;dropping-particle&quot;:&quot;&quot;,&quot;non-dropping-particle&quot;:&quot;&quot;},{&quot;family&quot;:&quot;Chen&quot;,&quot;given&quot;:&quot;Hong&quot;,&quot;parse-names&quot;:false,&quot;dropping-particle&quot;:&quot;&quot;,&quot;non-dropping-particle&quot;:&quot;&quot;},{&quot;family&quot;:&quot;Duan&quot;,&quot;given&quot;:&quot;Yufeng&quot;,&quot;parse-names&quot;:false,&quot;dropping-particle&quot;:&quot;&quot;,&quot;non-dropping-particle&quot;:&quot;&quot;},{&quot;family&quot;:&quot;Wang&quot;,&quot;given&quot;:&quot;Shikai&quot;,&quot;parse-names&quot;:false,&quot;dropping-particle&quot;:&quot;&quot;,&quot;non-dropping-particle&quot;:&quot;&quot;},{&quot;family&quot;:&quot;Chen&quot;,&quot;given&quot;:&quot;Guoqing&quot;,&quot;parse-names&quot;:false,&quot;dropping-particle&quot;:&quot;&quot;,&quot;non-dropping-particle&quot;:&quot;&quot;},{&quot;family&quot;:&quot;Tian&quot;,&quot;given&quot;:&quot;Weidong&quot;,&quot;parse-names&quot;:false,&quot;dropping-particle&quot;:&quot;&quot;,&quot;non-dropping-particle&quot;:&quot;&quot;}],&quot;container-title&quot;:&quot;Journal of Cellular Physiology&quot;,&quot;container-title-short&quot;:&quot;J. Cell. Physiol.&quot;,&quot;DOI&quot;:&quot;10.1002/jcp.29930&quot;,&quot;ISSN&quot;:&quot;10974652&quot;,&quot;PMID&quot;:&quot;32662081&quot;,&quot;issued&quot;:{&quot;date-parts&quot;:[[2021,2,1]]},&quot;page&quot;:&quot;1237-1251&quot;,&quot;abstract&quot;:&quot;Periodontal ligament stem cells (PDLSCs), as potential “seed cells” for periodontal tissue repair and regeneration, require to be expanded in vitro for a large scale. Senescence of PDLSCs occurred during long-term culture may compromise the therapeutic effects of PDLSCs. Medium supplements may be useful in antisenescence. However, the effects and mechanisms of vitamin C (Vc) treatment on PDLSCs during long-term culture are still unclear. In this study, we identified that Vc-treated PDLSCs cells maintained a slender morphology, higher growth rate and migration capacity, stemness, and osteogenic differentiation capability during a long-term culture. Moreover, we also identified that Notch3 was significantly upregulated during the cell senescence, and Vc treatment alleviated the senescence of PDLSCs through inhibition of Notch3 during long-term culture. In summary, Vc treatment suppressed PDLSCs senescence by reducing the expression of Notch3 and might be a simple and useful strategy to inhibit cellular senescence during the cell long-term culture.&quot;,&quot;publisher&quot;:&quot;Wiley-Liss Inc.&quot;,&quot;issue&quot;:&quot;2&quot;,&quot;volume&quot;:&quot;236&quot;},&quot;isTemporary&quot;:false,&quot;suppress-author&quot;:false,&quot;composite&quot;:false,&quot;author-only&quot;:false}],&quot;citationTag&quot;:&quot;MENDELEY_CITATION_v3_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&quot;},{&quot;citationID&quot;:&quot;MENDELEY_CITATION_50d0310c-d83e-43ee-9faa-7d2b8c5e1f1c&quot;,&quot;properties&quot;:{&quot;noteIndex&quot;:0},&quot;isEdited&quot;:false,&quot;manualOverride&quot;:{&quot;isManuallyOverridden&quot;:false,&quot;citeprocText&quot;:&quot;(Huang et al., 2023)&quot;,&quot;manualOverrideText&quot;:&quot;&quot;},&quot;citationItems&quot;:[{&quot;id&quot;:&quot;b5336b42-423c-3944-8128-36f7cd0c14e6&quot;,&quot;itemData&quot;:{&quot;type&quot;:&quot;article-journal&quot;,&quot;id&quot;:&quot;b5336b42-423c-3944-8128-36f7cd0c14e6&quot;,&quot;title&quot;:&quot;TRAF3IP2 drives mesenchymal stem cell senescence via regulation of NAMPT-mediated NAD biosynthesis&quot;,&quot;author&quot;:[{&quot;family&quot;:&quot;Huang&quot;,&quot;given&quot;:&quot;Xiaoran&quot;,&quot;parse-names&quot;:false,&quot;dropping-particle&quot;:&quot;&quot;,&quot;non-dropping-particle&quot;:&quot;&quot;},{&quot;family&quot;:&quot;Liu&quot;,&quot;given&quot;:&quot;Baojuan&quot;,&quot;parse-names&quot;:false,&quot;dropping-particle&quot;:&quot;&quot;,&quot;non-dropping-particle&quot;:&quot;&quot;},{&quot;family&quot;:&quot;Liang&quot;,&quot;given&quot;:&quot;Yaowen&quot;,&quot;parse-names&quot;:false,&quot;dropping-particle&quot;:&quot;&quot;,&quot;non-dropping-particle&quot;:&quot;&quot;},{&quot;family&quot;:&quot;Mai&quot;,&quot;given&quot;:&quot;Cong&quot;,&quot;parse-names&quot;:false,&quot;dropping-particle&quot;:&quot;&quot;,&quot;non-dropping-particle&quot;:&quot;&quot;},{&quot;family&quot;:&quot;Shen&quot;,&quot;given&quot;:&quot;Ying&quot;,&quot;parse-names&quot;:false,&quot;dropping-particle&quot;:&quot;&quot;,&quot;non-dropping-particle&quot;:&quot;&quot;},{&quot;family&quot;:&quot;Huang&quot;,&quot;given&quot;:&quot;Xinran&quot;,&quot;parse-names&quot;:false,&quot;dropping-particle&quot;:&quot;&quot;,&quot;non-dropping-particle&quot;:&quot;&quot;},{&quot;family&quot;:&quot;Chen&quot;,&quot;given&quot;:&quot;Jiaqi&quot;,&quot;parse-names&quot;:false,&quot;dropping-particle&quot;:&quot;&quot;,&quot;non-dropping-particle&quot;:&quot;&quot;},{&quot;family&quot;:&quot;Liang&quot;,&quot;given&quot;:&quot;Xiaoting&quot;,&quot;parse-names&quot;:false,&quot;dropping-particle&quot;:&quot;&quot;,&quot;non-dropping-particle&quot;:&quot;&quot;},{&quot;family&quot;:&quot;Hu&quot;,&quot;given&quot;:&quot;Bei&quot;,&quot;parse-names&quot;:false,&quot;dropping-particle&quot;:&quot;&quot;,&quot;non-dropping-particle&quot;:&quot;&quot;},{&quot;family&quot;:&quot;Li&quot;,&quot;given&quot;:&quot;Weifeng&quot;,&quot;parse-names&quot;:false,&quot;dropping-particle&quot;:&quot;&quot;,&quot;non-dropping-particle&quot;:&quot;&quot;},{&quot;family&quot;:&quot;Li&quot;,&quot;given&quot;:&quot;Xin&quot;,&quot;parse-names&quot;:false,&quot;dropping-particle&quot;:&quot;&quot;,&quot;non-dropping-particle&quot;:&quot;&quot;},{&quot;family&quot;:&quot;Zhang&quot;,&quot;given&quot;:&quot;Yuelin&quot;,&quot;parse-names&quot;:false,&quot;dropping-particle&quot;:&quot;&quot;,&quot;non-dropping-particle&quot;:&quot;&quot;}],&quot;container-title&quot;:&quot;Heliyon&quot;,&quot;container-title-short&quot;:&quot;Heliyon&quot;,&quot;DOI&quot;:&quot;10.1016/j.heliyon.2023.e19505&quot;,&quot;ISSN&quot;:&quot;24058440&quot;,&quot;issued&quot;:{&quot;date-parts&quot;:[[2023,9,1]]},&quot;abstract&quot;:&quot;Background: The cellular senescence of mesenchymal stem cells (MSCs) limits their application in regenerative medicine. This study aimed to clarify the role of TNF receptor-associated factor 3 interacting protein 2 (TRAF3IP2), a pro-inflammatory cytoplasmic adaptor protein, in regulating MSC senescence and to explore the potential mechanisms. Methods: MSC senescence was determined by senescence-associated β-galactosidase (SA-β-gal) staining. The expression of TRAF3IP2 and senescence-related proteins was detected by Western blotting. The nicotinamide adenine dinucleotide (NAD+) level and nicotinamide phosphoribosyl transferase (NAMPT) expression in MSCs was measured. Results: Compared with that in MSCs isolated from young donors (YMSCs), the expression of TRAF3IP2 was greatly increased in MSCs derived from aged donors (AMSCs). Overexpression of TRAF3IP2 accelerated YMSC senescence whereas downregulation significantly rescued cellular senescence. The protein level of NAMPT and the level of NAD+ were significantly decreased in AMSCs compared with YMSCs. Mechanistically, TRAF3IP2 induced MSC senescence via downregulation of NAMPT expression and NAD + level by inhibiting the AMPK signaling pathway. These effects were partially reversed by treatment with an AMPK or NAMPT activator. Conclusion: We revealed that TRAF3IP2 accelerated MSC senescence via downregulation of NAMPT-mediated NAD biosynthesis by mediation of the AMPK pathway, highlighting a novel means to rejuvenate senescent MSCs.&quot;,&quot;publisher&quot;:&quot;Elsevier Ltd&quot;,&quot;issue&quot;:&quot;9&quot;,&quot;volume&quot;:&quot;9&quot;},&quot;isTemporary&quot;:false}],&quot;citationTag&quot;:&quot;MENDELEY_CITATION_v3_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&quot;},{&quot;citationID&quot;:&quot;MENDELEY_CITATION_9f3b6f50-7649-406c-a592-bec42d251350&quot;,&quot;properties&quot;:{&quot;noteIndex&quot;:0},&quot;isEdited&quot;:false,&quot;manualOverride&quot;:{&quot;isManuallyOverridden&quot;:false,&quot;citeprocText&quot;:&quot;(Horibe et al., 2014a)&quot;,&quot;manualOverrideText&quot;:&quot;&quot;},&quot;citationItems&quot;:[{&quot;id&quot;:&quot;a9a2b6bf-93e6-3c89-98d4-6583c994e51b&quot;,&quot;itemData&quot;:{&quot;type&quot;:&quot;article-journal&quot;,&quot;id&quot;:&quot;a9a2b6bf-93e6-3c89-98d4-6583c994e51b&quot;,&quot;title&quot;:&quot;Isolation of a stable subpopulation of Mobilized Dental Pulp Stem Cells (MDPSCs) with high proliferation, migration, and regeneration potential is independent of age&quot;,&quot;author&quot;:[{&quot;family&quot;:&quot;Horibe&quot;,&quot;given&quot;:&quot;Hiroshi&quot;,&quot;parse-names&quot;:false,&quot;dropping-particle&quot;:&quot;&quot;,&quot;non-dropping-particle&quot;:&quot;&quot;},{&quot;family&quot;:&quot;Murakami&quot;,&quot;given&quot;:&quot;Masashi&quot;,&quot;parse-names&quot;:false,&quot;dropping-particle&quot;:&quot;&quot;,&quot;non-dropping-particle&quot;:&quot;&quot;},{&quot;family&quot;:&quot;Iohara&quot;,&quot;given&quot;:&quot;Koichiro&quot;,&quot;parse-names&quot;:false,&quot;dropping-particle&quot;:&quot;&quot;,&quot;non-dropping-particle&quot;:&quot;&quot;},{&quot;family&quot;:&quot;Hayashi&quot;,&quot;given&quot;:&quot;Yuki&quot;,&quot;parse-names&quot;:false,&quot;dropping-particle&quot;:&quot;&quot;,&quot;non-dropping-particle&quot;:&quot;&quot;},{&quot;family&quot;:&quot;Takeuchi&quot;,&quot;given&quot;:&quot;Norio&quot;,&quot;parse-names&quot;:false,&quot;dropping-particle&quot;:&quot;&quot;,&quot;non-dropping-particle&quot;:&quot;&quot;},{&quot;family&quot;:&quot;Takei&quot;,&quot;given&quot;:&quot;Yoshifumi&quot;,&quot;parse-names&quot;:false,&quot;dropping-particle&quot;:&quot;&quot;,&quot;non-dropping-particle&quot;:&quot;&quot;},{&quot;family&quot;:&quot;Kurita&quot;,&quot;given&quot;:&quot;Kenichi&quot;,&quot;parse-names&quot;:false,&quot;dropping-particle&quot;:&quot;&quot;,&quot;non-dropping-particle&quot;:&quot;&quot;},{&quot;family&quot;:&quot;Nakashima&quot;,&quot;given&quot;:&quot;Misako&quot;,&quot;parse-names&quot;:false,&quot;dropping-particle&quot;:&quot;&quot;,&quot;non-dropping-particle&quot;:&quot;&quot;}],&quot;container-title&quot;:&quot;PLoS ONE&quot;,&quot;container-title-short&quot;:&quot;PLoS One&quot;,&quot;DOI&quot;:&quot;10.1371/journal.pone.0098553&quot;,&quot;ISSN&quot;:&quot;19326203&quot;,&quot;PMID&quot;:&quot;24870376&quot;,&quot;issued&quot;:{&quot;date-parts&quot;:[[2014,5,28]]},&quot;abstract&quot;:&quot;Insights into the understanding of the influence of the age of MSCs on their cellular responses and regenerative potential are critical for stem cell therapy in the clinic. We have isolated dental pulp stem cells (DPSCs) subsets based on their migratory response to granulocyte-colony stimulating factor (G-CSF) (MDPSCs) from young and aged donors. The aged MDPSCs were efficiently enriched in stem cells, expressing high levels of trophic factors with high proliferation, migration and anti-apoptotic effects compared to young MDPSCs. In contrast, significant differences in those properties were detected between aged and young colony-derived DPSCs. Unlike DPSCs, MDPSCs showed a small age-dependent increase in senescence-associated β-galactosidase (SA-β-gal) production and senescence markers including p16, p21, Interleukin (IL)-1β, -6, -8, and Groα in long-term culture. There was no difference between aged and young MDPSCs in telomerase activity. The regenerative potential of aged MDPSCs was similar to that of young MDPSCs in an ischemic hindlimb model and an ectopic tooth root model. These results demonstrated that the stem cell properties and the high regenerative potential of MDPSCs are independent of age, demonstrating an immense utility for clinical applications by autologous cell transplantation in dental pulp regeneration and ischemic diseases. © 2014 Horibe et al.&quot;,&quot;publisher&quot;:&quot;Public Library of Science&quot;,&quot;issue&quot;:&quot;5&quot;,&quot;volume&quot;:&quot;9&quot;},&quot;isTemporary&quot;:false}],&quot;citationTag&quot;:&quot;MENDELEY_CITATION_v3_eyJjaXRhdGlvbklEIjoiTUVOREVMRVlfQ0lUQVRJT05fOWYzYjZmNTAtNzY0OS00MDZjLWE1OTItYmVjNDJkMjUxMzUwIiwicHJvcGVydGllcyI6eyJub3RlSW5kZXgiOjB9LCJpc0VkaXRlZCI6ZmFsc2UsIm1hbnVhbE92ZXJyaWRlIjp7ImlzTWFudWFsbHlPdmVycmlkZGVuIjpmYWxzZSwiY2l0ZXByb2NUZXh0IjoiKEhvcmliZSBldCBhbC4sIDIwMTRh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quot;},{&quot;citationID&quot;:&quot;MENDELEY_CITATION_734e4b5e-9646-4834-96d3-5b1ba665c587&quot;,&quot;properties&quot;:{&quot;noteIndex&quot;:0},&quot;isEdited&quot;:false,&quot;manualOverride&quot;:{&quot;isManuallyOverridden&quot;:false,&quot;citeprocText&quot;:&quot;(Zhuang et al., 2015)&quot;,&quot;manualOverrideText&quot;:&quot;&quot;},&quot;citationItems&quot;:[{&quot;id&quot;:&quot;0aa0909d-6440-31dd-a01e-94504375040b&quot;,&quot;itemData&quot;:{&quot;type&quot;:&quot;article-journal&quot;,&quot;id&quot;:&quot;0aa0909d-6440-31dd-a01e-94504375040b&quot;,&quot;title&quot;:&quot;Comparison of biological properties of umbilical cord.derived mesenchymal stem cells from early and late passages: Immunomodulatory ability is enhanced in aged cells&quot;,&quot;author&quot;:[{&quot;family&quot;:&quot;Zhuang&quot;,&quot;given&quot;:&quot;Yong&quot;,&quot;parse-names&quot;:false,&quot;dropping-particle&quot;:&quot;&quot;,&quot;non-dropping-particle&quot;:&quot;&quot;},{&quot;family&quot;:&quot;Li&quot;,&quot;given&quot;:&quot;Dong&quot;,&quot;parse-names&quot;:false,&quot;dropping-particle&quot;:&quot;&quot;,&quot;non-dropping-particle&quot;:&quot;&quot;},{&quot;family&quot;:&quot;Fu&quot;,&quot;given&quot;:&quot;Jinqiu&quot;,&quot;parse-names&quot;:false,&quot;dropping-particle&quot;:&quot;&quot;,&quot;non-dropping-particle&quot;:&quot;&quot;},{&quot;family&quot;:&quot;Shi&quot;,&quot;given&quot;:&quot;Qing&quot;,&quot;parse-names&quot;:false,&quot;dropping-particle&quot;:&quot;&quot;,&quot;non-dropping-particle&quot;:&quot;&quot;},{&quot;family&quot;:&quot;Lu&quot;,&quot;given&quot;:&quot;Yuanyuan&quot;,&quot;parse-names&quot;:false,&quot;dropping-particle&quot;:&quot;&quot;,&quot;non-dropping-particle&quot;:&quot;&quot;},{&quot;family&quot;:&quot;Ju&quot;,&quot;given&quot;:&quot;Xiuli&quot;,&quot;parse-names&quot;:false,&quot;dropping-particle&quot;:&quot;&quot;,&quot;non-dropping-particle&quot;:&quot;&quot;}],&quot;container-title&quot;:&quot;Molecular Medicine Reports&quot;,&quot;container-title-short&quot;:&quot;Mol. Med. Rep.&quot;,&quot;DOI&quot;:&quot;10.3892/mmr.2014.2755&quot;,&quot;ISSN&quot;:&quot;17913004&quot;,&quot;PMID&quot;:&quot;25339265&quot;,&quot;issued&quot;:{&quot;date-parts&quot;:[[2015,1,1]]},&quot;page&quot;:&quot;166-174&quot;,&quot;abstract&quot;:&quot;Mesenchymal stem cells (MSCs) are a potential source of adult stem cells for cell.based therapeutics due to their substantial multilineage differentiation capacity and secretory functions. No information is presently available regarding the maintenance of immunosuppressive properties of this cell type with repeated passages. It was therefore the aim of the present study to analyze the biological properties, particularly the immunoregulatory effect, of MSCs from late passages. The differences between young and old MSCs in morphology, cell surface antigen phenotype, proliferation, gene expression and immunomodulatory ability were investigated. The results of the current study demonstrated that with the passage of cells, senescent MSCs displayed a characteristically enlarged and flattened morphology, different gene expression profiles and stronger immunosuppressive activities. Increased interleukin-6 production may be a possible underlying mechanism for this enhanced immunomodulatory ability of MSCs. These findings suggest that aged MSCs may provide a treatment option for patients with graft versus host disease and other diseases associated with dysregulation of the immune system.&quot;,&quot;publisher&quot;:&quot;Spandidos Publications&quot;,&quot;issue&quot;:&quot;1&quot;,&quot;volume&quot;:&quot;11&quot;},&quot;isTemporary&quot;:false}],&quot;citationTag&quot;:&quot;MENDELEY_CITATION_v3_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&quot;},{&quot;citationID&quot;:&quot;MENDELEY_CITATION_bfab8a91-7ec0-4271-9c60-62344c3ab481&quot;,&quot;properties&quot;:{&quot;noteIndex&quot;:0},&quot;isEdited&quot;:false,&quot;manualOverride&quot;:{&quot;isManuallyOverridden&quot;:false,&quot;citeprocText&quot;:&quot;(Yu et al., 2014)&quot;,&quot;manualOverrideText&quot;:&quot;&quot;},&quot;citationItems&quot;:[{&quot;id&quot;:&quot;1d7461c7-a0bd-3fcb-9942-85d25cd0e66c&quot;,&quot;itemData&quot;:{&quot;type&quot;:&quot;article-journal&quot;,&quot;id&quot;:&quot;1d7461c7-a0bd-3fcb-9942-85d25cd0e66c&quot;,&quot;title&quot;:&quot;A p38 MAPK-mediated alteration of COX-2/PGE2 regulates immunomodulatory properties in human mesenchymal stem cell aging&quot;,&quot;author&quot;:[{&quot;family&quot;:&quot;Yu&quot;,&quot;given&quot;:&quot;Kyung Rok&quot;,&quot;parse-names&quot;:false,&quot;dropping-particle&quot;:&quot;&quot;,&quot;non-dropping-particle&quot;:&quot;&quot;},{&quot;family&quot;:&quot;Lee&quot;,&quot;given&quot;:&quot;Jin Young&quot;,&quot;parse-names&quot;:false,&quot;dropping-particle&quot;:&quot;&quot;,&quot;non-dropping-particle&quot;:&quot;&quot;},{&quot;family&quot;:&quot;Kim&quot;,&quot;given&quot;:&quot;Hyung Sik&quot;,&quot;parse-names&quot;:false,&quot;dropping-particle&quot;:&quot;&quot;,&quot;non-dropping-particle&quot;:&quot;&quot;},{&quot;family&quot;:&quot;Hong&quot;,&quot;given&quot;:&quot;In Sun&quot;,&quot;parse-names&quot;:false,&quot;dropping-particle&quot;:&quot;&quot;,&quot;non-dropping-particle&quot;:&quot;&quot;},{&quot;family&quot;:&quot;Choi&quot;,&quot;given&quot;:&quot;Soon Won&quot;,&quot;parse-names&quot;:false,&quot;dropping-particle&quot;:&quot;&quot;,&quot;non-dropping-particle&quot;:&quot;&quot;},{&quot;family&quot;:&quot;Seo&quot;,&quot;given&quot;:&quot;Yoojin&quot;,&quot;parse-names&quot;:false,&quot;dropping-particle&quot;:&quot;&quot;,&quot;non-dropping-particle&quot;:&quot;&quot;},{&quot;family&quot;:&quot;Kang&quot;,&quot;given&quot;:&quot;Insung&quot;,&quot;parse-names&quot;:false,&quot;dropping-particle&quot;:&quot;&quot;,&quot;non-dropping-particle&quot;:&quot;&quot;},{&quot;family&quot;:&quot;Kim&quot;,&quot;given&quot;:&quot;Jae Jun&quot;,&quot;parse-names&quot;:false,&quot;dropping-particle&quot;:&quot;&quot;,&quot;non-dropping-particle&quot;:&quot;&quot;},{&quot;family&quot;:&quot;Lee&quot;,&quot;given&quot;:&quot;Byung Chul&quot;,&quot;parse-names&quot;:false,&quot;dropping-particle&quot;:&quot;&quot;,&quot;non-dropping-particle&quot;:&quot;&quot;},{&quot;family&quot;:&quot;Lee&quot;,&quot;given&quot;:&quot;Seung Hee&quot;,&quot;parse-names&quot;:false,&quot;dropping-particle&quot;:&quot;&quot;,&quot;non-dropping-particle&quot;:&quot;&quot;},{&quot;family&quot;:&quot;Kurtz&quot;,&quot;given&quot;:&quot;Andreas&quot;,&quot;parse-names&quot;:false,&quot;dropping-particle&quot;:&quot;&quot;,&quot;non-dropping-particle&quot;:&quot;&quot;},{&quot;family&quot;:&quot;Seo&quot;,&quot;given&quot;:&quot;Kwang Won&quot;,&quot;parse-names&quot;:false,&quot;dropping-particle&quot;:&quot;&quot;,&quot;non-dropping-particle&quot;:&quot;&quot;},{&quot;family&quot;:&quot;Kang&quot;,&quot;given&quot;:&quot;Kyung Sun&quot;,&quot;parse-names&quot;:false,&quot;dropping-particle&quot;:&quot;&quot;,&quot;non-dropping-particle&quot;:&quot;&quot;}],&quot;container-title&quot;:&quot;PLoS ONE&quot;,&quot;container-title-short&quot;:&quot;PLoS One&quot;,&quot;DOI&quot;:&quot;10.1371/journal.pone.0102426&quot;,&quot;ISSN&quot;:&quot;19326203&quot;,&quot;PMID&quot;:&quot;25090227&quot;,&quot;issued&quot;:{&quot;date-parts&quot;:[[2014,8,4]]},&quot;abstract&quot;:&quot;Because human mesenchymal stem cells (hMSC) have profound immunomodulatory effects, many attempts have been made to use hMSCs in preclinical and clinical trials. For hMSCs to be used in therapy, a large population of hMSCs must be generated by in vitro expansion. However, the immunomodulatory changes following the in vitro expansion of hMSCs have not been elucidated. In this study, we evaluated the effect of replicative senescence on the immunomodulatory ability of hMSCs in vitro and in vivo. Late-passage hMSCs showed impaired suppressive effect on mitogen-induced mononuclear cell proliferation. Strikingly, late-passage hMSCs had a significantly compromised protective effect against mouse experimental colitis, which was confirmed by gross and histologic examination. Among the anti-inflammatory cytokines, the production of prostaglandin E2 (PGE2) and the expression of its primary enzyme, cyclooxygenase-2 (COX-2), were profoundly increased by pre-stimulation with interferon gamma (IFN-γ) and tumor necrosis factor alpha (TNF-α), and this response was significantly decreased with consecutive passages. We demonstrated that the impaired phosphorylation activity of p38 MAP kinase (p38 MAPK) in late-passage hMSCs led to a compromised immunomodulatory ability through the regulation of COX-2. In conclusion, our data indicate that the immunomodulatory ability of hMSCs gradually declines with consecutive passages via a p38-mediated alteration of COX-2 and PGE2 levels. © 2014 Yu et al.&quot;,&quot;publisher&quot;:&quot;Public Library of Science&quot;,&quot;issue&quot;:&quot;8&quot;,&quot;volume&quot;:&quot;9&quot;},&quot;isTemporary&quot;:false,&quot;suppress-author&quot;:false,&quot;composite&quot;:false,&quot;author-only&quot;:false}],&quot;citationTag&quot;:&quot;MENDELEY_CITATION_v3_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&quot;},{&quot;citationID&quot;:&quot;MENDELEY_CITATION_2d641619-69e7-481c-9c4e-b428ec570117&quot;,&quot;properties&quot;:{&quot;noteIndex&quot;:0},&quot;isEdited&quot;:false,&quot;manualOverride&quot;:{&quot;isManuallyOverridden&quot;:false,&quot;citeprocText&quot;:&quot;(Ma &lt;i&gt;et al.&lt;/i&gt;, 2019)&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MmQ2NDE2MTktNjllNy00ODFjLTljNGUtYjQyOGVjNTcwMTE3IiwicHJvcGVydGllcyI6eyJub3RlSW5kZXgiOjB9LCJpc0VkaXRlZCI6ZmFsc2UsIm1hbnVhbE92ZXJyaWRlIjp7ImlzTWFudWFsbHlPdmVycmlkZGVuIjpmYWxzZSwiY2l0ZXByb2NUZXh0IjoiKE1hIDxpPmV0IGFsLjwvaT4sIDIwMTk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&quot;},{&quot;citationID&quot;:&quot;MENDELEY_CITATION_a2e35dcc-0d81-4ecd-8e2a-c66ee6fa7fb0&quot;,&quot;properties&quot;:{&quot;noteIndex&quot;:0},&quot;isEdited&quot;:false,&quot;manualOverride&quot;:{&quot;isManuallyOverridden&quot;:false,&quot;citeprocText&quot;:&quot;(Ma &lt;i&gt;et al.&lt;/i&gt;, 2019)&quot;,&quot;manualOverrideText&quot;:&quot;&quot;},&quot;citationItems&quot;:[{&quot;id&quot;:&quot;85f450ca-cbc7-363c-9066-b34d0d48047e&quot;,&quot;itemData&quot;:{&quot;type&quot;:&quot;article-journal&quot;,&quot;id&quot;:&quot;85f450ca-cbc7-363c-9066-b34d0d48047e&quot;,&quot;title&quot;:&quot;Maintained properties of aged dental pulp stem cells for superior periodontal tissue regeneration&quot;,&quot;author&quot;:[{&quot;family&quot;:&quot;Ma&quot;,&quot;given&quot;:&quot;Linsha&quot;,&quot;parse-names&quot;:false,&quot;dropping-particle&quot;:&quot;&quot;,&quot;non-dropping-particle&quot;:&quot;&quot;},{&quot;family&quot;:&quot;Hu&quot;,&quot;given&quot;:&quot;Jingchao&quot;,&quot;parse-names&quot;:false,&quot;dropping-particle&quot;:&quot;&quot;,&quot;non-dropping-particle&quot;:&quot;&quot;},{&quot;family&quot;:&quot;Cao&quot;,&quot;given&quot;:&quot;Yu&quot;,&quot;parse-names&quot;:false,&quot;dropping-particle&quot;:&quot;&quot;,&quot;non-dropping-particle&quot;:&quot;&quot;},{&quot;family&quot;:&quot;Xie&quot;,&quot;given&quot;:&quot;Yilin&quot;,&quot;parse-names&quot;:false,&quot;dropping-particle&quot;:&quot;&quot;,&quot;non-dropping-particle&quot;:&quot;&quot;},{&quot;family&quot;:&quot;Wang&quot;,&quot;given&quot;:&quot;Hua&quot;,&quot;parse-names&quot;:false,&quot;dropping-particle&quot;:&quot;&quot;,&quot;non-dropping-particle&quot;:&quot;&quot;},{&quot;family&quot;:&quot;Fan&quot;,&quot;given&quot;:&quot;Zhipeng&quot;,&quot;parse-names&quot;:false,&quot;dropping-particle&quot;:&quot;&quot;,&quot;non-dropping-particle&quot;:&quot;&quot;},{&quot;family&quot;:&quot;Zhang&quot;,&quot;given&quot;:&quot;Chunmei&quot;,&quot;parse-names&quot;:false,&quot;dropping-particle&quot;:&quot;&quot;,&quot;non-dropping-particle&quot;:&quot;&quot;},{&quot;family&quot;:&quot;Wang&quot;,&quot;given&quot;:&quot;Jinsong&quot;,&quot;parse-names&quot;:false,&quot;dropping-particle&quot;:&quot;&quot;,&quot;non-dropping-particle&quot;:&quot;&quot;},{&quot;family&quot;:&quot;Wang&quot;,&quot;given&quot;:&quot;Songlin&quot;,&quot;parse-names&quot;:false,&quot;dropping-particle&quot;:&quot;&quot;,&quot;non-dropping-particle&quot;:&quot;&quot;},{&quot;family&quot;:&quot;Wu&quot;,&quot;given&quot;:&quot;Chu Tse&quot;,&quot;parse-names&quot;:false,&quot;dropping-particle&quot;:&quot;&quot;,&quot;non-dropping-particle&quot;:&quot;&quot;}],&quot;container-title&quot;:&quot;Aging and Disease&quot;,&quot;container-title-short&quot;:&quot;Aging Dis&quot;,&quot;DOI&quot;:&quot;10.14336/AD.2018.0729&quot;,&quot;ISSN&quot;:&quot;21525250&quot;,&quot;issued&quot;:{&quot;date-parts&quot;:[[2019]]},&quot;page&quot;:&quot;793-806&quot;,&quot;abstract&quot;:&quot;Owing to excellent therapeutic potential, mesenchymal stem cells (MSCs) are gaining increasing popularity with researchers worldwide for applications in tissue engineering, and in treatment of inflammation - related and age-related disorders. However, the senescence of MSCs over passaging has limited their clinical application owing to adverse effect on physiological function maintenance of tissues as well as disease treatment. An inflammatory microenvironment is one of the key contributors to MSC senescence, resulting in low regeneration efficiency. Therefore, MSCs with high resistance to cellular senescence would be a benefit for tissue regeneration. Toward this end, we analyzed the senescence properties of different types of stem cells during culture and under inflammation, including dental pulp stem cells (DPSCs), periodontal ligament stem cells (PDLSCs), bone marrow mesenchymal stem cells (BMMSCs), and adipose-derived stem cells (ADSCs). Overall, the DPSCs had higher proliferation rates, lower cellular senescence, and enhanced osteogenesis maintenance compared to those of non-dental MSCs cultured from passage three to six. The expression profiles of genes related to apoptosis, cell cycle, and cellular protein metabolic process (contributing to the cell self-renewal ability and metabolic processes) significantly differed between DPSCs and BMMSCs at passage three. Moreover, DPSCs were superior to BMMSCs with regards to resistance to lipopolysaccharide-induced apoptosis and senescence, with enhanced osteogenesis in vitro, and showed improved periodontal regeneration after injection in a miniature pig periodontitis model in vivo. Overall, the present study indicates that DPSCs show superior resistance to subculture and inflammation-induced senescence and would be suitable stem cells for tissue engineering with inflammation.&quot;,&quot;publisher&quot;:&quot;International Society on Aging and Disease&quot;,&quot;issue&quot;:&quot;4&quot;,&quot;volume&quot;:&quot;10&quot;},&quot;isTemporary&quot;:false,&quot;suppress-author&quot;:false,&quot;composite&quot;:false,&quot;author-only&quot;:false}],&quot;citationTag&quot;:&quot;MENDELEY_CITATION_v3_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&quot;},{&quot;citationID&quot;:&quot;MENDELEY_CITATION_d1cbd639-9e1f-42b5-99af-46ca920139d8&quot;,&quot;properties&quot;:{&quot;noteIndex&quot;:0},&quot;isEdited&quot;:false,&quot;manualOverride&quot;:{&quot;isManuallyOverridden&quot;:false,&quot;citeprocText&quot;:&quot;(Chen &lt;i&gt;et al.&lt;/i&gt;, 2024)&quot;,&quot;manualOverrideText&quot;:&quot;&quot;},&quot;citationItems&quot;:[{&quot;id&quot;:&quot;022d14ca-b725-3ed4-b7f0-dc108a27d8ad&quot;,&quot;itemData&quot;:{&quot;type&quot;:&quot;article-journal&quot;,&quot;id&quot;:&quot;022d14ca-b725-3ed4-b7f0-dc108a27d8ad&quot;,&quot;title&quot;:&quot;Platelet-derived exosomes alleviate tendon stem/progenitor cell senescence and ferroptosis by regulating AMPK/Nrf2/GPX4 signaling and improve tendon-bone junction regeneration in rats&quot;,&quot;author&quot;:[{&quot;family&quot;:&quot;Chen&quot;,&quot;given&quot;:&quot;Deheng&quot;,&quot;parse-names&quot;:false,&quot;dropping-particle&quot;:&quot;&quot;,&quot;non-dropping-particle&quot;:&quot;&quot;},{&quot;family&quot;:&quot;Tang&quot;,&quot;given&quot;:&quot;Qian&quot;,&quot;parse-names&quot;:false,&quot;dropping-particle&quot;:&quot;&quot;,&quot;non-dropping-particle&quot;:&quot;&quot;},{&quot;family&quot;:&quot;Song&quot;,&quot;given&quot;:&quot;Wei&quot;,&quot;parse-names&quot;:false,&quot;dropping-particle&quot;:&quot;&quot;,&quot;non-dropping-particle&quot;:&quot;&quot;},{&quot;family&quot;:&quot;He&quot;,&quot;given&quot;:&quot;Yaohua&quot;,&quot;parse-names&quot;:false,&quot;dropping-particle&quot;:&quot;&quot;,&quot;non-dropping-particle&quot;:&quot;&quot;}],&quot;container-title&quot;:&quot;Journal of Orthopaedic Surgery and Research&quot;,&quot;container-title-short&quot;:&quot;J Orthop Surg Res&quot;,&quot;DOI&quot;:&quot;10.1186/s13018-024-04869-8&quot;,&quot;ISSN&quot;:&quot;1749799X&quot;,&quot;PMID&quot;:&quot;38943181&quot;,&quot;issued&quot;:{&quot;date-parts&quot;:[[2024,12,1]]},&quot;abstract&quot;:&quot;Background: Tendon stem/progenitor cell (TSPC) senescence contributes to tendon degeneration and impaired tendon repair, resulting in age-related tendon disorders. Ferroptosis, a unique iron-dependent form of programmed cell death, might participate in the process of senescence. However, whether ferroptosis plays a role in TSPC senescence and tendon regeneration remains unclear. Recent studies reported that Platelet-derived exosomes (PL-Exos) might provide significant advantages in musculoskeletal regeneration and inflammation regulation. The effects and mechanism of PL-Exos on TSPC senescence and tendon regeneration are worthy of further study. Methods: Herein, we examined the role of ferroptosis in the pathogenesis of TSPC senescence. PL-Exos were isolated and determined by TEM, particle size analysis, western blot and mass spectrometry identification. We investigated the function and underlying mechanisms of PL-Exos in TSPC senescence and ferroptosis via western blot, real-time quantitative polymerase chain reaction, and immunofluorescence analysis in vitro. Tendon regeneration was evaluated by HE staining, Safranin-O staining, and biomechanical tests in a rotator cuff tear model in rats. Results: We discovered that ferroptosis was involved in senescent TSPCs. Furthermore, PL-Exos mitigated the aging phenotypes and ferroptosis of TSPCs induced by t-BHP and preserved their proliferation and tenogenic capacity. The in vivo animal results indicated that PL-Exos improved tendon-bone healing properties and mechanical strength. Mechanistically, PL-Exos activated AMPK phosphorylation and the downstream nuclear factor erythroid 2-related factor 2 (Nrf2)/glutathione peroxidase 4 (GPX4) signaling pathway, leading to the suppression of lipid peroxidation. AMPK inhibition or GPX4 inhibition blocked the protective effect of PL-Exos against t-BHP-induced ferroptosis and senescence. Conclusion: In conclusion, ferroptosis might play a crucial role in TSPC aging. AMPK/Nrf2/GPX4 activation by PL-Exos was found to inhibit ferroptosis, consequently leading to the suppression of senescence in TSPCs. Our results provided new theoretical evidence for the potential application of PL-Exos to restrain tendon degeneration and promote tendon regeneration.&quot;,&quot;publisher&quot;:&quot;BioMed Central Ltd&quot;,&quot;issue&quot;:&quot;1&quot;,&quot;volume&quot;:&quot;19&quot;},&quot;isTemporary&quot;:false}],&quot;citationTag&quot;:&quot;MENDELEY_CITATION_v3_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&quot;},{&quot;citationID&quot;:&quot;MENDELEY_CITATION_38ae665c-7d94-47f0-9c6e-a387b6df43c5&quot;,&quot;properties&quot;:{&quot;noteIndex&quot;:0},&quot;isEdited&quot;:false,&quot;manualOverride&quot;:{&quot;isManuallyOverridden&quot;:false,&quot;citeprocText&quot;:&quot;(Horibe &lt;i&gt;et al.&lt;/i&gt;, 2014)&quot;,&quot;manualOverrideText&quot;:&quot;&quot;},&quot;citationItems&quot;:[{&quot;id&quot;:&quot;a9a2b6bf-93e6-3c89-98d4-6583c994e51b&quot;,&quot;itemData&quot;:{&quot;type&quot;:&quot;article-journal&quot;,&quot;id&quot;:&quot;a9a2b6bf-93e6-3c89-98d4-6583c994e51b&quot;,&quot;title&quot;:&quot;Isolation of a stable subpopulation of Mobilized Dental Pulp Stem Cells (MDPSCs) with high proliferation, migration, and regeneration potential is independent of age&quot;,&quot;author&quot;:[{&quot;family&quot;:&quot;Horibe&quot;,&quot;given&quot;:&quot;Hiroshi&quot;,&quot;parse-names&quot;:false,&quot;dropping-particle&quot;:&quot;&quot;,&quot;non-dropping-particle&quot;:&quot;&quot;},{&quot;family&quot;:&quot;Murakami&quot;,&quot;given&quot;:&quot;Masashi&quot;,&quot;parse-names&quot;:false,&quot;dropping-particle&quot;:&quot;&quot;,&quot;non-dropping-particle&quot;:&quot;&quot;},{&quot;family&quot;:&quot;Iohara&quot;,&quot;given&quot;:&quot;Koichiro&quot;,&quot;parse-names&quot;:false,&quot;dropping-particle&quot;:&quot;&quot;,&quot;non-dropping-particle&quot;:&quot;&quot;},{&quot;family&quot;:&quot;Hayashi&quot;,&quot;given&quot;:&quot;Yuki&quot;,&quot;parse-names&quot;:false,&quot;dropping-particle&quot;:&quot;&quot;,&quot;non-dropping-particle&quot;:&quot;&quot;},{&quot;family&quot;:&quot;Takeuchi&quot;,&quot;given&quot;:&quot;Norio&quot;,&quot;parse-names&quot;:false,&quot;dropping-particle&quot;:&quot;&quot;,&quot;non-dropping-particle&quot;:&quot;&quot;},{&quot;family&quot;:&quot;Takei&quot;,&quot;given&quot;:&quot;Yoshifumi&quot;,&quot;parse-names&quot;:false,&quot;dropping-particle&quot;:&quot;&quot;,&quot;non-dropping-particle&quot;:&quot;&quot;},{&quot;family&quot;:&quot;Kurita&quot;,&quot;given&quot;:&quot;Kenichi&quot;,&quot;parse-names&quot;:false,&quot;dropping-particle&quot;:&quot;&quot;,&quot;non-dropping-particle&quot;:&quot;&quot;},{&quot;family&quot;:&quot;Nakashima&quot;,&quot;given&quot;:&quot;Misako&quot;,&quot;parse-names&quot;:false,&quot;dropping-particle&quot;:&quot;&quot;,&quot;non-dropping-particle&quot;:&quot;&quot;}],&quot;container-title&quot;:&quot;PLoS ONE&quot;,&quot;container-title-short&quot;:&quot;PLoS One&quot;,&quot;DOI&quot;:&quot;10.1371/journal.pone.0098553&quot;,&quot;ISSN&quot;:&quot;19326203&quot;,&quot;PMID&quot;:&quot;24870376&quot;,&quot;issued&quot;:{&quot;date-parts&quot;:[[2014,5,28]]},&quot;abstract&quot;:&quot;Insights into the understanding of the influence of the age of MSCs on their cellular responses and regenerative potential are critical for stem cell therapy in the clinic. We have isolated dental pulp stem cells (DPSCs) subsets based on their migratory response to granulocyte-colony stimulating factor (G-CSF) (MDPSCs) from young and aged donors. The aged MDPSCs were efficiently enriched in stem cells, expressing high levels of trophic factors with high proliferation, migration and anti-apoptotic effects compared to young MDPSCs. In contrast, significant differences in those properties were detected between aged and young colony-derived DPSCs. Unlike DPSCs, MDPSCs showed a small age-dependent increase in senescence-associated β-galactosidase (SA-β-gal) production and senescence markers including p16, p21, Interleukin (IL)-1β, -6, -8, and Groα in long-term culture. There was no difference between aged and young MDPSCs in telomerase activity. The regenerative potential of aged MDPSCs was similar to that of young MDPSCs in an ischemic hindlimb model and an ectopic tooth root model. These results demonstrated that the stem cell properties and the high regenerative potential of MDPSCs are independent of age, demonstrating an immense utility for clinical applications by autologous cell transplantation in dental pulp regeneration and ischemic diseases. © 2014 Horibe et al.&quot;,&quot;publisher&quot;:&quot;Public Library of Science&quot;,&quot;issue&quot;:&quot;5&quot;,&quot;volume&quot;:&quot;9&quot;},&quot;isTemporary&quot;:false}],&quot;citationTag&quot;:&quot;MENDELEY_CITATION_v3_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&quot;},{&quot;citationID&quot;:&quot;MENDELEY_CITATION_892b89e4-1a0c-44c4-bb33-f994d2d2c000&quot;,&quot;properties&quot;:{&quot;noteIndex&quot;:0},&quot;isEdited&quot;:false,&quot;manualOverride&quot;:{&quot;isManuallyOverridden&quot;:false,&quot;citeprocText&quot;:&quot;(Yang &lt;i&gt;et al.&lt;/i&gt;, 2021)&quot;,&quot;manualOverrideText&quot;:&quot;&quot;},&quot;citationItems&quot;:[{&quot;id&quot;:&quot;7de7e333-6333-3412-ae5e-bfca4c606e3e&quot;,&quot;itemData&quot;:{&quot;type&quot;:&quot;article-journal&quot;,&quot;id&quot;:&quot;7de7e333-6333-3412-ae5e-bfca4c606e3e&quot;,&quot;title&quot;:&quot;Vitamin C alleviates the senescence of periodontal ligament stem cells through inhibition of Notch3 during long-term culture&quot;,&quot;author&quot;:[{&quot;family&quot;:&quot;Yang&quot;,&quot;given&quot;:&quot;Yan&quot;,&quot;parse-names&quot;:false,&quot;dropping-particle&quot;:&quot;&quot;,&quot;non-dropping-particle&quot;:&quot;&quot;},{&quot;family&quot;:&quot;Wang&quot;,&quot;given&quot;:&quot;Tao&quot;,&quot;parse-names&quot;:false,&quot;dropping-particle&quot;:&quot;&quot;,&quot;non-dropping-particle&quot;:&quot;&quot;},{&quot;family&quot;:&quot;Zhang&quot;,&quot;given&quot;:&quot;Sicheng&quot;,&quot;parse-names&quot;:false,&quot;dropping-particle&quot;:&quot;&quot;,&quot;non-dropping-particle&quot;:&quot;&quot;},{&quot;family&quot;:&quot;Jia&quot;,&quot;given&quot;:&quot;Sixun&quot;,&quot;parse-names&quot;:false,&quot;dropping-particle&quot;:&quot;&quot;,&quot;non-dropping-particle&quot;:&quot;&quot;},{&quot;family&quot;:&quot;Chen&quot;,&quot;given&quot;:&quot;Hong&quot;,&quot;parse-names&quot;:false,&quot;dropping-particle&quot;:&quot;&quot;,&quot;non-dropping-particle&quot;:&quot;&quot;},{&quot;family&quot;:&quot;Duan&quot;,&quot;given&quot;:&quot;Yufeng&quot;,&quot;parse-names&quot;:false,&quot;dropping-particle&quot;:&quot;&quot;,&quot;non-dropping-particle&quot;:&quot;&quot;},{&quot;family&quot;:&quot;Wang&quot;,&quot;given&quot;:&quot;Shikai&quot;,&quot;parse-names&quot;:false,&quot;dropping-particle&quot;:&quot;&quot;,&quot;non-dropping-particle&quot;:&quot;&quot;},{&quot;family&quot;:&quot;Chen&quot;,&quot;given&quot;:&quot;Guoqing&quot;,&quot;parse-names&quot;:false,&quot;dropping-particle&quot;:&quot;&quot;,&quot;non-dropping-particle&quot;:&quot;&quot;},{&quot;family&quot;:&quot;Tian&quot;,&quot;given&quot;:&quot;Weidong&quot;,&quot;parse-names&quot;:false,&quot;dropping-particle&quot;:&quot;&quot;,&quot;non-dropping-particle&quot;:&quot;&quot;}],&quot;container-title&quot;:&quot;Journal of Cellular Physiology&quot;,&quot;container-title-short&quot;:&quot;J Cell Physiol&quot;,&quot;DOI&quot;:&quot;10.1002/jcp.29930&quot;,&quot;ISSN&quot;:&quot;10974652&quot;,&quot;PMID&quot;:&quot;32662081&quot;,&quot;issued&quot;:{&quot;date-parts&quot;:[[2021,2,1]]},&quot;page&quot;:&quot;1237-1251&quot;,&quot;abstract&quot;:&quot;Periodontal ligament stem cells (PDLSCs), as potential “seed cells” for periodontal tissue repair and regeneration, require to be expanded in vitro for a large scale. Senescence of PDLSCs occurred during long-term culture may compromise the therapeutic effects of PDLSCs. Medium supplements may be useful in antisenescence. However, the effects and mechanisms of vitamin C (Vc) treatment on PDLSCs during long-term culture are still unclear. In this study, we identified that Vc-treated PDLSCs cells maintained a slender morphology, higher growth rate and migration capacity, stemness, and osteogenic differentiation capability during a long-term culture. Moreover, we also identified that Notch3 was significantly upregulated during the cell senescence, and Vc treatment alleviated the senescence of PDLSCs through inhibition of Notch3 during long-term culture. In summary, Vc treatment suppressed PDLSCs senescence by reducing the expression of Notch3 and might be a simple and useful strategy to inhibit cellular senescence during the cell long-term culture.&quot;,&quot;publisher&quot;:&quot;Wiley-Liss Inc.&quot;,&quot;issue&quot;:&quot;2&quot;,&quot;volume&quot;:&quot;236&quot;},&quot;isTemporary&quot;:false,&quot;suppress-author&quot;:false,&quot;composite&quot;:false,&quot;author-only&quot;:false}],&quot;citationTag&quot;:&quot;MENDELEY_CITATION_v3_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&quot;}]"/>
    <we:property name="MENDELEY_CITATIONS_STYLE" value="{&quot;id&quot;:&quot;https://www.zotero.org/styles/vancouver-superscript&quot;,&quot;title&quot;:&quot;NLM/Vancouver: Citing Medicine 2nd edition (citation-sequence, superscript)&quot;,&quot;format&quot;:&quot;numeric&quot;,&quot;defaultLocale&quot;:null,&quot;isLocaleCodeValid&quot;:true}"/>
    <we:property name="MENDELEY_BIBLIOGRAPHY_IS_DIRTY" value="true"/>
    <we:property name="MENDELEY_BIBLIOGRAPHY_LAST_MODIFIED" value="1771877800329"/>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FE93B-64CA-408D-A64F-7B1BABAB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34</Pages>
  <Words>10149</Words>
  <Characters>57854</Characters>
  <Application>Microsoft Office Word</Application>
  <DocSecurity>0</DocSecurity>
  <Lines>482</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 Watanabe</dc:creator>
  <cp:keywords/>
  <dc:description/>
  <cp:lastModifiedBy>Leticia Watanabe</cp:lastModifiedBy>
  <cp:revision>5</cp:revision>
  <dcterms:created xsi:type="dcterms:W3CDTF">2026-02-23T20:21:00Z</dcterms:created>
  <dcterms:modified xsi:type="dcterms:W3CDTF">2026-03-20T13:23:00Z</dcterms:modified>
</cp:coreProperties>
</file>