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39E" w:rsidRPr="0056339E" w:rsidRDefault="0056339E" w:rsidP="0056339E">
      <w:pPr>
        <w:pStyle w:val="NormalWeb"/>
        <w:spacing w:before="0" w:beforeAutospacing="0" w:after="0" w:afterAutospacing="0" w:line="480" w:lineRule="auto"/>
        <w:jc w:val="center"/>
        <w:rPr>
          <w:b/>
          <w:color w:val="000000" w:themeColor="text1"/>
          <w:sz w:val="36"/>
          <w:szCs w:val="36"/>
          <w:lang w:val="en-US"/>
        </w:rPr>
      </w:pPr>
      <w:bookmarkStart w:id="0" w:name="_GoBack"/>
      <w:r w:rsidRPr="0056339E">
        <w:rPr>
          <w:b/>
          <w:color w:val="000000" w:themeColor="text1"/>
          <w:sz w:val="36"/>
          <w:szCs w:val="36"/>
          <w:lang w:val="en-US"/>
        </w:rPr>
        <w:t>Electronic Supplementary Material</w:t>
      </w:r>
    </w:p>
    <w:p w:rsidR="0056339E" w:rsidRPr="0056339E" w:rsidRDefault="0056339E" w:rsidP="0056339E">
      <w:pPr>
        <w:pStyle w:val="NormalWeb"/>
        <w:spacing w:before="0" w:beforeAutospacing="0" w:after="0" w:afterAutospacing="0" w:line="480" w:lineRule="auto"/>
        <w:jc w:val="center"/>
        <w:rPr>
          <w:b/>
          <w:color w:val="000000" w:themeColor="text1"/>
          <w:sz w:val="36"/>
          <w:szCs w:val="36"/>
          <w:lang w:val="en-US"/>
        </w:rPr>
      </w:pPr>
    </w:p>
    <w:p w:rsidR="0056339E" w:rsidRPr="0056339E" w:rsidRDefault="0056339E" w:rsidP="0056339E">
      <w:pPr>
        <w:pStyle w:val="NormalWeb"/>
        <w:spacing w:before="0" w:beforeAutospacing="0" w:after="0" w:afterAutospacing="0" w:line="480" w:lineRule="auto"/>
        <w:jc w:val="both"/>
        <w:rPr>
          <w:color w:val="000000" w:themeColor="text1"/>
          <w:lang w:val="en-US"/>
        </w:rPr>
      </w:pPr>
      <w:r w:rsidRPr="0056339E">
        <w:rPr>
          <w:b/>
          <w:color w:val="000000" w:themeColor="text1"/>
          <w:lang w:val="en-US"/>
        </w:rPr>
        <w:t>Table S1</w:t>
      </w:r>
      <w:r w:rsidRPr="0056339E">
        <w:rPr>
          <w:color w:val="000000" w:themeColor="text1"/>
          <w:lang w:val="en-US"/>
        </w:rPr>
        <w:t>. Median lethal time (LT</w:t>
      </w:r>
      <w:r w:rsidRPr="0056339E">
        <w:rPr>
          <w:color w:val="000000" w:themeColor="text1"/>
          <w:vertAlign w:val="subscript"/>
          <w:lang w:val="en-US"/>
        </w:rPr>
        <w:t>50</w:t>
      </w:r>
      <w:r w:rsidRPr="0056339E">
        <w:rPr>
          <w:color w:val="000000" w:themeColor="text1"/>
          <w:lang w:val="en-US"/>
        </w:rPr>
        <w:t xml:space="preserve">) of different EPNs against nymphs and adults of </w:t>
      </w:r>
      <w:r w:rsidRPr="0056339E">
        <w:rPr>
          <w:i/>
          <w:iCs/>
          <w:color w:val="000000" w:themeColor="text1"/>
          <w:lang w:val="en-US"/>
        </w:rPr>
        <w:t>H. obsoletus</w:t>
      </w:r>
      <w:r w:rsidRPr="0056339E">
        <w:rPr>
          <w:color w:val="000000" w:themeColor="text1"/>
          <w:lang w:val="en-US"/>
        </w:rPr>
        <w:t>. Means represent the accumulated mortality per treatment. Hb (</w:t>
      </w:r>
      <w:r w:rsidRPr="0056339E">
        <w:rPr>
          <w:i/>
          <w:color w:val="000000" w:themeColor="text1"/>
          <w:lang w:val="en-US"/>
        </w:rPr>
        <w:t>H. bacteriophora</w:t>
      </w:r>
      <w:r w:rsidRPr="0056339E">
        <w:rPr>
          <w:color w:val="000000" w:themeColor="text1"/>
          <w:lang w:val="en-US"/>
        </w:rPr>
        <w:t>), Sf + Hb (</w:t>
      </w:r>
      <w:r w:rsidRPr="0056339E">
        <w:rPr>
          <w:i/>
          <w:color w:val="000000" w:themeColor="text1"/>
          <w:lang w:val="en-US"/>
        </w:rPr>
        <w:t>S. feltiae</w:t>
      </w:r>
      <w:r w:rsidRPr="0056339E">
        <w:rPr>
          <w:color w:val="000000" w:themeColor="text1"/>
          <w:lang w:val="en-US"/>
        </w:rPr>
        <w:t xml:space="preserve"> + </w:t>
      </w:r>
      <w:r w:rsidRPr="0056339E">
        <w:rPr>
          <w:i/>
          <w:color w:val="000000" w:themeColor="text1"/>
          <w:lang w:val="en-US"/>
        </w:rPr>
        <w:t>H. bacteriophora</w:t>
      </w:r>
      <w:r w:rsidRPr="0056339E">
        <w:rPr>
          <w:color w:val="000000" w:themeColor="text1"/>
          <w:lang w:val="en-US"/>
        </w:rPr>
        <w:t>), Sc (</w:t>
      </w:r>
      <w:r w:rsidRPr="0056339E">
        <w:rPr>
          <w:i/>
          <w:color w:val="000000" w:themeColor="text1"/>
          <w:lang w:val="en-US"/>
        </w:rPr>
        <w:t>S. carpocapsae</w:t>
      </w:r>
      <w:r w:rsidRPr="0056339E">
        <w:rPr>
          <w:color w:val="000000" w:themeColor="text1"/>
          <w:lang w:val="en-US"/>
        </w:rPr>
        <w:t>), Sf (</w:t>
      </w:r>
      <w:r w:rsidRPr="0056339E">
        <w:rPr>
          <w:i/>
          <w:color w:val="000000" w:themeColor="text1"/>
          <w:lang w:val="en-US"/>
        </w:rPr>
        <w:t>S. feltiae</w:t>
      </w:r>
      <w:r w:rsidRPr="0056339E">
        <w:rPr>
          <w:color w:val="000000" w:themeColor="text1"/>
          <w:lang w:val="en-US"/>
        </w:rPr>
        <w:t>); dpi (days post inoculation).</w:t>
      </w:r>
    </w:p>
    <w:p w:rsidR="0056339E" w:rsidRPr="0056339E" w:rsidRDefault="0056339E" w:rsidP="0056339E">
      <w:pPr>
        <w:pStyle w:val="NormalWeb"/>
        <w:spacing w:before="0" w:beforeAutospacing="0" w:after="0" w:afterAutospacing="0" w:line="480" w:lineRule="auto"/>
        <w:jc w:val="center"/>
        <w:rPr>
          <w:color w:val="000000" w:themeColor="text1"/>
          <w:lang w:val="en-US"/>
        </w:rPr>
      </w:pPr>
      <w:r w:rsidRPr="0056339E">
        <w:rPr>
          <w:color w:val="000000" w:themeColor="text1"/>
          <w:lang w:val="en-US"/>
        </w:rPr>
        <w:t xml:space="preserve"> 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9"/>
        <w:gridCol w:w="2000"/>
        <w:gridCol w:w="1561"/>
        <w:gridCol w:w="2000"/>
        <w:gridCol w:w="1561"/>
      </w:tblGrid>
      <w:tr w:rsidR="0056339E" w:rsidRPr="0056339E" w:rsidTr="00F636DB">
        <w:trPr>
          <w:trHeight w:hRule="exact" w:val="284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39E" w:rsidRPr="0056339E" w:rsidRDefault="0056339E" w:rsidP="00F636D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it-IT" w:eastAsia="it-IT"/>
              </w:rPr>
            </w:pPr>
            <w:r w:rsidRPr="0056339E">
              <w:rPr>
                <w:b/>
                <w:bCs/>
                <w:color w:val="000000" w:themeColor="text1"/>
                <w:sz w:val="20"/>
                <w:szCs w:val="20"/>
                <w:lang w:val="en-US" w:eastAsia="it-IT"/>
              </w:rPr>
              <w:t>Treatment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39E" w:rsidRPr="0056339E" w:rsidRDefault="0056339E" w:rsidP="00F636D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it-IT" w:eastAsia="it-IT"/>
              </w:rPr>
            </w:pPr>
            <w:r w:rsidRPr="0056339E">
              <w:rPr>
                <w:b/>
                <w:bCs/>
                <w:color w:val="000000" w:themeColor="text1"/>
                <w:sz w:val="20"/>
                <w:szCs w:val="20"/>
                <w:lang w:val="en-US" w:eastAsia="it-IT"/>
              </w:rPr>
              <w:t>Nymphs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339E" w:rsidRPr="0056339E" w:rsidRDefault="0056339E" w:rsidP="00F636D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it-IT" w:eastAsia="it-IT"/>
              </w:rPr>
            </w:pPr>
            <w:r w:rsidRPr="0056339E">
              <w:rPr>
                <w:b/>
                <w:bCs/>
                <w:color w:val="000000" w:themeColor="text1"/>
                <w:sz w:val="20"/>
                <w:szCs w:val="20"/>
                <w:lang w:val="en-US" w:eastAsia="it-IT"/>
              </w:rPr>
              <w:t>Adults</w:t>
            </w:r>
          </w:p>
        </w:tc>
      </w:tr>
      <w:tr w:rsidR="0056339E" w:rsidRPr="0056339E" w:rsidTr="00F636DB">
        <w:trPr>
          <w:trHeight w:hRule="exact" w:val="5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6339E" w:rsidRPr="0056339E" w:rsidRDefault="0056339E" w:rsidP="00F636DB">
            <w:pPr>
              <w:rPr>
                <w:b/>
                <w:bCs/>
                <w:color w:val="000000" w:themeColor="text1"/>
                <w:sz w:val="20"/>
                <w:szCs w:val="20"/>
                <w:lang w:val="it-IT" w:eastAsia="it-IT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339E" w:rsidRPr="0056339E" w:rsidRDefault="0056339E" w:rsidP="00F636D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 w:eastAsia="it-IT"/>
              </w:rPr>
            </w:pPr>
            <w:r w:rsidRPr="0056339E">
              <w:rPr>
                <w:b/>
                <w:bCs/>
                <w:color w:val="000000" w:themeColor="text1"/>
                <w:sz w:val="20"/>
                <w:szCs w:val="20"/>
                <w:lang w:val="en-US" w:eastAsia="it-IT"/>
              </w:rPr>
              <w:t xml:space="preserve">Accumulated </w:t>
            </w:r>
          </w:p>
          <w:p w:rsidR="0056339E" w:rsidRPr="0056339E" w:rsidRDefault="0056339E" w:rsidP="00F636D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it-IT" w:eastAsia="it-IT"/>
              </w:rPr>
            </w:pPr>
            <w:r w:rsidRPr="0056339E">
              <w:rPr>
                <w:b/>
                <w:bCs/>
                <w:color w:val="000000" w:themeColor="text1"/>
                <w:sz w:val="20"/>
                <w:szCs w:val="20"/>
                <w:lang w:val="en-US" w:eastAsia="it-IT"/>
              </w:rPr>
              <w:t>% mortality mean ± SE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339E" w:rsidRPr="0056339E" w:rsidRDefault="0056339E" w:rsidP="00F636D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it-IT" w:eastAsia="it-IT"/>
              </w:rPr>
            </w:pPr>
            <w:r w:rsidRPr="0056339E">
              <w:rPr>
                <w:b/>
                <w:bCs/>
                <w:color w:val="000000" w:themeColor="text1"/>
                <w:sz w:val="20"/>
                <w:szCs w:val="20"/>
                <w:lang w:val="en-US" w:eastAsia="it-IT"/>
              </w:rPr>
              <w:t>LT</w:t>
            </w:r>
            <w:r w:rsidRPr="0056339E">
              <w:rPr>
                <w:b/>
                <w:bCs/>
                <w:color w:val="000000" w:themeColor="text1"/>
                <w:sz w:val="20"/>
                <w:szCs w:val="20"/>
                <w:vertAlign w:val="subscript"/>
                <w:lang w:val="en-US" w:eastAsia="it-IT"/>
              </w:rPr>
              <w:t xml:space="preserve">50 </w:t>
            </w:r>
            <w:r w:rsidRPr="0056339E">
              <w:rPr>
                <w:b/>
                <w:bCs/>
                <w:color w:val="000000" w:themeColor="text1"/>
                <w:sz w:val="20"/>
                <w:szCs w:val="20"/>
                <w:lang w:val="en-US" w:eastAsia="it-IT"/>
              </w:rPr>
              <w:t>(dpi)</w:t>
            </w:r>
            <w:r w:rsidRPr="0056339E"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val="en-US" w:eastAsia="it-IT"/>
              </w:rPr>
              <w:t xml:space="preserve"> a</w:t>
            </w:r>
            <w:r w:rsidRPr="0056339E">
              <w:rPr>
                <w:b/>
                <w:bCs/>
                <w:color w:val="000000" w:themeColor="text1"/>
                <w:sz w:val="20"/>
                <w:szCs w:val="20"/>
                <w:vertAlign w:val="subscript"/>
                <w:lang w:val="en-US" w:eastAsia="it-IT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339E" w:rsidRPr="0056339E" w:rsidRDefault="0056339E" w:rsidP="00F636D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 w:eastAsia="it-IT"/>
              </w:rPr>
            </w:pPr>
            <w:r w:rsidRPr="0056339E">
              <w:rPr>
                <w:b/>
                <w:bCs/>
                <w:color w:val="000000" w:themeColor="text1"/>
                <w:sz w:val="20"/>
                <w:szCs w:val="20"/>
                <w:lang w:val="en-US" w:eastAsia="it-IT"/>
              </w:rPr>
              <w:t xml:space="preserve">Accumulated </w:t>
            </w:r>
          </w:p>
          <w:p w:rsidR="0056339E" w:rsidRPr="0056339E" w:rsidRDefault="0056339E" w:rsidP="00F636D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it-IT" w:eastAsia="it-IT"/>
              </w:rPr>
            </w:pPr>
            <w:r w:rsidRPr="0056339E">
              <w:rPr>
                <w:b/>
                <w:bCs/>
                <w:color w:val="000000" w:themeColor="text1"/>
                <w:sz w:val="20"/>
                <w:szCs w:val="20"/>
                <w:lang w:val="en-US" w:eastAsia="it-IT"/>
              </w:rPr>
              <w:t>% mortality mean ± 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339E" w:rsidRPr="0056339E" w:rsidRDefault="0056339E" w:rsidP="00F636D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it-IT" w:eastAsia="it-IT"/>
              </w:rPr>
            </w:pPr>
            <w:r w:rsidRPr="0056339E">
              <w:rPr>
                <w:b/>
                <w:bCs/>
                <w:color w:val="000000" w:themeColor="text1"/>
                <w:sz w:val="20"/>
                <w:szCs w:val="20"/>
                <w:lang w:val="en-US" w:eastAsia="it-IT"/>
              </w:rPr>
              <w:t>LT</w:t>
            </w:r>
            <w:r w:rsidRPr="0056339E">
              <w:rPr>
                <w:b/>
                <w:bCs/>
                <w:color w:val="000000" w:themeColor="text1"/>
                <w:sz w:val="20"/>
                <w:szCs w:val="20"/>
                <w:vertAlign w:val="subscript"/>
                <w:lang w:val="en-US" w:eastAsia="it-IT"/>
              </w:rPr>
              <w:t xml:space="preserve">50 </w:t>
            </w:r>
            <w:r w:rsidRPr="0056339E">
              <w:rPr>
                <w:b/>
                <w:bCs/>
                <w:color w:val="000000" w:themeColor="text1"/>
                <w:sz w:val="20"/>
                <w:szCs w:val="20"/>
                <w:lang w:val="en-US" w:eastAsia="it-IT"/>
              </w:rPr>
              <w:t>(dpi)</w:t>
            </w:r>
            <w:r w:rsidRPr="0056339E"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val="en-US" w:eastAsia="it-IT"/>
              </w:rPr>
              <w:t xml:space="preserve"> a</w:t>
            </w:r>
          </w:p>
        </w:tc>
      </w:tr>
      <w:tr w:rsidR="0056339E" w:rsidRPr="0056339E" w:rsidTr="00F636DB"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39E" w:rsidRPr="0056339E" w:rsidRDefault="0056339E" w:rsidP="00F636DB">
            <w:pPr>
              <w:jc w:val="center"/>
              <w:rPr>
                <w:color w:val="000000" w:themeColor="text1"/>
                <w:sz w:val="20"/>
                <w:szCs w:val="20"/>
                <w:lang w:val="it-IT" w:eastAsia="it-IT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 w:eastAsia="it-IT"/>
              </w:rPr>
              <w:t>Hb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39E" w:rsidRPr="0056339E" w:rsidRDefault="0056339E" w:rsidP="00F636DB">
            <w:pPr>
              <w:jc w:val="center"/>
              <w:rPr>
                <w:color w:val="000000" w:themeColor="text1"/>
                <w:sz w:val="20"/>
                <w:szCs w:val="20"/>
                <w:lang w:val="it-IT" w:eastAsia="it-IT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 w:eastAsia="it-IT"/>
              </w:rPr>
              <w:t>31.57 ± 7.62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39E" w:rsidRPr="0056339E" w:rsidRDefault="0056339E" w:rsidP="00F636DB">
            <w:pPr>
              <w:jc w:val="center"/>
              <w:rPr>
                <w:color w:val="000000" w:themeColor="text1"/>
                <w:sz w:val="20"/>
                <w:szCs w:val="20"/>
                <w:lang w:val="it-IT" w:eastAsia="it-IT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 w:eastAsia="it-IT"/>
              </w:rPr>
              <w:t>4.34 (4.11 – 4.59)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39E" w:rsidRPr="0056339E" w:rsidRDefault="0056339E" w:rsidP="00F636DB">
            <w:pPr>
              <w:jc w:val="center"/>
              <w:rPr>
                <w:color w:val="000000" w:themeColor="text1"/>
                <w:sz w:val="20"/>
                <w:szCs w:val="20"/>
                <w:lang w:val="it-IT" w:eastAsia="it-IT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 w:eastAsia="it-IT"/>
              </w:rPr>
              <w:t>23.48 ± 5.66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39E" w:rsidRPr="0056339E" w:rsidRDefault="0056339E" w:rsidP="00F636DB">
            <w:pPr>
              <w:jc w:val="center"/>
              <w:rPr>
                <w:color w:val="000000" w:themeColor="text1"/>
                <w:sz w:val="20"/>
                <w:szCs w:val="20"/>
                <w:lang w:val="it-IT" w:eastAsia="it-IT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 w:eastAsia="it-IT"/>
              </w:rPr>
              <w:t>5.06 (4.77 – 5.42)</w:t>
            </w:r>
          </w:p>
        </w:tc>
      </w:tr>
      <w:tr w:rsidR="0056339E" w:rsidRPr="0056339E" w:rsidTr="00F636DB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39E" w:rsidRPr="0056339E" w:rsidRDefault="0056339E" w:rsidP="00F636DB">
            <w:pPr>
              <w:jc w:val="center"/>
              <w:rPr>
                <w:color w:val="000000" w:themeColor="text1"/>
                <w:sz w:val="20"/>
                <w:szCs w:val="20"/>
                <w:lang w:val="it-IT" w:eastAsia="it-IT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 w:eastAsia="it-IT"/>
              </w:rPr>
              <w:t>Sf + Hb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39E" w:rsidRPr="0056339E" w:rsidRDefault="0056339E" w:rsidP="00F636DB">
            <w:pPr>
              <w:jc w:val="center"/>
              <w:rPr>
                <w:color w:val="000000" w:themeColor="text1"/>
                <w:sz w:val="20"/>
                <w:szCs w:val="20"/>
                <w:lang w:val="it-IT" w:eastAsia="it-IT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 w:eastAsia="it-IT"/>
              </w:rPr>
              <w:t>43.25 ± 8.84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39E" w:rsidRPr="0056339E" w:rsidRDefault="0056339E" w:rsidP="00F636DB">
            <w:pPr>
              <w:jc w:val="center"/>
              <w:rPr>
                <w:color w:val="000000" w:themeColor="text1"/>
                <w:sz w:val="20"/>
                <w:szCs w:val="20"/>
                <w:lang w:val="it-IT" w:eastAsia="it-IT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 w:eastAsia="it-IT"/>
              </w:rPr>
              <w:t>3.65 (3.50 – 3.80)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39E" w:rsidRPr="0056339E" w:rsidRDefault="0056339E" w:rsidP="00F636DB">
            <w:pPr>
              <w:jc w:val="center"/>
              <w:rPr>
                <w:color w:val="000000" w:themeColor="text1"/>
                <w:sz w:val="20"/>
                <w:szCs w:val="20"/>
                <w:lang w:val="it-IT" w:eastAsia="it-IT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 w:eastAsia="it-IT"/>
              </w:rPr>
              <w:t>24.14 ± 5.15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39E" w:rsidRPr="0056339E" w:rsidRDefault="0056339E" w:rsidP="00F636DB">
            <w:pPr>
              <w:jc w:val="center"/>
              <w:rPr>
                <w:color w:val="000000" w:themeColor="text1"/>
                <w:sz w:val="20"/>
                <w:szCs w:val="20"/>
                <w:lang w:val="it-IT" w:eastAsia="it-IT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 w:eastAsia="it-IT"/>
              </w:rPr>
              <w:t>4.61 (4.25 – 5.03)</w:t>
            </w:r>
          </w:p>
        </w:tc>
      </w:tr>
      <w:tr w:rsidR="0056339E" w:rsidRPr="0056339E" w:rsidTr="00F636DB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39E" w:rsidRPr="0056339E" w:rsidRDefault="0056339E" w:rsidP="00F636DB">
            <w:pPr>
              <w:jc w:val="center"/>
              <w:rPr>
                <w:color w:val="000000" w:themeColor="text1"/>
                <w:sz w:val="20"/>
                <w:szCs w:val="20"/>
                <w:lang w:val="it-IT" w:eastAsia="it-IT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 w:eastAsia="it-IT"/>
              </w:rPr>
              <w:t>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39E" w:rsidRPr="0056339E" w:rsidRDefault="0056339E" w:rsidP="00F636DB">
            <w:pPr>
              <w:jc w:val="center"/>
              <w:rPr>
                <w:color w:val="000000" w:themeColor="text1"/>
                <w:sz w:val="20"/>
                <w:szCs w:val="20"/>
                <w:lang w:val="it-IT" w:eastAsia="it-IT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 w:eastAsia="it-IT"/>
              </w:rPr>
              <w:t>46.82 ± 9.46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39E" w:rsidRPr="0056339E" w:rsidRDefault="0056339E" w:rsidP="00F636DB">
            <w:pPr>
              <w:jc w:val="center"/>
              <w:rPr>
                <w:color w:val="000000" w:themeColor="text1"/>
                <w:sz w:val="20"/>
                <w:szCs w:val="20"/>
                <w:lang w:val="it-IT" w:eastAsia="it-IT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 w:eastAsia="it-IT"/>
              </w:rPr>
              <w:t>3.24 (3.06 – 3.37)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39E" w:rsidRPr="0056339E" w:rsidRDefault="0056339E" w:rsidP="00F636DB">
            <w:pPr>
              <w:jc w:val="center"/>
              <w:rPr>
                <w:color w:val="000000" w:themeColor="text1"/>
                <w:sz w:val="20"/>
                <w:szCs w:val="20"/>
                <w:lang w:val="it-IT" w:eastAsia="it-IT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 w:eastAsia="it-IT"/>
              </w:rPr>
              <w:t>40.08 ± 8.44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39E" w:rsidRPr="0056339E" w:rsidRDefault="0056339E" w:rsidP="00F636DB">
            <w:pPr>
              <w:jc w:val="center"/>
              <w:rPr>
                <w:color w:val="000000" w:themeColor="text1"/>
                <w:sz w:val="20"/>
                <w:szCs w:val="20"/>
                <w:lang w:val="it-IT" w:eastAsia="it-IT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 w:eastAsia="it-IT"/>
              </w:rPr>
              <w:t>3.69 (3.46 – 3.90)</w:t>
            </w:r>
          </w:p>
        </w:tc>
      </w:tr>
      <w:tr w:rsidR="0056339E" w:rsidRPr="0056339E" w:rsidTr="00F636DB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339E" w:rsidRPr="0056339E" w:rsidRDefault="0056339E" w:rsidP="00F636DB">
            <w:pPr>
              <w:jc w:val="center"/>
              <w:rPr>
                <w:color w:val="000000" w:themeColor="text1"/>
                <w:sz w:val="20"/>
                <w:szCs w:val="20"/>
                <w:lang w:val="it-IT" w:eastAsia="it-IT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 w:eastAsia="it-IT"/>
              </w:rPr>
              <w:t>Sf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339E" w:rsidRPr="0056339E" w:rsidRDefault="0056339E" w:rsidP="00F636DB">
            <w:pPr>
              <w:jc w:val="center"/>
              <w:rPr>
                <w:color w:val="000000" w:themeColor="text1"/>
                <w:sz w:val="20"/>
                <w:szCs w:val="20"/>
                <w:lang w:val="it-IT" w:eastAsia="it-IT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 w:eastAsia="it-IT"/>
              </w:rPr>
              <w:t>40.83 ± 8.78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339E" w:rsidRPr="0056339E" w:rsidRDefault="0056339E" w:rsidP="00F636DB">
            <w:pPr>
              <w:jc w:val="center"/>
              <w:rPr>
                <w:color w:val="000000" w:themeColor="text1"/>
                <w:sz w:val="20"/>
                <w:szCs w:val="20"/>
                <w:lang w:val="it-IT" w:eastAsia="it-IT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 w:eastAsia="it-IT"/>
              </w:rPr>
              <w:t>3.49 (3.30 – 3.68)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339E" w:rsidRPr="0056339E" w:rsidRDefault="0056339E" w:rsidP="00F636DB">
            <w:pPr>
              <w:jc w:val="center"/>
              <w:rPr>
                <w:color w:val="000000" w:themeColor="text1"/>
                <w:sz w:val="20"/>
                <w:szCs w:val="20"/>
                <w:lang w:val="it-IT" w:eastAsia="it-IT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 w:eastAsia="it-IT"/>
              </w:rPr>
              <w:t>34.92 ± 8.21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339E" w:rsidRPr="0056339E" w:rsidRDefault="0056339E" w:rsidP="00F636DB">
            <w:pPr>
              <w:jc w:val="center"/>
              <w:rPr>
                <w:color w:val="000000" w:themeColor="text1"/>
                <w:sz w:val="20"/>
                <w:szCs w:val="20"/>
                <w:lang w:val="it-IT" w:eastAsia="it-IT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 w:eastAsia="it-IT"/>
              </w:rPr>
              <w:t>4.05 (3.82 – 4.29)</w:t>
            </w:r>
          </w:p>
        </w:tc>
      </w:tr>
    </w:tbl>
    <w:p w:rsidR="0056339E" w:rsidRPr="0056339E" w:rsidRDefault="0056339E" w:rsidP="0056339E">
      <w:pPr>
        <w:rPr>
          <w:color w:val="000000" w:themeColor="text1"/>
          <w:lang w:val="en-US"/>
        </w:rPr>
      </w:pPr>
      <w:r w:rsidRPr="0056339E">
        <w:rPr>
          <w:color w:val="000000" w:themeColor="text1"/>
          <w:vertAlign w:val="superscript"/>
          <w:lang w:val="en-US"/>
        </w:rPr>
        <w:t xml:space="preserve">              a </w:t>
      </w:r>
      <w:r w:rsidRPr="0056339E">
        <w:rPr>
          <w:color w:val="000000" w:themeColor="text1"/>
          <w:lang w:val="en-US"/>
        </w:rPr>
        <w:t>95% lower and upper fiducial limits are shown in parentheses</w:t>
      </w:r>
    </w:p>
    <w:p w:rsidR="0056339E" w:rsidRPr="0056339E" w:rsidRDefault="0056339E" w:rsidP="0056339E">
      <w:pPr>
        <w:shd w:val="clear" w:color="auto" w:fill="FFFFFF"/>
        <w:spacing w:line="480" w:lineRule="auto"/>
        <w:jc w:val="center"/>
        <w:outlineLvl w:val="2"/>
        <w:rPr>
          <w:color w:val="000000" w:themeColor="text1"/>
          <w:lang w:val="en-US"/>
        </w:rPr>
      </w:pPr>
    </w:p>
    <w:p w:rsidR="0056339E" w:rsidRPr="0056339E" w:rsidRDefault="0056339E" w:rsidP="0056339E">
      <w:pPr>
        <w:spacing w:before="78" w:line="480" w:lineRule="auto"/>
        <w:ind w:left="154"/>
        <w:jc w:val="both"/>
        <w:rPr>
          <w:color w:val="000000" w:themeColor="text1"/>
          <w:lang w:val="en-US"/>
        </w:rPr>
      </w:pPr>
      <w:r w:rsidRPr="0056339E">
        <w:rPr>
          <w:b/>
          <w:color w:val="000000" w:themeColor="text1"/>
          <w:lang w:val="en-GB"/>
        </w:rPr>
        <w:t>Table S2</w:t>
      </w:r>
      <w:r w:rsidRPr="0056339E">
        <w:rPr>
          <w:color w:val="000000" w:themeColor="text1"/>
          <w:lang w:val="en-GB"/>
        </w:rPr>
        <w:t xml:space="preserve">. </w:t>
      </w:r>
      <w:r w:rsidRPr="0056339E">
        <w:rPr>
          <w:color w:val="000000" w:themeColor="text1"/>
          <w:lang w:val="en-US"/>
        </w:rPr>
        <w:t xml:space="preserve">Average mortality rate of </w:t>
      </w:r>
      <w:r w:rsidRPr="0056339E">
        <w:rPr>
          <w:i/>
          <w:color w:val="000000" w:themeColor="text1"/>
          <w:lang w:val="en-US"/>
        </w:rPr>
        <w:t xml:space="preserve">Hyalesthes obsoletus </w:t>
      </w:r>
      <w:r w:rsidRPr="0056339E">
        <w:rPr>
          <w:color w:val="000000" w:themeColor="text1"/>
          <w:lang w:val="en-US"/>
        </w:rPr>
        <w:t>nymphs and adults treated with EPNs. Sc (</w:t>
      </w:r>
      <w:r w:rsidRPr="0056339E">
        <w:rPr>
          <w:i/>
          <w:color w:val="000000" w:themeColor="text1"/>
          <w:lang w:val="en-US"/>
        </w:rPr>
        <w:t>S. carpocapsae</w:t>
      </w:r>
      <w:r w:rsidRPr="0056339E">
        <w:rPr>
          <w:color w:val="000000" w:themeColor="text1"/>
          <w:lang w:val="en-US"/>
        </w:rPr>
        <w:t>), Sf (</w:t>
      </w:r>
      <w:r w:rsidRPr="0056339E">
        <w:rPr>
          <w:i/>
          <w:color w:val="000000" w:themeColor="text1"/>
          <w:lang w:val="en-US"/>
        </w:rPr>
        <w:t>S. feltiae</w:t>
      </w:r>
      <w:r w:rsidRPr="0056339E">
        <w:rPr>
          <w:color w:val="000000" w:themeColor="text1"/>
          <w:lang w:val="en-US"/>
        </w:rPr>
        <w:t>), Sf + Hb (</w:t>
      </w:r>
      <w:r w:rsidRPr="0056339E">
        <w:rPr>
          <w:i/>
          <w:color w:val="000000" w:themeColor="text1"/>
          <w:lang w:val="en-US"/>
        </w:rPr>
        <w:t>S. feltiae</w:t>
      </w:r>
      <w:r w:rsidRPr="0056339E">
        <w:rPr>
          <w:color w:val="000000" w:themeColor="text1"/>
          <w:lang w:val="en-US"/>
        </w:rPr>
        <w:t xml:space="preserve"> + </w:t>
      </w:r>
      <w:r w:rsidRPr="0056339E">
        <w:rPr>
          <w:i/>
          <w:color w:val="000000" w:themeColor="text1"/>
          <w:lang w:val="en-US"/>
        </w:rPr>
        <w:t>H. bacteriophora</w:t>
      </w:r>
      <w:r w:rsidRPr="0056339E">
        <w:rPr>
          <w:color w:val="000000" w:themeColor="text1"/>
          <w:lang w:val="en-US"/>
        </w:rPr>
        <w:t>), Hb (</w:t>
      </w:r>
      <w:r w:rsidRPr="0056339E">
        <w:rPr>
          <w:i/>
          <w:color w:val="000000" w:themeColor="text1"/>
          <w:lang w:val="en-US"/>
        </w:rPr>
        <w:t>H. bacteriophora</w:t>
      </w:r>
      <w:r w:rsidRPr="0056339E">
        <w:rPr>
          <w:color w:val="000000" w:themeColor="text1"/>
          <w:lang w:val="en-US"/>
        </w:rPr>
        <w:t>).</w:t>
      </w:r>
    </w:p>
    <w:p w:rsidR="0056339E" w:rsidRPr="0056339E" w:rsidRDefault="0056339E" w:rsidP="0056339E">
      <w:pPr>
        <w:pStyle w:val="BodyText"/>
        <w:spacing w:before="122" w:line="480" w:lineRule="auto"/>
        <w:ind w:left="0"/>
        <w:rPr>
          <w:color w:val="000000" w:themeColor="text1"/>
          <w:sz w:val="18"/>
          <w:lang w:eastAsia="en-GB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1095"/>
        <w:gridCol w:w="1217"/>
        <w:gridCol w:w="737"/>
        <w:gridCol w:w="1217"/>
        <w:gridCol w:w="737"/>
      </w:tblGrid>
      <w:tr w:rsidR="0056339E" w:rsidRPr="0056339E" w:rsidTr="00F636DB">
        <w:trPr>
          <w:trHeight w:hRule="exact" w:val="284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:rsidR="0056339E" w:rsidRPr="0056339E" w:rsidRDefault="0056339E" w:rsidP="00F636DB">
            <w:pPr>
              <w:spacing w:line="360" w:lineRule="auto"/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b/>
                <w:color w:val="000000" w:themeColor="text1"/>
                <w:sz w:val="20"/>
                <w:szCs w:val="20"/>
                <w:lang w:val="en-US"/>
              </w:rPr>
              <w:t>Treatment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:rsidR="0056339E" w:rsidRPr="0056339E" w:rsidRDefault="0056339E" w:rsidP="00F636DB">
            <w:pPr>
              <w:spacing w:line="360" w:lineRule="auto"/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b/>
                <w:color w:val="000000" w:themeColor="text1"/>
                <w:sz w:val="20"/>
                <w:szCs w:val="20"/>
                <w:lang w:val="en-US"/>
              </w:rPr>
              <w:t>Nymphs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</w:tcBorders>
          </w:tcPr>
          <w:p w:rsidR="0056339E" w:rsidRPr="0056339E" w:rsidRDefault="0056339E" w:rsidP="00F636DB">
            <w:pPr>
              <w:spacing w:line="360" w:lineRule="auto"/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b/>
                <w:color w:val="000000" w:themeColor="text1"/>
                <w:sz w:val="20"/>
                <w:szCs w:val="20"/>
                <w:lang w:val="en-US"/>
              </w:rPr>
              <w:t>Adults</w:t>
            </w:r>
          </w:p>
        </w:tc>
      </w:tr>
      <w:tr w:rsidR="0056339E" w:rsidRPr="0056339E" w:rsidTr="00F636DB">
        <w:trPr>
          <w:trHeight w:hRule="exact" w:val="284"/>
          <w:jc w:val="center"/>
        </w:trPr>
        <w:tc>
          <w:tcPr>
            <w:tcW w:w="0" w:type="auto"/>
            <w:vMerge/>
            <w:tcBorders>
              <w:bottom w:val="single" w:sz="8" w:space="0" w:color="auto"/>
            </w:tcBorders>
          </w:tcPr>
          <w:p w:rsidR="0056339E" w:rsidRPr="0056339E" w:rsidRDefault="0056339E" w:rsidP="00F636DB">
            <w:pPr>
              <w:spacing w:line="360" w:lineRule="auto"/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single" w:sz="8" w:space="0" w:color="auto"/>
            </w:tcBorders>
          </w:tcPr>
          <w:p w:rsidR="0056339E" w:rsidRPr="0056339E" w:rsidRDefault="0056339E" w:rsidP="00F636DB">
            <w:pPr>
              <w:spacing w:line="360" w:lineRule="auto"/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Mean </w:t>
            </w:r>
            <w:r w:rsidRPr="0056339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± SE</w:t>
            </w:r>
          </w:p>
        </w:tc>
        <w:tc>
          <w:tcPr>
            <w:tcW w:w="0" w:type="auto"/>
            <w:tcBorders>
              <w:top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56339E" w:rsidRPr="0056339E" w:rsidRDefault="0056339E" w:rsidP="00F636DB">
            <w:pPr>
              <w:spacing w:line="360" w:lineRule="auto"/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b/>
                <w:color w:val="000000" w:themeColor="text1"/>
                <w:sz w:val="20"/>
                <w:szCs w:val="20"/>
                <w:lang w:val="en-US"/>
              </w:rPr>
              <w:t>Group</w:t>
            </w:r>
          </w:p>
        </w:tc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bottom w:val="single" w:sz="8" w:space="0" w:color="auto"/>
            </w:tcBorders>
          </w:tcPr>
          <w:p w:rsidR="0056339E" w:rsidRPr="0056339E" w:rsidRDefault="0056339E" w:rsidP="00F636DB">
            <w:pPr>
              <w:spacing w:line="360" w:lineRule="auto"/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Mean </w:t>
            </w:r>
            <w:r w:rsidRPr="0056339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± SE</w:t>
            </w:r>
          </w:p>
        </w:tc>
        <w:tc>
          <w:tcPr>
            <w:tcW w:w="0" w:type="auto"/>
            <w:tcBorders>
              <w:top w:val="dashSmallGap" w:sz="4" w:space="0" w:color="auto"/>
              <w:bottom w:val="single" w:sz="8" w:space="0" w:color="auto"/>
            </w:tcBorders>
          </w:tcPr>
          <w:p w:rsidR="0056339E" w:rsidRPr="0056339E" w:rsidRDefault="0056339E" w:rsidP="00F636DB">
            <w:pPr>
              <w:spacing w:line="360" w:lineRule="auto"/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b/>
                <w:color w:val="000000" w:themeColor="text1"/>
                <w:sz w:val="20"/>
                <w:szCs w:val="20"/>
                <w:lang w:val="en-US"/>
              </w:rPr>
              <w:t>Group</w:t>
            </w:r>
          </w:p>
        </w:tc>
      </w:tr>
      <w:tr w:rsidR="0056339E" w:rsidRPr="0056339E" w:rsidTr="00F636DB">
        <w:trPr>
          <w:trHeight w:hRule="exact" w:val="284"/>
          <w:jc w:val="center"/>
        </w:trPr>
        <w:tc>
          <w:tcPr>
            <w:tcW w:w="0" w:type="auto"/>
            <w:tcBorders>
              <w:top w:val="single" w:sz="8" w:space="0" w:color="auto"/>
              <w:bottom w:val="nil"/>
            </w:tcBorders>
          </w:tcPr>
          <w:p w:rsidR="0056339E" w:rsidRPr="0056339E" w:rsidRDefault="0056339E" w:rsidP="00F636DB">
            <w:pPr>
              <w:spacing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iCs/>
                <w:color w:val="000000" w:themeColor="text1"/>
                <w:sz w:val="20"/>
                <w:szCs w:val="20"/>
                <w:lang w:val="en-US"/>
              </w:rPr>
              <w:t>Sc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vAlign w:val="center"/>
          </w:tcPr>
          <w:p w:rsidR="0056339E" w:rsidRPr="0056339E" w:rsidRDefault="0056339E" w:rsidP="00F636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86.67 ± 1.67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  <w:right w:val="dashSmallGap" w:sz="4" w:space="0" w:color="auto"/>
            </w:tcBorders>
          </w:tcPr>
          <w:p w:rsidR="0056339E" w:rsidRPr="0056339E" w:rsidRDefault="0056339E" w:rsidP="00F636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a</w:t>
            </w:r>
          </w:p>
        </w:tc>
        <w:tc>
          <w:tcPr>
            <w:tcW w:w="0" w:type="auto"/>
            <w:tcBorders>
              <w:top w:val="single" w:sz="8" w:space="0" w:color="auto"/>
              <w:left w:val="dashSmallGap" w:sz="4" w:space="0" w:color="auto"/>
              <w:bottom w:val="nil"/>
            </w:tcBorders>
            <w:vAlign w:val="center"/>
          </w:tcPr>
          <w:p w:rsidR="0056339E" w:rsidRPr="0056339E" w:rsidRDefault="0056339E" w:rsidP="00F636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81.67 ± 1.66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</w:tcPr>
          <w:p w:rsidR="0056339E" w:rsidRPr="0056339E" w:rsidRDefault="0056339E" w:rsidP="00F636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a</w:t>
            </w:r>
          </w:p>
        </w:tc>
      </w:tr>
      <w:tr w:rsidR="0056339E" w:rsidRPr="0056339E" w:rsidTr="00F636DB">
        <w:trPr>
          <w:trHeight w:hRule="exact" w:val="284"/>
          <w:jc w:val="center"/>
        </w:trPr>
        <w:tc>
          <w:tcPr>
            <w:tcW w:w="0" w:type="auto"/>
            <w:tcBorders>
              <w:top w:val="nil"/>
            </w:tcBorders>
          </w:tcPr>
          <w:p w:rsidR="0056339E" w:rsidRPr="0056339E" w:rsidRDefault="0056339E" w:rsidP="00F636DB">
            <w:pPr>
              <w:spacing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iCs/>
                <w:color w:val="000000" w:themeColor="text1"/>
                <w:sz w:val="20"/>
                <w:szCs w:val="20"/>
                <w:lang w:val="en-US"/>
              </w:rPr>
              <w:t>Sf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56339E" w:rsidRPr="0056339E" w:rsidRDefault="0056339E" w:rsidP="00F636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80.00 ± 2.89</w:t>
            </w:r>
          </w:p>
        </w:tc>
        <w:tc>
          <w:tcPr>
            <w:tcW w:w="0" w:type="auto"/>
            <w:tcBorders>
              <w:top w:val="nil"/>
              <w:right w:val="dashSmallGap" w:sz="4" w:space="0" w:color="auto"/>
            </w:tcBorders>
          </w:tcPr>
          <w:p w:rsidR="0056339E" w:rsidRPr="0056339E" w:rsidRDefault="0056339E" w:rsidP="00F636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ab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</w:tcBorders>
            <w:vAlign w:val="center"/>
          </w:tcPr>
          <w:p w:rsidR="0056339E" w:rsidRPr="0056339E" w:rsidRDefault="0056339E" w:rsidP="00F636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73.33 ± 1.66</w:t>
            </w:r>
          </w:p>
        </w:tc>
        <w:tc>
          <w:tcPr>
            <w:tcW w:w="0" w:type="auto"/>
            <w:tcBorders>
              <w:top w:val="nil"/>
            </w:tcBorders>
          </w:tcPr>
          <w:p w:rsidR="0056339E" w:rsidRPr="0056339E" w:rsidRDefault="0056339E" w:rsidP="00F636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ab</w:t>
            </w:r>
          </w:p>
        </w:tc>
      </w:tr>
      <w:tr w:rsidR="0056339E" w:rsidRPr="0056339E" w:rsidTr="00F636DB">
        <w:trPr>
          <w:trHeight w:hRule="exact" w:val="284"/>
          <w:jc w:val="center"/>
        </w:trPr>
        <w:tc>
          <w:tcPr>
            <w:tcW w:w="0" w:type="auto"/>
          </w:tcPr>
          <w:p w:rsidR="0056339E" w:rsidRPr="0056339E" w:rsidRDefault="0056339E" w:rsidP="00F636DB">
            <w:pPr>
              <w:spacing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iCs/>
                <w:color w:val="000000" w:themeColor="text1"/>
                <w:sz w:val="20"/>
                <w:szCs w:val="20"/>
                <w:lang w:val="en-US"/>
              </w:rPr>
              <w:t>Sf+Hb</w:t>
            </w:r>
          </w:p>
        </w:tc>
        <w:tc>
          <w:tcPr>
            <w:tcW w:w="0" w:type="auto"/>
            <w:vAlign w:val="center"/>
          </w:tcPr>
          <w:p w:rsidR="0056339E" w:rsidRPr="0056339E" w:rsidRDefault="0056339E" w:rsidP="00F636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68.33 ± 3.33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</w:tcPr>
          <w:p w:rsidR="0056339E" w:rsidRPr="0056339E" w:rsidRDefault="0056339E" w:rsidP="00F636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bc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center"/>
          </w:tcPr>
          <w:p w:rsidR="0056339E" w:rsidRPr="0056339E" w:rsidRDefault="0056339E" w:rsidP="00F636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63.00 ± 4.41</w:t>
            </w:r>
          </w:p>
        </w:tc>
        <w:tc>
          <w:tcPr>
            <w:tcW w:w="0" w:type="auto"/>
          </w:tcPr>
          <w:p w:rsidR="0056339E" w:rsidRPr="0056339E" w:rsidRDefault="0056339E" w:rsidP="00F636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bc</w:t>
            </w:r>
          </w:p>
        </w:tc>
      </w:tr>
      <w:tr w:rsidR="0056339E" w:rsidRPr="0056339E" w:rsidTr="00F636DB">
        <w:trPr>
          <w:trHeight w:hRule="exact" w:val="284"/>
          <w:jc w:val="center"/>
        </w:trPr>
        <w:tc>
          <w:tcPr>
            <w:tcW w:w="0" w:type="auto"/>
          </w:tcPr>
          <w:p w:rsidR="0056339E" w:rsidRPr="0056339E" w:rsidRDefault="0056339E" w:rsidP="00F636DB">
            <w:pPr>
              <w:spacing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iCs/>
                <w:color w:val="000000" w:themeColor="text1"/>
                <w:sz w:val="20"/>
                <w:szCs w:val="20"/>
                <w:lang w:val="en-US"/>
              </w:rPr>
              <w:t>Hb</w:t>
            </w:r>
          </w:p>
        </w:tc>
        <w:tc>
          <w:tcPr>
            <w:tcW w:w="0" w:type="auto"/>
            <w:vAlign w:val="center"/>
          </w:tcPr>
          <w:p w:rsidR="0056339E" w:rsidRPr="0056339E" w:rsidRDefault="0056339E" w:rsidP="00F636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56.67 ± 4.41</w:t>
            </w:r>
          </w:p>
        </w:tc>
        <w:tc>
          <w:tcPr>
            <w:tcW w:w="0" w:type="auto"/>
            <w:tcBorders>
              <w:right w:val="dashSmallGap" w:sz="4" w:space="0" w:color="auto"/>
            </w:tcBorders>
          </w:tcPr>
          <w:p w:rsidR="0056339E" w:rsidRPr="0056339E" w:rsidRDefault="0056339E" w:rsidP="00F636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c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center"/>
          </w:tcPr>
          <w:p w:rsidR="0056339E" w:rsidRPr="0056339E" w:rsidRDefault="0056339E" w:rsidP="00F636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55.00 ± 2.89</w:t>
            </w:r>
          </w:p>
        </w:tc>
        <w:tc>
          <w:tcPr>
            <w:tcW w:w="0" w:type="auto"/>
          </w:tcPr>
          <w:p w:rsidR="0056339E" w:rsidRPr="0056339E" w:rsidRDefault="0056339E" w:rsidP="00F636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c</w:t>
            </w:r>
          </w:p>
        </w:tc>
      </w:tr>
      <w:tr w:rsidR="0056339E" w:rsidRPr="0056339E" w:rsidTr="00F636DB">
        <w:trPr>
          <w:trHeight w:hRule="exact" w:val="284"/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56339E" w:rsidRPr="0056339E" w:rsidRDefault="0056339E" w:rsidP="00F636DB">
            <w:pPr>
              <w:spacing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56339E" w:rsidRPr="0056339E" w:rsidRDefault="0056339E" w:rsidP="00F636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6.67 ± 4.41</w:t>
            </w:r>
          </w:p>
        </w:tc>
        <w:tc>
          <w:tcPr>
            <w:tcW w:w="0" w:type="auto"/>
            <w:tcBorders>
              <w:bottom w:val="single" w:sz="4" w:space="0" w:color="auto"/>
              <w:right w:val="dashSmallGap" w:sz="4" w:space="0" w:color="auto"/>
            </w:tcBorders>
          </w:tcPr>
          <w:p w:rsidR="0056339E" w:rsidRPr="0056339E" w:rsidRDefault="0056339E" w:rsidP="00F636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d</w:t>
            </w:r>
          </w:p>
        </w:tc>
        <w:tc>
          <w:tcPr>
            <w:tcW w:w="0" w:type="auto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:rsidR="0056339E" w:rsidRPr="0056339E" w:rsidRDefault="0056339E" w:rsidP="00F636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16.67 ± 1.67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6339E" w:rsidRPr="0056339E" w:rsidRDefault="0056339E" w:rsidP="00F636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d</w:t>
            </w:r>
          </w:p>
        </w:tc>
      </w:tr>
    </w:tbl>
    <w:p w:rsidR="0056339E" w:rsidRPr="0056339E" w:rsidRDefault="0056339E" w:rsidP="0056339E">
      <w:pPr>
        <w:ind w:left="1134" w:right="1128"/>
        <w:rPr>
          <w:color w:val="000000" w:themeColor="text1"/>
          <w:sz w:val="18"/>
          <w:szCs w:val="18"/>
          <w:lang w:val="en-US"/>
        </w:rPr>
      </w:pPr>
    </w:p>
    <w:p w:rsidR="0056339E" w:rsidRPr="0056339E" w:rsidRDefault="0056339E" w:rsidP="0056339E">
      <w:pPr>
        <w:ind w:left="1134" w:right="1128"/>
        <w:rPr>
          <w:color w:val="000000" w:themeColor="text1"/>
          <w:sz w:val="18"/>
          <w:szCs w:val="18"/>
          <w:lang w:val="en-US"/>
        </w:rPr>
      </w:pPr>
      <w:r w:rsidRPr="0056339E">
        <w:rPr>
          <w:color w:val="000000" w:themeColor="text1"/>
          <w:sz w:val="18"/>
          <w:szCs w:val="18"/>
          <w:lang w:val="en-US"/>
        </w:rPr>
        <w:t>Means followed by similar letters in the group column are not significantly different according to Tukey’s HSD test (</w:t>
      </w:r>
      <w:r w:rsidRPr="0056339E">
        <w:rPr>
          <w:i/>
          <w:color w:val="000000" w:themeColor="text1"/>
          <w:sz w:val="18"/>
          <w:szCs w:val="18"/>
          <w:lang w:val="en-US"/>
        </w:rPr>
        <w:t>p</w:t>
      </w:r>
      <w:r w:rsidRPr="0056339E">
        <w:rPr>
          <w:color w:val="000000" w:themeColor="text1"/>
          <w:sz w:val="18"/>
          <w:szCs w:val="18"/>
          <w:lang w:val="en-US"/>
        </w:rPr>
        <w:t> ≥ 0.05)</w:t>
      </w:r>
    </w:p>
    <w:p w:rsidR="0056339E" w:rsidRPr="0056339E" w:rsidRDefault="0056339E" w:rsidP="0056339E">
      <w:pPr>
        <w:pStyle w:val="NormalWeb"/>
        <w:spacing w:before="0" w:beforeAutospacing="0" w:after="0" w:afterAutospacing="0" w:line="480" w:lineRule="auto"/>
        <w:jc w:val="both"/>
        <w:rPr>
          <w:color w:val="000000" w:themeColor="text1"/>
          <w:lang w:val="en-US"/>
        </w:rPr>
      </w:pPr>
      <w:r w:rsidRPr="0056339E">
        <w:rPr>
          <w:b/>
          <w:color w:val="000000" w:themeColor="text1"/>
          <w:lang w:val="en-US"/>
        </w:rPr>
        <w:t>Table S3</w:t>
      </w:r>
      <w:r w:rsidRPr="0056339E">
        <w:rPr>
          <w:color w:val="000000" w:themeColor="text1"/>
          <w:lang w:val="en-US"/>
        </w:rPr>
        <w:t>. LC</w:t>
      </w:r>
      <w:r w:rsidRPr="0056339E">
        <w:rPr>
          <w:color w:val="000000" w:themeColor="text1"/>
          <w:vertAlign w:val="subscript"/>
          <w:lang w:val="en-US"/>
        </w:rPr>
        <w:t>50</w:t>
      </w:r>
      <w:r w:rsidRPr="0056339E">
        <w:rPr>
          <w:color w:val="000000" w:themeColor="text1"/>
          <w:lang w:val="en-US"/>
        </w:rPr>
        <w:t xml:space="preserve"> of EPFs against </w:t>
      </w:r>
      <w:r w:rsidRPr="0056339E">
        <w:rPr>
          <w:i/>
          <w:color w:val="000000" w:themeColor="text1"/>
          <w:lang w:val="en-US"/>
        </w:rPr>
        <w:t>Hyalesthes obsoletus</w:t>
      </w:r>
      <w:r w:rsidRPr="0056339E">
        <w:rPr>
          <w:color w:val="000000" w:themeColor="text1"/>
          <w:lang w:val="en-US"/>
        </w:rPr>
        <w:t xml:space="preserve"> adults calculated 4 days after treatment. Means represent the mortality rate per cage. </w:t>
      </w:r>
    </w:p>
    <w:p w:rsidR="0056339E" w:rsidRPr="0056339E" w:rsidRDefault="0056339E" w:rsidP="0056339E">
      <w:pPr>
        <w:pStyle w:val="NormalWeb"/>
        <w:spacing w:before="0" w:beforeAutospacing="0" w:after="0" w:afterAutospacing="0" w:line="480" w:lineRule="auto"/>
        <w:jc w:val="both"/>
        <w:rPr>
          <w:color w:val="000000" w:themeColor="text1"/>
          <w:lang w:val="en-US"/>
        </w:rPr>
      </w:pPr>
    </w:p>
    <w:tbl>
      <w:tblPr>
        <w:tblW w:w="7513" w:type="dxa"/>
        <w:jc w:val="center"/>
        <w:tblBorders>
          <w:top w:val="single" w:sz="8" w:space="0" w:color="auto"/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1446"/>
        <w:gridCol w:w="1339"/>
        <w:gridCol w:w="1126"/>
        <w:gridCol w:w="1476"/>
        <w:gridCol w:w="2126"/>
      </w:tblGrid>
      <w:tr w:rsidR="0056339E" w:rsidRPr="0056339E" w:rsidTr="00F636DB">
        <w:trPr>
          <w:trHeight w:hRule="exact" w:val="567"/>
          <w:jc w:val="center"/>
        </w:trPr>
        <w:tc>
          <w:tcPr>
            <w:tcW w:w="1446" w:type="dxa"/>
            <w:tcBorders>
              <w:top w:val="single" w:sz="8" w:space="0" w:color="auto"/>
              <w:bottom w:val="single" w:sz="8" w:space="0" w:color="auto"/>
            </w:tcBorders>
          </w:tcPr>
          <w:p w:rsidR="0056339E" w:rsidRPr="0056339E" w:rsidRDefault="0056339E" w:rsidP="00F636D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EPFs</w:t>
            </w:r>
          </w:p>
        </w:tc>
        <w:tc>
          <w:tcPr>
            <w:tcW w:w="1339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:rsidR="0056339E" w:rsidRPr="0056339E" w:rsidRDefault="0056339E" w:rsidP="00F636D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Strain</w:t>
            </w:r>
          </w:p>
        </w:tc>
        <w:tc>
          <w:tcPr>
            <w:tcW w:w="1126" w:type="dxa"/>
            <w:tcBorders>
              <w:top w:val="single" w:sz="8" w:space="0" w:color="auto"/>
              <w:bottom w:val="single" w:sz="8" w:space="0" w:color="auto"/>
            </w:tcBorders>
          </w:tcPr>
          <w:p w:rsidR="0056339E" w:rsidRPr="0056339E" w:rsidRDefault="0056339E" w:rsidP="00F636D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log</w:t>
            </w:r>
            <w:r w:rsidRPr="0056339E">
              <w:rPr>
                <w:b/>
                <w:bCs/>
                <w:color w:val="000000" w:themeColor="text1"/>
                <w:sz w:val="20"/>
                <w:szCs w:val="20"/>
                <w:vertAlign w:val="subscript"/>
                <w:lang w:val="en-US"/>
              </w:rPr>
              <w:t xml:space="preserve">10 </w:t>
            </w:r>
            <w:r w:rsidRPr="0056339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conc</w:t>
            </w:r>
          </w:p>
        </w:tc>
        <w:tc>
          <w:tcPr>
            <w:tcW w:w="1476" w:type="dxa"/>
            <w:tcBorders>
              <w:top w:val="single" w:sz="8" w:space="0" w:color="auto"/>
              <w:bottom w:val="single" w:sz="8" w:space="0" w:color="auto"/>
            </w:tcBorders>
          </w:tcPr>
          <w:p w:rsidR="0056339E" w:rsidRPr="0056339E" w:rsidRDefault="0056339E" w:rsidP="00F636D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b/>
                <w:bCs/>
                <w:color w:val="000000" w:themeColor="text1"/>
                <w:sz w:val="20"/>
                <w:szCs w:val="20"/>
                <w:lang w:val="en-US" w:eastAsia="it-IT"/>
              </w:rPr>
              <w:t>% mortality mean ± SE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:rsidR="0056339E" w:rsidRPr="0056339E" w:rsidRDefault="0056339E" w:rsidP="00F636D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log</w:t>
            </w:r>
            <w:r w:rsidRPr="0056339E">
              <w:rPr>
                <w:b/>
                <w:bCs/>
                <w:color w:val="000000" w:themeColor="text1"/>
                <w:sz w:val="20"/>
                <w:szCs w:val="20"/>
                <w:vertAlign w:val="subscript"/>
                <w:lang w:val="en-US"/>
              </w:rPr>
              <w:t>10</w:t>
            </w:r>
            <w:r w:rsidRPr="0056339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LC</w:t>
            </w:r>
            <w:r w:rsidRPr="0056339E">
              <w:rPr>
                <w:b/>
                <w:bCs/>
                <w:color w:val="000000" w:themeColor="text1"/>
                <w:sz w:val="20"/>
                <w:szCs w:val="20"/>
                <w:vertAlign w:val="subscript"/>
                <w:lang w:val="en-US"/>
              </w:rPr>
              <w:t>50</w:t>
            </w:r>
            <w:r w:rsidRPr="0056339E"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a</w:t>
            </w:r>
          </w:p>
        </w:tc>
      </w:tr>
      <w:tr w:rsidR="0056339E" w:rsidRPr="0056339E" w:rsidTr="00F636DB">
        <w:trPr>
          <w:trHeight w:hRule="exact" w:val="284"/>
          <w:jc w:val="center"/>
        </w:trPr>
        <w:tc>
          <w:tcPr>
            <w:tcW w:w="1446" w:type="dxa"/>
            <w:vMerge w:val="restart"/>
            <w:tcBorders>
              <w:top w:val="single" w:sz="8" w:space="0" w:color="auto"/>
            </w:tcBorders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B. bassiana</w:t>
            </w:r>
          </w:p>
        </w:tc>
        <w:tc>
          <w:tcPr>
            <w:tcW w:w="1339" w:type="dxa"/>
            <w:vMerge w:val="restart"/>
            <w:tcBorders>
              <w:top w:val="single" w:sz="8" w:space="0" w:color="auto"/>
            </w:tcBorders>
            <w:noWrap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 w:eastAsia="it-IT"/>
              </w:rPr>
              <w:t>JKI-BI-</w:t>
            </w: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1125</w:t>
            </w:r>
          </w:p>
        </w:tc>
        <w:tc>
          <w:tcPr>
            <w:tcW w:w="1126" w:type="dxa"/>
            <w:tcBorders>
              <w:top w:val="single" w:sz="8" w:space="0" w:color="auto"/>
            </w:tcBorders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1476" w:type="dxa"/>
            <w:tcBorders>
              <w:top w:val="single" w:sz="8" w:space="0" w:color="auto"/>
            </w:tcBorders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bCs/>
                <w:color w:val="000000" w:themeColor="text1"/>
                <w:sz w:val="20"/>
                <w:szCs w:val="20"/>
                <w:lang w:val="en-US"/>
              </w:rPr>
              <w:t>11.11 ± 2.77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</w:tcBorders>
            <w:noWrap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bCs/>
                <w:color w:val="000000" w:themeColor="text1"/>
                <w:sz w:val="20"/>
                <w:szCs w:val="20"/>
                <w:lang w:val="en-US"/>
              </w:rPr>
              <w:t>8.89 (8.43 - 9.46)</w:t>
            </w:r>
          </w:p>
        </w:tc>
      </w:tr>
      <w:tr w:rsidR="0056339E" w:rsidRPr="0056339E" w:rsidTr="00F636DB">
        <w:trPr>
          <w:trHeight w:hRule="exact" w:val="284"/>
          <w:jc w:val="center"/>
        </w:trPr>
        <w:tc>
          <w:tcPr>
            <w:tcW w:w="1446" w:type="dxa"/>
            <w:vMerge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39" w:type="dxa"/>
            <w:vMerge/>
            <w:noWrap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26" w:type="dxa"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1476" w:type="dxa"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bCs/>
                <w:color w:val="000000" w:themeColor="text1"/>
                <w:sz w:val="20"/>
                <w:szCs w:val="20"/>
                <w:lang w:val="en-US"/>
              </w:rPr>
              <w:t>41.67 ± 4.81</w:t>
            </w:r>
          </w:p>
        </w:tc>
        <w:tc>
          <w:tcPr>
            <w:tcW w:w="2126" w:type="dxa"/>
            <w:vMerge/>
            <w:noWrap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6339E" w:rsidRPr="0056339E" w:rsidTr="00F636DB">
        <w:trPr>
          <w:trHeight w:hRule="exact" w:val="284"/>
          <w:jc w:val="center"/>
        </w:trPr>
        <w:tc>
          <w:tcPr>
            <w:tcW w:w="1446" w:type="dxa"/>
            <w:vMerge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39" w:type="dxa"/>
            <w:vMerge/>
            <w:noWrap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26" w:type="dxa"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  <w:tc>
          <w:tcPr>
            <w:tcW w:w="1476" w:type="dxa"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bCs/>
                <w:color w:val="000000" w:themeColor="text1"/>
                <w:sz w:val="20"/>
                <w:szCs w:val="20"/>
                <w:lang w:val="en-US"/>
              </w:rPr>
              <w:t>63.89 ± 7.84</w:t>
            </w:r>
          </w:p>
        </w:tc>
        <w:tc>
          <w:tcPr>
            <w:tcW w:w="2126" w:type="dxa"/>
            <w:vMerge/>
            <w:noWrap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6339E" w:rsidRPr="0056339E" w:rsidTr="00F636DB">
        <w:trPr>
          <w:trHeight w:hRule="exact" w:val="284"/>
          <w:jc w:val="center"/>
        </w:trPr>
        <w:tc>
          <w:tcPr>
            <w:tcW w:w="1446" w:type="dxa"/>
            <w:vMerge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39" w:type="dxa"/>
            <w:vMerge w:val="restart"/>
            <w:noWrap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 w:eastAsia="it-IT"/>
              </w:rPr>
              <w:t>JKI-BI-</w:t>
            </w: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1126</w:t>
            </w:r>
          </w:p>
        </w:tc>
        <w:tc>
          <w:tcPr>
            <w:tcW w:w="1126" w:type="dxa"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1476" w:type="dxa"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bCs/>
                <w:color w:val="000000" w:themeColor="text1"/>
                <w:sz w:val="20"/>
                <w:szCs w:val="20"/>
                <w:lang w:val="en-US"/>
              </w:rPr>
              <w:t>16.66 ± 4.81</w:t>
            </w:r>
          </w:p>
        </w:tc>
        <w:tc>
          <w:tcPr>
            <w:tcW w:w="2126" w:type="dxa"/>
            <w:vMerge w:val="restart"/>
            <w:noWrap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9.23 (8.59 – 10.15) </w:t>
            </w:r>
          </w:p>
        </w:tc>
      </w:tr>
      <w:tr w:rsidR="0056339E" w:rsidRPr="0056339E" w:rsidTr="00F636DB">
        <w:trPr>
          <w:trHeight w:hRule="exact" w:val="284"/>
          <w:jc w:val="center"/>
        </w:trPr>
        <w:tc>
          <w:tcPr>
            <w:tcW w:w="1446" w:type="dxa"/>
            <w:vMerge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39" w:type="dxa"/>
            <w:vMerge/>
            <w:noWrap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26" w:type="dxa"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1476" w:type="dxa"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bCs/>
                <w:color w:val="000000" w:themeColor="text1"/>
                <w:sz w:val="20"/>
                <w:szCs w:val="20"/>
                <w:lang w:val="en-US"/>
              </w:rPr>
              <w:t>36.11 ± 2.78</w:t>
            </w:r>
          </w:p>
        </w:tc>
        <w:tc>
          <w:tcPr>
            <w:tcW w:w="2126" w:type="dxa"/>
            <w:vMerge/>
            <w:noWrap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6339E" w:rsidRPr="0056339E" w:rsidTr="00F636DB">
        <w:trPr>
          <w:trHeight w:hRule="exact" w:val="284"/>
          <w:jc w:val="center"/>
        </w:trPr>
        <w:tc>
          <w:tcPr>
            <w:tcW w:w="1446" w:type="dxa"/>
            <w:vMerge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39" w:type="dxa"/>
            <w:vMerge/>
            <w:noWrap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26" w:type="dxa"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  <w:tc>
          <w:tcPr>
            <w:tcW w:w="1476" w:type="dxa"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bCs/>
                <w:color w:val="000000" w:themeColor="text1"/>
                <w:sz w:val="20"/>
                <w:szCs w:val="20"/>
                <w:lang w:val="en-US"/>
              </w:rPr>
              <w:t>58.33 ± 9.68</w:t>
            </w:r>
          </w:p>
        </w:tc>
        <w:tc>
          <w:tcPr>
            <w:tcW w:w="2126" w:type="dxa"/>
            <w:vMerge/>
            <w:noWrap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6339E" w:rsidRPr="0056339E" w:rsidTr="00F636DB">
        <w:trPr>
          <w:trHeight w:hRule="exact" w:val="284"/>
          <w:jc w:val="center"/>
        </w:trPr>
        <w:tc>
          <w:tcPr>
            <w:tcW w:w="1446" w:type="dxa"/>
            <w:vMerge w:val="restart"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M. anisopliae</w:t>
            </w:r>
          </w:p>
        </w:tc>
        <w:tc>
          <w:tcPr>
            <w:tcW w:w="1339" w:type="dxa"/>
            <w:vMerge w:val="restart"/>
            <w:noWrap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 w:eastAsia="it-IT"/>
              </w:rPr>
              <w:t>JKI-BI-</w:t>
            </w: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1429</w:t>
            </w:r>
          </w:p>
        </w:tc>
        <w:tc>
          <w:tcPr>
            <w:tcW w:w="1126" w:type="dxa"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1476" w:type="dxa"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bCs/>
                <w:color w:val="000000" w:themeColor="text1"/>
                <w:sz w:val="20"/>
                <w:szCs w:val="20"/>
                <w:lang w:val="en-US"/>
              </w:rPr>
              <w:t>19.44 ± 2.77</w:t>
            </w:r>
          </w:p>
        </w:tc>
        <w:tc>
          <w:tcPr>
            <w:tcW w:w="2126" w:type="dxa"/>
            <w:vMerge w:val="restart"/>
            <w:noWrap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8.21 (7.99 – 8.43)   </w:t>
            </w:r>
          </w:p>
        </w:tc>
      </w:tr>
      <w:tr w:rsidR="0056339E" w:rsidRPr="0056339E" w:rsidTr="00F636DB">
        <w:trPr>
          <w:trHeight w:hRule="exact" w:val="284"/>
          <w:jc w:val="center"/>
        </w:trPr>
        <w:tc>
          <w:tcPr>
            <w:tcW w:w="1446" w:type="dxa"/>
            <w:vMerge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39" w:type="dxa"/>
            <w:vMerge/>
            <w:noWrap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26" w:type="dxa"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1476" w:type="dxa"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44.44 ± 2.77 </w:t>
            </w:r>
          </w:p>
        </w:tc>
        <w:tc>
          <w:tcPr>
            <w:tcW w:w="2126" w:type="dxa"/>
            <w:vMerge/>
            <w:noWrap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6339E" w:rsidRPr="0056339E" w:rsidTr="00F636DB">
        <w:trPr>
          <w:trHeight w:hRule="exact" w:val="284"/>
          <w:jc w:val="center"/>
        </w:trPr>
        <w:tc>
          <w:tcPr>
            <w:tcW w:w="1446" w:type="dxa"/>
            <w:vMerge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39" w:type="dxa"/>
            <w:vMerge/>
            <w:noWrap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26" w:type="dxa"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  <w:tc>
          <w:tcPr>
            <w:tcW w:w="1476" w:type="dxa"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77.78 ± 2.78</w:t>
            </w:r>
          </w:p>
        </w:tc>
        <w:tc>
          <w:tcPr>
            <w:tcW w:w="2126" w:type="dxa"/>
            <w:vMerge/>
            <w:noWrap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6339E" w:rsidRPr="0056339E" w:rsidTr="00F636DB">
        <w:trPr>
          <w:trHeight w:hRule="exact" w:val="284"/>
          <w:jc w:val="center"/>
        </w:trPr>
        <w:tc>
          <w:tcPr>
            <w:tcW w:w="1446" w:type="dxa"/>
            <w:vMerge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39" w:type="dxa"/>
            <w:vMerge w:val="restart"/>
            <w:noWrap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 w:eastAsia="it-IT"/>
              </w:rPr>
              <w:t>JKI-BI-</w:t>
            </w: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1430</w:t>
            </w:r>
          </w:p>
        </w:tc>
        <w:tc>
          <w:tcPr>
            <w:tcW w:w="1126" w:type="dxa"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1476" w:type="dxa"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27.78 ± 7.35</w:t>
            </w:r>
          </w:p>
        </w:tc>
        <w:tc>
          <w:tcPr>
            <w:tcW w:w="2126" w:type="dxa"/>
            <w:vMerge w:val="restart"/>
            <w:noWrap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bCs/>
                <w:color w:val="000000" w:themeColor="text1"/>
                <w:sz w:val="20"/>
                <w:szCs w:val="20"/>
                <w:lang w:val="en-US"/>
              </w:rPr>
              <w:t>8.51 (7.78 – 9.41)</w:t>
            </w:r>
          </w:p>
        </w:tc>
      </w:tr>
      <w:tr w:rsidR="0056339E" w:rsidRPr="0056339E" w:rsidTr="00F636DB">
        <w:trPr>
          <w:trHeight w:hRule="exact" w:val="284"/>
          <w:jc w:val="center"/>
        </w:trPr>
        <w:tc>
          <w:tcPr>
            <w:tcW w:w="1446" w:type="dxa"/>
            <w:vMerge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39" w:type="dxa"/>
            <w:vMerge/>
            <w:noWrap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26" w:type="dxa"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1476" w:type="dxa"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44.44 ± 5.56 </w:t>
            </w:r>
          </w:p>
        </w:tc>
        <w:tc>
          <w:tcPr>
            <w:tcW w:w="2126" w:type="dxa"/>
            <w:vMerge/>
            <w:noWrap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6339E" w:rsidRPr="0056339E" w:rsidTr="00F636DB">
        <w:trPr>
          <w:trHeight w:hRule="exact" w:val="284"/>
          <w:jc w:val="center"/>
        </w:trPr>
        <w:tc>
          <w:tcPr>
            <w:tcW w:w="1446" w:type="dxa"/>
            <w:vMerge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39" w:type="dxa"/>
            <w:vMerge/>
            <w:noWrap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26" w:type="dxa"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  <w:tc>
          <w:tcPr>
            <w:tcW w:w="1476" w:type="dxa"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63.89 ± 7.35</w:t>
            </w:r>
          </w:p>
        </w:tc>
        <w:tc>
          <w:tcPr>
            <w:tcW w:w="2126" w:type="dxa"/>
            <w:vMerge/>
            <w:noWrap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6339E" w:rsidRPr="0056339E" w:rsidTr="00F636DB">
        <w:trPr>
          <w:trHeight w:hRule="exact" w:val="284"/>
          <w:jc w:val="center"/>
        </w:trPr>
        <w:tc>
          <w:tcPr>
            <w:tcW w:w="1446" w:type="dxa"/>
            <w:vMerge w:val="restart"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I. fumosorosea</w:t>
            </w:r>
          </w:p>
        </w:tc>
        <w:tc>
          <w:tcPr>
            <w:tcW w:w="1339" w:type="dxa"/>
            <w:vMerge w:val="restart"/>
            <w:noWrap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 w:eastAsia="it-IT"/>
              </w:rPr>
              <w:t>JKI-BI-</w:t>
            </w: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1497</w:t>
            </w:r>
          </w:p>
        </w:tc>
        <w:tc>
          <w:tcPr>
            <w:tcW w:w="1126" w:type="dxa"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1476" w:type="dxa"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47.22 ± 5.55 </w:t>
            </w:r>
          </w:p>
        </w:tc>
        <w:tc>
          <w:tcPr>
            <w:tcW w:w="2126" w:type="dxa"/>
            <w:vMerge w:val="restart"/>
            <w:noWrap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bCs/>
                <w:color w:val="000000" w:themeColor="text1"/>
                <w:sz w:val="20"/>
                <w:szCs w:val="20"/>
                <w:lang w:val="en-US"/>
              </w:rPr>
              <w:t>6.37 (5.91 – 7.29)</w:t>
            </w:r>
          </w:p>
        </w:tc>
      </w:tr>
      <w:tr w:rsidR="0056339E" w:rsidRPr="0056339E" w:rsidTr="00F636DB">
        <w:trPr>
          <w:trHeight w:hRule="exact" w:val="284"/>
          <w:jc w:val="center"/>
        </w:trPr>
        <w:tc>
          <w:tcPr>
            <w:tcW w:w="1446" w:type="dxa"/>
            <w:vMerge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39" w:type="dxa"/>
            <w:vMerge/>
            <w:noWrap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26" w:type="dxa"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1476" w:type="dxa"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86.11 ± 2.78 </w:t>
            </w:r>
          </w:p>
        </w:tc>
        <w:tc>
          <w:tcPr>
            <w:tcW w:w="2126" w:type="dxa"/>
            <w:vMerge/>
            <w:noWrap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6339E" w:rsidRPr="0056339E" w:rsidTr="00F636DB">
        <w:trPr>
          <w:trHeight w:hRule="exact" w:val="284"/>
          <w:jc w:val="center"/>
        </w:trPr>
        <w:tc>
          <w:tcPr>
            <w:tcW w:w="1446" w:type="dxa"/>
            <w:vMerge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39" w:type="dxa"/>
            <w:vMerge/>
            <w:noWrap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26" w:type="dxa"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  <w:tc>
          <w:tcPr>
            <w:tcW w:w="1476" w:type="dxa"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bCs/>
                <w:color w:val="000000" w:themeColor="text1"/>
                <w:sz w:val="20"/>
                <w:szCs w:val="20"/>
                <w:lang w:val="en-US"/>
              </w:rPr>
              <w:t>91.67 ± 4.81</w:t>
            </w:r>
          </w:p>
        </w:tc>
        <w:tc>
          <w:tcPr>
            <w:tcW w:w="2126" w:type="dxa"/>
            <w:vMerge/>
            <w:noWrap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6339E" w:rsidRPr="0056339E" w:rsidTr="00F636DB">
        <w:trPr>
          <w:trHeight w:hRule="exact" w:val="284"/>
          <w:jc w:val="center"/>
        </w:trPr>
        <w:tc>
          <w:tcPr>
            <w:tcW w:w="1446" w:type="dxa"/>
            <w:vMerge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39" w:type="dxa"/>
            <w:vMerge w:val="restart"/>
            <w:noWrap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 w:eastAsia="it-IT"/>
              </w:rPr>
              <w:t>JKI-BI-</w:t>
            </w: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1499</w:t>
            </w:r>
          </w:p>
        </w:tc>
        <w:tc>
          <w:tcPr>
            <w:tcW w:w="1126" w:type="dxa"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1476" w:type="dxa"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44.44 ± 2.78 </w:t>
            </w:r>
          </w:p>
        </w:tc>
        <w:tc>
          <w:tcPr>
            <w:tcW w:w="2126" w:type="dxa"/>
            <w:vMerge w:val="restart"/>
            <w:noWrap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bCs/>
                <w:color w:val="000000" w:themeColor="text1"/>
                <w:sz w:val="20"/>
                <w:szCs w:val="20"/>
                <w:lang w:val="en-US"/>
              </w:rPr>
              <w:t>6.46 (5.99 – 6.85)</w:t>
            </w:r>
          </w:p>
        </w:tc>
      </w:tr>
      <w:tr w:rsidR="0056339E" w:rsidRPr="0056339E" w:rsidTr="00F636DB">
        <w:trPr>
          <w:trHeight w:hRule="exact" w:val="284"/>
          <w:jc w:val="center"/>
        </w:trPr>
        <w:tc>
          <w:tcPr>
            <w:tcW w:w="1446" w:type="dxa"/>
            <w:vMerge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39" w:type="dxa"/>
            <w:vMerge/>
            <w:noWrap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26" w:type="dxa"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1476" w:type="dxa"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75.00 ± 4.80 </w:t>
            </w:r>
          </w:p>
        </w:tc>
        <w:tc>
          <w:tcPr>
            <w:tcW w:w="2126" w:type="dxa"/>
            <w:vMerge/>
            <w:noWrap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6339E" w:rsidRPr="0056339E" w:rsidTr="00F636DB">
        <w:trPr>
          <w:trHeight w:hRule="exact" w:val="284"/>
          <w:jc w:val="center"/>
        </w:trPr>
        <w:tc>
          <w:tcPr>
            <w:tcW w:w="1446" w:type="dxa"/>
            <w:vMerge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39" w:type="dxa"/>
            <w:vMerge/>
            <w:noWrap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26" w:type="dxa"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  <w:tc>
          <w:tcPr>
            <w:tcW w:w="1476" w:type="dxa"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88.89 ± 2.78 </w:t>
            </w:r>
          </w:p>
        </w:tc>
        <w:tc>
          <w:tcPr>
            <w:tcW w:w="2126" w:type="dxa"/>
            <w:vMerge/>
            <w:noWrap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6339E" w:rsidRPr="0056339E" w:rsidTr="00F636DB">
        <w:trPr>
          <w:trHeight w:hRule="exact" w:val="284"/>
          <w:jc w:val="center"/>
        </w:trPr>
        <w:tc>
          <w:tcPr>
            <w:tcW w:w="1446" w:type="dxa"/>
            <w:vMerge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39" w:type="dxa"/>
            <w:vMerge w:val="restart"/>
            <w:noWrap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 w:eastAsia="it-IT"/>
              </w:rPr>
              <w:t>JKI-BI-</w:t>
            </w: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1500</w:t>
            </w:r>
          </w:p>
        </w:tc>
        <w:tc>
          <w:tcPr>
            <w:tcW w:w="1126" w:type="dxa"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1476" w:type="dxa"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bCs/>
                <w:color w:val="000000" w:themeColor="text1"/>
                <w:sz w:val="20"/>
                <w:szCs w:val="20"/>
                <w:lang w:val="en-US"/>
              </w:rPr>
              <w:t>13.89 ± 2.78</w:t>
            </w:r>
          </w:p>
        </w:tc>
        <w:tc>
          <w:tcPr>
            <w:tcW w:w="2126" w:type="dxa"/>
            <w:vMerge w:val="restart"/>
            <w:noWrap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bCs/>
                <w:color w:val="000000" w:themeColor="text1"/>
                <w:sz w:val="20"/>
                <w:szCs w:val="20"/>
                <w:lang w:val="en-US"/>
              </w:rPr>
              <w:t>8.27 (7.99 – 8.55)</w:t>
            </w:r>
          </w:p>
        </w:tc>
      </w:tr>
      <w:tr w:rsidR="0056339E" w:rsidRPr="0056339E" w:rsidTr="00F636DB">
        <w:trPr>
          <w:trHeight w:hRule="exact" w:val="284"/>
          <w:jc w:val="center"/>
        </w:trPr>
        <w:tc>
          <w:tcPr>
            <w:tcW w:w="1446" w:type="dxa"/>
            <w:vMerge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39" w:type="dxa"/>
            <w:vMerge/>
            <w:noWrap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26" w:type="dxa"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1476" w:type="dxa"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47.22 ± 5.56</w:t>
            </w:r>
          </w:p>
        </w:tc>
        <w:tc>
          <w:tcPr>
            <w:tcW w:w="2126" w:type="dxa"/>
            <w:vMerge/>
            <w:noWrap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6339E" w:rsidRPr="0056339E" w:rsidTr="00F636DB">
        <w:trPr>
          <w:trHeight w:hRule="exact" w:val="284"/>
          <w:jc w:val="center"/>
        </w:trPr>
        <w:tc>
          <w:tcPr>
            <w:tcW w:w="1446" w:type="dxa"/>
            <w:vMerge/>
            <w:tcBorders>
              <w:bottom w:val="single" w:sz="8" w:space="0" w:color="auto"/>
            </w:tcBorders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39" w:type="dxa"/>
            <w:vMerge/>
            <w:tcBorders>
              <w:bottom w:val="single" w:sz="8" w:space="0" w:color="auto"/>
            </w:tcBorders>
            <w:noWrap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26" w:type="dxa"/>
            <w:tcBorders>
              <w:bottom w:val="single" w:sz="8" w:space="0" w:color="auto"/>
            </w:tcBorders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  <w:tc>
          <w:tcPr>
            <w:tcW w:w="1476" w:type="dxa"/>
            <w:tcBorders>
              <w:bottom w:val="single" w:sz="8" w:space="0" w:color="auto"/>
            </w:tcBorders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77.78 ± 2.78</w:t>
            </w:r>
          </w:p>
        </w:tc>
        <w:tc>
          <w:tcPr>
            <w:tcW w:w="2126" w:type="dxa"/>
            <w:vMerge/>
            <w:tcBorders>
              <w:bottom w:val="single" w:sz="8" w:space="0" w:color="auto"/>
            </w:tcBorders>
            <w:noWrap/>
          </w:tcPr>
          <w:p w:rsidR="0056339E" w:rsidRPr="0056339E" w:rsidRDefault="0056339E" w:rsidP="00F636DB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56339E" w:rsidRPr="0056339E" w:rsidRDefault="0056339E" w:rsidP="0056339E">
      <w:pPr>
        <w:rPr>
          <w:color w:val="000000" w:themeColor="text1"/>
          <w:lang w:val="en-US"/>
        </w:rPr>
      </w:pPr>
      <w:r w:rsidRPr="0056339E">
        <w:rPr>
          <w:color w:val="000000" w:themeColor="text1"/>
          <w:vertAlign w:val="superscript"/>
          <w:lang w:val="en-US"/>
        </w:rPr>
        <w:t xml:space="preserve">                                a </w:t>
      </w:r>
      <w:r w:rsidRPr="0056339E">
        <w:rPr>
          <w:color w:val="000000" w:themeColor="text1"/>
          <w:lang w:val="en-US"/>
        </w:rPr>
        <w:t>95% lower and upper fiducial limits are shown in parentheses</w:t>
      </w:r>
    </w:p>
    <w:p w:rsidR="0056339E" w:rsidRPr="0056339E" w:rsidRDefault="0056339E" w:rsidP="0056339E">
      <w:pPr>
        <w:spacing w:line="480" w:lineRule="auto"/>
        <w:jc w:val="center"/>
        <w:rPr>
          <w:color w:val="000000" w:themeColor="text1"/>
          <w:lang w:val="en-US"/>
        </w:rPr>
      </w:pPr>
    </w:p>
    <w:p w:rsidR="0056339E" w:rsidRPr="0056339E" w:rsidRDefault="0056339E" w:rsidP="0056339E">
      <w:pPr>
        <w:spacing w:line="480" w:lineRule="auto"/>
        <w:rPr>
          <w:color w:val="000000" w:themeColor="text1"/>
          <w:lang w:val="en-US"/>
        </w:rPr>
      </w:pPr>
    </w:p>
    <w:p w:rsidR="0056339E" w:rsidRPr="0056339E" w:rsidRDefault="0056339E" w:rsidP="0056339E">
      <w:pPr>
        <w:spacing w:line="480" w:lineRule="auto"/>
        <w:rPr>
          <w:color w:val="000000" w:themeColor="text1"/>
          <w:lang w:val="en-US"/>
        </w:rPr>
      </w:pPr>
    </w:p>
    <w:p w:rsidR="0056339E" w:rsidRPr="0056339E" w:rsidRDefault="0056339E" w:rsidP="0056339E">
      <w:pPr>
        <w:spacing w:line="480" w:lineRule="auto"/>
        <w:rPr>
          <w:color w:val="000000" w:themeColor="text1"/>
          <w:lang w:val="en-US"/>
        </w:rPr>
      </w:pPr>
    </w:p>
    <w:p w:rsidR="0056339E" w:rsidRPr="0056339E" w:rsidRDefault="0056339E" w:rsidP="0056339E">
      <w:pPr>
        <w:spacing w:before="78" w:line="480" w:lineRule="auto"/>
        <w:ind w:left="154"/>
        <w:rPr>
          <w:color w:val="000000" w:themeColor="text1"/>
          <w:lang w:val="en-GB"/>
        </w:rPr>
      </w:pPr>
      <w:r w:rsidRPr="0056339E">
        <w:rPr>
          <w:b/>
          <w:color w:val="000000" w:themeColor="text1"/>
          <w:lang w:val="en-GB"/>
        </w:rPr>
        <w:t>Table S4</w:t>
      </w:r>
      <w:r w:rsidRPr="0056339E">
        <w:rPr>
          <w:color w:val="000000" w:themeColor="text1"/>
          <w:lang w:val="en-GB"/>
        </w:rPr>
        <w:t xml:space="preserve">. </w:t>
      </w:r>
      <w:r w:rsidRPr="0056339E">
        <w:rPr>
          <w:color w:val="000000" w:themeColor="text1"/>
          <w:lang w:val="en-US"/>
        </w:rPr>
        <w:t xml:space="preserve">Mean mortality rate of </w:t>
      </w:r>
      <w:r w:rsidRPr="0056339E">
        <w:rPr>
          <w:i/>
          <w:color w:val="000000" w:themeColor="text1"/>
          <w:lang w:val="en-US"/>
        </w:rPr>
        <w:t xml:space="preserve">Hyalesthes obsoletus </w:t>
      </w:r>
      <w:r w:rsidRPr="0056339E">
        <w:rPr>
          <w:color w:val="000000" w:themeColor="text1"/>
          <w:lang w:val="en-US"/>
        </w:rPr>
        <w:t>adults treated with EPFs in greenhouse.</w:t>
      </w:r>
    </w:p>
    <w:p w:rsidR="0056339E" w:rsidRPr="0056339E" w:rsidRDefault="0056339E" w:rsidP="0056339E">
      <w:pPr>
        <w:spacing w:line="360" w:lineRule="auto"/>
        <w:rPr>
          <w:color w:val="000000" w:themeColor="text1"/>
          <w:lang w:val="en-US"/>
        </w:rPr>
      </w:pPr>
      <w:r w:rsidRPr="0056339E">
        <w:rPr>
          <w:color w:val="000000" w:themeColor="text1"/>
          <w:lang w:val="en-US"/>
        </w:rPr>
        <w:t xml:space="preserve">  </w:t>
      </w:r>
    </w:p>
    <w:tbl>
      <w:tblPr>
        <w:tblW w:w="6174" w:type="dxa"/>
        <w:jc w:val="center"/>
        <w:tblLook w:val="00A0" w:firstRow="1" w:lastRow="0" w:firstColumn="1" w:lastColumn="0" w:noHBand="0" w:noVBand="0"/>
      </w:tblPr>
      <w:tblGrid>
        <w:gridCol w:w="1884"/>
        <w:gridCol w:w="1300"/>
        <w:gridCol w:w="1495"/>
        <w:gridCol w:w="1495"/>
      </w:tblGrid>
      <w:tr w:rsidR="0056339E" w:rsidRPr="0056339E" w:rsidTr="00F636DB">
        <w:trPr>
          <w:trHeight w:val="320"/>
          <w:jc w:val="center"/>
        </w:trPr>
        <w:tc>
          <w:tcPr>
            <w:tcW w:w="18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:rsidR="0056339E" w:rsidRPr="0056339E" w:rsidRDefault="0056339E" w:rsidP="00F636DB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b/>
                <w:color w:val="000000" w:themeColor="text1"/>
                <w:sz w:val="20"/>
                <w:szCs w:val="20"/>
                <w:lang w:val="en-US"/>
              </w:rPr>
              <w:t>EPFs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:rsidR="0056339E" w:rsidRPr="0056339E" w:rsidRDefault="0056339E" w:rsidP="00F636DB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b/>
                <w:color w:val="000000" w:themeColor="text1"/>
                <w:sz w:val="20"/>
                <w:szCs w:val="20"/>
                <w:lang w:val="en-US"/>
              </w:rPr>
              <w:t>Strain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56339E" w:rsidRPr="0056339E" w:rsidRDefault="0056339E" w:rsidP="00F636DB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b/>
                <w:bCs/>
                <w:color w:val="000000" w:themeColor="text1"/>
                <w:sz w:val="20"/>
                <w:szCs w:val="20"/>
                <w:lang w:val="en-US" w:eastAsia="it-IT"/>
              </w:rPr>
              <w:t>% mortality mean ± SE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56339E" w:rsidRPr="0056339E" w:rsidRDefault="0056339E" w:rsidP="00F636DB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b/>
                <w:color w:val="000000" w:themeColor="text1"/>
                <w:sz w:val="20"/>
                <w:szCs w:val="20"/>
                <w:lang w:val="en-US"/>
              </w:rPr>
              <w:t>Group</w:t>
            </w:r>
          </w:p>
        </w:tc>
      </w:tr>
      <w:tr w:rsidR="0056339E" w:rsidRPr="0056339E" w:rsidTr="00F636DB">
        <w:trPr>
          <w:trHeight w:val="320"/>
          <w:jc w:val="center"/>
        </w:trPr>
        <w:tc>
          <w:tcPr>
            <w:tcW w:w="1884" w:type="dxa"/>
            <w:tcBorders>
              <w:top w:val="single" w:sz="8" w:space="0" w:color="auto"/>
              <w:left w:val="nil"/>
              <w:right w:val="nil"/>
            </w:tcBorders>
            <w:noWrap/>
          </w:tcPr>
          <w:p w:rsidR="0056339E" w:rsidRPr="0056339E" w:rsidRDefault="0056339E" w:rsidP="00F636DB">
            <w:pPr>
              <w:spacing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right w:val="nil"/>
            </w:tcBorders>
            <w:noWrap/>
          </w:tcPr>
          <w:p w:rsidR="0056339E" w:rsidRPr="0056339E" w:rsidRDefault="0056339E" w:rsidP="00F636DB">
            <w:pPr>
              <w:spacing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right w:val="nil"/>
            </w:tcBorders>
          </w:tcPr>
          <w:p w:rsidR="0056339E" w:rsidRPr="0056339E" w:rsidRDefault="0056339E" w:rsidP="00F636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17.78 ± 2.20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right w:val="nil"/>
            </w:tcBorders>
          </w:tcPr>
          <w:p w:rsidR="0056339E" w:rsidRPr="0056339E" w:rsidRDefault="0056339E" w:rsidP="00F636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d</w:t>
            </w:r>
          </w:p>
        </w:tc>
      </w:tr>
      <w:tr w:rsidR="0056339E" w:rsidRPr="0056339E" w:rsidTr="00F636DB">
        <w:trPr>
          <w:trHeight w:val="320"/>
          <w:jc w:val="center"/>
        </w:trPr>
        <w:tc>
          <w:tcPr>
            <w:tcW w:w="1884" w:type="dxa"/>
            <w:vMerge w:val="restart"/>
            <w:tcBorders>
              <w:left w:val="nil"/>
              <w:right w:val="nil"/>
            </w:tcBorders>
            <w:noWrap/>
          </w:tcPr>
          <w:p w:rsidR="0056339E" w:rsidRPr="0056339E" w:rsidRDefault="0056339E" w:rsidP="00F636DB">
            <w:pPr>
              <w:spacing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B. bassiana</w:t>
            </w:r>
          </w:p>
        </w:tc>
        <w:tc>
          <w:tcPr>
            <w:tcW w:w="1300" w:type="dxa"/>
            <w:tcBorders>
              <w:left w:val="nil"/>
              <w:right w:val="nil"/>
            </w:tcBorders>
            <w:noWrap/>
          </w:tcPr>
          <w:p w:rsidR="0056339E" w:rsidRPr="0056339E" w:rsidRDefault="0056339E" w:rsidP="00F636DB">
            <w:pPr>
              <w:spacing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 w:eastAsia="it-IT"/>
              </w:rPr>
              <w:t>JKI-BI-</w:t>
            </w: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1125</w:t>
            </w:r>
          </w:p>
        </w:tc>
        <w:tc>
          <w:tcPr>
            <w:tcW w:w="1495" w:type="dxa"/>
            <w:tcBorders>
              <w:left w:val="nil"/>
              <w:right w:val="nil"/>
            </w:tcBorders>
          </w:tcPr>
          <w:p w:rsidR="0056339E" w:rsidRPr="0056339E" w:rsidRDefault="0056339E" w:rsidP="00F636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68.89 ± 2.20</w:t>
            </w:r>
          </w:p>
        </w:tc>
        <w:tc>
          <w:tcPr>
            <w:tcW w:w="1495" w:type="dxa"/>
            <w:tcBorders>
              <w:left w:val="nil"/>
              <w:right w:val="nil"/>
            </w:tcBorders>
          </w:tcPr>
          <w:p w:rsidR="0056339E" w:rsidRPr="0056339E" w:rsidRDefault="0056339E" w:rsidP="00F636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bc</w:t>
            </w:r>
          </w:p>
        </w:tc>
      </w:tr>
      <w:tr w:rsidR="0056339E" w:rsidRPr="0056339E" w:rsidTr="00F636DB">
        <w:trPr>
          <w:trHeight w:val="320"/>
          <w:jc w:val="center"/>
        </w:trPr>
        <w:tc>
          <w:tcPr>
            <w:tcW w:w="1884" w:type="dxa"/>
            <w:vMerge/>
            <w:tcBorders>
              <w:left w:val="nil"/>
              <w:right w:val="nil"/>
            </w:tcBorders>
            <w:noWrap/>
          </w:tcPr>
          <w:p w:rsidR="0056339E" w:rsidRPr="0056339E" w:rsidRDefault="0056339E" w:rsidP="00F636DB">
            <w:pPr>
              <w:spacing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tcBorders>
              <w:left w:val="nil"/>
              <w:right w:val="nil"/>
            </w:tcBorders>
            <w:noWrap/>
          </w:tcPr>
          <w:p w:rsidR="0056339E" w:rsidRPr="0056339E" w:rsidRDefault="0056339E" w:rsidP="00F636DB">
            <w:pPr>
              <w:spacing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 w:eastAsia="it-IT"/>
              </w:rPr>
              <w:t>JKI-BI-</w:t>
            </w: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1126</w:t>
            </w:r>
          </w:p>
        </w:tc>
        <w:tc>
          <w:tcPr>
            <w:tcW w:w="1495" w:type="dxa"/>
            <w:tcBorders>
              <w:left w:val="nil"/>
              <w:right w:val="nil"/>
            </w:tcBorders>
          </w:tcPr>
          <w:p w:rsidR="0056339E" w:rsidRPr="0056339E" w:rsidRDefault="0056339E" w:rsidP="00F636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60.00 ± 3.85</w:t>
            </w:r>
          </w:p>
        </w:tc>
        <w:tc>
          <w:tcPr>
            <w:tcW w:w="1495" w:type="dxa"/>
            <w:tcBorders>
              <w:left w:val="nil"/>
              <w:right w:val="nil"/>
            </w:tcBorders>
          </w:tcPr>
          <w:p w:rsidR="0056339E" w:rsidRPr="0056339E" w:rsidRDefault="0056339E" w:rsidP="00F636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c</w:t>
            </w:r>
          </w:p>
        </w:tc>
      </w:tr>
      <w:tr w:rsidR="0056339E" w:rsidRPr="0056339E" w:rsidTr="00F636DB">
        <w:trPr>
          <w:trHeight w:val="320"/>
          <w:jc w:val="center"/>
        </w:trPr>
        <w:tc>
          <w:tcPr>
            <w:tcW w:w="1884" w:type="dxa"/>
            <w:vMerge w:val="restart"/>
            <w:tcBorders>
              <w:left w:val="nil"/>
              <w:right w:val="nil"/>
            </w:tcBorders>
            <w:noWrap/>
          </w:tcPr>
          <w:p w:rsidR="0056339E" w:rsidRPr="0056339E" w:rsidRDefault="0056339E" w:rsidP="00F636DB">
            <w:pPr>
              <w:spacing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M. anisopliae</w:t>
            </w:r>
          </w:p>
        </w:tc>
        <w:tc>
          <w:tcPr>
            <w:tcW w:w="1300" w:type="dxa"/>
            <w:tcBorders>
              <w:left w:val="nil"/>
              <w:right w:val="nil"/>
            </w:tcBorders>
            <w:noWrap/>
          </w:tcPr>
          <w:p w:rsidR="0056339E" w:rsidRPr="0056339E" w:rsidRDefault="0056339E" w:rsidP="00F636DB">
            <w:pPr>
              <w:spacing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 w:eastAsia="it-IT"/>
              </w:rPr>
              <w:t>JKI-BI-</w:t>
            </w: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1429</w:t>
            </w:r>
          </w:p>
        </w:tc>
        <w:tc>
          <w:tcPr>
            <w:tcW w:w="1495" w:type="dxa"/>
            <w:tcBorders>
              <w:left w:val="nil"/>
              <w:right w:val="nil"/>
            </w:tcBorders>
          </w:tcPr>
          <w:p w:rsidR="0056339E" w:rsidRPr="0056339E" w:rsidRDefault="0056339E" w:rsidP="00F636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68.89 ± 4.40</w:t>
            </w:r>
          </w:p>
        </w:tc>
        <w:tc>
          <w:tcPr>
            <w:tcW w:w="1495" w:type="dxa"/>
            <w:tcBorders>
              <w:left w:val="nil"/>
              <w:right w:val="nil"/>
            </w:tcBorders>
          </w:tcPr>
          <w:p w:rsidR="0056339E" w:rsidRPr="0056339E" w:rsidRDefault="0056339E" w:rsidP="00F636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bc</w:t>
            </w:r>
          </w:p>
        </w:tc>
      </w:tr>
      <w:tr w:rsidR="0056339E" w:rsidRPr="0056339E" w:rsidTr="00F636DB">
        <w:trPr>
          <w:trHeight w:val="320"/>
          <w:jc w:val="center"/>
        </w:trPr>
        <w:tc>
          <w:tcPr>
            <w:tcW w:w="1884" w:type="dxa"/>
            <w:vMerge/>
            <w:tcBorders>
              <w:left w:val="nil"/>
              <w:right w:val="nil"/>
            </w:tcBorders>
            <w:noWrap/>
          </w:tcPr>
          <w:p w:rsidR="0056339E" w:rsidRPr="0056339E" w:rsidRDefault="0056339E" w:rsidP="00F636DB">
            <w:pPr>
              <w:spacing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tcBorders>
              <w:left w:val="nil"/>
              <w:right w:val="nil"/>
            </w:tcBorders>
            <w:noWrap/>
          </w:tcPr>
          <w:p w:rsidR="0056339E" w:rsidRPr="0056339E" w:rsidRDefault="0056339E" w:rsidP="00F636DB">
            <w:pPr>
              <w:spacing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 w:eastAsia="it-IT"/>
              </w:rPr>
              <w:t>JKI-BI-</w:t>
            </w: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1430</w:t>
            </w:r>
          </w:p>
        </w:tc>
        <w:tc>
          <w:tcPr>
            <w:tcW w:w="1495" w:type="dxa"/>
            <w:tcBorders>
              <w:left w:val="nil"/>
              <w:right w:val="nil"/>
            </w:tcBorders>
          </w:tcPr>
          <w:p w:rsidR="0056339E" w:rsidRPr="0056339E" w:rsidRDefault="0056339E" w:rsidP="00F636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66.67 ± 6.67</w:t>
            </w:r>
          </w:p>
        </w:tc>
        <w:tc>
          <w:tcPr>
            <w:tcW w:w="1495" w:type="dxa"/>
            <w:tcBorders>
              <w:left w:val="nil"/>
              <w:right w:val="nil"/>
            </w:tcBorders>
          </w:tcPr>
          <w:p w:rsidR="0056339E" w:rsidRPr="0056339E" w:rsidRDefault="0056339E" w:rsidP="00F636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bc</w:t>
            </w:r>
          </w:p>
        </w:tc>
      </w:tr>
      <w:tr w:rsidR="0056339E" w:rsidRPr="0056339E" w:rsidTr="00F636DB">
        <w:trPr>
          <w:trHeight w:val="320"/>
          <w:jc w:val="center"/>
        </w:trPr>
        <w:tc>
          <w:tcPr>
            <w:tcW w:w="1884" w:type="dxa"/>
            <w:vMerge w:val="restart"/>
            <w:tcBorders>
              <w:left w:val="nil"/>
              <w:right w:val="nil"/>
            </w:tcBorders>
            <w:noWrap/>
          </w:tcPr>
          <w:p w:rsidR="0056339E" w:rsidRPr="0056339E" w:rsidRDefault="0056339E" w:rsidP="00F636DB">
            <w:pPr>
              <w:spacing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I. fumosorosea</w:t>
            </w:r>
          </w:p>
        </w:tc>
        <w:tc>
          <w:tcPr>
            <w:tcW w:w="1300" w:type="dxa"/>
            <w:tcBorders>
              <w:left w:val="nil"/>
              <w:right w:val="nil"/>
            </w:tcBorders>
            <w:noWrap/>
          </w:tcPr>
          <w:p w:rsidR="0056339E" w:rsidRPr="0056339E" w:rsidRDefault="0056339E" w:rsidP="00F636DB">
            <w:pPr>
              <w:spacing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 w:eastAsia="it-IT"/>
              </w:rPr>
              <w:t>JKI-BI-</w:t>
            </w: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1497</w:t>
            </w:r>
          </w:p>
        </w:tc>
        <w:tc>
          <w:tcPr>
            <w:tcW w:w="1495" w:type="dxa"/>
            <w:tcBorders>
              <w:left w:val="nil"/>
              <w:right w:val="nil"/>
            </w:tcBorders>
          </w:tcPr>
          <w:p w:rsidR="0056339E" w:rsidRPr="0056339E" w:rsidRDefault="0056339E" w:rsidP="00F636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9</w:t>
            </w:r>
            <w:bookmarkStart w:id="1" w:name="_Hlk34131767"/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1.10 ± 2.20</w:t>
            </w:r>
          </w:p>
        </w:tc>
        <w:bookmarkEnd w:id="1"/>
        <w:tc>
          <w:tcPr>
            <w:tcW w:w="1495" w:type="dxa"/>
            <w:tcBorders>
              <w:left w:val="nil"/>
              <w:right w:val="nil"/>
            </w:tcBorders>
          </w:tcPr>
          <w:p w:rsidR="0056339E" w:rsidRPr="0056339E" w:rsidRDefault="0056339E" w:rsidP="00F636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a</w:t>
            </w:r>
          </w:p>
        </w:tc>
      </w:tr>
      <w:tr w:rsidR="0056339E" w:rsidRPr="0056339E" w:rsidTr="00F636DB">
        <w:trPr>
          <w:trHeight w:val="320"/>
          <w:jc w:val="center"/>
        </w:trPr>
        <w:tc>
          <w:tcPr>
            <w:tcW w:w="1884" w:type="dxa"/>
            <w:vMerge/>
            <w:tcBorders>
              <w:left w:val="nil"/>
              <w:right w:val="nil"/>
            </w:tcBorders>
            <w:noWrap/>
          </w:tcPr>
          <w:p w:rsidR="0056339E" w:rsidRPr="0056339E" w:rsidRDefault="0056339E" w:rsidP="00F636DB">
            <w:pPr>
              <w:spacing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tcBorders>
              <w:left w:val="nil"/>
              <w:right w:val="nil"/>
            </w:tcBorders>
            <w:noWrap/>
          </w:tcPr>
          <w:p w:rsidR="0056339E" w:rsidRPr="0056339E" w:rsidRDefault="0056339E" w:rsidP="00F636DB">
            <w:pPr>
              <w:spacing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 w:eastAsia="it-IT"/>
              </w:rPr>
              <w:t>JKI-BI-</w:t>
            </w: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1499</w:t>
            </w:r>
          </w:p>
        </w:tc>
        <w:tc>
          <w:tcPr>
            <w:tcW w:w="1495" w:type="dxa"/>
            <w:tcBorders>
              <w:left w:val="nil"/>
              <w:right w:val="nil"/>
            </w:tcBorders>
          </w:tcPr>
          <w:p w:rsidR="0056339E" w:rsidRPr="0056339E" w:rsidRDefault="0056339E" w:rsidP="00F636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84.45 ± 2.20</w:t>
            </w:r>
          </w:p>
        </w:tc>
        <w:tc>
          <w:tcPr>
            <w:tcW w:w="1495" w:type="dxa"/>
            <w:tcBorders>
              <w:left w:val="nil"/>
              <w:right w:val="nil"/>
            </w:tcBorders>
          </w:tcPr>
          <w:p w:rsidR="0056339E" w:rsidRPr="0056339E" w:rsidRDefault="0056339E" w:rsidP="00F636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ab</w:t>
            </w:r>
          </w:p>
        </w:tc>
      </w:tr>
      <w:tr w:rsidR="0056339E" w:rsidRPr="0056339E" w:rsidTr="00F636DB">
        <w:trPr>
          <w:trHeight w:val="320"/>
          <w:jc w:val="center"/>
        </w:trPr>
        <w:tc>
          <w:tcPr>
            <w:tcW w:w="1884" w:type="dxa"/>
            <w:vMerge/>
            <w:tcBorders>
              <w:left w:val="nil"/>
              <w:right w:val="nil"/>
            </w:tcBorders>
            <w:noWrap/>
          </w:tcPr>
          <w:p w:rsidR="0056339E" w:rsidRPr="0056339E" w:rsidRDefault="0056339E" w:rsidP="00F636DB">
            <w:pPr>
              <w:spacing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tcBorders>
              <w:left w:val="nil"/>
              <w:right w:val="nil"/>
            </w:tcBorders>
            <w:noWrap/>
          </w:tcPr>
          <w:p w:rsidR="0056339E" w:rsidRPr="0056339E" w:rsidRDefault="0056339E" w:rsidP="00F636DB">
            <w:pPr>
              <w:spacing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 w:eastAsia="it-IT"/>
              </w:rPr>
              <w:t>JKI-BI-</w:t>
            </w: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1500</w:t>
            </w:r>
          </w:p>
        </w:tc>
        <w:tc>
          <w:tcPr>
            <w:tcW w:w="1495" w:type="dxa"/>
            <w:tcBorders>
              <w:left w:val="nil"/>
              <w:right w:val="nil"/>
            </w:tcBorders>
          </w:tcPr>
          <w:p w:rsidR="0056339E" w:rsidRPr="0056339E" w:rsidRDefault="0056339E" w:rsidP="00F636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64.40 ± 5.88</w:t>
            </w:r>
          </w:p>
        </w:tc>
        <w:tc>
          <w:tcPr>
            <w:tcW w:w="1495" w:type="dxa"/>
            <w:tcBorders>
              <w:left w:val="nil"/>
              <w:right w:val="nil"/>
            </w:tcBorders>
          </w:tcPr>
          <w:p w:rsidR="0056339E" w:rsidRPr="0056339E" w:rsidRDefault="0056339E" w:rsidP="00F636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bc</w:t>
            </w:r>
          </w:p>
        </w:tc>
      </w:tr>
      <w:tr w:rsidR="0056339E" w:rsidRPr="0056339E" w:rsidTr="00F636DB">
        <w:trPr>
          <w:trHeight w:val="320"/>
          <w:jc w:val="center"/>
        </w:trPr>
        <w:tc>
          <w:tcPr>
            <w:tcW w:w="1884" w:type="dxa"/>
            <w:tcBorders>
              <w:left w:val="nil"/>
              <w:right w:val="nil"/>
            </w:tcBorders>
            <w:noWrap/>
          </w:tcPr>
          <w:p w:rsidR="0056339E" w:rsidRPr="0056339E" w:rsidRDefault="0056339E" w:rsidP="00F636DB">
            <w:pPr>
              <w:spacing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M. anisopliae</w:t>
            </w:r>
          </w:p>
        </w:tc>
        <w:tc>
          <w:tcPr>
            <w:tcW w:w="1300" w:type="dxa"/>
            <w:tcBorders>
              <w:left w:val="nil"/>
              <w:right w:val="nil"/>
            </w:tcBorders>
            <w:noWrap/>
          </w:tcPr>
          <w:p w:rsidR="0056339E" w:rsidRPr="0056339E" w:rsidRDefault="0056339E" w:rsidP="00F636DB">
            <w:pPr>
              <w:spacing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 w:eastAsia="it-IT"/>
              </w:rPr>
              <w:t>JKI-BI-</w:t>
            </w: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1111</w:t>
            </w:r>
          </w:p>
        </w:tc>
        <w:tc>
          <w:tcPr>
            <w:tcW w:w="1495" w:type="dxa"/>
            <w:tcBorders>
              <w:left w:val="nil"/>
              <w:right w:val="nil"/>
            </w:tcBorders>
          </w:tcPr>
          <w:p w:rsidR="0056339E" w:rsidRPr="0056339E" w:rsidRDefault="0056339E" w:rsidP="00F636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75.56 ± 4.40</w:t>
            </w:r>
          </w:p>
        </w:tc>
        <w:tc>
          <w:tcPr>
            <w:tcW w:w="1495" w:type="dxa"/>
            <w:tcBorders>
              <w:left w:val="nil"/>
              <w:right w:val="nil"/>
            </w:tcBorders>
          </w:tcPr>
          <w:p w:rsidR="0056339E" w:rsidRPr="0056339E" w:rsidRDefault="0056339E" w:rsidP="00F636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abc</w:t>
            </w:r>
          </w:p>
        </w:tc>
      </w:tr>
      <w:tr w:rsidR="0056339E" w:rsidRPr="0056339E" w:rsidTr="00F636DB">
        <w:trPr>
          <w:trHeight w:val="320"/>
          <w:jc w:val="center"/>
        </w:trPr>
        <w:tc>
          <w:tcPr>
            <w:tcW w:w="1884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:rsidR="0056339E" w:rsidRPr="0056339E" w:rsidRDefault="0056339E" w:rsidP="00F636DB">
            <w:pPr>
              <w:spacing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L. muscarium</w:t>
            </w:r>
          </w:p>
        </w:tc>
        <w:tc>
          <w:tcPr>
            <w:tcW w:w="1300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:rsidR="0056339E" w:rsidRPr="0056339E" w:rsidRDefault="0056339E" w:rsidP="00F636DB">
            <w:pPr>
              <w:spacing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 w:eastAsia="it-IT"/>
              </w:rPr>
              <w:t>JKI-BI-</w:t>
            </w: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2222</w:t>
            </w:r>
          </w:p>
        </w:tc>
        <w:tc>
          <w:tcPr>
            <w:tcW w:w="1495" w:type="dxa"/>
            <w:tcBorders>
              <w:left w:val="nil"/>
              <w:bottom w:val="single" w:sz="4" w:space="0" w:color="auto"/>
              <w:right w:val="nil"/>
            </w:tcBorders>
          </w:tcPr>
          <w:p w:rsidR="0056339E" w:rsidRPr="0056339E" w:rsidRDefault="0056339E" w:rsidP="00F636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80.00 ± 3.85</w:t>
            </w:r>
          </w:p>
        </w:tc>
        <w:tc>
          <w:tcPr>
            <w:tcW w:w="1495" w:type="dxa"/>
            <w:tcBorders>
              <w:left w:val="nil"/>
              <w:bottom w:val="single" w:sz="4" w:space="0" w:color="auto"/>
              <w:right w:val="nil"/>
            </w:tcBorders>
          </w:tcPr>
          <w:p w:rsidR="0056339E" w:rsidRPr="0056339E" w:rsidRDefault="0056339E" w:rsidP="00F636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6339E">
              <w:rPr>
                <w:color w:val="000000" w:themeColor="text1"/>
                <w:sz w:val="20"/>
                <w:szCs w:val="20"/>
                <w:lang w:val="en-US"/>
              </w:rPr>
              <w:t>abc</w:t>
            </w:r>
          </w:p>
        </w:tc>
      </w:tr>
    </w:tbl>
    <w:p w:rsidR="0056339E" w:rsidRPr="0056339E" w:rsidRDefault="0056339E" w:rsidP="0056339E">
      <w:pPr>
        <w:ind w:left="284" w:right="278"/>
        <w:rPr>
          <w:color w:val="000000" w:themeColor="text1"/>
          <w:sz w:val="18"/>
          <w:szCs w:val="18"/>
          <w:lang w:val="en-US"/>
        </w:rPr>
      </w:pPr>
    </w:p>
    <w:p w:rsidR="0056339E" w:rsidRPr="0056339E" w:rsidRDefault="0056339E" w:rsidP="0056339E">
      <w:pPr>
        <w:ind w:left="284" w:right="278"/>
        <w:rPr>
          <w:color w:val="000000" w:themeColor="text1"/>
          <w:sz w:val="18"/>
          <w:szCs w:val="18"/>
          <w:lang w:val="en-US"/>
        </w:rPr>
      </w:pPr>
      <w:r w:rsidRPr="0056339E">
        <w:rPr>
          <w:color w:val="000000" w:themeColor="text1"/>
          <w:sz w:val="18"/>
          <w:szCs w:val="18"/>
          <w:lang w:val="en-US"/>
        </w:rPr>
        <w:t>Means followed by similar letters in the group column are not significantly different according to Tukey’s HSD (</w:t>
      </w:r>
      <w:r w:rsidRPr="0056339E">
        <w:rPr>
          <w:i/>
          <w:color w:val="000000" w:themeColor="text1"/>
          <w:sz w:val="18"/>
          <w:szCs w:val="18"/>
          <w:lang w:val="en-US"/>
        </w:rPr>
        <w:t>p</w:t>
      </w:r>
      <w:r w:rsidRPr="0056339E">
        <w:rPr>
          <w:color w:val="000000" w:themeColor="text1"/>
          <w:sz w:val="18"/>
          <w:szCs w:val="18"/>
          <w:lang w:val="en-US"/>
        </w:rPr>
        <w:t> ≥ 0.05)</w:t>
      </w:r>
    </w:p>
    <w:bookmarkEnd w:id="0"/>
    <w:p w:rsidR="005C7062" w:rsidRPr="0056339E" w:rsidRDefault="005C7062">
      <w:pPr>
        <w:rPr>
          <w:color w:val="000000" w:themeColor="text1"/>
        </w:rPr>
      </w:pPr>
    </w:p>
    <w:sectPr w:rsidR="005C7062" w:rsidRPr="0056339E" w:rsidSect="0056339E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39E"/>
    <w:rsid w:val="00005D9F"/>
    <w:rsid w:val="00010847"/>
    <w:rsid w:val="000117FA"/>
    <w:rsid w:val="0001428C"/>
    <w:rsid w:val="00014465"/>
    <w:rsid w:val="000217CE"/>
    <w:rsid w:val="0002221D"/>
    <w:rsid w:val="00023B5C"/>
    <w:rsid w:val="00024823"/>
    <w:rsid w:val="00027011"/>
    <w:rsid w:val="00030321"/>
    <w:rsid w:val="0003209D"/>
    <w:rsid w:val="00037F51"/>
    <w:rsid w:val="000428DE"/>
    <w:rsid w:val="0004450E"/>
    <w:rsid w:val="00052444"/>
    <w:rsid w:val="00053A80"/>
    <w:rsid w:val="000565CF"/>
    <w:rsid w:val="00061014"/>
    <w:rsid w:val="0006118F"/>
    <w:rsid w:val="00065A31"/>
    <w:rsid w:val="00072FCF"/>
    <w:rsid w:val="00074872"/>
    <w:rsid w:val="00082938"/>
    <w:rsid w:val="00083C7F"/>
    <w:rsid w:val="00083E66"/>
    <w:rsid w:val="00090477"/>
    <w:rsid w:val="000969E1"/>
    <w:rsid w:val="000A14E8"/>
    <w:rsid w:val="000A1ABF"/>
    <w:rsid w:val="000A458D"/>
    <w:rsid w:val="000A5CFB"/>
    <w:rsid w:val="000B2072"/>
    <w:rsid w:val="000B5C1F"/>
    <w:rsid w:val="000B7025"/>
    <w:rsid w:val="000C0801"/>
    <w:rsid w:val="000C2DA1"/>
    <w:rsid w:val="000D23BF"/>
    <w:rsid w:val="000D2BB3"/>
    <w:rsid w:val="000D4851"/>
    <w:rsid w:val="000D6B2F"/>
    <w:rsid w:val="000E0338"/>
    <w:rsid w:val="000E1069"/>
    <w:rsid w:val="000E1D32"/>
    <w:rsid w:val="000E2CB0"/>
    <w:rsid w:val="000E3AA0"/>
    <w:rsid w:val="000E3DB7"/>
    <w:rsid w:val="000E570E"/>
    <w:rsid w:val="000E578F"/>
    <w:rsid w:val="000F0793"/>
    <w:rsid w:val="000F11BD"/>
    <w:rsid w:val="000F290A"/>
    <w:rsid w:val="000F2BF0"/>
    <w:rsid w:val="000F4258"/>
    <w:rsid w:val="000F4D19"/>
    <w:rsid w:val="000F534B"/>
    <w:rsid w:val="000F5BED"/>
    <w:rsid w:val="000F7CDA"/>
    <w:rsid w:val="0010234D"/>
    <w:rsid w:val="0010291E"/>
    <w:rsid w:val="001113F8"/>
    <w:rsid w:val="00114B4A"/>
    <w:rsid w:val="00120F87"/>
    <w:rsid w:val="001231EF"/>
    <w:rsid w:val="00124518"/>
    <w:rsid w:val="001254C2"/>
    <w:rsid w:val="00130B4D"/>
    <w:rsid w:val="0013311B"/>
    <w:rsid w:val="00133ABA"/>
    <w:rsid w:val="00137433"/>
    <w:rsid w:val="001374E0"/>
    <w:rsid w:val="0014056A"/>
    <w:rsid w:val="00141923"/>
    <w:rsid w:val="00141A33"/>
    <w:rsid w:val="00142176"/>
    <w:rsid w:val="00151296"/>
    <w:rsid w:val="00151FDE"/>
    <w:rsid w:val="0015367A"/>
    <w:rsid w:val="00153759"/>
    <w:rsid w:val="00157A8B"/>
    <w:rsid w:val="00162378"/>
    <w:rsid w:val="00164A62"/>
    <w:rsid w:val="00167FC5"/>
    <w:rsid w:val="001725EB"/>
    <w:rsid w:val="001729B1"/>
    <w:rsid w:val="001737B3"/>
    <w:rsid w:val="001800AD"/>
    <w:rsid w:val="001815E8"/>
    <w:rsid w:val="001A1BC2"/>
    <w:rsid w:val="001A4BE7"/>
    <w:rsid w:val="001A5390"/>
    <w:rsid w:val="001A5ACF"/>
    <w:rsid w:val="001A666B"/>
    <w:rsid w:val="001B391C"/>
    <w:rsid w:val="001B4FF5"/>
    <w:rsid w:val="001B5194"/>
    <w:rsid w:val="001B58F0"/>
    <w:rsid w:val="001B705F"/>
    <w:rsid w:val="001C0D24"/>
    <w:rsid w:val="001C132C"/>
    <w:rsid w:val="001C382F"/>
    <w:rsid w:val="001C417F"/>
    <w:rsid w:val="001C4ED4"/>
    <w:rsid w:val="001C71EB"/>
    <w:rsid w:val="001C74BA"/>
    <w:rsid w:val="001D1C9D"/>
    <w:rsid w:val="001D1D71"/>
    <w:rsid w:val="001D3FF4"/>
    <w:rsid w:val="001D45B8"/>
    <w:rsid w:val="001D48BB"/>
    <w:rsid w:val="001E0D0F"/>
    <w:rsid w:val="001E42E4"/>
    <w:rsid w:val="001E4A7F"/>
    <w:rsid w:val="001E513E"/>
    <w:rsid w:val="001E56E9"/>
    <w:rsid w:val="001E5B8D"/>
    <w:rsid w:val="001E5E2C"/>
    <w:rsid w:val="001E7183"/>
    <w:rsid w:val="001E73C9"/>
    <w:rsid w:val="001E7C53"/>
    <w:rsid w:val="001F2E0C"/>
    <w:rsid w:val="001F4255"/>
    <w:rsid w:val="001F4428"/>
    <w:rsid w:val="001F5F0F"/>
    <w:rsid w:val="001F684F"/>
    <w:rsid w:val="001F7537"/>
    <w:rsid w:val="002002CB"/>
    <w:rsid w:val="00200942"/>
    <w:rsid w:val="00200943"/>
    <w:rsid w:val="00204F4E"/>
    <w:rsid w:val="002059BB"/>
    <w:rsid w:val="002068B8"/>
    <w:rsid w:val="00210334"/>
    <w:rsid w:val="002105B6"/>
    <w:rsid w:val="00210611"/>
    <w:rsid w:val="00211091"/>
    <w:rsid w:val="0021267E"/>
    <w:rsid w:val="0021528D"/>
    <w:rsid w:val="00215DF2"/>
    <w:rsid w:val="0022602C"/>
    <w:rsid w:val="00227F18"/>
    <w:rsid w:val="0023043A"/>
    <w:rsid w:val="00230D95"/>
    <w:rsid w:val="00231AB1"/>
    <w:rsid w:val="002327C1"/>
    <w:rsid w:val="00233906"/>
    <w:rsid w:val="00236A2B"/>
    <w:rsid w:val="0024071F"/>
    <w:rsid w:val="00241FC9"/>
    <w:rsid w:val="002446ED"/>
    <w:rsid w:val="002454C4"/>
    <w:rsid w:val="00246F65"/>
    <w:rsid w:val="00247A34"/>
    <w:rsid w:val="00247FA4"/>
    <w:rsid w:val="002514C9"/>
    <w:rsid w:val="0025192B"/>
    <w:rsid w:val="00252CB0"/>
    <w:rsid w:val="002552A3"/>
    <w:rsid w:val="00255863"/>
    <w:rsid w:val="00255A1A"/>
    <w:rsid w:val="00261A15"/>
    <w:rsid w:val="002664F6"/>
    <w:rsid w:val="002666E5"/>
    <w:rsid w:val="00270317"/>
    <w:rsid w:val="00272CD4"/>
    <w:rsid w:val="00275085"/>
    <w:rsid w:val="00276A98"/>
    <w:rsid w:val="00276E2E"/>
    <w:rsid w:val="00280B3E"/>
    <w:rsid w:val="00281B13"/>
    <w:rsid w:val="00285101"/>
    <w:rsid w:val="0028568B"/>
    <w:rsid w:val="00291D1D"/>
    <w:rsid w:val="0029383B"/>
    <w:rsid w:val="00294EA5"/>
    <w:rsid w:val="002A1D6A"/>
    <w:rsid w:val="002A3158"/>
    <w:rsid w:val="002A45A4"/>
    <w:rsid w:val="002A5E98"/>
    <w:rsid w:val="002A6DA0"/>
    <w:rsid w:val="002A7FFC"/>
    <w:rsid w:val="002B1BE4"/>
    <w:rsid w:val="002B1F11"/>
    <w:rsid w:val="002C0D7D"/>
    <w:rsid w:val="002C268A"/>
    <w:rsid w:val="002C26E5"/>
    <w:rsid w:val="002C5A8A"/>
    <w:rsid w:val="002C5CA4"/>
    <w:rsid w:val="002C7288"/>
    <w:rsid w:val="002D0006"/>
    <w:rsid w:val="002D0FF8"/>
    <w:rsid w:val="002D116A"/>
    <w:rsid w:val="002D1E0B"/>
    <w:rsid w:val="002D60E5"/>
    <w:rsid w:val="002E26D6"/>
    <w:rsid w:val="002E35CF"/>
    <w:rsid w:val="002E40ED"/>
    <w:rsid w:val="002E475D"/>
    <w:rsid w:val="002F1663"/>
    <w:rsid w:val="002F2637"/>
    <w:rsid w:val="002F3178"/>
    <w:rsid w:val="002F5707"/>
    <w:rsid w:val="003005D8"/>
    <w:rsid w:val="00301490"/>
    <w:rsid w:val="0030347E"/>
    <w:rsid w:val="00305A37"/>
    <w:rsid w:val="00306917"/>
    <w:rsid w:val="0031082F"/>
    <w:rsid w:val="00315A04"/>
    <w:rsid w:val="00316974"/>
    <w:rsid w:val="00320B93"/>
    <w:rsid w:val="0032394D"/>
    <w:rsid w:val="00324E2B"/>
    <w:rsid w:val="00325D84"/>
    <w:rsid w:val="00331BDC"/>
    <w:rsid w:val="003329E4"/>
    <w:rsid w:val="00334D43"/>
    <w:rsid w:val="003351CC"/>
    <w:rsid w:val="003352E2"/>
    <w:rsid w:val="00335820"/>
    <w:rsid w:val="00337E2F"/>
    <w:rsid w:val="0034101D"/>
    <w:rsid w:val="003413E8"/>
    <w:rsid w:val="0034619F"/>
    <w:rsid w:val="00347EDF"/>
    <w:rsid w:val="00350E80"/>
    <w:rsid w:val="00353BDC"/>
    <w:rsid w:val="00357129"/>
    <w:rsid w:val="00360489"/>
    <w:rsid w:val="00362246"/>
    <w:rsid w:val="003624C7"/>
    <w:rsid w:val="0036343F"/>
    <w:rsid w:val="003654DF"/>
    <w:rsid w:val="00366685"/>
    <w:rsid w:val="0036760B"/>
    <w:rsid w:val="00371901"/>
    <w:rsid w:val="0037254E"/>
    <w:rsid w:val="00376FD4"/>
    <w:rsid w:val="00380CE9"/>
    <w:rsid w:val="003823B3"/>
    <w:rsid w:val="00383248"/>
    <w:rsid w:val="00383666"/>
    <w:rsid w:val="00393181"/>
    <w:rsid w:val="003948BB"/>
    <w:rsid w:val="003950C1"/>
    <w:rsid w:val="003A0BA6"/>
    <w:rsid w:val="003A17A4"/>
    <w:rsid w:val="003A5CBF"/>
    <w:rsid w:val="003A66C5"/>
    <w:rsid w:val="003A6E34"/>
    <w:rsid w:val="003A76EE"/>
    <w:rsid w:val="003B0C87"/>
    <w:rsid w:val="003B1218"/>
    <w:rsid w:val="003B32D1"/>
    <w:rsid w:val="003B4533"/>
    <w:rsid w:val="003B4B44"/>
    <w:rsid w:val="003B5D7C"/>
    <w:rsid w:val="003B625C"/>
    <w:rsid w:val="003B68B9"/>
    <w:rsid w:val="003C3F01"/>
    <w:rsid w:val="003C5D1F"/>
    <w:rsid w:val="003C62A4"/>
    <w:rsid w:val="003C68F9"/>
    <w:rsid w:val="003D160A"/>
    <w:rsid w:val="003D7DB1"/>
    <w:rsid w:val="003E06D6"/>
    <w:rsid w:val="003E41FA"/>
    <w:rsid w:val="003E60B0"/>
    <w:rsid w:val="003E6631"/>
    <w:rsid w:val="003E6BE0"/>
    <w:rsid w:val="003E7399"/>
    <w:rsid w:val="003F2F63"/>
    <w:rsid w:val="003F32AD"/>
    <w:rsid w:val="003F5F40"/>
    <w:rsid w:val="003F7FF0"/>
    <w:rsid w:val="004023E9"/>
    <w:rsid w:val="00402DED"/>
    <w:rsid w:val="004037B6"/>
    <w:rsid w:val="0040384A"/>
    <w:rsid w:val="00404053"/>
    <w:rsid w:val="00404A66"/>
    <w:rsid w:val="00407EDD"/>
    <w:rsid w:val="00410497"/>
    <w:rsid w:val="00411772"/>
    <w:rsid w:val="00411F51"/>
    <w:rsid w:val="004145AF"/>
    <w:rsid w:val="00414EBA"/>
    <w:rsid w:val="00415321"/>
    <w:rsid w:val="0041683D"/>
    <w:rsid w:val="00424DF4"/>
    <w:rsid w:val="004263DE"/>
    <w:rsid w:val="0042679F"/>
    <w:rsid w:val="00435682"/>
    <w:rsid w:val="00441F02"/>
    <w:rsid w:val="00444DB7"/>
    <w:rsid w:val="0044756B"/>
    <w:rsid w:val="00450602"/>
    <w:rsid w:val="004531CC"/>
    <w:rsid w:val="00453345"/>
    <w:rsid w:val="00453766"/>
    <w:rsid w:val="00455003"/>
    <w:rsid w:val="00456580"/>
    <w:rsid w:val="0045734F"/>
    <w:rsid w:val="00457A51"/>
    <w:rsid w:val="00457B6B"/>
    <w:rsid w:val="00464E37"/>
    <w:rsid w:val="00465A7E"/>
    <w:rsid w:val="004674A7"/>
    <w:rsid w:val="00472E1F"/>
    <w:rsid w:val="00473A80"/>
    <w:rsid w:val="0047530F"/>
    <w:rsid w:val="0047663B"/>
    <w:rsid w:val="0048371D"/>
    <w:rsid w:val="00484427"/>
    <w:rsid w:val="004858EF"/>
    <w:rsid w:val="00485C91"/>
    <w:rsid w:val="00485EF5"/>
    <w:rsid w:val="00486169"/>
    <w:rsid w:val="00487D14"/>
    <w:rsid w:val="00490D46"/>
    <w:rsid w:val="00492205"/>
    <w:rsid w:val="004925DB"/>
    <w:rsid w:val="004958EB"/>
    <w:rsid w:val="00497190"/>
    <w:rsid w:val="004979AD"/>
    <w:rsid w:val="004A0240"/>
    <w:rsid w:val="004A6899"/>
    <w:rsid w:val="004B3834"/>
    <w:rsid w:val="004B3A7E"/>
    <w:rsid w:val="004B4538"/>
    <w:rsid w:val="004C6640"/>
    <w:rsid w:val="004D2D20"/>
    <w:rsid w:val="004D3868"/>
    <w:rsid w:val="004D4252"/>
    <w:rsid w:val="004D5838"/>
    <w:rsid w:val="004D626D"/>
    <w:rsid w:val="004E11D4"/>
    <w:rsid w:val="004E4744"/>
    <w:rsid w:val="004E52C1"/>
    <w:rsid w:val="004E67A5"/>
    <w:rsid w:val="004E694D"/>
    <w:rsid w:val="004F3331"/>
    <w:rsid w:val="004F4724"/>
    <w:rsid w:val="005035D2"/>
    <w:rsid w:val="00505076"/>
    <w:rsid w:val="005131FE"/>
    <w:rsid w:val="00513AB1"/>
    <w:rsid w:val="00515D69"/>
    <w:rsid w:val="00521185"/>
    <w:rsid w:val="005226AB"/>
    <w:rsid w:val="00525276"/>
    <w:rsid w:val="00525FF0"/>
    <w:rsid w:val="0052743E"/>
    <w:rsid w:val="00527EB3"/>
    <w:rsid w:val="0053651B"/>
    <w:rsid w:val="00536C64"/>
    <w:rsid w:val="00537A22"/>
    <w:rsid w:val="00541550"/>
    <w:rsid w:val="0054242E"/>
    <w:rsid w:val="00542EE3"/>
    <w:rsid w:val="00545AB0"/>
    <w:rsid w:val="0054719F"/>
    <w:rsid w:val="00550CD6"/>
    <w:rsid w:val="0055518E"/>
    <w:rsid w:val="0055684A"/>
    <w:rsid w:val="00557774"/>
    <w:rsid w:val="00560430"/>
    <w:rsid w:val="005623B4"/>
    <w:rsid w:val="0056339E"/>
    <w:rsid w:val="00563E4F"/>
    <w:rsid w:val="0056526B"/>
    <w:rsid w:val="00566CA9"/>
    <w:rsid w:val="00567726"/>
    <w:rsid w:val="00570486"/>
    <w:rsid w:val="00570CF0"/>
    <w:rsid w:val="00573E03"/>
    <w:rsid w:val="00574394"/>
    <w:rsid w:val="00577BDA"/>
    <w:rsid w:val="005821FF"/>
    <w:rsid w:val="00584565"/>
    <w:rsid w:val="005867FE"/>
    <w:rsid w:val="0059122C"/>
    <w:rsid w:val="00591ECA"/>
    <w:rsid w:val="00592593"/>
    <w:rsid w:val="00592CE7"/>
    <w:rsid w:val="00594D9D"/>
    <w:rsid w:val="0059508D"/>
    <w:rsid w:val="0059794B"/>
    <w:rsid w:val="005A03E0"/>
    <w:rsid w:val="005A069D"/>
    <w:rsid w:val="005A3FFF"/>
    <w:rsid w:val="005A633E"/>
    <w:rsid w:val="005B503F"/>
    <w:rsid w:val="005B5164"/>
    <w:rsid w:val="005B5261"/>
    <w:rsid w:val="005C168E"/>
    <w:rsid w:val="005C1E20"/>
    <w:rsid w:val="005C2282"/>
    <w:rsid w:val="005C4BC0"/>
    <w:rsid w:val="005C6C0C"/>
    <w:rsid w:val="005C7062"/>
    <w:rsid w:val="005C7EE9"/>
    <w:rsid w:val="005D0E2C"/>
    <w:rsid w:val="005D15A6"/>
    <w:rsid w:val="005D79B2"/>
    <w:rsid w:val="005D7F0A"/>
    <w:rsid w:val="005E29C5"/>
    <w:rsid w:val="005E5B93"/>
    <w:rsid w:val="005E7086"/>
    <w:rsid w:val="005E71D0"/>
    <w:rsid w:val="005F1885"/>
    <w:rsid w:val="005F1905"/>
    <w:rsid w:val="005F7F4C"/>
    <w:rsid w:val="00602088"/>
    <w:rsid w:val="00603A25"/>
    <w:rsid w:val="00604130"/>
    <w:rsid w:val="00604923"/>
    <w:rsid w:val="00604EEF"/>
    <w:rsid w:val="006053D4"/>
    <w:rsid w:val="00607AF2"/>
    <w:rsid w:val="00615390"/>
    <w:rsid w:val="006209E4"/>
    <w:rsid w:val="00621CAA"/>
    <w:rsid w:val="00625702"/>
    <w:rsid w:val="00626604"/>
    <w:rsid w:val="006279A0"/>
    <w:rsid w:val="0063032E"/>
    <w:rsid w:val="006341B8"/>
    <w:rsid w:val="00634893"/>
    <w:rsid w:val="00635371"/>
    <w:rsid w:val="0063550C"/>
    <w:rsid w:val="00635799"/>
    <w:rsid w:val="0063585F"/>
    <w:rsid w:val="00636B4E"/>
    <w:rsid w:val="0064134E"/>
    <w:rsid w:val="006421A1"/>
    <w:rsid w:val="00643BDA"/>
    <w:rsid w:val="00646700"/>
    <w:rsid w:val="00652D1A"/>
    <w:rsid w:val="0065414D"/>
    <w:rsid w:val="00655155"/>
    <w:rsid w:val="00655BFD"/>
    <w:rsid w:val="00662CFE"/>
    <w:rsid w:val="0066340D"/>
    <w:rsid w:val="00664AED"/>
    <w:rsid w:val="00664C39"/>
    <w:rsid w:val="0067216A"/>
    <w:rsid w:val="00672664"/>
    <w:rsid w:val="006733BD"/>
    <w:rsid w:val="0068506E"/>
    <w:rsid w:val="00692BD6"/>
    <w:rsid w:val="00694D39"/>
    <w:rsid w:val="00697277"/>
    <w:rsid w:val="006975E4"/>
    <w:rsid w:val="006A09F8"/>
    <w:rsid w:val="006A1D86"/>
    <w:rsid w:val="006A20FF"/>
    <w:rsid w:val="006A2163"/>
    <w:rsid w:val="006A2C79"/>
    <w:rsid w:val="006A3C1F"/>
    <w:rsid w:val="006A5E07"/>
    <w:rsid w:val="006A743F"/>
    <w:rsid w:val="006B20B3"/>
    <w:rsid w:val="006B2365"/>
    <w:rsid w:val="006B25C1"/>
    <w:rsid w:val="006B3B38"/>
    <w:rsid w:val="006B46CD"/>
    <w:rsid w:val="006C16BB"/>
    <w:rsid w:val="006C4DC2"/>
    <w:rsid w:val="006C58B4"/>
    <w:rsid w:val="006C64DA"/>
    <w:rsid w:val="006C7043"/>
    <w:rsid w:val="006D0DC3"/>
    <w:rsid w:val="006D1494"/>
    <w:rsid w:val="006D2AAD"/>
    <w:rsid w:val="006D573E"/>
    <w:rsid w:val="006D6F52"/>
    <w:rsid w:val="006D7656"/>
    <w:rsid w:val="006D783F"/>
    <w:rsid w:val="006E2E99"/>
    <w:rsid w:val="006E62A2"/>
    <w:rsid w:val="006E65A1"/>
    <w:rsid w:val="006F240A"/>
    <w:rsid w:val="006F40B8"/>
    <w:rsid w:val="006F49E4"/>
    <w:rsid w:val="006F7E6F"/>
    <w:rsid w:val="00700FEA"/>
    <w:rsid w:val="00704CB3"/>
    <w:rsid w:val="00713D21"/>
    <w:rsid w:val="00713D86"/>
    <w:rsid w:val="00717903"/>
    <w:rsid w:val="0071796A"/>
    <w:rsid w:val="00722904"/>
    <w:rsid w:val="00724517"/>
    <w:rsid w:val="0072498F"/>
    <w:rsid w:val="00726FFC"/>
    <w:rsid w:val="0073027E"/>
    <w:rsid w:val="00730497"/>
    <w:rsid w:val="0073707D"/>
    <w:rsid w:val="00741A40"/>
    <w:rsid w:val="007442AD"/>
    <w:rsid w:val="00745EBF"/>
    <w:rsid w:val="00745FA6"/>
    <w:rsid w:val="00747CCF"/>
    <w:rsid w:val="007507E5"/>
    <w:rsid w:val="007512DD"/>
    <w:rsid w:val="0075253E"/>
    <w:rsid w:val="00753FBB"/>
    <w:rsid w:val="00755770"/>
    <w:rsid w:val="007602ED"/>
    <w:rsid w:val="00774D5F"/>
    <w:rsid w:val="00775F41"/>
    <w:rsid w:val="00776611"/>
    <w:rsid w:val="0078055E"/>
    <w:rsid w:val="00784EB2"/>
    <w:rsid w:val="00786C97"/>
    <w:rsid w:val="0079319D"/>
    <w:rsid w:val="00793F82"/>
    <w:rsid w:val="007962AA"/>
    <w:rsid w:val="007967BF"/>
    <w:rsid w:val="007A151D"/>
    <w:rsid w:val="007A2F90"/>
    <w:rsid w:val="007A3894"/>
    <w:rsid w:val="007A446E"/>
    <w:rsid w:val="007A5AFA"/>
    <w:rsid w:val="007B08B6"/>
    <w:rsid w:val="007B093E"/>
    <w:rsid w:val="007B0DC9"/>
    <w:rsid w:val="007B7DA7"/>
    <w:rsid w:val="007C2BAC"/>
    <w:rsid w:val="007D1606"/>
    <w:rsid w:val="007D1D2C"/>
    <w:rsid w:val="007D3D92"/>
    <w:rsid w:val="007D50F1"/>
    <w:rsid w:val="007E1A8F"/>
    <w:rsid w:val="007E5CA9"/>
    <w:rsid w:val="007E6A8F"/>
    <w:rsid w:val="007F06EE"/>
    <w:rsid w:val="007F319B"/>
    <w:rsid w:val="007F343F"/>
    <w:rsid w:val="007F370A"/>
    <w:rsid w:val="007F5696"/>
    <w:rsid w:val="007F65B1"/>
    <w:rsid w:val="007F6CCE"/>
    <w:rsid w:val="007F72B0"/>
    <w:rsid w:val="007F76B9"/>
    <w:rsid w:val="00800B11"/>
    <w:rsid w:val="0080698B"/>
    <w:rsid w:val="00811043"/>
    <w:rsid w:val="008141FA"/>
    <w:rsid w:val="00816799"/>
    <w:rsid w:val="0082305A"/>
    <w:rsid w:val="00823321"/>
    <w:rsid w:val="008271D0"/>
    <w:rsid w:val="00827F86"/>
    <w:rsid w:val="00830294"/>
    <w:rsid w:val="00831EDE"/>
    <w:rsid w:val="008344D8"/>
    <w:rsid w:val="00834C43"/>
    <w:rsid w:val="008353A4"/>
    <w:rsid w:val="008354D2"/>
    <w:rsid w:val="0083799C"/>
    <w:rsid w:val="00841273"/>
    <w:rsid w:val="00845B3A"/>
    <w:rsid w:val="00847A60"/>
    <w:rsid w:val="008531B6"/>
    <w:rsid w:val="00856212"/>
    <w:rsid w:val="00860B91"/>
    <w:rsid w:val="0086491D"/>
    <w:rsid w:val="00865FBB"/>
    <w:rsid w:val="0086613C"/>
    <w:rsid w:val="008669C9"/>
    <w:rsid w:val="00871ADC"/>
    <w:rsid w:val="00872AAB"/>
    <w:rsid w:val="00875032"/>
    <w:rsid w:val="008756F5"/>
    <w:rsid w:val="0088030D"/>
    <w:rsid w:val="00880EF6"/>
    <w:rsid w:val="00883D53"/>
    <w:rsid w:val="00885E99"/>
    <w:rsid w:val="00887E89"/>
    <w:rsid w:val="00891468"/>
    <w:rsid w:val="00892BF0"/>
    <w:rsid w:val="00892F9A"/>
    <w:rsid w:val="00893F96"/>
    <w:rsid w:val="00894705"/>
    <w:rsid w:val="008958EC"/>
    <w:rsid w:val="008A0448"/>
    <w:rsid w:val="008A0604"/>
    <w:rsid w:val="008A192E"/>
    <w:rsid w:val="008A1E0D"/>
    <w:rsid w:val="008A2B41"/>
    <w:rsid w:val="008A4A74"/>
    <w:rsid w:val="008A5631"/>
    <w:rsid w:val="008B032F"/>
    <w:rsid w:val="008B1B60"/>
    <w:rsid w:val="008B7EEE"/>
    <w:rsid w:val="008C03A1"/>
    <w:rsid w:val="008C1C13"/>
    <w:rsid w:val="008C1C1F"/>
    <w:rsid w:val="008C4237"/>
    <w:rsid w:val="008C53B2"/>
    <w:rsid w:val="008C6A2E"/>
    <w:rsid w:val="008C6ADE"/>
    <w:rsid w:val="008D0588"/>
    <w:rsid w:val="008D28FB"/>
    <w:rsid w:val="008D4C08"/>
    <w:rsid w:val="008E01D5"/>
    <w:rsid w:val="008E18F9"/>
    <w:rsid w:val="008E7D31"/>
    <w:rsid w:val="008F0DC1"/>
    <w:rsid w:val="008F0FB4"/>
    <w:rsid w:val="008F4E5E"/>
    <w:rsid w:val="00900715"/>
    <w:rsid w:val="00900A3E"/>
    <w:rsid w:val="00901F58"/>
    <w:rsid w:val="00904818"/>
    <w:rsid w:val="00906698"/>
    <w:rsid w:val="009068E1"/>
    <w:rsid w:val="00907807"/>
    <w:rsid w:val="00907C7A"/>
    <w:rsid w:val="00911537"/>
    <w:rsid w:val="00911EF6"/>
    <w:rsid w:val="00911FD8"/>
    <w:rsid w:val="00912404"/>
    <w:rsid w:val="00915C5B"/>
    <w:rsid w:val="00916560"/>
    <w:rsid w:val="00920669"/>
    <w:rsid w:val="009213E6"/>
    <w:rsid w:val="00925953"/>
    <w:rsid w:val="009261C3"/>
    <w:rsid w:val="009270E6"/>
    <w:rsid w:val="00930AD0"/>
    <w:rsid w:val="0093372F"/>
    <w:rsid w:val="0093408C"/>
    <w:rsid w:val="00934553"/>
    <w:rsid w:val="009367BB"/>
    <w:rsid w:val="00936F06"/>
    <w:rsid w:val="0094004D"/>
    <w:rsid w:val="0094105B"/>
    <w:rsid w:val="00944641"/>
    <w:rsid w:val="009468A4"/>
    <w:rsid w:val="00946CE4"/>
    <w:rsid w:val="00951661"/>
    <w:rsid w:val="00952FAE"/>
    <w:rsid w:val="00956321"/>
    <w:rsid w:val="0096098B"/>
    <w:rsid w:val="00966DDA"/>
    <w:rsid w:val="009671CA"/>
    <w:rsid w:val="009708A3"/>
    <w:rsid w:val="00974C5C"/>
    <w:rsid w:val="00982451"/>
    <w:rsid w:val="00985954"/>
    <w:rsid w:val="009863DC"/>
    <w:rsid w:val="00986A27"/>
    <w:rsid w:val="00987083"/>
    <w:rsid w:val="009873D2"/>
    <w:rsid w:val="00991228"/>
    <w:rsid w:val="00991DE1"/>
    <w:rsid w:val="00994745"/>
    <w:rsid w:val="00994D15"/>
    <w:rsid w:val="009976AB"/>
    <w:rsid w:val="009A33BE"/>
    <w:rsid w:val="009A5497"/>
    <w:rsid w:val="009A5D01"/>
    <w:rsid w:val="009A7564"/>
    <w:rsid w:val="009B0D1D"/>
    <w:rsid w:val="009B10F0"/>
    <w:rsid w:val="009B1158"/>
    <w:rsid w:val="009B56A0"/>
    <w:rsid w:val="009B70F8"/>
    <w:rsid w:val="009C6266"/>
    <w:rsid w:val="009C6533"/>
    <w:rsid w:val="009C7BBB"/>
    <w:rsid w:val="009D0025"/>
    <w:rsid w:val="009D10C5"/>
    <w:rsid w:val="009D1912"/>
    <w:rsid w:val="009D2273"/>
    <w:rsid w:val="009D2CAE"/>
    <w:rsid w:val="009D474A"/>
    <w:rsid w:val="009D5A41"/>
    <w:rsid w:val="009D6622"/>
    <w:rsid w:val="009D67C0"/>
    <w:rsid w:val="009E0A72"/>
    <w:rsid w:val="009E1FEF"/>
    <w:rsid w:val="009E2085"/>
    <w:rsid w:val="009E2DBA"/>
    <w:rsid w:val="009E323E"/>
    <w:rsid w:val="009E48C8"/>
    <w:rsid w:val="009E5897"/>
    <w:rsid w:val="009E6E5F"/>
    <w:rsid w:val="009F024E"/>
    <w:rsid w:val="009F1511"/>
    <w:rsid w:val="009F19EA"/>
    <w:rsid w:val="009F1F66"/>
    <w:rsid w:val="009F200E"/>
    <w:rsid w:val="009F36EF"/>
    <w:rsid w:val="009F5069"/>
    <w:rsid w:val="009F5493"/>
    <w:rsid w:val="00A00032"/>
    <w:rsid w:val="00A00996"/>
    <w:rsid w:val="00A078D6"/>
    <w:rsid w:val="00A10EF6"/>
    <w:rsid w:val="00A12A39"/>
    <w:rsid w:val="00A12A7B"/>
    <w:rsid w:val="00A12FDA"/>
    <w:rsid w:val="00A13608"/>
    <w:rsid w:val="00A13F29"/>
    <w:rsid w:val="00A166DA"/>
    <w:rsid w:val="00A16C6A"/>
    <w:rsid w:val="00A16FE6"/>
    <w:rsid w:val="00A21D38"/>
    <w:rsid w:val="00A243AB"/>
    <w:rsid w:val="00A24B25"/>
    <w:rsid w:val="00A265ED"/>
    <w:rsid w:val="00A31EBE"/>
    <w:rsid w:val="00A3230E"/>
    <w:rsid w:val="00A37999"/>
    <w:rsid w:val="00A41223"/>
    <w:rsid w:val="00A50535"/>
    <w:rsid w:val="00A50BD9"/>
    <w:rsid w:val="00A51358"/>
    <w:rsid w:val="00A518F9"/>
    <w:rsid w:val="00A536A6"/>
    <w:rsid w:val="00A54B9A"/>
    <w:rsid w:val="00A552F7"/>
    <w:rsid w:val="00A6104D"/>
    <w:rsid w:val="00A613EC"/>
    <w:rsid w:val="00A62554"/>
    <w:rsid w:val="00A626E4"/>
    <w:rsid w:val="00A645C4"/>
    <w:rsid w:val="00A7004F"/>
    <w:rsid w:val="00A709B8"/>
    <w:rsid w:val="00A73BF6"/>
    <w:rsid w:val="00A74910"/>
    <w:rsid w:val="00A75BBE"/>
    <w:rsid w:val="00A75FF1"/>
    <w:rsid w:val="00A8205A"/>
    <w:rsid w:val="00A8269E"/>
    <w:rsid w:val="00A8282D"/>
    <w:rsid w:val="00A84C4C"/>
    <w:rsid w:val="00A930DF"/>
    <w:rsid w:val="00A966F3"/>
    <w:rsid w:val="00AA34A2"/>
    <w:rsid w:val="00AA5819"/>
    <w:rsid w:val="00AB1C94"/>
    <w:rsid w:val="00AB64E5"/>
    <w:rsid w:val="00AB6E4F"/>
    <w:rsid w:val="00AC109E"/>
    <w:rsid w:val="00AC2834"/>
    <w:rsid w:val="00AC3175"/>
    <w:rsid w:val="00AC39CB"/>
    <w:rsid w:val="00AC40FE"/>
    <w:rsid w:val="00AC77F3"/>
    <w:rsid w:val="00AC7903"/>
    <w:rsid w:val="00AD1B53"/>
    <w:rsid w:val="00AD21D7"/>
    <w:rsid w:val="00AD26EC"/>
    <w:rsid w:val="00AD30B9"/>
    <w:rsid w:val="00AD3399"/>
    <w:rsid w:val="00AD5031"/>
    <w:rsid w:val="00AD5CA9"/>
    <w:rsid w:val="00AD6888"/>
    <w:rsid w:val="00AE1324"/>
    <w:rsid w:val="00AE17AC"/>
    <w:rsid w:val="00AE1A1E"/>
    <w:rsid w:val="00AE3717"/>
    <w:rsid w:val="00AE5D0C"/>
    <w:rsid w:val="00AF2FA1"/>
    <w:rsid w:val="00AF398E"/>
    <w:rsid w:val="00AF4BFB"/>
    <w:rsid w:val="00B00BB7"/>
    <w:rsid w:val="00B04491"/>
    <w:rsid w:val="00B10551"/>
    <w:rsid w:val="00B12CEC"/>
    <w:rsid w:val="00B13F29"/>
    <w:rsid w:val="00B13F5E"/>
    <w:rsid w:val="00B14F81"/>
    <w:rsid w:val="00B152A0"/>
    <w:rsid w:val="00B162F6"/>
    <w:rsid w:val="00B16AF3"/>
    <w:rsid w:val="00B21C53"/>
    <w:rsid w:val="00B22572"/>
    <w:rsid w:val="00B309F5"/>
    <w:rsid w:val="00B34277"/>
    <w:rsid w:val="00B36F12"/>
    <w:rsid w:val="00B41F60"/>
    <w:rsid w:val="00B434CA"/>
    <w:rsid w:val="00B47FB4"/>
    <w:rsid w:val="00B50BE0"/>
    <w:rsid w:val="00B53224"/>
    <w:rsid w:val="00B54EB3"/>
    <w:rsid w:val="00B54F8B"/>
    <w:rsid w:val="00B6128A"/>
    <w:rsid w:val="00B6599E"/>
    <w:rsid w:val="00B7031C"/>
    <w:rsid w:val="00B70487"/>
    <w:rsid w:val="00B70B8F"/>
    <w:rsid w:val="00B71B4F"/>
    <w:rsid w:val="00B71C38"/>
    <w:rsid w:val="00B7573C"/>
    <w:rsid w:val="00B77906"/>
    <w:rsid w:val="00B77F2C"/>
    <w:rsid w:val="00B83722"/>
    <w:rsid w:val="00B8491B"/>
    <w:rsid w:val="00B90E3E"/>
    <w:rsid w:val="00B9160E"/>
    <w:rsid w:val="00B96318"/>
    <w:rsid w:val="00B9663D"/>
    <w:rsid w:val="00BA1CAB"/>
    <w:rsid w:val="00BA1F81"/>
    <w:rsid w:val="00BA38DE"/>
    <w:rsid w:val="00BB121D"/>
    <w:rsid w:val="00BB30FE"/>
    <w:rsid w:val="00BB448B"/>
    <w:rsid w:val="00BB5968"/>
    <w:rsid w:val="00BB6861"/>
    <w:rsid w:val="00BC109E"/>
    <w:rsid w:val="00BC18AB"/>
    <w:rsid w:val="00BC202E"/>
    <w:rsid w:val="00BC44B2"/>
    <w:rsid w:val="00BC4FB8"/>
    <w:rsid w:val="00BD1B4F"/>
    <w:rsid w:val="00BD246C"/>
    <w:rsid w:val="00BE0325"/>
    <w:rsid w:val="00BE2D2B"/>
    <w:rsid w:val="00BE2DDF"/>
    <w:rsid w:val="00BE3B1A"/>
    <w:rsid w:val="00BE3E27"/>
    <w:rsid w:val="00BE7480"/>
    <w:rsid w:val="00BF0628"/>
    <w:rsid w:val="00BF24EC"/>
    <w:rsid w:val="00BF3AF5"/>
    <w:rsid w:val="00C01010"/>
    <w:rsid w:val="00C010C4"/>
    <w:rsid w:val="00C0112C"/>
    <w:rsid w:val="00C03AF9"/>
    <w:rsid w:val="00C045C8"/>
    <w:rsid w:val="00C05793"/>
    <w:rsid w:val="00C11416"/>
    <w:rsid w:val="00C11F00"/>
    <w:rsid w:val="00C161E4"/>
    <w:rsid w:val="00C20440"/>
    <w:rsid w:val="00C20941"/>
    <w:rsid w:val="00C2203E"/>
    <w:rsid w:val="00C22E27"/>
    <w:rsid w:val="00C30A14"/>
    <w:rsid w:val="00C30D3C"/>
    <w:rsid w:val="00C323F0"/>
    <w:rsid w:val="00C32762"/>
    <w:rsid w:val="00C32E44"/>
    <w:rsid w:val="00C421EC"/>
    <w:rsid w:val="00C42B4E"/>
    <w:rsid w:val="00C44CE5"/>
    <w:rsid w:val="00C46184"/>
    <w:rsid w:val="00C5019B"/>
    <w:rsid w:val="00C5109C"/>
    <w:rsid w:val="00C51381"/>
    <w:rsid w:val="00C51D11"/>
    <w:rsid w:val="00C53F30"/>
    <w:rsid w:val="00C54895"/>
    <w:rsid w:val="00C56D8C"/>
    <w:rsid w:val="00C6510C"/>
    <w:rsid w:val="00C675C3"/>
    <w:rsid w:val="00C7030E"/>
    <w:rsid w:val="00C70D88"/>
    <w:rsid w:val="00C73D71"/>
    <w:rsid w:val="00C75336"/>
    <w:rsid w:val="00C9054C"/>
    <w:rsid w:val="00CA0408"/>
    <w:rsid w:val="00CA14F2"/>
    <w:rsid w:val="00CA2900"/>
    <w:rsid w:val="00CA2DD8"/>
    <w:rsid w:val="00CA3DEC"/>
    <w:rsid w:val="00CA4E16"/>
    <w:rsid w:val="00CA66AB"/>
    <w:rsid w:val="00CB1661"/>
    <w:rsid w:val="00CB1F34"/>
    <w:rsid w:val="00CB2520"/>
    <w:rsid w:val="00CB4441"/>
    <w:rsid w:val="00CB546A"/>
    <w:rsid w:val="00CB6E3F"/>
    <w:rsid w:val="00CC248D"/>
    <w:rsid w:val="00CC34F4"/>
    <w:rsid w:val="00CC7384"/>
    <w:rsid w:val="00CE0D38"/>
    <w:rsid w:val="00CE12B2"/>
    <w:rsid w:val="00CE3686"/>
    <w:rsid w:val="00CE7258"/>
    <w:rsid w:val="00CF3220"/>
    <w:rsid w:val="00CF57B7"/>
    <w:rsid w:val="00CF7702"/>
    <w:rsid w:val="00D01404"/>
    <w:rsid w:val="00D03C19"/>
    <w:rsid w:val="00D0501A"/>
    <w:rsid w:val="00D055DC"/>
    <w:rsid w:val="00D1147B"/>
    <w:rsid w:val="00D1169E"/>
    <w:rsid w:val="00D12534"/>
    <w:rsid w:val="00D12B84"/>
    <w:rsid w:val="00D14C41"/>
    <w:rsid w:val="00D14C7E"/>
    <w:rsid w:val="00D17E46"/>
    <w:rsid w:val="00D21993"/>
    <w:rsid w:val="00D2262E"/>
    <w:rsid w:val="00D23E08"/>
    <w:rsid w:val="00D314B5"/>
    <w:rsid w:val="00D35E5B"/>
    <w:rsid w:val="00D37AE5"/>
    <w:rsid w:val="00D44F10"/>
    <w:rsid w:val="00D4677E"/>
    <w:rsid w:val="00D5071D"/>
    <w:rsid w:val="00D512AF"/>
    <w:rsid w:val="00D522F1"/>
    <w:rsid w:val="00D556EF"/>
    <w:rsid w:val="00D5571D"/>
    <w:rsid w:val="00D60229"/>
    <w:rsid w:val="00D60E0B"/>
    <w:rsid w:val="00D63F06"/>
    <w:rsid w:val="00D64560"/>
    <w:rsid w:val="00D66C5D"/>
    <w:rsid w:val="00D67207"/>
    <w:rsid w:val="00D7240F"/>
    <w:rsid w:val="00D72C9E"/>
    <w:rsid w:val="00D752D0"/>
    <w:rsid w:val="00D85364"/>
    <w:rsid w:val="00D87F01"/>
    <w:rsid w:val="00D936AA"/>
    <w:rsid w:val="00D96F30"/>
    <w:rsid w:val="00D97156"/>
    <w:rsid w:val="00D9785D"/>
    <w:rsid w:val="00D97F45"/>
    <w:rsid w:val="00DA0BEF"/>
    <w:rsid w:val="00DA10F2"/>
    <w:rsid w:val="00DA3B86"/>
    <w:rsid w:val="00DA4364"/>
    <w:rsid w:val="00DA6B16"/>
    <w:rsid w:val="00DB2CC5"/>
    <w:rsid w:val="00DB3327"/>
    <w:rsid w:val="00DB379C"/>
    <w:rsid w:val="00DB3F97"/>
    <w:rsid w:val="00DB7BF6"/>
    <w:rsid w:val="00DC0C22"/>
    <w:rsid w:val="00DC35E5"/>
    <w:rsid w:val="00DC534D"/>
    <w:rsid w:val="00DC5BA4"/>
    <w:rsid w:val="00DD05C6"/>
    <w:rsid w:val="00DD105C"/>
    <w:rsid w:val="00DD12D1"/>
    <w:rsid w:val="00DD36C8"/>
    <w:rsid w:val="00DE3484"/>
    <w:rsid w:val="00DE4180"/>
    <w:rsid w:val="00DE53E9"/>
    <w:rsid w:val="00DE5F3D"/>
    <w:rsid w:val="00DF1A5B"/>
    <w:rsid w:val="00DF2C17"/>
    <w:rsid w:val="00DF5AB9"/>
    <w:rsid w:val="00DF7188"/>
    <w:rsid w:val="00DF782A"/>
    <w:rsid w:val="00E00B80"/>
    <w:rsid w:val="00E0133B"/>
    <w:rsid w:val="00E10172"/>
    <w:rsid w:val="00E16F37"/>
    <w:rsid w:val="00E20F80"/>
    <w:rsid w:val="00E22142"/>
    <w:rsid w:val="00E23717"/>
    <w:rsid w:val="00E23F18"/>
    <w:rsid w:val="00E24E31"/>
    <w:rsid w:val="00E25012"/>
    <w:rsid w:val="00E2632B"/>
    <w:rsid w:val="00E26F9B"/>
    <w:rsid w:val="00E273FD"/>
    <w:rsid w:val="00E3267D"/>
    <w:rsid w:val="00E34DA5"/>
    <w:rsid w:val="00E34F37"/>
    <w:rsid w:val="00E35892"/>
    <w:rsid w:val="00E35E84"/>
    <w:rsid w:val="00E40291"/>
    <w:rsid w:val="00E464C6"/>
    <w:rsid w:val="00E500A8"/>
    <w:rsid w:val="00E501F2"/>
    <w:rsid w:val="00E52FC5"/>
    <w:rsid w:val="00E533D5"/>
    <w:rsid w:val="00E5539A"/>
    <w:rsid w:val="00E561F1"/>
    <w:rsid w:val="00E5718A"/>
    <w:rsid w:val="00E6130E"/>
    <w:rsid w:val="00E6332B"/>
    <w:rsid w:val="00E65D5E"/>
    <w:rsid w:val="00E67080"/>
    <w:rsid w:val="00E678F5"/>
    <w:rsid w:val="00E707A3"/>
    <w:rsid w:val="00E72541"/>
    <w:rsid w:val="00E72FE5"/>
    <w:rsid w:val="00E738A3"/>
    <w:rsid w:val="00E763D4"/>
    <w:rsid w:val="00E76B51"/>
    <w:rsid w:val="00E860AE"/>
    <w:rsid w:val="00E86FC9"/>
    <w:rsid w:val="00E909BB"/>
    <w:rsid w:val="00E92009"/>
    <w:rsid w:val="00E93FD7"/>
    <w:rsid w:val="00E945CD"/>
    <w:rsid w:val="00E9749E"/>
    <w:rsid w:val="00EA3A26"/>
    <w:rsid w:val="00EA5311"/>
    <w:rsid w:val="00EA58C9"/>
    <w:rsid w:val="00EA5E88"/>
    <w:rsid w:val="00EA709A"/>
    <w:rsid w:val="00EA742E"/>
    <w:rsid w:val="00EB0BE0"/>
    <w:rsid w:val="00EB13E0"/>
    <w:rsid w:val="00EB14F7"/>
    <w:rsid w:val="00EB34E7"/>
    <w:rsid w:val="00EB4A4D"/>
    <w:rsid w:val="00EB5689"/>
    <w:rsid w:val="00EC1C5D"/>
    <w:rsid w:val="00EC2663"/>
    <w:rsid w:val="00EC41E6"/>
    <w:rsid w:val="00ED0D0D"/>
    <w:rsid w:val="00EE1CB1"/>
    <w:rsid w:val="00EE5B72"/>
    <w:rsid w:val="00EF44D2"/>
    <w:rsid w:val="00EF4524"/>
    <w:rsid w:val="00EF50B1"/>
    <w:rsid w:val="00EF58A7"/>
    <w:rsid w:val="00F02110"/>
    <w:rsid w:val="00F02EB0"/>
    <w:rsid w:val="00F034FD"/>
    <w:rsid w:val="00F04411"/>
    <w:rsid w:val="00F05D28"/>
    <w:rsid w:val="00F110CC"/>
    <w:rsid w:val="00F116FF"/>
    <w:rsid w:val="00F13318"/>
    <w:rsid w:val="00F13AEA"/>
    <w:rsid w:val="00F23B53"/>
    <w:rsid w:val="00F23F96"/>
    <w:rsid w:val="00F24C2B"/>
    <w:rsid w:val="00F255F9"/>
    <w:rsid w:val="00F25E0E"/>
    <w:rsid w:val="00F26C3C"/>
    <w:rsid w:val="00F320F8"/>
    <w:rsid w:val="00F358E7"/>
    <w:rsid w:val="00F36997"/>
    <w:rsid w:val="00F40EC9"/>
    <w:rsid w:val="00F446F3"/>
    <w:rsid w:val="00F454D7"/>
    <w:rsid w:val="00F45B73"/>
    <w:rsid w:val="00F45F0B"/>
    <w:rsid w:val="00F46613"/>
    <w:rsid w:val="00F52B4D"/>
    <w:rsid w:val="00F5354B"/>
    <w:rsid w:val="00F55B1A"/>
    <w:rsid w:val="00F55E85"/>
    <w:rsid w:val="00F55FDF"/>
    <w:rsid w:val="00F56726"/>
    <w:rsid w:val="00F601BF"/>
    <w:rsid w:val="00F60F26"/>
    <w:rsid w:val="00F61C74"/>
    <w:rsid w:val="00F63988"/>
    <w:rsid w:val="00F63EFC"/>
    <w:rsid w:val="00F66523"/>
    <w:rsid w:val="00F74617"/>
    <w:rsid w:val="00F7521D"/>
    <w:rsid w:val="00F7628A"/>
    <w:rsid w:val="00F76309"/>
    <w:rsid w:val="00F80104"/>
    <w:rsid w:val="00F8058A"/>
    <w:rsid w:val="00F80AC3"/>
    <w:rsid w:val="00F817A4"/>
    <w:rsid w:val="00F8452B"/>
    <w:rsid w:val="00F90069"/>
    <w:rsid w:val="00F905C3"/>
    <w:rsid w:val="00F90CB7"/>
    <w:rsid w:val="00F9438B"/>
    <w:rsid w:val="00F95D3D"/>
    <w:rsid w:val="00F97EF5"/>
    <w:rsid w:val="00FA069A"/>
    <w:rsid w:val="00FA08DC"/>
    <w:rsid w:val="00FA2112"/>
    <w:rsid w:val="00FA4259"/>
    <w:rsid w:val="00FA73F5"/>
    <w:rsid w:val="00FB0631"/>
    <w:rsid w:val="00FB0F4E"/>
    <w:rsid w:val="00FB1CAE"/>
    <w:rsid w:val="00FC097F"/>
    <w:rsid w:val="00FC2390"/>
    <w:rsid w:val="00FC34FA"/>
    <w:rsid w:val="00FC3785"/>
    <w:rsid w:val="00FC55FB"/>
    <w:rsid w:val="00FC7737"/>
    <w:rsid w:val="00FD14D2"/>
    <w:rsid w:val="00FD1526"/>
    <w:rsid w:val="00FD2B25"/>
    <w:rsid w:val="00FD3912"/>
    <w:rsid w:val="00FD3A34"/>
    <w:rsid w:val="00FD5DC8"/>
    <w:rsid w:val="00FD5E3E"/>
    <w:rsid w:val="00FD710B"/>
    <w:rsid w:val="00FE2A1C"/>
    <w:rsid w:val="00FE6EE5"/>
    <w:rsid w:val="00FE73CE"/>
    <w:rsid w:val="00FF2915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C42B51-3C57-45CE-846E-02788DAC4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63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en-GB"/>
    </w:rPr>
  </w:style>
  <w:style w:type="paragraph" w:styleId="BodyText">
    <w:name w:val="Body Text"/>
    <w:basedOn w:val="Normal"/>
    <w:link w:val="BodyTextChar"/>
    <w:uiPriority w:val="99"/>
    <w:rsid w:val="0056339E"/>
    <w:pPr>
      <w:widowControl w:val="0"/>
      <w:autoSpaceDE w:val="0"/>
      <w:autoSpaceDN w:val="0"/>
      <w:spacing w:before="138" w:after="0" w:line="240" w:lineRule="auto"/>
      <w:ind w:left="874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56339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563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Radha S</dc:creator>
  <cp:keywords/>
  <dc:description/>
  <cp:lastModifiedBy>Radha S</cp:lastModifiedBy>
  <cp:revision>1</cp:revision>
  <dcterms:created xsi:type="dcterms:W3CDTF">2021-01-06T01:20:00Z</dcterms:created>
  <dcterms:modified xsi:type="dcterms:W3CDTF">2021-01-06T01:22:00Z</dcterms:modified>
</cp:coreProperties>
</file>