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75E" w:rsidRPr="00FD4755" w:rsidRDefault="002A275E" w:rsidP="002A275E">
      <w:pPr>
        <w:widowControl/>
        <w:wordWrap/>
        <w:autoSpaceDE/>
        <w:autoSpaceDN/>
        <w:rPr>
          <w:rFonts w:ascii="Times New Roman" w:hAnsi="Times New Roman" w:cs="Times New Roman"/>
          <w:sz w:val="24"/>
          <w:szCs w:val="24"/>
        </w:rPr>
      </w:pPr>
    </w:p>
    <w:p w:rsidR="002A275E" w:rsidRPr="00FD4755" w:rsidRDefault="002A275E" w:rsidP="002A275E">
      <w:pPr>
        <w:spacing w:line="480" w:lineRule="auto"/>
        <w:rPr>
          <w:rFonts w:ascii="Times New Roman" w:hAnsi="Times New Roman" w:cs="Times New Roman"/>
          <w:sz w:val="24"/>
          <w:szCs w:val="24"/>
        </w:rPr>
      </w:pPr>
      <w:r w:rsidRPr="00FD4755">
        <w:rPr>
          <w:rFonts w:ascii="Times New Roman" w:hAnsi="Times New Roman" w:cs="Times New Roman"/>
          <w:b/>
          <w:sz w:val="24"/>
          <w:szCs w:val="24"/>
        </w:rPr>
        <w:t xml:space="preserve">Supplementary </w:t>
      </w:r>
      <w:r w:rsidRPr="00FD4755">
        <w:rPr>
          <w:rFonts w:ascii="Times New Roman" w:hAnsi="Times New Roman" w:cs="Times New Roman" w:hint="eastAsia"/>
          <w:b/>
          <w:sz w:val="24"/>
          <w:szCs w:val="24"/>
        </w:rPr>
        <w:t>Table 1</w:t>
      </w:r>
      <w:r w:rsidRPr="00FD4755">
        <w:rPr>
          <w:rFonts w:ascii="Times New Roman" w:hAnsi="Times New Roman" w:cs="Times New Roman" w:hint="eastAsia"/>
          <w:sz w:val="24"/>
          <w:szCs w:val="24"/>
        </w:rPr>
        <w:t xml:space="preserve"> </w:t>
      </w:r>
      <w:r w:rsidRPr="00FD4755">
        <w:rPr>
          <w:rFonts w:ascii="Times New Roman" w:hAnsi="Times New Roman" w:cs="Times New Roman"/>
          <w:sz w:val="24"/>
          <w:szCs w:val="24"/>
        </w:rPr>
        <w:t>RT-qPCR primer sequences for THP-1-derived dendritic cells.</w:t>
      </w:r>
    </w:p>
    <w:tbl>
      <w:tblPr>
        <w:tblW w:w="0" w:type="auto"/>
        <w:tblCellMar>
          <w:left w:w="0" w:type="dxa"/>
          <w:right w:w="0" w:type="dxa"/>
        </w:tblCellMar>
        <w:tblLook w:val="0600" w:firstRow="0" w:lastRow="0" w:firstColumn="0" w:lastColumn="0" w:noHBand="1" w:noVBand="1"/>
      </w:tblPr>
      <w:tblGrid>
        <w:gridCol w:w="1020"/>
        <w:gridCol w:w="3917"/>
        <w:gridCol w:w="2132"/>
      </w:tblGrid>
      <w:tr w:rsidR="002A275E" w:rsidRPr="00FD4755" w:rsidTr="001478E8">
        <w:trPr>
          <w:trHeight w:val="333"/>
        </w:trPr>
        <w:tc>
          <w:tcPr>
            <w:tcW w:w="0" w:type="auto"/>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center"/>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Genes</w:t>
            </w:r>
          </w:p>
        </w:tc>
        <w:tc>
          <w:tcPr>
            <w:tcW w:w="0" w:type="auto"/>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Primer sequence (5'-3')</w:t>
            </w:r>
          </w:p>
        </w:tc>
        <w:tc>
          <w:tcPr>
            <w:tcW w:w="0" w:type="auto"/>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center"/>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Ref.</w:t>
            </w:r>
          </w:p>
        </w:tc>
      </w:tr>
      <w:tr w:rsidR="002A275E" w:rsidRPr="00FD4755" w:rsidTr="001478E8">
        <w:trPr>
          <w:trHeight w:val="333"/>
        </w:trPr>
        <w:tc>
          <w:tcPr>
            <w:tcW w:w="0" w:type="auto"/>
            <w:vMerge w:val="restart"/>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center"/>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GAPDH</w:t>
            </w:r>
          </w:p>
        </w:tc>
        <w:tc>
          <w:tcPr>
            <w:tcW w:w="0" w:type="auto"/>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F-AGCCTCAAGATCATCAGCAATG</w:t>
            </w:r>
          </w:p>
        </w:tc>
        <w:tc>
          <w:tcPr>
            <w:tcW w:w="0" w:type="auto"/>
            <w:vMerge w:val="restart"/>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wordWrap/>
              <w:autoSpaceDE/>
              <w:autoSpaceDN/>
              <w:spacing w:after="0" w:line="240" w:lineRule="auto"/>
              <w:jc w:val="right"/>
              <w:rPr>
                <w:rFonts w:ascii="Times New Roman" w:eastAsia="Gulim" w:hAnsi="Times New Roman" w:cs="Times New Roman"/>
                <w:kern w:val="0"/>
                <w:sz w:val="22"/>
              </w:rPr>
            </w:pPr>
            <w:r w:rsidRPr="00FD4755">
              <w:rPr>
                <w:rFonts w:ascii="Times New Roman" w:eastAsia="Gulim" w:hAnsi="Times New Roman" w:cs="Times New Roman"/>
                <w:noProof/>
                <w:kern w:val="0"/>
                <w:sz w:val="22"/>
              </w:rPr>
              <w:t>(Wu et al. 2017)</w:t>
            </w:r>
          </w:p>
        </w:tc>
      </w:tr>
      <w:tr w:rsidR="002A275E" w:rsidRPr="00FD4755" w:rsidTr="001478E8">
        <w:trPr>
          <w:trHeight w:val="333"/>
        </w:trPr>
        <w:tc>
          <w:tcPr>
            <w:tcW w:w="0" w:type="auto"/>
            <w:vMerge/>
            <w:tcBorders>
              <w:top w:val="single" w:sz="4" w:space="0" w:color="000000"/>
              <w:left w:val="nil"/>
              <w:bottom w:val="nil"/>
              <w:right w:val="nil"/>
            </w:tcBorders>
            <w:vAlign w:val="center"/>
            <w:hideMark/>
          </w:tcPr>
          <w:p w:rsidR="002A275E" w:rsidRPr="00FD4755" w:rsidRDefault="002A275E" w:rsidP="001478E8">
            <w:pPr>
              <w:widowControl/>
              <w:wordWrap/>
              <w:autoSpaceDE/>
              <w:autoSpaceDN/>
              <w:spacing w:after="0" w:line="240" w:lineRule="auto"/>
              <w:jc w:val="left"/>
              <w:rPr>
                <w:rFonts w:ascii="Arial" w:eastAsia="Gulim" w:hAnsi="Arial" w:cs="Arial"/>
                <w:kern w:val="0"/>
                <w:sz w:val="36"/>
                <w:szCs w:val="36"/>
              </w:rPr>
            </w:pPr>
          </w:p>
        </w:tc>
        <w:tc>
          <w:tcPr>
            <w:tcW w:w="0" w:type="auto"/>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R-CACGATACCAAAGTTGTCATGGAT</w:t>
            </w:r>
          </w:p>
        </w:tc>
        <w:tc>
          <w:tcPr>
            <w:tcW w:w="0" w:type="auto"/>
            <w:vMerge/>
            <w:tcBorders>
              <w:top w:val="single" w:sz="4" w:space="0" w:color="000000"/>
              <w:left w:val="nil"/>
              <w:bottom w:val="nil"/>
              <w:right w:val="nil"/>
            </w:tcBorders>
            <w:vAlign w:val="center"/>
            <w:hideMark/>
          </w:tcPr>
          <w:p w:rsidR="002A275E" w:rsidRPr="00FD4755" w:rsidRDefault="002A275E" w:rsidP="001478E8">
            <w:pPr>
              <w:widowControl/>
              <w:wordWrap/>
              <w:autoSpaceDE/>
              <w:autoSpaceDN/>
              <w:spacing w:after="0" w:line="240" w:lineRule="auto"/>
              <w:jc w:val="right"/>
              <w:rPr>
                <w:rFonts w:ascii="Times New Roman" w:eastAsia="Gulim" w:hAnsi="Times New Roman" w:cs="Times New Roman"/>
                <w:kern w:val="0"/>
                <w:sz w:val="22"/>
              </w:rPr>
            </w:pPr>
          </w:p>
        </w:tc>
      </w:tr>
      <w:tr w:rsidR="002A275E" w:rsidRPr="00FD4755" w:rsidTr="001478E8">
        <w:trPr>
          <w:trHeight w:val="333"/>
        </w:trPr>
        <w:tc>
          <w:tcPr>
            <w:tcW w:w="0" w:type="auto"/>
            <w:vMerge w:val="restart"/>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center"/>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CD209</w:t>
            </w:r>
          </w:p>
        </w:tc>
        <w:tc>
          <w:tcPr>
            <w:tcW w:w="0" w:type="auto"/>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F-AAATCAGGAAGGCACGTGGCAATG</w:t>
            </w:r>
          </w:p>
        </w:tc>
        <w:tc>
          <w:tcPr>
            <w:tcW w:w="0" w:type="auto"/>
            <w:vMerge w:val="restart"/>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wordWrap/>
              <w:autoSpaceDE/>
              <w:autoSpaceDN/>
              <w:spacing w:after="0" w:line="240" w:lineRule="auto"/>
              <w:jc w:val="right"/>
              <w:rPr>
                <w:rFonts w:ascii="Times New Roman" w:eastAsia="Gulim" w:hAnsi="Times New Roman" w:cs="Times New Roman"/>
                <w:kern w:val="0"/>
                <w:sz w:val="22"/>
              </w:rPr>
            </w:pPr>
            <w:r w:rsidRPr="00FD4755">
              <w:rPr>
                <w:rFonts w:ascii="Times New Roman" w:eastAsia="Gulim" w:hAnsi="Times New Roman" w:cs="Times New Roman"/>
                <w:noProof/>
                <w:kern w:val="0"/>
                <w:sz w:val="22"/>
              </w:rPr>
              <w:t>(Gustafsson et al. 2008)</w:t>
            </w:r>
          </w:p>
        </w:tc>
      </w:tr>
      <w:tr w:rsidR="002A275E" w:rsidRPr="00FD4755" w:rsidTr="001478E8">
        <w:trPr>
          <w:trHeight w:val="333"/>
        </w:trPr>
        <w:tc>
          <w:tcPr>
            <w:tcW w:w="0" w:type="auto"/>
            <w:vMerge/>
            <w:tcBorders>
              <w:top w:val="nil"/>
              <w:left w:val="nil"/>
              <w:bottom w:val="nil"/>
              <w:right w:val="nil"/>
            </w:tcBorders>
            <w:vAlign w:val="center"/>
            <w:hideMark/>
          </w:tcPr>
          <w:p w:rsidR="002A275E" w:rsidRPr="00FD4755" w:rsidRDefault="002A275E" w:rsidP="001478E8">
            <w:pPr>
              <w:widowControl/>
              <w:wordWrap/>
              <w:autoSpaceDE/>
              <w:autoSpaceDN/>
              <w:spacing w:after="0" w:line="240" w:lineRule="auto"/>
              <w:jc w:val="left"/>
              <w:rPr>
                <w:rFonts w:ascii="Arial" w:eastAsia="Gulim" w:hAnsi="Arial" w:cs="Arial"/>
                <w:kern w:val="0"/>
                <w:sz w:val="36"/>
                <w:szCs w:val="36"/>
              </w:rPr>
            </w:pPr>
          </w:p>
        </w:tc>
        <w:tc>
          <w:tcPr>
            <w:tcW w:w="0" w:type="auto"/>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R-TGTTGGGCTCTCCTCTGTTCCAAT</w:t>
            </w:r>
          </w:p>
        </w:tc>
        <w:tc>
          <w:tcPr>
            <w:tcW w:w="0" w:type="auto"/>
            <w:vMerge/>
            <w:tcBorders>
              <w:top w:val="nil"/>
              <w:left w:val="nil"/>
              <w:bottom w:val="nil"/>
              <w:right w:val="nil"/>
            </w:tcBorders>
            <w:vAlign w:val="center"/>
            <w:hideMark/>
          </w:tcPr>
          <w:p w:rsidR="002A275E" w:rsidRPr="00FD4755" w:rsidRDefault="002A275E" w:rsidP="001478E8">
            <w:pPr>
              <w:widowControl/>
              <w:wordWrap/>
              <w:autoSpaceDE/>
              <w:autoSpaceDN/>
              <w:spacing w:after="0" w:line="240" w:lineRule="auto"/>
              <w:jc w:val="right"/>
              <w:rPr>
                <w:rFonts w:ascii="Times New Roman" w:eastAsia="Gulim" w:hAnsi="Times New Roman" w:cs="Times New Roman"/>
                <w:kern w:val="0"/>
                <w:sz w:val="22"/>
              </w:rPr>
            </w:pPr>
          </w:p>
        </w:tc>
      </w:tr>
      <w:tr w:rsidR="002A275E" w:rsidRPr="00FD4755" w:rsidTr="001478E8">
        <w:trPr>
          <w:trHeight w:val="333"/>
        </w:trPr>
        <w:tc>
          <w:tcPr>
            <w:tcW w:w="0" w:type="auto"/>
            <w:vMerge w:val="restart"/>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center"/>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HLA-DRA</w:t>
            </w:r>
          </w:p>
        </w:tc>
        <w:tc>
          <w:tcPr>
            <w:tcW w:w="0" w:type="auto"/>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F-TCGAAATGGAAAACCTGTCACC</w:t>
            </w:r>
          </w:p>
        </w:tc>
        <w:tc>
          <w:tcPr>
            <w:tcW w:w="0" w:type="auto"/>
            <w:vMerge w:val="restart"/>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wordWrap/>
              <w:autoSpaceDE/>
              <w:autoSpaceDN/>
              <w:spacing w:after="0" w:line="240" w:lineRule="auto"/>
              <w:jc w:val="right"/>
              <w:rPr>
                <w:rFonts w:ascii="Times New Roman" w:eastAsia="Gulim" w:hAnsi="Times New Roman" w:cs="Times New Roman"/>
                <w:kern w:val="0"/>
                <w:sz w:val="22"/>
              </w:rPr>
            </w:pPr>
            <w:r w:rsidRPr="00FD4755">
              <w:rPr>
                <w:rFonts w:ascii="Times New Roman" w:eastAsia="Gulim" w:hAnsi="Times New Roman" w:cs="Times New Roman"/>
                <w:noProof/>
                <w:kern w:val="0"/>
                <w:sz w:val="22"/>
              </w:rPr>
              <w:t>(Yamagami et al. 2006)</w:t>
            </w:r>
          </w:p>
        </w:tc>
      </w:tr>
      <w:tr w:rsidR="002A275E" w:rsidRPr="00FD4755" w:rsidTr="001478E8">
        <w:trPr>
          <w:trHeight w:val="333"/>
        </w:trPr>
        <w:tc>
          <w:tcPr>
            <w:tcW w:w="0" w:type="auto"/>
            <w:vMerge/>
            <w:tcBorders>
              <w:top w:val="nil"/>
              <w:left w:val="nil"/>
              <w:bottom w:val="nil"/>
              <w:right w:val="nil"/>
            </w:tcBorders>
            <w:vAlign w:val="center"/>
            <w:hideMark/>
          </w:tcPr>
          <w:p w:rsidR="002A275E" w:rsidRPr="00FD4755" w:rsidRDefault="002A275E" w:rsidP="001478E8">
            <w:pPr>
              <w:widowControl/>
              <w:wordWrap/>
              <w:autoSpaceDE/>
              <w:autoSpaceDN/>
              <w:spacing w:after="0" w:line="240" w:lineRule="auto"/>
              <w:jc w:val="left"/>
              <w:rPr>
                <w:rFonts w:ascii="Arial" w:eastAsia="Gulim" w:hAnsi="Arial" w:cs="Arial"/>
                <w:kern w:val="0"/>
                <w:sz w:val="36"/>
                <w:szCs w:val="36"/>
              </w:rPr>
            </w:pPr>
          </w:p>
        </w:tc>
        <w:tc>
          <w:tcPr>
            <w:tcW w:w="0" w:type="auto"/>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R-CCCAATAATGATGCCCACCA</w:t>
            </w:r>
          </w:p>
        </w:tc>
        <w:tc>
          <w:tcPr>
            <w:tcW w:w="0" w:type="auto"/>
            <w:vMerge/>
            <w:tcBorders>
              <w:top w:val="nil"/>
              <w:left w:val="nil"/>
              <w:bottom w:val="nil"/>
              <w:right w:val="nil"/>
            </w:tcBorders>
            <w:vAlign w:val="center"/>
            <w:hideMark/>
          </w:tcPr>
          <w:p w:rsidR="002A275E" w:rsidRPr="00FD4755" w:rsidRDefault="002A275E" w:rsidP="001478E8">
            <w:pPr>
              <w:widowControl/>
              <w:wordWrap/>
              <w:autoSpaceDE/>
              <w:autoSpaceDN/>
              <w:spacing w:after="0" w:line="240" w:lineRule="auto"/>
              <w:jc w:val="right"/>
              <w:rPr>
                <w:rFonts w:ascii="Times New Roman" w:eastAsia="Gulim" w:hAnsi="Times New Roman" w:cs="Times New Roman"/>
                <w:kern w:val="0"/>
                <w:sz w:val="22"/>
              </w:rPr>
            </w:pPr>
          </w:p>
        </w:tc>
      </w:tr>
      <w:tr w:rsidR="002A275E" w:rsidRPr="00FD4755" w:rsidTr="001478E8">
        <w:trPr>
          <w:trHeight w:val="333"/>
        </w:trPr>
        <w:tc>
          <w:tcPr>
            <w:tcW w:w="0" w:type="auto"/>
            <w:vMerge w:val="restart"/>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center"/>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CD80</w:t>
            </w:r>
          </w:p>
        </w:tc>
        <w:tc>
          <w:tcPr>
            <w:tcW w:w="0" w:type="auto"/>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F-TGGTGCTGGCTGGTCTTTC</w:t>
            </w:r>
          </w:p>
        </w:tc>
        <w:tc>
          <w:tcPr>
            <w:tcW w:w="0" w:type="auto"/>
            <w:vMerge w:val="restart"/>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wordWrap/>
              <w:autoSpaceDE/>
              <w:autoSpaceDN/>
              <w:spacing w:after="0" w:line="240" w:lineRule="auto"/>
              <w:jc w:val="right"/>
              <w:rPr>
                <w:rFonts w:ascii="Times New Roman" w:eastAsia="Gulim" w:hAnsi="Times New Roman" w:cs="Times New Roman"/>
                <w:kern w:val="0"/>
                <w:sz w:val="22"/>
              </w:rPr>
            </w:pPr>
            <w:r w:rsidRPr="00FD4755">
              <w:rPr>
                <w:rFonts w:ascii="Times New Roman" w:eastAsia="Gulim" w:hAnsi="Times New Roman" w:cs="Times New Roman"/>
                <w:noProof/>
                <w:kern w:val="0"/>
                <w:sz w:val="22"/>
              </w:rPr>
              <w:t>(Son et al. 2019)</w:t>
            </w:r>
          </w:p>
        </w:tc>
      </w:tr>
      <w:tr w:rsidR="002A275E" w:rsidRPr="00FD4755" w:rsidTr="001478E8">
        <w:trPr>
          <w:trHeight w:val="333"/>
        </w:trPr>
        <w:tc>
          <w:tcPr>
            <w:tcW w:w="0" w:type="auto"/>
            <w:vMerge/>
            <w:tcBorders>
              <w:top w:val="nil"/>
              <w:left w:val="nil"/>
              <w:bottom w:val="nil"/>
              <w:right w:val="nil"/>
            </w:tcBorders>
            <w:vAlign w:val="center"/>
            <w:hideMark/>
          </w:tcPr>
          <w:p w:rsidR="002A275E" w:rsidRPr="00FD4755" w:rsidRDefault="002A275E" w:rsidP="001478E8">
            <w:pPr>
              <w:widowControl/>
              <w:wordWrap/>
              <w:autoSpaceDE/>
              <w:autoSpaceDN/>
              <w:spacing w:after="0" w:line="240" w:lineRule="auto"/>
              <w:jc w:val="left"/>
              <w:rPr>
                <w:rFonts w:ascii="Arial" w:eastAsia="Gulim" w:hAnsi="Arial" w:cs="Arial"/>
                <w:kern w:val="0"/>
                <w:sz w:val="36"/>
                <w:szCs w:val="36"/>
              </w:rPr>
            </w:pPr>
          </w:p>
        </w:tc>
        <w:tc>
          <w:tcPr>
            <w:tcW w:w="0" w:type="auto"/>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R-CGTTGCCACTTCTTTCACTTCC</w:t>
            </w:r>
          </w:p>
        </w:tc>
        <w:tc>
          <w:tcPr>
            <w:tcW w:w="0" w:type="auto"/>
            <w:vMerge/>
            <w:tcBorders>
              <w:top w:val="nil"/>
              <w:left w:val="nil"/>
              <w:bottom w:val="nil"/>
              <w:right w:val="nil"/>
            </w:tcBorders>
            <w:vAlign w:val="center"/>
            <w:hideMark/>
          </w:tcPr>
          <w:p w:rsidR="002A275E" w:rsidRPr="00FD4755" w:rsidRDefault="002A275E" w:rsidP="001478E8">
            <w:pPr>
              <w:widowControl/>
              <w:wordWrap/>
              <w:autoSpaceDE/>
              <w:autoSpaceDN/>
              <w:spacing w:after="0" w:line="240" w:lineRule="auto"/>
              <w:jc w:val="right"/>
              <w:rPr>
                <w:rFonts w:ascii="Times New Roman" w:eastAsia="Gulim" w:hAnsi="Times New Roman" w:cs="Times New Roman"/>
                <w:kern w:val="0"/>
                <w:sz w:val="22"/>
              </w:rPr>
            </w:pPr>
          </w:p>
        </w:tc>
      </w:tr>
      <w:tr w:rsidR="002A275E" w:rsidRPr="00FD4755" w:rsidTr="001478E8">
        <w:trPr>
          <w:trHeight w:val="333"/>
        </w:trPr>
        <w:tc>
          <w:tcPr>
            <w:tcW w:w="0" w:type="auto"/>
            <w:vMerge w:val="restart"/>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center"/>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CD83</w:t>
            </w:r>
          </w:p>
        </w:tc>
        <w:tc>
          <w:tcPr>
            <w:tcW w:w="0" w:type="auto"/>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F-AGGTTCCCTACACGGTCTCC</w:t>
            </w:r>
          </w:p>
        </w:tc>
        <w:tc>
          <w:tcPr>
            <w:tcW w:w="0" w:type="auto"/>
            <w:vMerge w:val="restart"/>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wordWrap/>
              <w:autoSpaceDE/>
              <w:autoSpaceDN/>
              <w:spacing w:after="0" w:line="240" w:lineRule="auto"/>
              <w:jc w:val="right"/>
              <w:rPr>
                <w:rFonts w:ascii="Times New Roman" w:eastAsia="Gulim" w:hAnsi="Times New Roman" w:cs="Times New Roman"/>
                <w:kern w:val="0"/>
                <w:sz w:val="22"/>
              </w:rPr>
            </w:pPr>
            <w:r w:rsidRPr="00FD4755">
              <w:rPr>
                <w:rFonts w:ascii="Times New Roman" w:eastAsia="Gulim" w:hAnsi="Times New Roman" w:cs="Times New Roman"/>
                <w:noProof/>
                <w:kern w:val="0"/>
                <w:sz w:val="22"/>
              </w:rPr>
              <w:t>(Sanarico et al. 2011)</w:t>
            </w:r>
          </w:p>
        </w:tc>
      </w:tr>
      <w:tr w:rsidR="002A275E" w:rsidRPr="00FD4755" w:rsidTr="001478E8">
        <w:trPr>
          <w:trHeight w:val="333"/>
        </w:trPr>
        <w:tc>
          <w:tcPr>
            <w:tcW w:w="0" w:type="auto"/>
            <w:vMerge/>
            <w:tcBorders>
              <w:top w:val="nil"/>
              <w:left w:val="nil"/>
              <w:bottom w:val="nil"/>
              <w:right w:val="nil"/>
            </w:tcBorders>
            <w:vAlign w:val="center"/>
            <w:hideMark/>
          </w:tcPr>
          <w:p w:rsidR="002A275E" w:rsidRPr="00FD4755" w:rsidRDefault="002A275E" w:rsidP="001478E8">
            <w:pPr>
              <w:widowControl/>
              <w:wordWrap/>
              <w:autoSpaceDE/>
              <w:autoSpaceDN/>
              <w:spacing w:after="0" w:line="240" w:lineRule="auto"/>
              <w:jc w:val="left"/>
              <w:rPr>
                <w:rFonts w:ascii="Arial" w:eastAsia="Gulim" w:hAnsi="Arial" w:cs="Arial"/>
                <w:kern w:val="0"/>
                <w:sz w:val="36"/>
                <w:szCs w:val="36"/>
              </w:rPr>
            </w:pPr>
          </w:p>
        </w:tc>
        <w:tc>
          <w:tcPr>
            <w:tcW w:w="0" w:type="auto"/>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R-TTGCAGCTGGTAGTGTTTCG</w:t>
            </w:r>
          </w:p>
        </w:tc>
        <w:tc>
          <w:tcPr>
            <w:tcW w:w="0" w:type="auto"/>
            <w:vMerge/>
            <w:tcBorders>
              <w:top w:val="nil"/>
              <w:left w:val="nil"/>
              <w:bottom w:val="nil"/>
              <w:right w:val="nil"/>
            </w:tcBorders>
            <w:vAlign w:val="center"/>
            <w:hideMark/>
          </w:tcPr>
          <w:p w:rsidR="002A275E" w:rsidRPr="00FD4755" w:rsidRDefault="002A275E" w:rsidP="001478E8">
            <w:pPr>
              <w:widowControl/>
              <w:wordWrap/>
              <w:autoSpaceDE/>
              <w:autoSpaceDN/>
              <w:spacing w:after="0" w:line="240" w:lineRule="auto"/>
              <w:jc w:val="right"/>
              <w:rPr>
                <w:rFonts w:ascii="Times New Roman" w:eastAsia="Gulim" w:hAnsi="Times New Roman" w:cs="Times New Roman"/>
                <w:kern w:val="0"/>
                <w:sz w:val="22"/>
              </w:rPr>
            </w:pPr>
          </w:p>
        </w:tc>
      </w:tr>
      <w:tr w:rsidR="002A275E" w:rsidRPr="00FD4755" w:rsidTr="001478E8">
        <w:trPr>
          <w:trHeight w:val="333"/>
        </w:trPr>
        <w:tc>
          <w:tcPr>
            <w:tcW w:w="0" w:type="auto"/>
            <w:vMerge w:val="restart"/>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center"/>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CD86</w:t>
            </w:r>
          </w:p>
        </w:tc>
        <w:tc>
          <w:tcPr>
            <w:tcW w:w="0" w:type="auto"/>
            <w:tcBorders>
              <w:top w:val="nil"/>
              <w:left w:val="nil"/>
              <w:bottom w:val="nil"/>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F-GGGCCGCACAAGTTTTGA</w:t>
            </w:r>
          </w:p>
        </w:tc>
        <w:tc>
          <w:tcPr>
            <w:tcW w:w="0" w:type="auto"/>
            <w:vMerge w:val="restart"/>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wordWrap/>
              <w:autoSpaceDE/>
              <w:autoSpaceDN/>
              <w:spacing w:after="0" w:line="240" w:lineRule="auto"/>
              <w:jc w:val="right"/>
              <w:rPr>
                <w:rFonts w:ascii="Times New Roman" w:eastAsia="Gulim" w:hAnsi="Times New Roman" w:cs="Times New Roman"/>
                <w:kern w:val="0"/>
                <w:sz w:val="22"/>
              </w:rPr>
            </w:pPr>
            <w:r w:rsidRPr="00FD4755">
              <w:rPr>
                <w:rFonts w:ascii="Times New Roman" w:eastAsia="Gulim" w:hAnsi="Times New Roman" w:cs="Times New Roman"/>
                <w:noProof/>
                <w:kern w:val="0"/>
                <w:sz w:val="22"/>
              </w:rPr>
              <w:t>(Duan et al. 2019)</w:t>
            </w:r>
          </w:p>
        </w:tc>
      </w:tr>
      <w:tr w:rsidR="002A275E" w:rsidRPr="00FD4755" w:rsidTr="001478E8">
        <w:trPr>
          <w:trHeight w:val="333"/>
        </w:trPr>
        <w:tc>
          <w:tcPr>
            <w:tcW w:w="0" w:type="auto"/>
            <w:vMerge/>
            <w:tcBorders>
              <w:top w:val="nil"/>
              <w:left w:val="nil"/>
              <w:bottom w:val="single" w:sz="4" w:space="0" w:color="000000"/>
              <w:right w:val="nil"/>
            </w:tcBorders>
            <w:vAlign w:val="center"/>
            <w:hideMark/>
          </w:tcPr>
          <w:p w:rsidR="002A275E" w:rsidRPr="00FD4755" w:rsidRDefault="002A275E" w:rsidP="001478E8">
            <w:pPr>
              <w:widowControl/>
              <w:wordWrap/>
              <w:autoSpaceDE/>
              <w:autoSpaceDN/>
              <w:spacing w:after="0" w:line="240" w:lineRule="auto"/>
              <w:jc w:val="left"/>
              <w:rPr>
                <w:rFonts w:ascii="Arial" w:eastAsia="Gulim" w:hAnsi="Arial" w:cs="Arial"/>
                <w:kern w:val="0"/>
                <w:sz w:val="36"/>
                <w:szCs w:val="36"/>
              </w:rPr>
            </w:pPr>
          </w:p>
        </w:tc>
        <w:tc>
          <w:tcPr>
            <w:tcW w:w="0" w:type="auto"/>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rsidR="002A275E" w:rsidRPr="00FD4755" w:rsidRDefault="002A275E" w:rsidP="001478E8">
            <w:pPr>
              <w:widowControl/>
              <w:autoSpaceDE/>
              <w:autoSpaceDN/>
              <w:spacing w:after="0" w:line="240" w:lineRule="auto"/>
              <w:jc w:val="left"/>
              <w:textAlignment w:val="center"/>
              <w:rPr>
                <w:rFonts w:ascii="Arial" w:eastAsia="Gulim" w:hAnsi="Arial" w:cs="Arial"/>
                <w:kern w:val="0"/>
                <w:sz w:val="36"/>
                <w:szCs w:val="36"/>
              </w:rPr>
            </w:pPr>
            <w:r w:rsidRPr="00FD4755">
              <w:rPr>
                <w:rFonts w:ascii="Times New Roman" w:eastAsia="Malgun Gothic" w:hAnsi="Times New Roman" w:cs="Times New Roman"/>
                <w:kern w:val="24"/>
                <w:sz w:val="22"/>
              </w:rPr>
              <w:t>R-GCCCTTGTCCTTGATCTGAA</w:t>
            </w:r>
          </w:p>
        </w:tc>
        <w:tc>
          <w:tcPr>
            <w:tcW w:w="0" w:type="auto"/>
            <w:vMerge/>
            <w:tcBorders>
              <w:top w:val="nil"/>
              <w:left w:val="nil"/>
              <w:bottom w:val="single" w:sz="4" w:space="0" w:color="000000"/>
              <w:right w:val="nil"/>
            </w:tcBorders>
            <w:vAlign w:val="center"/>
            <w:hideMark/>
          </w:tcPr>
          <w:p w:rsidR="002A275E" w:rsidRPr="00FD4755" w:rsidRDefault="002A275E" w:rsidP="001478E8">
            <w:pPr>
              <w:widowControl/>
              <w:wordWrap/>
              <w:autoSpaceDE/>
              <w:autoSpaceDN/>
              <w:spacing w:after="0" w:line="240" w:lineRule="auto"/>
              <w:jc w:val="left"/>
              <w:rPr>
                <w:rFonts w:ascii="Arial" w:eastAsia="Gulim" w:hAnsi="Arial" w:cs="Arial"/>
                <w:kern w:val="0"/>
                <w:sz w:val="36"/>
                <w:szCs w:val="36"/>
              </w:rPr>
            </w:pPr>
          </w:p>
        </w:tc>
      </w:tr>
    </w:tbl>
    <w:p w:rsidR="002A275E" w:rsidRPr="00FD4755" w:rsidRDefault="002A275E" w:rsidP="002A275E">
      <w:pPr>
        <w:spacing w:line="480" w:lineRule="auto"/>
        <w:rPr>
          <w:rFonts w:ascii="Times New Roman" w:hAnsi="Times New Roman" w:cs="Times New Roman"/>
          <w:sz w:val="24"/>
          <w:szCs w:val="24"/>
        </w:rPr>
      </w:pPr>
      <w:r w:rsidRPr="00FD4755">
        <w:rPr>
          <w:rFonts w:ascii="Times New Roman" w:hAnsi="Times New Roman" w:cs="Times New Roman"/>
          <w:sz w:val="24"/>
          <w:szCs w:val="24"/>
        </w:rPr>
        <w:br w:type="page"/>
      </w:r>
    </w:p>
    <w:p w:rsidR="002A275E" w:rsidRPr="00FD4755" w:rsidRDefault="002A275E" w:rsidP="002A275E">
      <w:pPr>
        <w:spacing w:line="480" w:lineRule="auto"/>
        <w:rPr>
          <w:rFonts w:ascii="Times New Roman" w:hAnsi="Times New Roman" w:cs="Times New Roman"/>
          <w:sz w:val="24"/>
          <w:szCs w:val="24"/>
        </w:rPr>
      </w:pPr>
      <w:r w:rsidRPr="00FD4755">
        <w:rPr>
          <w:rFonts w:ascii="Times New Roman" w:hAnsi="Times New Roman" w:cs="Times New Roman"/>
          <w:b/>
          <w:sz w:val="24"/>
          <w:szCs w:val="24"/>
        </w:rPr>
        <w:lastRenderedPageBreak/>
        <w:t>Supplementary Table 2</w:t>
      </w:r>
      <w:r w:rsidRPr="00FD4755">
        <w:rPr>
          <w:rFonts w:ascii="Times New Roman" w:hAnsi="Times New Roman" w:cs="Times New Roman"/>
          <w:sz w:val="24"/>
          <w:szCs w:val="24"/>
        </w:rPr>
        <w:t xml:space="preserve"> Crosslinker compositions of non-degradable and proteolytically degradable PEG hydrogels of different stiffness (i.e., low G′, med G′, and high G′) and their shear storage moduli.</w:t>
      </w:r>
    </w:p>
    <w:tbl>
      <w:tblPr>
        <w:tblW w:w="0" w:type="auto"/>
        <w:tblCellMar>
          <w:left w:w="0" w:type="dxa"/>
          <w:right w:w="0" w:type="dxa"/>
        </w:tblCellMar>
        <w:tblLook w:val="0420" w:firstRow="1" w:lastRow="0" w:firstColumn="0" w:lastColumn="0" w:noHBand="0" w:noVBand="1"/>
      </w:tblPr>
      <w:tblGrid>
        <w:gridCol w:w="991"/>
        <w:gridCol w:w="1285"/>
        <w:gridCol w:w="1509"/>
        <w:gridCol w:w="1459"/>
        <w:gridCol w:w="1713"/>
      </w:tblGrid>
      <w:tr w:rsidR="002A275E" w:rsidRPr="00FD4755" w:rsidTr="001478E8">
        <w:trPr>
          <w:trHeight w:val="198"/>
        </w:trPr>
        <w:tc>
          <w:tcPr>
            <w:tcW w:w="0" w:type="auto"/>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Gulim" w:eastAsia="Gulim" w:hAnsi="Gulim" w:cs="Gulim"/>
                <w:kern w:val="0"/>
                <w:sz w:val="24"/>
                <w:szCs w:val="24"/>
              </w:rPr>
            </w:pPr>
          </w:p>
        </w:tc>
        <w:tc>
          <w:tcPr>
            <w:tcW w:w="0" w:type="auto"/>
            <w:gridSpan w:val="2"/>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DTT</w:t>
            </w:r>
          </w:p>
        </w:tc>
        <w:tc>
          <w:tcPr>
            <w:tcW w:w="0" w:type="auto"/>
            <w:gridSpan w:val="2"/>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Proteolytically degradable linker</w:t>
            </w:r>
          </w:p>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(KCGPLGLYAGCK)</w:t>
            </w:r>
          </w:p>
        </w:tc>
      </w:tr>
      <w:tr w:rsidR="002A275E" w:rsidRPr="00FD4755" w:rsidTr="001478E8">
        <w:trPr>
          <w:trHeight w:val="198"/>
        </w:trPr>
        <w:tc>
          <w:tcPr>
            <w:tcW w:w="0" w:type="auto"/>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[SH] (mM)</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G</w:t>
            </w:r>
            <w:r w:rsidRPr="00FD4755">
              <w:rPr>
                <w:rFonts w:ascii="Times New Roman" w:eastAsia="Malgun Gothic" w:hAnsi="Times New Roman" w:cs="Times New Roman"/>
                <w:kern w:val="24"/>
                <w:sz w:val="22"/>
              </w:rPr>
              <w:t>′ (Pa)</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[SH] (mM)</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G</w:t>
            </w:r>
            <w:r w:rsidRPr="00FD4755">
              <w:rPr>
                <w:rFonts w:ascii="Times New Roman" w:eastAsia="Malgun Gothic" w:hAnsi="Times New Roman" w:cs="Times New Roman"/>
                <w:kern w:val="24"/>
                <w:sz w:val="22"/>
              </w:rPr>
              <w:t>′ (Pa)</w:t>
            </w:r>
          </w:p>
        </w:tc>
      </w:tr>
      <w:tr w:rsidR="002A275E" w:rsidRPr="00FD4755" w:rsidTr="001478E8">
        <w:trPr>
          <w:trHeight w:val="198"/>
        </w:trPr>
        <w:tc>
          <w:tcPr>
            <w:tcW w:w="0" w:type="auto"/>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Low G</w:t>
            </w:r>
            <w:r w:rsidRPr="00FD4755">
              <w:rPr>
                <w:rFonts w:ascii="Times New Roman" w:eastAsia="Malgun Gothic" w:hAnsi="Times New Roman" w:cs="Times New Roman"/>
                <w:kern w:val="24"/>
                <w:sz w:val="22"/>
              </w:rPr>
              <w:t>′</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5.5</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493.8 ± 3.2</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5.5</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527.0 ± 43.1</w:t>
            </w:r>
          </w:p>
        </w:tc>
      </w:tr>
      <w:tr w:rsidR="002A275E" w:rsidRPr="00FD4755" w:rsidTr="001478E8">
        <w:trPr>
          <w:trHeight w:val="198"/>
        </w:trPr>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Med G</w:t>
            </w:r>
            <w:r w:rsidRPr="00FD4755">
              <w:rPr>
                <w:rFonts w:ascii="Times New Roman" w:eastAsia="Malgun Gothic" w:hAnsi="Times New Roman" w:cs="Times New Roman"/>
                <w:kern w:val="24"/>
                <w:sz w:val="22"/>
              </w:rPr>
              <w:t>′</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6.5</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753.4 ± 26.1</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6.0</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774.7 ± 13.1</w:t>
            </w:r>
          </w:p>
        </w:tc>
      </w:tr>
      <w:tr w:rsidR="002A275E" w:rsidRPr="00FD4755" w:rsidTr="001478E8">
        <w:trPr>
          <w:trHeight w:val="198"/>
        </w:trPr>
        <w:tc>
          <w:tcPr>
            <w:tcW w:w="0" w:type="auto"/>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High G</w:t>
            </w:r>
            <w:r w:rsidRPr="00FD4755">
              <w:rPr>
                <w:rFonts w:ascii="Times New Roman" w:eastAsia="Malgun Gothic" w:hAnsi="Times New Roman" w:cs="Times New Roman"/>
                <w:kern w:val="24"/>
                <w:sz w:val="22"/>
              </w:rPr>
              <w:t>′</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8.0</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1976.9 ± 80.6</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7.5</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vAlign w:val="center"/>
            <w:hideMark/>
          </w:tcPr>
          <w:p w:rsidR="002A275E" w:rsidRPr="00FD4755" w:rsidRDefault="002A275E" w:rsidP="001478E8">
            <w:pPr>
              <w:widowControl/>
              <w:wordWrap/>
              <w:autoSpaceDE/>
              <w:autoSpaceDN/>
              <w:spacing w:after="0" w:line="240" w:lineRule="atLeast"/>
              <w:jc w:val="center"/>
              <w:rPr>
                <w:rFonts w:ascii="Arial" w:eastAsia="Gulim" w:hAnsi="Arial" w:cs="Arial"/>
                <w:kern w:val="0"/>
                <w:sz w:val="36"/>
                <w:szCs w:val="36"/>
              </w:rPr>
            </w:pPr>
            <w:r w:rsidRPr="00FD4755">
              <w:rPr>
                <w:rFonts w:ascii="Times New Roman" w:eastAsia="Gulim" w:hAnsi="Times New Roman" w:cs="Times New Roman"/>
                <w:kern w:val="24"/>
                <w:sz w:val="22"/>
              </w:rPr>
              <w:t>1946.0 ± 19.1</w:t>
            </w:r>
          </w:p>
        </w:tc>
      </w:tr>
    </w:tbl>
    <w:p w:rsidR="002A275E" w:rsidRPr="00FD4755" w:rsidRDefault="002A275E" w:rsidP="002A275E">
      <w:pPr>
        <w:spacing w:line="480" w:lineRule="auto"/>
        <w:rPr>
          <w:rFonts w:ascii="Times New Roman" w:hAnsi="Times New Roman" w:cs="Times New Roman"/>
          <w:sz w:val="24"/>
          <w:szCs w:val="24"/>
        </w:rPr>
      </w:pPr>
    </w:p>
    <w:p w:rsidR="002A275E" w:rsidRPr="00FD4755" w:rsidRDefault="002A275E" w:rsidP="002A275E">
      <w:pPr>
        <w:widowControl/>
        <w:wordWrap/>
        <w:autoSpaceDE/>
        <w:autoSpaceDN/>
        <w:rPr>
          <w:rFonts w:ascii="Times New Roman" w:hAnsi="Times New Roman" w:cs="Times New Roman"/>
          <w:sz w:val="24"/>
          <w:szCs w:val="24"/>
        </w:rPr>
      </w:pPr>
      <w:r w:rsidRPr="00FD4755">
        <w:rPr>
          <w:rFonts w:ascii="Times New Roman" w:hAnsi="Times New Roman" w:cs="Times New Roman"/>
          <w:sz w:val="24"/>
          <w:szCs w:val="24"/>
        </w:rPr>
        <w:br w:type="page"/>
      </w:r>
    </w:p>
    <w:p w:rsidR="002A275E" w:rsidRPr="00FD4755" w:rsidRDefault="002A275E" w:rsidP="002A275E">
      <w:pPr>
        <w:spacing w:line="480" w:lineRule="auto"/>
        <w:rPr>
          <w:rFonts w:ascii="Times New Roman" w:hAnsi="Times New Roman" w:cs="Times New Roman"/>
          <w:b/>
          <w:sz w:val="24"/>
          <w:szCs w:val="24"/>
        </w:rPr>
      </w:pPr>
      <w:r w:rsidRPr="00FD4755">
        <w:rPr>
          <w:rFonts w:ascii="Times New Roman" w:hAnsi="Times New Roman" w:cs="Times New Roman" w:hint="eastAsia"/>
          <w:b/>
          <w:sz w:val="24"/>
          <w:szCs w:val="24"/>
        </w:rPr>
        <w:lastRenderedPageBreak/>
        <w:t xml:space="preserve">Supplementary </w:t>
      </w:r>
      <w:r w:rsidRPr="00FD4755">
        <w:rPr>
          <w:rFonts w:ascii="Times New Roman" w:hAnsi="Times New Roman" w:cs="Times New Roman"/>
          <w:b/>
          <w:sz w:val="24"/>
          <w:szCs w:val="24"/>
        </w:rPr>
        <w:t>Figure</w:t>
      </w:r>
      <w:r w:rsidRPr="00FD4755">
        <w:rPr>
          <w:rFonts w:ascii="Times New Roman" w:hAnsi="Times New Roman" w:cs="Times New Roman" w:hint="eastAsia"/>
          <w:b/>
          <w:sz w:val="24"/>
          <w:szCs w:val="24"/>
        </w:rPr>
        <w:t xml:space="preserve"> </w:t>
      </w:r>
      <w:r w:rsidRPr="00FD4755">
        <w:rPr>
          <w:rFonts w:ascii="Times New Roman" w:hAnsi="Times New Roman" w:cs="Times New Roman"/>
          <w:b/>
          <w:sz w:val="24"/>
          <w:szCs w:val="24"/>
        </w:rPr>
        <w:t>1</w:t>
      </w:r>
    </w:p>
    <w:p w:rsidR="002A275E" w:rsidRPr="00FD4755" w:rsidRDefault="002A275E" w:rsidP="002A275E">
      <w:pPr>
        <w:spacing w:line="480" w:lineRule="auto"/>
        <w:rPr>
          <w:rFonts w:ascii="Times New Roman" w:hAnsi="Times New Roman" w:cs="Times New Roman"/>
          <w:sz w:val="24"/>
          <w:szCs w:val="24"/>
        </w:rPr>
      </w:pPr>
      <w:r w:rsidRPr="00FD4755">
        <w:rPr>
          <w:rFonts w:ascii="Times New Roman" w:hAnsi="Times New Roman" w:cs="Times New Roman"/>
          <w:noProof/>
          <w:sz w:val="24"/>
          <w:szCs w:val="24"/>
          <w:lang w:eastAsia="en-US"/>
        </w:rPr>
        <w:drawing>
          <wp:inline distT="0" distB="0" distL="0" distR="0" wp14:anchorId="5A73725B" wp14:editId="19F6FCA1">
            <wp:extent cx="5734050" cy="2972169"/>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43043" cy="2976831"/>
                    </a:xfrm>
                    <a:prstGeom prst="rect">
                      <a:avLst/>
                    </a:prstGeom>
                    <a:noFill/>
                  </pic:spPr>
                </pic:pic>
              </a:graphicData>
            </a:graphic>
          </wp:inline>
        </w:drawing>
      </w:r>
    </w:p>
    <w:p w:rsidR="002A275E" w:rsidRPr="00FD4755" w:rsidRDefault="002A275E" w:rsidP="002A275E">
      <w:pPr>
        <w:spacing w:line="480" w:lineRule="auto"/>
        <w:rPr>
          <w:rFonts w:ascii="Times New Roman" w:hAnsi="Times New Roman" w:cs="Times New Roman"/>
          <w:sz w:val="24"/>
          <w:szCs w:val="24"/>
        </w:rPr>
      </w:pPr>
      <w:r w:rsidRPr="00FD4755">
        <w:rPr>
          <w:rFonts w:ascii="Times New Roman" w:hAnsi="Times New Roman" w:cs="Times New Roman"/>
          <w:b/>
          <w:sz w:val="24"/>
          <w:szCs w:val="24"/>
        </w:rPr>
        <w:t>Supplementary Figure 1</w:t>
      </w:r>
      <w:r w:rsidRPr="00FD4755">
        <w:rPr>
          <w:rFonts w:ascii="Times New Roman" w:hAnsi="Times New Roman" w:cs="Times New Roman"/>
          <w:sz w:val="24"/>
          <w:szCs w:val="24"/>
        </w:rPr>
        <w:t xml:space="preserve"> Shear storage moduli of PEG hydrogels with varying concentration of crosslinker in the prepolymer solution. (A) Non-degradable linker (DTT). (B) Proteolytically degradable peptide linker (n = 3, mean ± SD).</w:t>
      </w:r>
    </w:p>
    <w:p w:rsidR="002A275E" w:rsidRPr="00FD4755" w:rsidRDefault="002A275E" w:rsidP="002A275E">
      <w:pPr>
        <w:spacing w:line="480" w:lineRule="auto"/>
        <w:rPr>
          <w:rFonts w:ascii="Times New Roman" w:hAnsi="Times New Roman" w:cs="Times New Roman"/>
          <w:sz w:val="24"/>
          <w:szCs w:val="24"/>
        </w:rPr>
      </w:pPr>
    </w:p>
    <w:p w:rsidR="002A275E" w:rsidRPr="00FD4755" w:rsidRDefault="002A275E" w:rsidP="002A275E">
      <w:pPr>
        <w:widowControl/>
        <w:wordWrap/>
        <w:autoSpaceDE/>
        <w:autoSpaceDN/>
        <w:rPr>
          <w:rFonts w:ascii="Times New Roman" w:hAnsi="Times New Roman" w:cs="Times New Roman"/>
          <w:sz w:val="24"/>
          <w:szCs w:val="24"/>
        </w:rPr>
      </w:pPr>
      <w:r w:rsidRPr="00FD4755">
        <w:rPr>
          <w:rFonts w:ascii="Times New Roman" w:hAnsi="Times New Roman" w:cs="Times New Roman"/>
          <w:sz w:val="24"/>
          <w:szCs w:val="24"/>
        </w:rPr>
        <w:br w:type="page"/>
      </w:r>
      <w:bookmarkStart w:id="0" w:name="_GoBack"/>
      <w:bookmarkEnd w:id="0"/>
    </w:p>
    <w:p w:rsidR="002A275E" w:rsidRPr="00FD4755" w:rsidRDefault="002A275E" w:rsidP="002A275E">
      <w:pPr>
        <w:spacing w:line="480" w:lineRule="auto"/>
        <w:rPr>
          <w:rFonts w:ascii="Times New Roman" w:hAnsi="Times New Roman" w:cs="Times New Roman"/>
          <w:b/>
          <w:sz w:val="24"/>
          <w:szCs w:val="24"/>
        </w:rPr>
      </w:pPr>
      <w:r w:rsidRPr="00FD4755">
        <w:rPr>
          <w:rFonts w:ascii="Times New Roman" w:hAnsi="Times New Roman" w:cs="Times New Roman" w:hint="eastAsia"/>
          <w:b/>
          <w:sz w:val="24"/>
          <w:szCs w:val="24"/>
        </w:rPr>
        <w:lastRenderedPageBreak/>
        <w:t xml:space="preserve">Supplementary </w:t>
      </w:r>
      <w:r w:rsidRPr="00FD4755">
        <w:rPr>
          <w:rFonts w:ascii="Times New Roman" w:hAnsi="Times New Roman" w:cs="Times New Roman"/>
          <w:b/>
          <w:sz w:val="24"/>
          <w:szCs w:val="24"/>
        </w:rPr>
        <w:t>Figure</w:t>
      </w:r>
      <w:r w:rsidRPr="00FD4755">
        <w:rPr>
          <w:rFonts w:ascii="Times New Roman" w:hAnsi="Times New Roman" w:cs="Times New Roman" w:hint="eastAsia"/>
          <w:b/>
          <w:sz w:val="24"/>
          <w:szCs w:val="24"/>
        </w:rPr>
        <w:t xml:space="preserve"> </w:t>
      </w:r>
      <w:r w:rsidRPr="00FD4755">
        <w:rPr>
          <w:rFonts w:ascii="Times New Roman" w:hAnsi="Times New Roman" w:cs="Times New Roman"/>
          <w:b/>
          <w:sz w:val="24"/>
          <w:szCs w:val="24"/>
        </w:rPr>
        <w:t>2</w:t>
      </w:r>
    </w:p>
    <w:p w:rsidR="002A275E" w:rsidRPr="00FD4755" w:rsidRDefault="002A275E" w:rsidP="002A275E">
      <w:pPr>
        <w:spacing w:line="480" w:lineRule="auto"/>
        <w:jc w:val="center"/>
        <w:rPr>
          <w:rFonts w:ascii="Times New Roman" w:hAnsi="Times New Roman" w:cs="Times New Roman"/>
          <w:sz w:val="24"/>
          <w:szCs w:val="24"/>
        </w:rPr>
      </w:pPr>
      <w:r w:rsidRPr="00FD4755">
        <w:rPr>
          <w:rFonts w:ascii="Times New Roman" w:hAnsi="Times New Roman" w:cs="Times New Roman"/>
          <w:noProof/>
          <w:sz w:val="24"/>
          <w:szCs w:val="24"/>
          <w:lang w:eastAsia="en-US"/>
        </w:rPr>
        <w:drawing>
          <wp:inline distT="0" distB="0" distL="0" distR="0" wp14:anchorId="334671B9" wp14:editId="308599C1">
            <wp:extent cx="3127519" cy="2517866"/>
            <wp:effectExtent l="0" t="0" r="0" b="0"/>
            <wp:docPr id="1" name="그림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BC8D809-9E40-48CA-96BB-876A99327E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그림 10">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BC8D809-9E40-48CA-96BB-876A99327E22}"/>
                        </a:ext>
                      </a:extLst>
                    </pic:cNvPr>
                    <pic:cNvPicPr>
                      <a:picLocks noChangeAspect="1"/>
                    </pic:cNvPicPr>
                  </pic:nvPicPr>
                  <pic:blipFill>
                    <a:blip r:embed="rId5"/>
                    <a:stretch>
                      <a:fillRect/>
                    </a:stretch>
                  </pic:blipFill>
                  <pic:spPr>
                    <a:xfrm>
                      <a:off x="0" y="0"/>
                      <a:ext cx="3127519" cy="2517866"/>
                    </a:xfrm>
                    <a:prstGeom prst="rect">
                      <a:avLst/>
                    </a:prstGeom>
                  </pic:spPr>
                </pic:pic>
              </a:graphicData>
            </a:graphic>
          </wp:inline>
        </w:drawing>
      </w:r>
    </w:p>
    <w:p w:rsidR="002A275E" w:rsidRPr="00FD4755" w:rsidRDefault="002A275E" w:rsidP="002A275E">
      <w:pPr>
        <w:spacing w:line="480" w:lineRule="auto"/>
        <w:rPr>
          <w:rFonts w:ascii="Times New Roman" w:hAnsi="Times New Roman" w:cs="Times New Roman"/>
          <w:sz w:val="24"/>
          <w:szCs w:val="24"/>
        </w:rPr>
      </w:pPr>
      <w:r w:rsidRPr="00FD4755">
        <w:rPr>
          <w:rFonts w:ascii="Times New Roman" w:hAnsi="Times New Roman" w:cs="Times New Roman"/>
          <w:b/>
          <w:sz w:val="24"/>
          <w:szCs w:val="24"/>
        </w:rPr>
        <w:t xml:space="preserve">Supplementary Figure 2 </w:t>
      </w:r>
      <w:r w:rsidRPr="00FD4755">
        <w:rPr>
          <w:rFonts w:ascii="Times New Roman" w:hAnsi="Times New Roman" w:cs="Times New Roman"/>
          <w:sz w:val="24"/>
          <w:szCs w:val="24"/>
        </w:rPr>
        <w:t xml:space="preserve">Relative metabolic activity of THP-1 cells encapsulated in PEG hydrogels formed with or without </w:t>
      </w:r>
      <w:r w:rsidRPr="00FD4755">
        <w:rPr>
          <w:rFonts w:ascii="Times New Roman" w:hAnsi="Times New Roman" w:cs="Times New Roman" w:hint="eastAsia"/>
          <w:sz w:val="24"/>
          <w:szCs w:val="24"/>
        </w:rPr>
        <w:t>C</w:t>
      </w:r>
      <w:r w:rsidRPr="00FD4755">
        <w:rPr>
          <w:rFonts w:ascii="Times New Roman" w:hAnsi="Times New Roman" w:cs="Times New Roman"/>
          <w:sz w:val="24"/>
          <w:szCs w:val="24"/>
        </w:rPr>
        <w:t>RGDS peptide (2 mM) (n = 3, mean ± SD).</w:t>
      </w:r>
    </w:p>
    <w:p w:rsidR="002A275E" w:rsidRPr="00FD4755" w:rsidRDefault="002A275E" w:rsidP="002A275E">
      <w:pPr>
        <w:spacing w:line="480" w:lineRule="auto"/>
        <w:jc w:val="center"/>
        <w:rPr>
          <w:rFonts w:ascii="Times New Roman" w:hAnsi="Times New Roman" w:cs="Times New Roman"/>
          <w:sz w:val="24"/>
          <w:szCs w:val="24"/>
        </w:rPr>
      </w:pPr>
    </w:p>
    <w:p w:rsidR="002A275E" w:rsidRPr="00FD4755" w:rsidRDefault="002A275E" w:rsidP="002A275E">
      <w:pPr>
        <w:widowControl/>
        <w:wordWrap/>
        <w:autoSpaceDE/>
        <w:autoSpaceDN/>
        <w:rPr>
          <w:rFonts w:ascii="Times New Roman" w:hAnsi="Times New Roman" w:cs="Times New Roman"/>
          <w:sz w:val="24"/>
          <w:szCs w:val="24"/>
        </w:rPr>
      </w:pPr>
      <w:r w:rsidRPr="00FD4755">
        <w:rPr>
          <w:rFonts w:ascii="Times New Roman" w:hAnsi="Times New Roman" w:cs="Times New Roman"/>
          <w:sz w:val="24"/>
          <w:szCs w:val="24"/>
        </w:rPr>
        <w:br w:type="page"/>
      </w:r>
    </w:p>
    <w:p w:rsidR="002A275E" w:rsidRPr="00FD4755" w:rsidRDefault="002A275E" w:rsidP="002A275E">
      <w:pPr>
        <w:spacing w:line="480" w:lineRule="auto"/>
        <w:rPr>
          <w:rFonts w:ascii="Times New Roman" w:hAnsi="Times New Roman" w:cs="Times New Roman"/>
          <w:b/>
          <w:sz w:val="24"/>
          <w:szCs w:val="24"/>
        </w:rPr>
      </w:pPr>
      <w:r w:rsidRPr="00FD4755">
        <w:rPr>
          <w:rFonts w:ascii="Times New Roman" w:hAnsi="Times New Roman" w:cs="Times New Roman" w:hint="eastAsia"/>
          <w:b/>
          <w:sz w:val="24"/>
          <w:szCs w:val="24"/>
        </w:rPr>
        <w:lastRenderedPageBreak/>
        <w:t xml:space="preserve">Supplementary </w:t>
      </w:r>
      <w:r w:rsidRPr="00FD4755">
        <w:rPr>
          <w:rFonts w:ascii="Times New Roman" w:hAnsi="Times New Roman" w:cs="Times New Roman"/>
          <w:b/>
          <w:sz w:val="24"/>
          <w:szCs w:val="24"/>
        </w:rPr>
        <w:t>Figure</w:t>
      </w:r>
      <w:r w:rsidRPr="00FD4755">
        <w:rPr>
          <w:rFonts w:ascii="Times New Roman" w:hAnsi="Times New Roman" w:cs="Times New Roman" w:hint="eastAsia"/>
          <w:b/>
          <w:sz w:val="24"/>
          <w:szCs w:val="24"/>
        </w:rPr>
        <w:t xml:space="preserve"> </w:t>
      </w:r>
      <w:r w:rsidRPr="00FD4755">
        <w:rPr>
          <w:rFonts w:ascii="Times New Roman" w:hAnsi="Times New Roman" w:cs="Times New Roman"/>
          <w:b/>
          <w:sz w:val="24"/>
          <w:szCs w:val="24"/>
        </w:rPr>
        <w:t>3</w:t>
      </w:r>
    </w:p>
    <w:p w:rsidR="002A275E" w:rsidRPr="00FD4755" w:rsidRDefault="002A275E" w:rsidP="002A275E">
      <w:pPr>
        <w:spacing w:line="480" w:lineRule="auto"/>
        <w:rPr>
          <w:rFonts w:ascii="Times New Roman" w:hAnsi="Times New Roman" w:cs="Times New Roman"/>
          <w:sz w:val="24"/>
          <w:szCs w:val="24"/>
        </w:rPr>
      </w:pPr>
      <w:r w:rsidRPr="00FD4755">
        <w:rPr>
          <w:rFonts w:ascii="Times New Roman" w:hAnsi="Times New Roman" w:cs="Times New Roman"/>
          <w:noProof/>
          <w:sz w:val="24"/>
          <w:szCs w:val="24"/>
          <w:lang w:eastAsia="en-US"/>
        </w:rPr>
        <w:drawing>
          <wp:inline distT="0" distB="0" distL="0" distR="0" wp14:anchorId="106848E6" wp14:editId="0BC1537C">
            <wp:extent cx="5761355" cy="2688590"/>
            <wp:effectExtent l="0" t="0" r="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1355" cy="2688590"/>
                    </a:xfrm>
                    <a:prstGeom prst="rect">
                      <a:avLst/>
                    </a:prstGeom>
                    <a:noFill/>
                  </pic:spPr>
                </pic:pic>
              </a:graphicData>
            </a:graphic>
          </wp:inline>
        </w:drawing>
      </w:r>
    </w:p>
    <w:p w:rsidR="002A275E" w:rsidRPr="00FD4755" w:rsidRDefault="002A275E" w:rsidP="002A275E">
      <w:pPr>
        <w:spacing w:line="480" w:lineRule="auto"/>
        <w:rPr>
          <w:rFonts w:ascii="Times New Roman" w:hAnsi="Times New Roman" w:cs="Times New Roman"/>
          <w:sz w:val="24"/>
          <w:szCs w:val="24"/>
        </w:rPr>
      </w:pPr>
      <w:r w:rsidRPr="00FD4755">
        <w:rPr>
          <w:rFonts w:ascii="Times New Roman" w:hAnsi="Times New Roman" w:cs="Times New Roman"/>
          <w:b/>
          <w:sz w:val="24"/>
          <w:szCs w:val="24"/>
        </w:rPr>
        <w:t xml:space="preserve">Supplementary Figure 3 </w:t>
      </w:r>
      <w:r w:rsidRPr="00FD4755">
        <w:rPr>
          <w:rFonts w:ascii="Times New Roman" w:hAnsi="Times New Roman" w:cs="Times New Roman"/>
          <w:sz w:val="24"/>
          <w:szCs w:val="24"/>
        </w:rPr>
        <w:t>Relative metabolic activity of THP-1-derived DCs encapsulated in PEG hydrogels of (A) low G′ and (B) high G′ (n = 3, mean ± SD). *** indicates the statistical significance level at P &lt; 0.001.</w:t>
      </w:r>
    </w:p>
    <w:p w:rsidR="002A275E" w:rsidRPr="00FD4755" w:rsidRDefault="002A275E" w:rsidP="002A275E">
      <w:pPr>
        <w:spacing w:line="480" w:lineRule="auto"/>
        <w:rPr>
          <w:rFonts w:ascii="Times New Roman" w:hAnsi="Times New Roman" w:cs="Times New Roman"/>
          <w:sz w:val="24"/>
          <w:szCs w:val="24"/>
        </w:rPr>
      </w:pPr>
    </w:p>
    <w:p w:rsidR="002A275E" w:rsidRPr="00FD4755" w:rsidRDefault="002A275E" w:rsidP="002A275E">
      <w:pPr>
        <w:widowControl/>
        <w:wordWrap/>
        <w:autoSpaceDE/>
        <w:autoSpaceDN/>
        <w:rPr>
          <w:rFonts w:ascii="Times New Roman" w:hAnsi="Times New Roman" w:cs="Times New Roman"/>
          <w:b/>
          <w:sz w:val="24"/>
          <w:szCs w:val="24"/>
        </w:rPr>
      </w:pPr>
      <w:r w:rsidRPr="00FD4755">
        <w:rPr>
          <w:rFonts w:ascii="Times New Roman" w:hAnsi="Times New Roman" w:cs="Times New Roman"/>
          <w:sz w:val="24"/>
          <w:szCs w:val="24"/>
        </w:rPr>
        <w:br w:type="page"/>
      </w:r>
      <w:r w:rsidRPr="00FD4755">
        <w:rPr>
          <w:rFonts w:ascii="Times New Roman" w:hAnsi="Times New Roman" w:cs="Times New Roman"/>
          <w:b/>
          <w:sz w:val="24"/>
          <w:szCs w:val="24"/>
        </w:rPr>
        <w:lastRenderedPageBreak/>
        <w:t>Lists of References in s</w:t>
      </w:r>
      <w:r w:rsidRPr="00FD4755">
        <w:rPr>
          <w:rFonts w:ascii="Times New Roman" w:hAnsi="Times New Roman" w:cs="Times New Roman" w:hint="eastAsia"/>
          <w:b/>
          <w:sz w:val="24"/>
          <w:szCs w:val="24"/>
        </w:rPr>
        <w:t xml:space="preserve">upplementary </w:t>
      </w:r>
      <w:r w:rsidRPr="00FD4755">
        <w:rPr>
          <w:rFonts w:ascii="Times New Roman" w:hAnsi="Times New Roman" w:cs="Times New Roman"/>
          <w:b/>
          <w:sz w:val="24"/>
          <w:szCs w:val="24"/>
        </w:rPr>
        <w:t>materials</w:t>
      </w:r>
    </w:p>
    <w:p w:rsidR="002A275E" w:rsidRPr="00FD4755" w:rsidRDefault="002A275E" w:rsidP="002A275E">
      <w:pPr>
        <w:widowControl/>
        <w:wordWrap/>
        <w:autoSpaceDE/>
        <w:autoSpaceDN/>
        <w:rPr>
          <w:rFonts w:ascii="Times New Roman" w:hAnsi="Times New Roman" w:cs="Times New Roman"/>
          <w:sz w:val="24"/>
          <w:szCs w:val="24"/>
        </w:rPr>
      </w:pPr>
    </w:p>
    <w:p w:rsidR="002A275E" w:rsidRPr="00FD4755" w:rsidRDefault="002A275E" w:rsidP="002A275E">
      <w:pPr>
        <w:pStyle w:val="EndNoteBibliography"/>
        <w:spacing w:line="480" w:lineRule="auto"/>
        <w:ind w:left="720" w:hanging="720"/>
        <w:rPr>
          <w:rFonts w:ascii="Times New Roman" w:hAnsi="Times New Roman" w:cs="Times New Roman"/>
          <w:sz w:val="24"/>
          <w:szCs w:val="24"/>
        </w:rPr>
      </w:pPr>
      <w:r w:rsidRPr="00FD4755">
        <w:rPr>
          <w:rFonts w:ascii="Times New Roman" w:hAnsi="Times New Roman" w:cs="Times New Roman"/>
          <w:sz w:val="24"/>
          <w:szCs w:val="24"/>
        </w:rPr>
        <w:t>Duan XQ, Liu X, Li WT, Holmes JA, Kruger AJ, Yang CH, Li YJ, Xu M, Ye HY, Li S, Liao XZ, Sheng QJ, Chen D, Shao T, Cheng ZM, Kaj B, Schaefer EA, Li SL, Chen LM, Lin WY, Chung RT (2019) Microrna-130a downregulates hcv replication through an atg5-dependent autophagy pathway. Cells-Basel</w:t>
      </w:r>
      <w:r w:rsidRPr="00FD4755">
        <w:rPr>
          <w:rFonts w:ascii="Times New Roman" w:hAnsi="Times New Roman" w:cs="Times New Roman"/>
          <w:i/>
          <w:sz w:val="24"/>
          <w:szCs w:val="24"/>
        </w:rPr>
        <w:t xml:space="preserve"> </w:t>
      </w:r>
      <w:r w:rsidRPr="00FD4755">
        <w:rPr>
          <w:rFonts w:ascii="Times New Roman" w:hAnsi="Times New Roman" w:cs="Times New Roman"/>
          <w:sz w:val="24"/>
          <w:szCs w:val="24"/>
        </w:rPr>
        <w:t>8(4):338.</w:t>
      </w:r>
      <w:r w:rsidRPr="00FD4755">
        <w:rPr>
          <w:rFonts w:ascii="Times New Roman" w:hAnsi="Times New Roman" w:cs="Times New Roman"/>
          <w:i/>
          <w:sz w:val="24"/>
          <w:szCs w:val="24"/>
        </w:rPr>
        <w:t xml:space="preserve"> </w:t>
      </w:r>
      <w:r w:rsidRPr="00FD4755">
        <w:rPr>
          <w:rFonts w:ascii="Times New Roman" w:hAnsi="Times New Roman" w:cs="Times New Roman"/>
          <w:sz w:val="24"/>
          <w:szCs w:val="24"/>
        </w:rPr>
        <w:t>https://doi.org/10.3390/cells8040338.</w:t>
      </w:r>
    </w:p>
    <w:p w:rsidR="002A275E" w:rsidRPr="00FD4755" w:rsidRDefault="002A275E" w:rsidP="002A275E">
      <w:pPr>
        <w:pStyle w:val="EndNoteBibliography"/>
        <w:spacing w:line="480" w:lineRule="auto"/>
        <w:ind w:left="720" w:hanging="720"/>
        <w:rPr>
          <w:rFonts w:ascii="Times New Roman" w:hAnsi="Times New Roman" w:cs="Times New Roman"/>
          <w:sz w:val="24"/>
          <w:szCs w:val="24"/>
        </w:rPr>
      </w:pPr>
      <w:r w:rsidRPr="00FD4755">
        <w:rPr>
          <w:rFonts w:ascii="Times New Roman" w:hAnsi="Times New Roman" w:cs="Times New Roman"/>
          <w:sz w:val="24"/>
          <w:szCs w:val="24"/>
        </w:rPr>
        <w:t>Gustafsson C, Mjosberg J, Matussek A, Geffers R, Matthiesen L, Berg G, Sharma S, Buer J, Ernerudh J (2008) Gene expression profiling of human decidual macrophages: Evidence for immunosuppressive phenotype. Plos One</w:t>
      </w:r>
      <w:r w:rsidRPr="00FD4755">
        <w:rPr>
          <w:rFonts w:ascii="Times New Roman" w:hAnsi="Times New Roman" w:cs="Times New Roman"/>
          <w:i/>
          <w:sz w:val="24"/>
          <w:szCs w:val="24"/>
        </w:rPr>
        <w:t xml:space="preserve"> </w:t>
      </w:r>
      <w:r w:rsidRPr="00FD4755">
        <w:rPr>
          <w:rFonts w:ascii="Times New Roman" w:hAnsi="Times New Roman" w:cs="Times New Roman"/>
          <w:sz w:val="24"/>
          <w:szCs w:val="24"/>
        </w:rPr>
        <w:t>3(4): e2078.</w:t>
      </w:r>
      <w:r w:rsidRPr="00FD4755">
        <w:rPr>
          <w:rFonts w:ascii="Times New Roman" w:hAnsi="Times New Roman" w:cs="Times New Roman"/>
          <w:i/>
          <w:sz w:val="24"/>
          <w:szCs w:val="24"/>
        </w:rPr>
        <w:t xml:space="preserve"> </w:t>
      </w:r>
      <w:r w:rsidRPr="00FD4755">
        <w:rPr>
          <w:rFonts w:ascii="Times New Roman" w:hAnsi="Times New Roman" w:cs="Times New Roman"/>
          <w:sz w:val="24"/>
          <w:szCs w:val="24"/>
        </w:rPr>
        <w:t>https://doi.org/10.1371/journal.pone.0002078.</w:t>
      </w:r>
    </w:p>
    <w:p w:rsidR="002A275E" w:rsidRPr="00FD4755" w:rsidRDefault="002A275E" w:rsidP="002A275E">
      <w:pPr>
        <w:pStyle w:val="EndNoteBibliography"/>
        <w:spacing w:line="480" w:lineRule="auto"/>
        <w:ind w:left="720" w:hanging="720"/>
        <w:rPr>
          <w:rFonts w:ascii="Times New Roman" w:hAnsi="Times New Roman" w:cs="Times New Roman"/>
          <w:sz w:val="24"/>
          <w:szCs w:val="24"/>
        </w:rPr>
      </w:pPr>
      <w:r w:rsidRPr="00FD4755">
        <w:rPr>
          <w:rFonts w:ascii="Times New Roman" w:hAnsi="Times New Roman" w:cs="Times New Roman"/>
          <w:sz w:val="24"/>
          <w:szCs w:val="24"/>
        </w:rPr>
        <w:t>Sanarico N, Colone A, Grassi M, Speranza V, Giovannini D, Ciaramella A, Colizzi V, Mariani F (2011) Different transcriptional profiles of human monocyte-derived dendritic cells infected with distinct strains of mycobacterium tuberculosis and mycobacterium bovis bacillus calmette-guerin. Clin Dev Immunol 2011:741051</w:t>
      </w:r>
      <w:r w:rsidRPr="00FD4755">
        <w:rPr>
          <w:rFonts w:ascii="Times New Roman" w:hAnsi="Times New Roman" w:cs="Times New Roman"/>
          <w:i/>
          <w:sz w:val="24"/>
          <w:szCs w:val="24"/>
        </w:rPr>
        <w:t xml:space="preserve"> </w:t>
      </w:r>
      <w:r w:rsidRPr="00FD4755">
        <w:rPr>
          <w:rFonts w:ascii="Times New Roman" w:hAnsi="Times New Roman" w:cs="Times New Roman"/>
          <w:sz w:val="24"/>
          <w:szCs w:val="24"/>
        </w:rPr>
        <w:t>https://doi.org/10.1155/2011/741051.</w:t>
      </w:r>
    </w:p>
    <w:p w:rsidR="002A275E" w:rsidRPr="00FD4755" w:rsidRDefault="002A275E" w:rsidP="002A275E">
      <w:pPr>
        <w:pStyle w:val="EndNoteBibliography"/>
        <w:spacing w:after="0" w:line="480" w:lineRule="auto"/>
        <w:ind w:left="720" w:hanging="720"/>
        <w:rPr>
          <w:rFonts w:ascii="Times New Roman" w:hAnsi="Times New Roman" w:cs="Times New Roman"/>
          <w:sz w:val="24"/>
          <w:szCs w:val="24"/>
        </w:rPr>
      </w:pPr>
      <w:r w:rsidRPr="00FD4755">
        <w:rPr>
          <w:rFonts w:ascii="Times New Roman" w:hAnsi="Times New Roman" w:cs="Times New Roman"/>
          <w:sz w:val="24"/>
          <w:szCs w:val="24"/>
        </w:rPr>
        <w:t>Son Y, Choi J, Kim B, Park YC, Eo SK, Cho HR, Bae SS, Kim CD, Kim K (2019) Cyclosporin a inhibits differentiation and activation of monocytic cells induced by 27-hydroxycholesterol. Int Immunopharmacol</w:t>
      </w:r>
      <w:r w:rsidRPr="00FD4755">
        <w:rPr>
          <w:rFonts w:ascii="Times New Roman" w:hAnsi="Times New Roman" w:cs="Times New Roman"/>
          <w:i/>
          <w:sz w:val="24"/>
          <w:szCs w:val="24"/>
        </w:rPr>
        <w:t xml:space="preserve"> </w:t>
      </w:r>
      <w:r w:rsidRPr="00FD4755">
        <w:rPr>
          <w:rFonts w:ascii="Times New Roman" w:hAnsi="Times New Roman" w:cs="Times New Roman"/>
          <w:sz w:val="24"/>
          <w:szCs w:val="24"/>
        </w:rPr>
        <w:t>69:358–367.</w:t>
      </w:r>
      <w:r w:rsidRPr="00FD4755">
        <w:rPr>
          <w:rFonts w:ascii="Times New Roman" w:hAnsi="Times New Roman" w:cs="Times New Roman"/>
          <w:i/>
          <w:sz w:val="24"/>
          <w:szCs w:val="24"/>
        </w:rPr>
        <w:t xml:space="preserve"> </w:t>
      </w:r>
      <w:r w:rsidRPr="00FD4755">
        <w:rPr>
          <w:rFonts w:ascii="Times New Roman" w:hAnsi="Times New Roman" w:cs="Times New Roman"/>
          <w:sz w:val="24"/>
          <w:szCs w:val="24"/>
        </w:rPr>
        <w:t>https://doi.org/10.1016/j.intimp.2019.01.045.</w:t>
      </w:r>
    </w:p>
    <w:p w:rsidR="002A275E" w:rsidRPr="00FD4755" w:rsidRDefault="002A275E" w:rsidP="002A275E">
      <w:pPr>
        <w:pStyle w:val="EndNoteBibliography"/>
        <w:spacing w:after="0" w:line="480" w:lineRule="auto"/>
        <w:ind w:left="720" w:hanging="720"/>
        <w:rPr>
          <w:rFonts w:ascii="Times New Roman" w:hAnsi="Times New Roman" w:cs="Times New Roman"/>
          <w:sz w:val="24"/>
          <w:szCs w:val="24"/>
        </w:rPr>
      </w:pPr>
      <w:r w:rsidRPr="00FD4755">
        <w:rPr>
          <w:rFonts w:ascii="Times New Roman" w:hAnsi="Times New Roman" w:cs="Times New Roman"/>
          <w:sz w:val="24"/>
          <w:szCs w:val="24"/>
        </w:rPr>
        <w:t>Wu YT, Jin FJ, Liu JW, Zheng DL, Wang YL, Wu FY, Zhu YX, Wang YF (2017) Protective effect of theaflavin-3-digallate on lipopolysaccharide-induced inflammation injury in macrophage cells. Int J Pharmacol</w:t>
      </w:r>
      <w:r w:rsidRPr="00FD4755">
        <w:rPr>
          <w:rFonts w:ascii="Times New Roman" w:hAnsi="Times New Roman" w:cs="Times New Roman"/>
          <w:i/>
          <w:sz w:val="24"/>
          <w:szCs w:val="24"/>
        </w:rPr>
        <w:t xml:space="preserve"> </w:t>
      </w:r>
      <w:r w:rsidRPr="00FD4755">
        <w:rPr>
          <w:rFonts w:ascii="Times New Roman" w:hAnsi="Times New Roman" w:cs="Times New Roman"/>
          <w:sz w:val="24"/>
          <w:szCs w:val="24"/>
        </w:rPr>
        <w:t>13(8):980–989.</w:t>
      </w:r>
      <w:r w:rsidRPr="00FD4755">
        <w:rPr>
          <w:rFonts w:ascii="Times New Roman" w:hAnsi="Times New Roman" w:cs="Times New Roman"/>
          <w:i/>
          <w:sz w:val="24"/>
          <w:szCs w:val="24"/>
        </w:rPr>
        <w:t xml:space="preserve"> </w:t>
      </w:r>
      <w:r w:rsidRPr="00FD4755">
        <w:rPr>
          <w:rFonts w:ascii="Times New Roman" w:hAnsi="Times New Roman" w:cs="Times New Roman"/>
          <w:sz w:val="24"/>
          <w:szCs w:val="24"/>
        </w:rPr>
        <w:t>https://doi.org/10.3923/ijp.2017.980.989.</w:t>
      </w:r>
    </w:p>
    <w:p w:rsidR="002A275E" w:rsidRPr="00FD4755" w:rsidRDefault="002A275E" w:rsidP="002A275E">
      <w:pPr>
        <w:pStyle w:val="EndNoteBibliography"/>
        <w:spacing w:line="480" w:lineRule="auto"/>
        <w:ind w:left="720" w:hanging="720"/>
        <w:rPr>
          <w:rFonts w:ascii="Times New Roman" w:hAnsi="Times New Roman" w:cs="Times New Roman"/>
          <w:sz w:val="24"/>
          <w:szCs w:val="24"/>
        </w:rPr>
      </w:pPr>
      <w:r w:rsidRPr="00FD4755">
        <w:rPr>
          <w:rFonts w:ascii="Times New Roman" w:hAnsi="Times New Roman" w:cs="Times New Roman"/>
          <w:sz w:val="24"/>
          <w:szCs w:val="24"/>
        </w:rPr>
        <w:lastRenderedPageBreak/>
        <w:t>Yamagami S, Ebihara N, Usui T, Yokoo S, Amano SO (2006) Bone marrow-derived cells in normal human corneal stroma. Arch Ophthalmol-Chic</w:t>
      </w:r>
      <w:r w:rsidRPr="00FD4755">
        <w:rPr>
          <w:rFonts w:ascii="Times New Roman" w:hAnsi="Times New Roman" w:cs="Times New Roman"/>
          <w:i/>
          <w:sz w:val="24"/>
          <w:szCs w:val="24"/>
        </w:rPr>
        <w:t xml:space="preserve"> </w:t>
      </w:r>
      <w:r w:rsidRPr="00FD4755">
        <w:rPr>
          <w:rFonts w:ascii="Times New Roman" w:hAnsi="Times New Roman" w:cs="Times New Roman"/>
          <w:sz w:val="24"/>
          <w:szCs w:val="24"/>
        </w:rPr>
        <w:t>124(1):62–69.</w:t>
      </w:r>
      <w:r w:rsidRPr="00FD4755">
        <w:rPr>
          <w:rFonts w:ascii="Times New Roman" w:hAnsi="Times New Roman" w:cs="Times New Roman"/>
          <w:i/>
          <w:sz w:val="24"/>
          <w:szCs w:val="24"/>
        </w:rPr>
        <w:t xml:space="preserve"> </w:t>
      </w:r>
      <w:r w:rsidRPr="00FD4755">
        <w:rPr>
          <w:rFonts w:ascii="Times New Roman" w:hAnsi="Times New Roman" w:cs="Times New Roman"/>
          <w:sz w:val="24"/>
          <w:szCs w:val="24"/>
        </w:rPr>
        <w:t>https://doi.org/10.1001/archopht.124.1.62.</w:t>
      </w:r>
    </w:p>
    <w:p w:rsidR="002A275E" w:rsidRPr="00FD4755" w:rsidRDefault="002A275E" w:rsidP="002A275E">
      <w:pPr>
        <w:widowControl/>
        <w:wordWrap/>
        <w:autoSpaceDE/>
        <w:autoSpaceDN/>
        <w:rPr>
          <w:rFonts w:ascii="Times New Roman" w:hAnsi="Times New Roman" w:cs="Times New Roman"/>
          <w:sz w:val="24"/>
          <w:szCs w:val="24"/>
        </w:rPr>
      </w:pPr>
    </w:p>
    <w:p w:rsidR="002A275E" w:rsidRPr="00FD4755" w:rsidRDefault="002A275E" w:rsidP="002A275E">
      <w:pPr>
        <w:spacing w:line="480" w:lineRule="auto"/>
        <w:rPr>
          <w:rFonts w:ascii="Times New Roman" w:hAnsi="Times New Roman" w:cs="Times New Roman"/>
          <w:sz w:val="24"/>
          <w:szCs w:val="24"/>
        </w:rPr>
      </w:pPr>
    </w:p>
    <w:p w:rsidR="00674125" w:rsidRDefault="00674125"/>
    <w:sectPr w:rsidR="00674125" w:rsidSect="00FD4755">
      <w:footerReference w:type="default" r:id="rId7"/>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3162039"/>
      <w:docPartObj>
        <w:docPartGallery w:val="Page Numbers (Bottom of Page)"/>
        <w:docPartUnique/>
      </w:docPartObj>
    </w:sdtPr>
    <w:sdtEndPr/>
    <w:sdtContent>
      <w:p w:rsidR="0067574F" w:rsidRDefault="002A275E" w:rsidP="00AD2057">
        <w:pPr>
          <w:pStyle w:val="Footer"/>
          <w:jc w:val="center"/>
        </w:pPr>
        <w:r>
          <w:fldChar w:fldCharType="begin"/>
        </w:r>
        <w:r>
          <w:instrText xml:space="preserve">PAGE  </w:instrText>
        </w:r>
        <w:r>
          <w:instrText xml:space="preserve"> \* MERGEFORMAT</w:instrText>
        </w:r>
        <w:r>
          <w:fldChar w:fldCharType="separate"/>
        </w:r>
        <w:r w:rsidRPr="002A275E">
          <w:rPr>
            <w:noProof/>
            <w:lang w:val="ko-KR"/>
          </w:rPr>
          <w:t>4</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75E"/>
    <w:rsid w:val="00014420"/>
    <w:rsid w:val="0004118F"/>
    <w:rsid w:val="00070CA2"/>
    <w:rsid w:val="000801B9"/>
    <w:rsid w:val="000923C1"/>
    <w:rsid w:val="000A0A32"/>
    <w:rsid w:val="000A2201"/>
    <w:rsid w:val="000A52F6"/>
    <w:rsid w:val="000B7516"/>
    <w:rsid w:val="000C370C"/>
    <w:rsid w:val="000D2314"/>
    <w:rsid w:val="001124A8"/>
    <w:rsid w:val="001139D2"/>
    <w:rsid w:val="00123DB3"/>
    <w:rsid w:val="001263CC"/>
    <w:rsid w:val="0014630A"/>
    <w:rsid w:val="00152BFD"/>
    <w:rsid w:val="00163B0C"/>
    <w:rsid w:val="00167083"/>
    <w:rsid w:val="0019799A"/>
    <w:rsid w:val="001B1343"/>
    <w:rsid w:val="001C64FD"/>
    <w:rsid w:val="001E46BF"/>
    <w:rsid w:val="001F531C"/>
    <w:rsid w:val="00245886"/>
    <w:rsid w:val="00257CEF"/>
    <w:rsid w:val="002720C1"/>
    <w:rsid w:val="00293375"/>
    <w:rsid w:val="002A047D"/>
    <w:rsid w:val="002A0E52"/>
    <w:rsid w:val="002A275E"/>
    <w:rsid w:val="002B1880"/>
    <w:rsid w:val="002B356C"/>
    <w:rsid w:val="002B483F"/>
    <w:rsid w:val="002B5130"/>
    <w:rsid w:val="002C6BFF"/>
    <w:rsid w:val="00356223"/>
    <w:rsid w:val="00364A2A"/>
    <w:rsid w:val="003968D6"/>
    <w:rsid w:val="003C7FD4"/>
    <w:rsid w:val="003D1C4B"/>
    <w:rsid w:val="00436FFC"/>
    <w:rsid w:val="0044266A"/>
    <w:rsid w:val="00442D38"/>
    <w:rsid w:val="00442F73"/>
    <w:rsid w:val="00467476"/>
    <w:rsid w:val="00471FCD"/>
    <w:rsid w:val="004800EF"/>
    <w:rsid w:val="00495B66"/>
    <w:rsid w:val="004A2E1D"/>
    <w:rsid w:val="004C2FB0"/>
    <w:rsid w:val="005257A2"/>
    <w:rsid w:val="00552629"/>
    <w:rsid w:val="0058201B"/>
    <w:rsid w:val="005A2CDC"/>
    <w:rsid w:val="005B116B"/>
    <w:rsid w:val="005E7832"/>
    <w:rsid w:val="005F0DA1"/>
    <w:rsid w:val="0061350E"/>
    <w:rsid w:val="006273F3"/>
    <w:rsid w:val="00662B31"/>
    <w:rsid w:val="00674125"/>
    <w:rsid w:val="006754D7"/>
    <w:rsid w:val="00681E77"/>
    <w:rsid w:val="00682591"/>
    <w:rsid w:val="006A4A91"/>
    <w:rsid w:val="006B4245"/>
    <w:rsid w:val="006B4487"/>
    <w:rsid w:val="006C6DE1"/>
    <w:rsid w:val="006D683B"/>
    <w:rsid w:val="007050E3"/>
    <w:rsid w:val="00713105"/>
    <w:rsid w:val="00715E1C"/>
    <w:rsid w:val="0073496D"/>
    <w:rsid w:val="007465F4"/>
    <w:rsid w:val="00750356"/>
    <w:rsid w:val="00766AF1"/>
    <w:rsid w:val="00784274"/>
    <w:rsid w:val="007C191F"/>
    <w:rsid w:val="007E2F38"/>
    <w:rsid w:val="007F5857"/>
    <w:rsid w:val="00805FA8"/>
    <w:rsid w:val="008166F6"/>
    <w:rsid w:val="00823EA7"/>
    <w:rsid w:val="00853659"/>
    <w:rsid w:val="0086101B"/>
    <w:rsid w:val="0088215B"/>
    <w:rsid w:val="00883B9A"/>
    <w:rsid w:val="00891A62"/>
    <w:rsid w:val="008971D0"/>
    <w:rsid w:val="008A0225"/>
    <w:rsid w:val="008B0693"/>
    <w:rsid w:val="008B6009"/>
    <w:rsid w:val="00901ED5"/>
    <w:rsid w:val="00903FEF"/>
    <w:rsid w:val="009212E2"/>
    <w:rsid w:val="00941166"/>
    <w:rsid w:val="00945CE1"/>
    <w:rsid w:val="00996B9D"/>
    <w:rsid w:val="009D5C4F"/>
    <w:rsid w:val="009E4B44"/>
    <w:rsid w:val="00A052F3"/>
    <w:rsid w:val="00A12B2B"/>
    <w:rsid w:val="00A14D66"/>
    <w:rsid w:val="00A22118"/>
    <w:rsid w:val="00A4006A"/>
    <w:rsid w:val="00A63ADD"/>
    <w:rsid w:val="00A80E16"/>
    <w:rsid w:val="00AB0EDE"/>
    <w:rsid w:val="00AF6D77"/>
    <w:rsid w:val="00B109D2"/>
    <w:rsid w:val="00B31C81"/>
    <w:rsid w:val="00B35AE4"/>
    <w:rsid w:val="00BB5071"/>
    <w:rsid w:val="00BC12CD"/>
    <w:rsid w:val="00BC14B3"/>
    <w:rsid w:val="00BC5F68"/>
    <w:rsid w:val="00BE7C9C"/>
    <w:rsid w:val="00BF6615"/>
    <w:rsid w:val="00C30D79"/>
    <w:rsid w:val="00C32641"/>
    <w:rsid w:val="00C35FD0"/>
    <w:rsid w:val="00C441FD"/>
    <w:rsid w:val="00C44EB6"/>
    <w:rsid w:val="00C50B45"/>
    <w:rsid w:val="00C530CA"/>
    <w:rsid w:val="00C54952"/>
    <w:rsid w:val="00C805F9"/>
    <w:rsid w:val="00C84D10"/>
    <w:rsid w:val="00CA1C59"/>
    <w:rsid w:val="00CD0C4D"/>
    <w:rsid w:val="00CD1786"/>
    <w:rsid w:val="00D06457"/>
    <w:rsid w:val="00D071B3"/>
    <w:rsid w:val="00D244F9"/>
    <w:rsid w:val="00D33906"/>
    <w:rsid w:val="00D3413E"/>
    <w:rsid w:val="00D464CB"/>
    <w:rsid w:val="00D84C60"/>
    <w:rsid w:val="00D937A8"/>
    <w:rsid w:val="00DA4D96"/>
    <w:rsid w:val="00DB66E8"/>
    <w:rsid w:val="00DC0300"/>
    <w:rsid w:val="00DD0ED6"/>
    <w:rsid w:val="00DF214E"/>
    <w:rsid w:val="00E03993"/>
    <w:rsid w:val="00E042E7"/>
    <w:rsid w:val="00E0634E"/>
    <w:rsid w:val="00E07C0E"/>
    <w:rsid w:val="00E145BB"/>
    <w:rsid w:val="00E159BE"/>
    <w:rsid w:val="00E24797"/>
    <w:rsid w:val="00E37A19"/>
    <w:rsid w:val="00E37C37"/>
    <w:rsid w:val="00E37D5E"/>
    <w:rsid w:val="00E406BC"/>
    <w:rsid w:val="00E73092"/>
    <w:rsid w:val="00E825E8"/>
    <w:rsid w:val="00E93B05"/>
    <w:rsid w:val="00EA7F60"/>
    <w:rsid w:val="00EC4461"/>
    <w:rsid w:val="00EE73C1"/>
    <w:rsid w:val="00F10DF8"/>
    <w:rsid w:val="00F30550"/>
    <w:rsid w:val="00F50E40"/>
    <w:rsid w:val="00F544D6"/>
    <w:rsid w:val="00F8764B"/>
    <w:rsid w:val="00F96FAA"/>
    <w:rsid w:val="00FD54A9"/>
    <w:rsid w:val="00FD5A59"/>
    <w:rsid w:val="00FF4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BEFBE9-E787-4AAF-BC96-A7221CCF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75E"/>
    <w:pPr>
      <w:widowControl w:val="0"/>
      <w:wordWrap w:val="0"/>
      <w:autoSpaceDE w:val="0"/>
      <w:autoSpaceDN w:val="0"/>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A275E"/>
    <w:pPr>
      <w:tabs>
        <w:tab w:val="center" w:pos="4513"/>
        <w:tab w:val="right" w:pos="9026"/>
      </w:tabs>
      <w:snapToGrid w:val="0"/>
    </w:pPr>
  </w:style>
  <w:style w:type="character" w:customStyle="1" w:styleId="FooterChar">
    <w:name w:val="Footer Char"/>
    <w:basedOn w:val="DefaultParagraphFont"/>
    <w:link w:val="Footer"/>
    <w:uiPriority w:val="99"/>
    <w:rsid w:val="002A275E"/>
    <w:rPr>
      <w:rFonts w:eastAsiaTheme="minorEastAsia"/>
      <w:kern w:val="2"/>
      <w:sz w:val="20"/>
      <w:lang w:eastAsia="ko-KR"/>
    </w:rPr>
  </w:style>
  <w:style w:type="paragraph" w:customStyle="1" w:styleId="EndNoteBibliography">
    <w:name w:val="EndNote Bibliography"/>
    <w:basedOn w:val="Normal"/>
    <w:link w:val="EndNoteBibliographyChar"/>
    <w:rsid w:val="002A275E"/>
    <w:pPr>
      <w:spacing w:line="240" w:lineRule="auto"/>
    </w:pPr>
    <w:rPr>
      <w:rFonts w:ascii="Malgun Gothic" w:eastAsia="Malgun Gothic" w:hAnsi="Malgun Gothic"/>
      <w:noProof/>
    </w:rPr>
  </w:style>
  <w:style w:type="character" w:customStyle="1" w:styleId="EndNoteBibliographyChar">
    <w:name w:val="EndNote Bibliography Char"/>
    <w:basedOn w:val="DefaultParagraphFont"/>
    <w:link w:val="EndNoteBibliography"/>
    <w:rsid w:val="002A275E"/>
    <w:rPr>
      <w:rFonts w:ascii="Malgun Gothic" w:eastAsia="Malgun Gothic" w:hAnsi="Malgun Gothic"/>
      <w:noProof/>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512</Words>
  <Characters>2922</Characters>
  <Application>Microsoft Office Word</Application>
  <DocSecurity>0</DocSecurity>
  <Lines>24</Lines>
  <Paragraphs>6</Paragraphs>
  <ScaleCrop>false</ScaleCrop>
  <Company/>
  <LinksUpToDate>false</LinksUpToDate>
  <CharactersWithSpaces>3428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Jayashree Keerthivel</dc:creator>
  <cp:keywords/>
  <dc:description/>
  <cp:lastModifiedBy>Jayashree Keerthivel</cp:lastModifiedBy>
  <cp:revision>1</cp:revision>
  <dcterms:created xsi:type="dcterms:W3CDTF">2024-01-06T08:28:00Z</dcterms:created>
  <dcterms:modified xsi:type="dcterms:W3CDTF">2024-01-06T08:29:00Z</dcterms:modified>
</cp:coreProperties>
</file>