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60" w:left="-14" w:hangingChars="59" w:hanging="118"/>
        <w:contextualSpacing/>
        <w:rPr>
          <w:rFonts w:ascii="Times New Roman" w:eastAsiaTheme="minorEastAsia" w:hAnsi="Times New Roman"/>
          <w:b/>
          <w:sz w:val="20"/>
          <w:lang w:eastAsia="zh-TW"/>
        </w:rPr>
      </w:pPr>
      <w:r w:rsidRPr="0001425C">
        <w:rPr>
          <w:rFonts w:ascii="Times New Roman" w:eastAsiaTheme="minorEastAsia" w:hAnsi="Times New Roman"/>
          <w:b/>
          <w:sz w:val="20"/>
          <w:lang w:eastAsia="zh-TW"/>
        </w:rPr>
        <w:t>a</w:t>
      </w:r>
      <w:bookmarkStart w:id="0" w:name="_GoBack"/>
      <w:bookmarkEnd w:id="0"/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119" w:left="-26" w:hangingChars="118" w:hanging="236"/>
        <w:contextualSpacing/>
        <w:rPr>
          <w:rFonts w:ascii="Times New Roman" w:eastAsiaTheme="minorEastAsia" w:hAnsi="Times New Roman"/>
          <w:sz w:val="20"/>
          <w:lang w:eastAsia="zh-TW"/>
        </w:rPr>
      </w:pPr>
      <w:r w:rsidRPr="00E6741C">
        <w:rPr>
          <w:rFonts w:ascii="Times New Roman" w:eastAsiaTheme="minorEastAsia" w:hAnsi="Times New Roman"/>
          <w:noProof/>
          <w:sz w:val="20"/>
          <w:lang w:val="en-IN" w:eastAsia="en-IN" w:bidi="ar-SA"/>
        </w:rPr>
        <w:drawing>
          <wp:inline distT="0" distB="0" distL="0" distR="0" wp14:anchorId="18C26CD9" wp14:editId="75D67DE5">
            <wp:extent cx="5839691" cy="1968384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035" cy="1976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60" w:left="-14" w:hangingChars="59" w:hanging="118"/>
        <w:contextualSpacing/>
        <w:rPr>
          <w:rFonts w:ascii="Times New Roman" w:eastAsiaTheme="minorEastAsia" w:hAnsi="Times New Roman"/>
          <w:b/>
          <w:sz w:val="20"/>
          <w:lang w:eastAsia="zh-TW"/>
        </w:rPr>
      </w:pPr>
      <w:r w:rsidRPr="00E6741C">
        <w:rPr>
          <w:rFonts w:ascii="Times New Roman" w:eastAsiaTheme="minorEastAsia" w:hAnsi="Times New Roman"/>
          <w:b/>
          <w:noProof/>
          <w:sz w:val="20"/>
          <w:lang w:val="en-IN" w:eastAsia="en-IN" w:bidi="ar-SA"/>
        </w:rPr>
        <w:drawing>
          <wp:anchor distT="0" distB="0" distL="114300" distR="114300" simplePos="0" relativeHeight="251659264" behindDoc="1" locked="0" layoutInCell="1" allowOverlap="1" wp14:anchorId="40A8BBD1" wp14:editId="243A240F">
            <wp:simplePos x="0" y="0"/>
            <wp:positionH relativeFrom="column">
              <wp:posOffset>3435350</wp:posOffset>
            </wp:positionH>
            <wp:positionV relativeFrom="paragraph">
              <wp:posOffset>249555</wp:posOffset>
            </wp:positionV>
            <wp:extent cx="2145665" cy="2295525"/>
            <wp:effectExtent l="0" t="0" r="6985" b="0"/>
            <wp:wrapTight wrapText="bothSides">
              <wp:wrapPolygon edited="0">
                <wp:start x="15917" y="896"/>
                <wp:lineTo x="3260" y="1793"/>
                <wp:lineTo x="192" y="2330"/>
                <wp:lineTo x="384" y="14161"/>
                <wp:lineTo x="2109" y="15595"/>
                <wp:lineTo x="1918" y="20076"/>
                <wp:lineTo x="6520" y="20793"/>
                <wp:lineTo x="15725" y="21152"/>
                <wp:lineTo x="17835" y="21152"/>
                <wp:lineTo x="20520" y="20793"/>
                <wp:lineTo x="21287" y="20256"/>
                <wp:lineTo x="21479" y="16133"/>
                <wp:lineTo x="19753" y="15954"/>
                <wp:lineTo x="4794" y="15595"/>
                <wp:lineTo x="4794" y="12727"/>
                <wp:lineTo x="10547" y="12727"/>
                <wp:lineTo x="20903" y="10934"/>
                <wp:lineTo x="21095" y="8246"/>
                <wp:lineTo x="20136" y="7349"/>
                <wp:lineTo x="17643" y="6991"/>
                <wp:lineTo x="18410" y="4123"/>
                <wp:lineTo x="19753" y="4123"/>
                <wp:lineTo x="21287" y="2510"/>
                <wp:lineTo x="21095" y="896"/>
                <wp:lineTo x="15917" y="896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425C">
        <w:rPr>
          <w:rFonts w:ascii="Times New Roman" w:eastAsiaTheme="minorEastAsia" w:hAnsi="Times New Roman"/>
          <w:b/>
          <w:sz w:val="20"/>
          <w:lang w:eastAsia="zh-TW"/>
        </w:rPr>
        <w:t>b                                                     c</w:t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236" w:left="-47" w:hangingChars="236" w:hanging="472"/>
        <w:contextualSpacing/>
        <w:rPr>
          <w:rFonts w:ascii="Times New Roman" w:eastAsiaTheme="minorEastAsia" w:hAnsi="Times New Roman"/>
          <w:sz w:val="20"/>
          <w:lang w:eastAsia="zh-TW"/>
        </w:rPr>
      </w:pPr>
      <w:r w:rsidRPr="00E6741C">
        <w:rPr>
          <w:rFonts w:ascii="Times New Roman" w:eastAsiaTheme="minorEastAsia" w:hAnsi="Times New Roman"/>
          <w:noProof/>
          <w:sz w:val="20"/>
          <w:lang w:val="en-IN" w:eastAsia="en-IN" w:bidi="ar-SA"/>
        </w:rPr>
        <w:drawing>
          <wp:inline distT="0" distB="0" distL="0" distR="0" wp14:anchorId="658612D6" wp14:editId="638D8F34">
            <wp:extent cx="3514725" cy="2127579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998" cy="2131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1" w:left="-2"/>
        <w:contextualSpacing/>
        <w:rPr>
          <w:rFonts w:ascii="Times New Roman" w:eastAsiaTheme="minorEastAsia" w:hAnsi="Times New Roman"/>
          <w:color w:val="auto"/>
          <w:sz w:val="20"/>
          <w:lang w:eastAsia="zh-TW"/>
        </w:rPr>
      </w:pP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 xml:space="preserve">Fig. </w:t>
      </w:r>
      <w:r>
        <w:rPr>
          <w:rFonts w:ascii="Times New Roman" w:eastAsiaTheme="minorEastAsia" w:hAnsi="Times New Roman" w:hint="eastAsia"/>
          <w:b/>
          <w:color w:val="auto"/>
          <w:sz w:val="20"/>
          <w:lang w:eastAsia="zh-TW"/>
        </w:rPr>
        <w:t>S1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Related LAP activity of </w:t>
      </w:r>
      <w:r w:rsidRPr="0001425C">
        <w:rPr>
          <w:rFonts w:ascii="Times New Roman" w:eastAsiaTheme="minorEastAsia" w:hAnsi="Times New Roman"/>
          <w:i/>
          <w:iCs/>
          <w:color w:val="auto"/>
          <w:sz w:val="20"/>
          <w:lang w:eastAsia="zh-TW"/>
        </w:rPr>
        <w:t xml:space="preserve">A. oryzae 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>LL1 mutant strains after UV exposure.</w:t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240" w:lineRule="auto"/>
        <w:ind w:leftChars="-1" w:left="-2"/>
        <w:contextualSpacing/>
        <w:rPr>
          <w:rFonts w:ascii="Times New Roman" w:hAnsi="Times New Roman"/>
          <w:sz w:val="20"/>
        </w:rPr>
      </w:pP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>a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A total of 210 mutant strains from </w:t>
      </w:r>
      <w:r w:rsidRPr="0001425C">
        <w:rPr>
          <w:rFonts w:ascii="Times New Roman" w:eastAsiaTheme="minorEastAsia" w:hAnsi="Times New Roman"/>
          <w:i/>
          <w:iCs/>
          <w:color w:val="auto"/>
          <w:sz w:val="20"/>
          <w:lang w:eastAsia="zh-TW"/>
        </w:rPr>
        <w:t xml:space="preserve">A. oryzae 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>LL1 irradiated with 15 J/m</w:t>
      </w:r>
      <w:r w:rsidRPr="0001425C">
        <w:rPr>
          <w:rFonts w:ascii="Times New Roman" w:eastAsiaTheme="minorEastAsia" w:hAnsi="Times New Roman"/>
          <w:color w:val="auto"/>
          <w:sz w:val="20"/>
          <w:vertAlign w:val="superscript"/>
          <w:lang w:eastAsia="zh-TW"/>
        </w:rPr>
        <w:t>2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of UV-C exposures. The top 20 mutant strains with the highest LAP activity were selected for further study and represented by dotted lines. </w:t>
      </w: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>b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</w:t>
      </w:r>
      <w:r>
        <w:rPr>
          <w:rFonts w:ascii="Times New Roman" w:eastAsiaTheme="minorEastAsia" w:hAnsi="Times New Roman" w:hint="eastAsia"/>
          <w:color w:val="auto"/>
          <w:sz w:val="20"/>
          <w:lang w:eastAsia="zh-TW"/>
        </w:rPr>
        <w:t xml:space="preserve"> A total of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200 subclones </w:t>
      </w:r>
      <w:r>
        <w:rPr>
          <w:rFonts w:ascii="Times New Roman" w:eastAsiaTheme="minorEastAsia" w:hAnsi="Times New Roman" w:hint="eastAsia"/>
          <w:color w:val="auto"/>
          <w:sz w:val="20"/>
          <w:lang w:eastAsia="zh-TW"/>
        </w:rPr>
        <w:t xml:space="preserve">(10 from each of 20 mutant strains) 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>were analyzed for LAP activity. The top 10 subclones with higher LAP activity were selected for further study and represented by open circles.</w:t>
      </w:r>
      <w:r w:rsidRPr="0001425C">
        <w:rPr>
          <w:rFonts w:ascii="Times New Roman" w:hAnsi="Times New Roman"/>
          <w:color w:val="auto"/>
          <w:sz w:val="20"/>
        </w:rPr>
        <w:t xml:space="preserve"> </w:t>
      </w: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>c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10 subclones were sub-cultured again, and 240 subclones were analyzed for LAP activity. The clone U1044-10-20 with the highest LAP activity were selected for further study and represented by open circle. The related LAP activity of the mutant strains was compared with that of </w:t>
      </w:r>
      <w:r w:rsidRPr="0001425C">
        <w:rPr>
          <w:rFonts w:ascii="Times New Roman" w:eastAsiaTheme="minorEastAsia" w:hAnsi="Times New Roman"/>
          <w:i/>
          <w:iCs/>
          <w:color w:val="auto"/>
          <w:sz w:val="20"/>
          <w:lang w:eastAsia="zh-TW"/>
        </w:rPr>
        <w:t xml:space="preserve">A. oryzae 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>LL1.</w:t>
      </w:r>
      <w:r w:rsidRPr="0001425C">
        <w:rPr>
          <w:rFonts w:ascii="Times New Roman" w:hAnsi="Times New Roman"/>
          <w:color w:val="auto"/>
          <w:sz w:val="20"/>
        </w:rPr>
        <w:t xml:space="preserve"> 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>The horizontal line represents the average.</w:t>
      </w:r>
      <w:r w:rsidRPr="0001425C">
        <w:rPr>
          <w:rFonts w:ascii="Times New Roman" w:hAnsi="Times New Roman"/>
          <w:sz w:val="20"/>
        </w:rPr>
        <w:br w:type="page"/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2" w:left="-4" w:firstLineChars="1" w:firstLine="2"/>
        <w:contextualSpacing/>
        <w:rPr>
          <w:rFonts w:ascii="Times New Roman" w:eastAsiaTheme="minorEastAsia" w:hAnsi="Times New Roman"/>
          <w:b/>
          <w:sz w:val="20"/>
          <w:lang w:eastAsia="zh-TW"/>
        </w:rPr>
      </w:pPr>
      <w:r w:rsidRPr="0001425C">
        <w:rPr>
          <w:rFonts w:ascii="Times New Roman" w:eastAsiaTheme="minorEastAsia" w:hAnsi="Times New Roman"/>
          <w:b/>
          <w:sz w:val="20"/>
          <w:lang w:eastAsia="zh-TW"/>
        </w:rPr>
        <w:lastRenderedPageBreak/>
        <w:t>a</w:t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119" w:left="-26" w:hangingChars="118" w:hanging="236"/>
        <w:contextualSpacing/>
        <w:rPr>
          <w:rFonts w:ascii="Times New Roman" w:eastAsiaTheme="minorEastAsia" w:hAnsi="Times New Roman"/>
          <w:sz w:val="20"/>
          <w:lang w:eastAsia="zh-TW"/>
        </w:rPr>
      </w:pPr>
      <w:r w:rsidRPr="00E6741C">
        <w:rPr>
          <w:rFonts w:ascii="Times New Roman" w:eastAsiaTheme="minorEastAsia" w:hAnsi="Times New Roman"/>
          <w:noProof/>
          <w:sz w:val="20"/>
          <w:lang w:val="en-IN" w:eastAsia="en-IN" w:bidi="ar-SA"/>
        </w:rPr>
        <w:drawing>
          <wp:inline distT="0" distB="0" distL="0" distR="0" wp14:anchorId="48BBBA92" wp14:editId="64F15678">
            <wp:extent cx="6267450" cy="210605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938" cy="2106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1" w:left="-1" w:hanging="1"/>
        <w:contextualSpacing/>
        <w:rPr>
          <w:rFonts w:ascii="Times New Roman" w:eastAsiaTheme="minorEastAsia" w:hAnsi="Times New Roman"/>
          <w:b/>
          <w:sz w:val="20"/>
          <w:lang w:eastAsia="zh-TW"/>
        </w:rPr>
      </w:pPr>
      <w:r w:rsidRPr="0001425C">
        <w:rPr>
          <w:rFonts w:ascii="Times New Roman" w:eastAsiaTheme="minorEastAsia" w:hAnsi="Times New Roman"/>
          <w:b/>
          <w:sz w:val="20"/>
          <w:lang w:eastAsia="zh-TW"/>
        </w:rPr>
        <w:t>b                                                       c</w:t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60" w:left="-14" w:rightChars="-437" w:right="-961" w:hangingChars="59" w:hanging="118"/>
        <w:contextualSpacing/>
        <w:rPr>
          <w:rFonts w:ascii="Times New Roman" w:eastAsiaTheme="minorEastAsia" w:hAnsi="Times New Roman"/>
          <w:sz w:val="20"/>
          <w:lang w:eastAsia="zh-TW"/>
        </w:rPr>
      </w:pPr>
      <w:r w:rsidRPr="00E6741C">
        <w:rPr>
          <w:rFonts w:ascii="Times New Roman" w:eastAsiaTheme="minorEastAsia" w:hAnsi="Times New Roman"/>
          <w:noProof/>
          <w:sz w:val="20"/>
          <w:lang w:val="en-IN" w:eastAsia="en-IN" w:bidi="ar-SA"/>
        </w:rPr>
        <w:drawing>
          <wp:inline distT="0" distB="0" distL="0" distR="0" wp14:anchorId="198F14DC" wp14:editId="211FF88B">
            <wp:extent cx="3671455" cy="2370915"/>
            <wp:effectExtent l="0" t="0" r="571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771" cy="2374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6741C">
        <w:rPr>
          <w:rFonts w:ascii="Times New Roman" w:eastAsiaTheme="minorEastAsia" w:hAnsi="Times New Roman"/>
          <w:noProof/>
          <w:sz w:val="20"/>
          <w:lang w:val="en-IN" w:eastAsia="en-IN" w:bidi="ar-SA"/>
        </w:rPr>
        <w:drawing>
          <wp:inline distT="0" distB="0" distL="0" distR="0" wp14:anchorId="628E9DF2" wp14:editId="144E48A0">
            <wp:extent cx="2202873" cy="2054737"/>
            <wp:effectExtent l="0" t="0" r="6985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220" cy="2057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1" w:left="-2"/>
        <w:contextualSpacing/>
        <w:rPr>
          <w:rFonts w:ascii="Times New Roman" w:eastAsiaTheme="minorEastAsia" w:hAnsi="Times New Roman"/>
          <w:color w:val="auto"/>
          <w:sz w:val="20"/>
          <w:lang w:eastAsia="zh-TW"/>
        </w:rPr>
      </w:pP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 xml:space="preserve">Fig. </w:t>
      </w:r>
      <w:r>
        <w:rPr>
          <w:rFonts w:ascii="Times New Roman" w:eastAsiaTheme="minorEastAsia" w:hAnsi="Times New Roman" w:hint="eastAsia"/>
          <w:b/>
          <w:color w:val="auto"/>
          <w:sz w:val="20"/>
          <w:lang w:eastAsia="zh-TW"/>
        </w:rPr>
        <w:t>S2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Related LAP activity of mutant strains after second-round of UV exposure.</w:t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240" w:lineRule="auto"/>
        <w:ind w:leftChars="-1" w:left="-2"/>
        <w:contextualSpacing/>
        <w:rPr>
          <w:rFonts w:ascii="Times New Roman" w:hAnsi="Times New Roman"/>
          <w:sz w:val="20"/>
        </w:rPr>
      </w:pP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>a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A total of 280 mutant strains from </w:t>
      </w:r>
      <w:r w:rsidRPr="0001425C">
        <w:rPr>
          <w:rFonts w:ascii="Times New Roman" w:eastAsiaTheme="minorEastAsia" w:hAnsi="Times New Roman"/>
          <w:i/>
          <w:iCs/>
          <w:color w:val="auto"/>
          <w:sz w:val="20"/>
          <w:lang w:eastAsia="zh-TW"/>
        </w:rPr>
        <w:t xml:space="preserve">A. oryzae 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>U1044 irradiated with 15 J/m</w:t>
      </w:r>
      <w:r w:rsidRPr="0001425C">
        <w:rPr>
          <w:rFonts w:ascii="Times New Roman" w:eastAsiaTheme="minorEastAsia" w:hAnsi="Times New Roman"/>
          <w:color w:val="auto"/>
          <w:sz w:val="20"/>
          <w:vertAlign w:val="superscript"/>
          <w:lang w:eastAsia="zh-TW"/>
        </w:rPr>
        <w:t>2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of UV-C exposures. The top 22 mutant strains with the highest LAP activity were selected for further study and represented by dotted lines. </w:t>
      </w: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>b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</w:t>
      </w:r>
      <w:r>
        <w:rPr>
          <w:rFonts w:ascii="Times New Roman" w:eastAsiaTheme="minorEastAsia" w:hAnsi="Times New Roman" w:hint="eastAsia"/>
          <w:color w:val="auto"/>
          <w:sz w:val="20"/>
          <w:lang w:eastAsia="zh-TW"/>
        </w:rPr>
        <w:t>A total of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264 subclones</w:t>
      </w:r>
      <w:r>
        <w:rPr>
          <w:rFonts w:ascii="Times New Roman" w:eastAsiaTheme="minorEastAsia" w:hAnsi="Times New Roman" w:hint="eastAsia"/>
          <w:color w:val="auto"/>
          <w:sz w:val="20"/>
          <w:lang w:eastAsia="zh-TW"/>
        </w:rPr>
        <w:t xml:space="preserve"> (10 from each of 22 mutant strains)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were analyzed for LAP activity. The top 12 subclones with higher LAP activity were selected for further study and represented by open circles.</w:t>
      </w:r>
      <w:r w:rsidRPr="0001425C">
        <w:rPr>
          <w:rFonts w:ascii="Times New Roman" w:hAnsi="Times New Roman"/>
          <w:color w:val="auto"/>
          <w:sz w:val="20"/>
        </w:rPr>
        <w:t xml:space="preserve"> </w:t>
      </w: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>c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12 subclones were sub-cultured again, and 288 subclones were analyzed for LAP activity. The clone U2010-11-10 with the highest LAP activity were selected for further study and represented by open circle. The related LAP activity of the mutant strains was compared with that of </w:t>
      </w:r>
      <w:r w:rsidRPr="0001425C">
        <w:rPr>
          <w:rFonts w:ascii="Times New Roman" w:eastAsiaTheme="minorEastAsia" w:hAnsi="Times New Roman"/>
          <w:i/>
          <w:iCs/>
          <w:color w:val="auto"/>
          <w:sz w:val="20"/>
          <w:lang w:eastAsia="zh-TW"/>
        </w:rPr>
        <w:t xml:space="preserve">A. oryzae 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>U1044.</w:t>
      </w:r>
      <w:r w:rsidRPr="0001425C">
        <w:rPr>
          <w:rFonts w:ascii="Times New Roman" w:hAnsi="Times New Roman"/>
          <w:color w:val="auto"/>
          <w:sz w:val="20"/>
        </w:rPr>
        <w:t xml:space="preserve"> 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>The horizontal line represents the average.</w:t>
      </w:r>
      <w:r w:rsidRPr="0001425C">
        <w:rPr>
          <w:rFonts w:ascii="Times New Roman" w:hAnsi="Times New Roman"/>
          <w:sz w:val="20"/>
        </w:rPr>
        <w:br w:type="page"/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1" w:left="-1" w:hanging="1"/>
        <w:contextualSpacing/>
        <w:rPr>
          <w:rFonts w:ascii="Times New Roman" w:eastAsiaTheme="minorEastAsia" w:hAnsi="Times New Roman"/>
          <w:b/>
          <w:sz w:val="20"/>
          <w:lang w:eastAsia="zh-TW"/>
        </w:rPr>
      </w:pPr>
      <w:r w:rsidRPr="0001425C">
        <w:rPr>
          <w:rFonts w:ascii="Times New Roman" w:eastAsiaTheme="minorEastAsia" w:hAnsi="Times New Roman"/>
          <w:b/>
          <w:sz w:val="20"/>
          <w:lang w:eastAsia="zh-TW"/>
        </w:rPr>
        <w:lastRenderedPageBreak/>
        <w:t>a</w:t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119" w:left="-26" w:hangingChars="118" w:hanging="236"/>
        <w:contextualSpacing/>
        <w:rPr>
          <w:rFonts w:ascii="Times New Roman" w:eastAsiaTheme="minorEastAsia" w:hAnsi="Times New Roman"/>
          <w:sz w:val="20"/>
          <w:lang w:eastAsia="zh-TW"/>
        </w:rPr>
      </w:pPr>
      <w:r w:rsidRPr="00E6741C">
        <w:rPr>
          <w:rFonts w:ascii="Times New Roman" w:eastAsiaTheme="minorEastAsia" w:hAnsi="Times New Roman"/>
          <w:noProof/>
          <w:sz w:val="20"/>
          <w:lang w:val="en-IN" w:eastAsia="en-IN" w:bidi="ar-SA"/>
        </w:rPr>
        <w:drawing>
          <wp:inline distT="0" distB="0" distL="0" distR="0" wp14:anchorId="1A44D155" wp14:editId="5D1F6DFD">
            <wp:extent cx="6289964" cy="2118508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221" cy="2120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1" w:left="-1" w:hanging="1"/>
        <w:contextualSpacing/>
        <w:rPr>
          <w:rFonts w:ascii="Times New Roman" w:eastAsiaTheme="minorEastAsia" w:hAnsi="Times New Roman"/>
          <w:b/>
          <w:sz w:val="20"/>
          <w:lang w:eastAsia="zh-TW"/>
        </w:rPr>
      </w:pPr>
      <w:r w:rsidRPr="0001425C">
        <w:rPr>
          <w:rFonts w:ascii="Times New Roman" w:eastAsiaTheme="minorEastAsia" w:hAnsi="Times New Roman"/>
          <w:b/>
          <w:sz w:val="20"/>
          <w:lang w:eastAsia="zh-TW"/>
        </w:rPr>
        <w:t>b                                                  c</w:t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236" w:left="-47" w:rightChars="-437" w:right="-961" w:hangingChars="236" w:hanging="472"/>
        <w:contextualSpacing/>
        <w:rPr>
          <w:rFonts w:ascii="Times New Roman" w:eastAsiaTheme="minorEastAsia" w:hAnsi="Times New Roman"/>
          <w:sz w:val="20"/>
          <w:lang w:eastAsia="zh-TW"/>
        </w:rPr>
      </w:pPr>
      <w:r w:rsidRPr="00E6741C">
        <w:rPr>
          <w:rFonts w:ascii="Times New Roman" w:eastAsiaTheme="minorEastAsia" w:hAnsi="Times New Roman"/>
          <w:noProof/>
          <w:sz w:val="20"/>
          <w:lang w:val="en-IN" w:eastAsia="en-IN" w:bidi="ar-SA"/>
        </w:rPr>
        <w:drawing>
          <wp:inline distT="0" distB="0" distL="0" distR="0" wp14:anchorId="19CB6106" wp14:editId="2A55DC0D">
            <wp:extent cx="3667125" cy="2251138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50" cy="22541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6741C">
        <w:rPr>
          <w:rFonts w:ascii="Times New Roman" w:eastAsiaTheme="minorEastAsia" w:hAnsi="Times New Roman"/>
          <w:noProof/>
          <w:sz w:val="20"/>
          <w:lang w:val="en-IN" w:eastAsia="en-IN" w:bidi="ar-SA"/>
        </w:rPr>
        <w:drawing>
          <wp:inline distT="0" distB="0" distL="0" distR="0" wp14:anchorId="3AE7B364" wp14:editId="65D9E6E8">
            <wp:extent cx="2096593" cy="2105025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920" cy="21063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360" w:lineRule="auto"/>
        <w:ind w:leftChars="-1" w:left="-2"/>
        <w:contextualSpacing/>
        <w:rPr>
          <w:rFonts w:ascii="Times New Roman" w:eastAsiaTheme="minorEastAsia" w:hAnsi="Times New Roman"/>
          <w:color w:val="auto"/>
          <w:sz w:val="20"/>
          <w:lang w:eastAsia="zh-TW"/>
        </w:rPr>
      </w:pP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>Fig.</w:t>
      </w:r>
      <w:r>
        <w:rPr>
          <w:rFonts w:ascii="Times New Roman" w:eastAsiaTheme="minorEastAsia" w:hAnsi="Times New Roman"/>
          <w:b/>
          <w:color w:val="auto"/>
          <w:sz w:val="20"/>
          <w:lang w:eastAsia="zh-TW"/>
        </w:rPr>
        <w:t xml:space="preserve"> </w:t>
      </w:r>
      <w:r>
        <w:rPr>
          <w:rFonts w:ascii="Times New Roman" w:eastAsiaTheme="minorEastAsia" w:hAnsi="Times New Roman" w:hint="eastAsia"/>
          <w:b/>
          <w:color w:val="auto"/>
          <w:sz w:val="20"/>
          <w:lang w:eastAsia="zh-TW"/>
        </w:rPr>
        <w:t>S3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Related LAP activity of mutant strains after third-round of UV exposure.</w:t>
      </w:r>
    </w:p>
    <w:p w:rsidR="00AA44E0" w:rsidRPr="0001425C" w:rsidRDefault="00AA44E0" w:rsidP="00AA44E0">
      <w:pPr>
        <w:pStyle w:val="MDPI71References"/>
        <w:numPr>
          <w:ilvl w:val="0"/>
          <w:numId w:val="0"/>
        </w:numPr>
        <w:snapToGrid/>
        <w:spacing w:beforeLines="50" w:before="180" w:line="240" w:lineRule="auto"/>
        <w:ind w:leftChars="-1" w:left="-2"/>
        <w:contextualSpacing/>
        <w:rPr>
          <w:rFonts w:ascii="Times New Roman" w:eastAsiaTheme="minorEastAsia" w:hAnsi="Times New Roman"/>
          <w:color w:val="auto"/>
          <w:sz w:val="20"/>
          <w:lang w:eastAsia="zh-TW"/>
        </w:rPr>
      </w:pP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>a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A total of 290 mutant strains from </w:t>
      </w:r>
      <w:r w:rsidRPr="0001425C">
        <w:rPr>
          <w:rFonts w:ascii="Times New Roman" w:eastAsiaTheme="minorEastAsia" w:hAnsi="Times New Roman"/>
          <w:i/>
          <w:iCs/>
          <w:color w:val="auto"/>
          <w:sz w:val="20"/>
          <w:lang w:eastAsia="zh-TW"/>
        </w:rPr>
        <w:t xml:space="preserve">A. oryzae 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>U2010 irradiated with 20 J/m</w:t>
      </w:r>
      <w:r w:rsidRPr="0001425C">
        <w:rPr>
          <w:rFonts w:ascii="Times New Roman" w:eastAsiaTheme="minorEastAsia" w:hAnsi="Times New Roman"/>
          <w:color w:val="auto"/>
          <w:sz w:val="20"/>
          <w:vertAlign w:val="superscript"/>
          <w:lang w:eastAsia="zh-TW"/>
        </w:rPr>
        <w:t>2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of UV-C exposures. The top 21 mutant strains with the highest LAP activity were selected for further study and represented by dotted lines. </w:t>
      </w: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>b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</w:t>
      </w:r>
      <w:r>
        <w:rPr>
          <w:rFonts w:ascii="Times New Roman" w:eastAsiaTheme="minorEastAsia" w:hAnsi="Times New Roman" w:hint="eastAsia"/>
          <w:color w:val="auto"/>
          <w:sz w:val="20"/>
          <w:lang w:eastAsia="zh-TW"/>
        </w:rPr>
        <w:t>A total of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252 subclones</w:t>
      </w:r>
      <w:r>
        <w:rPr>
          <w:rFonts w:ascii="Times New Roman" w:eastAsiaTheme="minorEastAsia" w:hAnsi="Times New Roman" w:hint="eastAsia"/>
          <w:color w:val="auto"/>
          <w:sz w:val="20"/>
          <w:lang w:eastAsia="zh-TW"/>
        </w:rPr>
        <w:t xml:space="preserve"> (10 from each of 21 mutant strains)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were analyzed for LAP activity. The top 12 subclones with higher LAP activity were selected for further study and represented by open circles.</w:t>
      </w:r>
      <w:r w:rsidRPr="0001425C">
        <w:rPr>
          <w:rFonts w:ascii="Times New Roman" w:hAnsi="Times New Roman"/>
          <w:color w:val="auto"/>
          <w:sz w:val="20"/>
        </w:rPr>
        <w:t xml:space="preserve"> </w:t>
      </w:r>
      <w:r w:rsidRPr="0001425C">
        <w:rPr>
          <w:rFonts w:ascii="Times New Roman" w:eastAsiaTheme="minorEastAsia" w:hAnsi="Times New Roman"/>
          <w:b/>
          <w:color w:val="auto"/>
          <w:sz w:val="20"/>
          <w:lang w:eastAsia="zh-TW"/>
        </w:rPr>
        <w:t>c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 xml:space="preserve"> 12 subclones were sub-cultured again, and 288 subclones were analyzed for LAP activity. The clone U31169-2-11 with the highest LAP activity were selected for further study and represented by open circle. The related LAP activity of the mutant strains was compared with that of </w:t>
      </w:r>
      <w:r w:rsidRPr="0001425C">
        <w:rPr>
          <w:rFonts w:ascii="Times New Roman" w:eastAsiaTheme="minorEastAsia" w:hAnsi="Times New Roman"/>
          <w:i/>
          <w:iCs/>
          <w:color w:val="auto"/>
          <w:sz w:val="20"/>
          <w:lang w:eastAsia="zh-TW"/>
        </w:rPr>
        <w:t xml:space="preserve">A. oryzae 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>U2010.</w:t>
      </w:r>
      <w:r w:rsidRPr="0001425C">
        <w:rPr>
          <w:rFonts w:ascii="Times New Roman" w:hAnsi="Times New Roman"/>
          <w:color w:val="auto"/>
          <w:sz w:val="20"/>
        </w:rPr>
        <w:t xml:space="preserve"> </w:t>
      </w:r>
      <w:r w:rsidRPr="0001425C">
        <w:rPr>
          <w:rFonts w:ascii="Times New Roman" w:eastAsiaTheme="minorEastAsia" w:hAnsi="Times New Roman"/>
          <w:color w:val="auto"/>
          <w:sz w:val="20"/>
          <w:lang w:eastAsia="zh-TW"/>
        </w:rPr>
        <w:t>The horizontal line represents the average.</w:t>
      </w:r>
    </w:p>
    <w:p w:rsidR="007819A0" w:rsidRPr="007819A0" w:rsidRDefault="007819A0" w:rsidP="007819A0"/>
    <w:sectPr w:rsidR="007819A0" w:rsidRPr="007819A0" w:rsidSect="00AA44E0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84833"/>
      <w:docPartObj>
        <w:docPartGallery w:val="Page Numbers (Bottom of Page)"/>
        <w:docPartUnique/>
      </w:docPartObj>
    </w:sdtPr>
    <w:sdtEndPr/>
    <w:sdtContent>
      <w:p w:rsidR="00D44BDD" w:rsidRDefault="00AA44E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A44E0">
          <w:rPr>
            <w:noProof/>
            <w:lang w:val="zh-TW"/>
          </w:rPr>
          <w:t>3</w:t>
        </w:r>
        <w:r>
          <w:fldChar w:fldCharType="end"/>
        </w:r>
      </w:p>
    </w:sdtContent>
  </w:sdt>
  <w:p w:rsidR="0001425C" w:rsidRDefault="00AA44E0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DA1CB9"/>
    <w:multiLevelType w:val="hybridMultilevel"/>
    <w:tmpl w:val="CCC8D13C"/>
    <w:lvl w:ilvl="0" w:tplc="4B545C06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drawingGridHorizontalSpacing w:val="110"/>
  <w:displayHorizontalDrawingGridEvery w:val="2"/>
  <w:displayVerticalDrawingGridEvery w:val="2"/>
  <w:characterSpacingControl w:val="doNotCompress"/>
  <w:doNotValidateAgainstSchema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2F4"/>
    <w:rsid w:val="00050DCF"/>
    <w:rsid w:val="000808A1"/>
    <w:rsid w:val="00091B4B"/>
    <w:rsid w:val="00095DB7"/>
    <w:rsid w:val="000B1FA9"/>
    <w:rsid w:val="000D3A0D"/>
    <w:rsid w:val="000F0DE8"/>
    <w:rsid w:val="001219AD"/>
    <w:rsid w:val="00183D28"/>
    <w:rsid w:val="001847D1"/>
    <w:rsid w:val="001D370A"/>
    <w:rsid w:val="001F3E38"/>
    <w:rsid w:val="00207B31"/>
    <w:rsid w:val="002123A3"/>
    <w:rsid w:val="002165E3"/>
    <w:rsid w:val="00227220"/>
    <w:rsid w:val="00265DA9"/>
    <w:rsid w:val="00277B1A"/>
    <w:rsid w:val="002B0E39"/>
    <w:rsid w:val="002B6661"/>
    <w:rsid w:val="002E034A"/>
    <w:rsid w:val="0030543A"/>
    <w:rsid w:val="00316BEF"/>
    <w:rsid w:val="00335AD9"/>
    <w:rsid w:val="0036138B"/>
    <w:rsid w:val="00366143"/>
    <w:rsid w:val="003805E5"/>
    <w:rsid w:val="003E306D"/>
    <w:rsid w:val="0043633E"/>
    <w:rsid w:val="00442F2C"/>
    <w:rsid w:val="00466BC1"/>
    <w:rsid w:val="00480D33"/>
    <w:rsid w:val="00486A85"/>
    <w:rsid w:val="004B6C11"/>
    <w:rsid w:val="004B7356"/>
    <w:rsid w:val="004E15D8"/>
    <w:rsid w:val="00502D37"/>
    <w:rsid w:val="005223F6"/>
    <w:rsid w:val="005244EB"/>
    <w:rsid w:val="00536354"/>
    <w:rsid w:val="00536440"/>
    <w:rsid w:val="00544A91"/>
    <w:rsid w:val="005471D3"/>
    <w:rsid w:val="00557C91"/>
    <w:rsid w:val="00561217"/>
    <w:rsid w:val="005710F1"/>
    <w:rsid w:val="00583B0B"/>
    <w:rsid w:val="005F6C4A"/>
    <w:rsid w:val="00601D18"/>
    <w:rsid w:val="00621914"/>
    <w:rsid w:val="006672E3"/>
    <w:rsid w:val="00691333"/>
    <w:rsid w:val="006C33DF"/>
    <w:rsid w:val="006D38FA"/>
    <w:rsid w:val="006E6C0D"/>
    <w:rsid w:val="007046F8"/>
    <w:rsid w:val="007819A0"/>
    <w:rsid w:val="00793E4C"/>
    <w:rsid w:val="007C3FF2"/>
    <w:rsid w:val="007C64F9"/>
    <w:rsid w:val="007D4404"/>
    <w:rsid w:val="007E29ED"/>
    <w:rsid w:val="007E7A9A"/>
    <w:rsid w:val="008156DF"/>
    <w:rsid w:val="008A22F1"/>
    <w:rsid w:val="008D5880"/>
    <w:rsid w:val="009214D5"/>
    <w:rsid w:val="00962B6B"/>
    <w:rsid w:val="00964114"/>
    <w:rsid w:val="0097101E"/>
    <w:rsid w:val="00993A9F"/>
    <w:rsid w:val="009966CF"/>
    <w:rsid w:val="00A20175"/>
    <w:rsid w:val="00A267A8"/>
    <w:rsid w:val="00A27DC4"/>
    <w:rsid w:val="00AA44E0"/>
    <w:rsid w:val="00B06CAB"/>
    <w:rsid w:val="00B427A2"/>
    <w:rsid w:val="00B4630F"/>
    <w:rsid w:val="00B46312"/>
    <w:rsid w:val="00B71532"/>
    <w:rsid w:val="00B7187D"/>
    <w:rsid w:val="00B92AC8"/>
    <w:rsid w:val="00BD58D9"/>
    <w:rsid w:val="00BD5EA6"/>
    <w:rsid w:val="00BE53C6"/>
    <w:rsid w:val="00BF035C"/>
    <w:rsid w:val="00BF0398"/>
    <w:rsid w:val="00C159CA"/>
    <w:rsid w:val="00C351BD"/>
    <w:rsid w:val="00C53096"/>
    <w:rsid w:val="00C532F4"/>
    <w:rsid w:val="00C877B9"/>
    <w:rsid w:val="00C90FA2"/>
    <w:rsid w:val="00C92A94"/>
    <w:rsid w:val="00C9749A"/>
    <w:rsid w:val="00CA51FE"/>
    <w:rsid w:val="00CC1CB9"/>
    <w:rsid w:val="00CE7470"/>
    <w:rsid w:val="00D014EC"/>
    <w:rsid w:val="00D13333"/>
    <w:rsid w:val="00D228DB"/>
    <w:rsid w:val="00D267BE"/>
    <w:rsid w:val="00D32B4C"/>
    <w:rsid w:val="00D3613D"/>
    <w:rsid w:val="00D47832"/>
    <w:rsid w:val="00D60103"/>
    <w:rsid w:val="00D61669"/>
    <w:rsid w:val="00D756E9"/>
    <w:rsid w:val="00D85B77"/>
    <w:rsid w:val="00DB7953"/>
    <w:rsid w:val="00E24D4D"/>
    <w:rsid w:val="00E32F88"/>
    <w:rsid w:val="00E45E5A"/>
    <w:rsid w:val="00E62C43"/>
    <w:rsid w:val="00E66C1D"/>
    <w:rsid w:val="00E91519"/>
    <w:rsid w:val="00F00CE6"/>
    <w:rsid w:val="00F44F5D"/>
    <w:rsid w:val="00F44F9B"/>
    <w:rsid w:val="00F6127B"/>
    <w:rsid w:val="00F94E7D"/>
    <w:rsid w:val="00FA17E0"/>
    <w:rsid w:val="00FB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8C5648-F641-431F-85AE-A5F4F874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2F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32F4"/>
    <w:rPr>
      <w:color w:val="0563C1" w:themeColor="hyperlink"/>
      <w:u w:val="single"/>
    </w:rPr>
  </w:style>
  <w:style w:type="paragraph" w:customStyle="1" w:styleId="MDPI16affiliation">
    <w:name w:val="MDPI_1.6_affiliation"/>
    <w:qFormat/>
    <w:rsid w:val="00C532F4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2"/>
      <w:sz w:val="16"/>
      <w:szCs w:val="18"/>
      <w:lang w:val="en-US" w:eastAsia="de-DE" w:bidi="en-US"/>
      <w14:ligatures w14:val="standardContextual"/>
    </w:rPr>
  </w:style>
  <w:style w:type="paragraph" w:customStyle="1" w:styleId="Default">
    <w:name w:val="Default"/>
    <w:rsid w:val="00C532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MDPI21heading1">
    <w:name w:val="MDPI_2.1_heading1"/>
    <w:qFormat/>
    <w:rsid w:val="00C532F4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table" w:styleId="TableGrid">
    <w:name w:val="Table Grid"/>
    <w:basedOn w:val="TableNormal"/>
    <w:uiPriority w:val="39"/>
    <w:rsid w:val="00C532F4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41tablecaption">
    <w:name w:val="MDPI_4.1_table_caption"/>
    <w:qFormat/>
    <w:rsid w:val="00C532F4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table" w:customStyle="1" w:styleId="MDPI41threelinetable">
    <w:name w:val="MDPI_4.1_three_line_table"/>
    <w:basedOn w:val="TableNormal"/>
    <w:uiPriority w:val="99"/>
    <w:rsid w:val="00C532F4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  <w:tblPr>
      <w:jc w:val="center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51figurecaption">
    <w:name w:val="MDPI_5.1_figure_caption"/>
    <w:qFormat/>
    <w:rsid w:val="00C532F4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  <w14:ligatures w14:val="standardContextual"/>
    </w:rPr>
  </w:style>
  <w:style w:type="paragraph" w:customStyle="1" w:styleId="pic">
    <w:name w:val="pic"/>
    <w:basedOn w:val="Normal"/>
    <w:link w:val="picChar"/>
    <w:qFormat/>
    <w:rsid w:val="00C532F4"/>
    <w:pPr>
      <w:autoSpaceDE w:val="0"/>
      <w:autoSpaceDN w:val="0"/>
      <w:adjustRightInd w:val="0"/>
      <w:spacing w:before="240" w:after="240" w:line="360" w:lineRule="auto"/>
      <w:jc w:val="both"/>
    </w:pPr>
    <w:rPr>
      <w:rFonts w:asciiTheme="majorBidi" w:eastAsiaTheme="minorEastAsia" w:hAnsiTheme="majorBidi" w:cstheme="majorBidi"/>
      <w:b/>
      <w:bCs/>
      <w:sz w:val="24"/>
      <w:szCs w:val="24"/>
      <w:lang w:bidi="en-US"/>
      <w14:ligatures w14:val="standardContextual"/>
    </w:rPr>
  </w:style>
  <w:style w:type="character" w:customStyle="1" w:styleId="picChar">
    <w:name w:val="pic Char"/>
    <w:basedOn w:val="DefaultParagraphFont"/>
    <w:link w:val="pic"/>
    <w:rsid w:val="00C532F4"/>
    <w:rPr>
      <w:rFonts w:asciiTheme="majorBidi" w:eastAsiaTheme="minorEastAsia" w:hAnsiTheme="majorBidi" w:cstheme="majorBidi"/>
      <w:b/>
      <w:bCs/>
      <w:sz w:val="24"/>
      <w:szCs w:val="24"/>
      <w:lang w:val="en-US" w:bidi="en-US"/>
      <w14:ligatures w14:val="standardContextual"/>
    </w:rPr>
  </w:style>
  <w:style w:type="paragraph" w:styleId="FootnoteText">
    <w:name w:val="footnote text"/>
    <w:basedOn w:val="Normal"/>
    <w:link w:val="FootnoteTextChar"/>
    <w:qFormat/>
    <w:rsid w:val="007819A0"/>
    <w:pPr>
      <w:widowControl w:val="0"/>
      <w:snapToGrid w:val="0"/>
      <w:spacing w:after="0" w:line="240" w:lineRule="auto"/>
    </w:pPr>
    <w:rPr>
      <w:rFonts w:ascii="Calibri" w:eastAsia="SimSun" w:hAnsi="Calibri" w:cs="SimSun"/>
      <w:kern w:val="2"/>
      <w:sz w:val="18"/>
      <w:szCs w:val="24"/>
      <w:lang w:eastAsia="zh-CN"/>
    </w:rPr>
  </w:style>
  <w:style w:type="character" w:customStyle="1" w:styleId="FootnoteTextChar">
    <w:name w:val="Footnote Text Char"/>
    <w:basedOn w:val="DefaultParagraphFont"/>
    <w:link w:val="FootnoteText"/>
    <w:qFormat/>
    <w:rsid w:val="007819A0"/>
    <w:rPr>
      <w:rFonts w:ascii="Calibri" w:eastAsia="SimSun" w:hAnsi="Calibri" w:cs="SimSun"/>
      <w:kern w:val="2"/>
      <w:sz w:val="18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AA44E0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AA44E0"/>
    <w:rPr>
      <w:rFonts w:eastAsiaTheme="minorEastAsia"/>
      <w:kern w:val="2"/>
      <w:sz w:val="20"/>
      <w:szCs w:val="20"/>
      <w:lang w:val="en-US" w:eastAsia="zh-TW"/>
    </w:rPr>
  </w:style>
  <w:style w:type="paragraph" w:customStyle="1" w:styleId="MDPI71References">
    <w:name w:val="MDPI_7.1_References"/>
    <w:qFormat/>
    <w:rsid w:val="00AA44E0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character" w:styleId="LineNumber">
    <w:name w:val="line number"/>
    <w:basedOn w:val="DefaultParagraphFont"/>
    <w:uiPriority w:val="99"/>
    <w:semiHidden/>
    <w:unhideWhenUsed/>
    <w:rsid w:val="00AA4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1083</TotalTime>
  <Pages>3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Nirmaladevi Murugesan</dc:creator>
  <cp:keywords/>
  <dc:description/>
  <cp:lastModifiedBy>Nirmaladevi Murugesan</cp:lastModifiedBy>
  <cp:revision>1</cp:revision>
  <dcterms:created xsi:type="dcterms:W3CDTF">2025-10-31T09:49:00Z</dcterms:created>
  <dcterms:modified xsi:type="dcterms:W3CDTF">2025-11-01T08:18:00Z</dcterms:modified>
</cp:coreProperties>
</file>