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27CF" w14:textId="77777777" w:rsidR="00C36F76" w:rsidRPr="004A2FF8" w:rsidRDefault="00C36F76" w:rsidP="00C36F76">
      <w:pPr>
        <w:pStyle w:val="Heading1"/>
      </w:pPr>
      <w:r w:rsidRPr="004A2FF8">
        <w:t>Supplementary Information</w:t>
      </w:r>
      <w:r w:rsidR="000270D7">
        <w:t xml:space="preserve"> 2</w:t>
      </w:r>
    </w:p>
    <w:p w14:paraId="32832457" w14:textId="0662AD73" w:rsidR="00C36F76" w:rsidRDefault="00C36F76" w:rsidP="00C36F7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Table</w:t>
      </w:r>
      <w:r w:rsidRPr="002751A3">
        <w:rPr>
          <w:rFonts w:asciiTheme="minorHAnsi" w:hAnsiTheme="minorHAnsi" w:cstheme="minorHAnsi"/>
          <w:sz w:val="22"/>
          <w:szCs w:val="22"/>
        </w:rPr>
        <w:t xml:space="preserve"> of parasites encompassed in the IAS-parasite </w:t>
      </w:r>
      <w:bookmarkStart w:id="0" w:name="_GoBack"/>
      <w:r w:rsidRPr="002751A3">
        <w:rPr>
          <w:rFonts w:asciiTheme="minorHAnsi" w:hAnsiTheme="minorHAnsi" w:cstheme="minorHAnsi"/>
          <w:sz w:val="22"/>
          <w:szCs w:val="22"/>
        </w:rPr>
        <w:t xml:space="preserve">interactions, with organism, type of transmission and broad host associations and human health impact in Europe. A = aerosol transmission. C= contact transmission. O = oral transmission through food (F) or (W). V = vector-borne transmission by either flea (F), tick (T), mite (MI), lice (LI), biting flies (BF), </w:t>
      </w:r>
      <w:r w:rsidRPr="002751A3">
        <w:rPr>
          <w:rFonts w:asciiTheme="minorHAnsi" w:hAnsiTheme="minorHAnsi" w:cstheme="minorHAnsi"/>
          <w:i/>
          <w:iCs/>
          <w:sz w:val="22"/>
          <w:szCs w:val="22"/>
        </w:rPr>
        <w:t>Triatminae</w:t>
      </w:r>
      <w:r w:rsidR="00525829">
        <w:rPr>
          <w:rFonts w:asciiTheme="minorHAnsi" w:hAnsiTheme="minorHAnsi" w:cstheme="minorHAnsi"/>
          <w:sz w:val="22"/>
          <w:szCs w:val="22"/>
        </w:rPr>
        <w:t xml:space="preserve"> or kissing bugs</w:t>
      </w:r>
      <w:r w:rsidRPr="002751A3">
        <w:rPr>
          <w:rFonts w:asciiTheme="minorHAnsi" w:hAnsiTheme="minorHAnsi" w:cstheme="minorHAnsi"/>
          <w:i/>
          <w:iCs/>
          <w:sz w:val="22"/>
          <w:szCs w:val="22"/>
        </w:rPr>
        <w:t xml:space="preserve"> </w:t>
      </w:r>
      <w:r w:rsidRPr="002751A3">
        <w:rPr>
          <w:rFonts w:asciiTheme="minorHAnsi" w:hAnsiTheme="minorHAnsi" w:cstheme="minorHAnsi"/>
          <w:sz w:val="22"/>
          <w:szCs w:val="22"/>
        </w:rPr>
        <w:t>(Tri) or mosquitoes (MOS). Annual Cases is the mean number of cases reported each year to ECDC from 2012-2018</w:t>
      </w:r>
      <w:r>
        <w:rPr>
          <w:rFonts w:asciiTheme="minorHAnsi" w:hAnsiTheme="minorHAnsi" w:cstheme="minorHAnsi"/>
          <w:sz w:val="22"/>
          <w:szCs w:val="22"/>
        </w:rPr>
        <w:t xml:space="preserve"> and</w:t>
      </w:r>
      <w:r w:rsidRPr="002751A3">
        <w:rPr>
          <w:rFonts w:asciiTheme="minorHAnsi" w:hAnsiTheme="minorHAnsi" w:cstheme="minorHAnsi"/>
          <w:sz w:val="22"/>
          <w:szCs w:val="22"/>
        </w:rPr>
        <w:t xml:space="preserve"> </w:t>
      </w:r>
      <w:r>
        <w:rPr>
          <w:rFonts w:asciiTheme="minorHAnsi" w:hAnsiTheme="minorHAnsi" w:cstheme="minorHAnsi"/>
          <w:sz w:val="22"/>
          <w:szCs w:val="22"/>
        </w:rPr>
        <w:t>c</w:t>
      </w:r>
      <w:r w:rsidRPr="002751A3">
        <w:rPr>
          <w:rFonts w:asciiTheme="minorHAnsi" w:hAnsiTheme="minorHAnsi" w:cstheme="minorHAnsi"/>
          <w:sz w:val="22"/>
          <w:szCs w:val="22"/>
        </w:rPr>
        <w:t>ase fatality</w:t>
      </w:r>
      <w:r>
        <w:rPr>
          <w:rFonts w:asciiTheme="minorHAnsi" w:hAnsiTheme="minorHAnsi" w:cstheme="minorHAnsi"/>
          <w:sz w:val="22"/>
          <w:szCs w:val="22"/>
        </w:rPr>
        <w:t xml:space="preserve"> rate</w:t>
      </w:r>
      <w:r w:rsidRPr="002751A3">
        <w:rPr>
          <w:rFonts w:asciiTheme="minorHAnsi" w:hAnsiTheme="minorHAnsi" w:cstheme="minorHAnsi"/>
          <w:sz w:val="22"/>
          <w:szCs w:val="22"/>
        </w:rPr>
        <w:t xml:space="preserve"> is mean of case fatalit</w:t>
      </w:r>
      <w:r>
        <w:rPr>
          <w:rFonts w:asciiTheme="minorHAnsi" w:hAnsiTheme="minorHAnsi" w:cstheme="minorHAnsi"/>
          <w:sz w:val="22"/>
          <w:szCs w:val="22"/>
        </w:rPr>
        <w:t>y rate per year</w:t>
      </w:r>
      <w:r w:rsidRPr="002751A3">
        <w:rPr>
          <w:rFonts w:asciiTheme="minorHAnsi" w:hAnsiTheme="minorHAnsi" w:cstheme="minorHAnsi"/>
          <w:sz w:val="22"/>
          <w:szCs w:val="22"/>
        </w:rPr>
        <w:t xml:space="preserve"> reported by ECDC from 2012-2018</w:t>
      </w:r>
      <w:r>
        <w:rPr>
          <w:rFonts w:asciiTheme="minorHAnsi" w:hAnsiTheme="minorHAnsi" w:cstheme="minorHAnsi"/>
          <w:sz w:val="22"/>
          <w:szCs w:val="22"/>
        </w:rPr>
        <w:t xml:space="preserve"> (where data are available)</w:t>
      </w:r>
      <w:r w:rsidRPr="002751A3">
        <w:rPr>
          <w:rFonts w:asciiTheme="minorHAnsi" w:hAnsiTheme="minorHAnsi" w:cstheme="minorHAnsi"/>
          <w:sz w:val="22"/>
          <w:szCs w:val="22"/>
        </w:rPr>
        <w:t>.</w:t>
      </w:r>
    </w:p>
    <w:p w14:paraId="6C15E5E9" w14:textId="77777777" w:rsidR="00C36F76" w:rsidRPr="002751A3" w:rsidRDefault="00C36F76" w:rsidP="00C36F76">
      <w:pPr>
        <w:pStyle w:val="paragraph"/>
        <w:spacing w:before="0" w:beforeAutospacing="0" w:after="0" w:afterAutospacing="0"/>
        <w:textAlignment w:val="baseline"/>
        <w:rPr>
          <w:rFonts w:asciiTheme="minorHAnsi" w:hAnsiTheme="minorHAnsi" w:cstheme="minorHAnsi"/>
          <w:sz w:val="22"/>
          <w:szCs w:val="22"/>
        </w:rPr>
      </w:pPr>
    </w:p>
    <w:tbl>
      <w:tblPr>
        <w:tblW w:w="14029" w:type="dxa"/>
        <w:tblLayout w:type="fixed"/>
        <w:tblLook w:val="04A0" w:firstRow="1" w:lastRow="0" w:firstColumn="1" w:lastColumn="0" w:noHBand="0" w:noVBand="1"/>
      </w:tblPr>
      <w:tblGrid>
        <w:gridCol w:w="2367"/>
        <w:gridCol w:w="1691"/>
        <w:gridCol w:w="1576"/>
        <w:gridCol w:w="5361"/>
        <w:gridCol w:w="766"/>
        <w:gridCol w:w="992"/>
        <w:gridCol w:w="1276"/>
      </w:tblGrid>
      <w:tr w:rsidR="00C36F76" w:rsidRPr="00E63AC9" w14:paraId="6A2A08F2" w14:textId="77777777" w:rsidTr="005C116B">
        <w:trPr>
          <w:trHeight w:val="600"/>
        </w:trPr>
        <w:tc>
          <w:tcPr>
            <w:tcW w:w="236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F22005A" w14:textId="77777777" w:rsidR="00C36F76" w:rsidRPr="00E63AC9" w:rsidRDefault="00C36F76" w:rsidP="005C116B">
            <w:pPr>
              <w:spacing w:after="0" w:line="240" w:lineRule="auto"/>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Organism</w:t>
            </w:r>
          </w:p>
        </w:tc>
        <w:tc>
          <w:tcPr>
            <w:tcW w:w="1691" w:type="dxa"/>
            <w:tcBorders>
              <w:top w:val="single" w:sz="4" w:space="0" w:color="auto"/>
              <w:left w:val="nil"/>
              <w:bottom w:val="single" w:sz="4" w:space="0" w:color="auto"/>
              <w:right w:val="single" w:sz="4" w:space="0" w:color="auto"/>
            </w:tcBorders>
            <w:shd w:val="clear" w:color="000000" w:fill="BFBFBF"/>
            <w:vAlign w:val="center"/>
            <w:hideMark/>
          </w:tcPr>
          <w:p w14:paraId="767434F7"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Class</w:t>
            </w:r>
          </w:p>
        </w:tc>
        <w:tc>
          <w:tcPr>
            <w:tcW w:w="1576" w:type="dxa"/>
            <w:tcBorders>
              <w:top w:val="single" w:sz="4" w:space="0" w:color="auto"/>
              <w:left w:val="nil"/>
              <w:bottom w:val="single" w:sz="4" w:space="0" w:color="auto"/>
              <w:right w:val="single" w:sz="4" w:space="0" w:color="auto"/>
            </w:tcBorders>
            <w:shd w:val="clear" w:color="000000" w:fill="BFBFBF"/>
            <w:vAlign w:val="center"/>
            <w:hideMark/>
          </w:tcPr>
          <w:p w14:paraId="6320D161"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Transmission</w:t>
            </w:r>
          </w:p>
        </w:tc>
        <w:tc>
          <w:tcPr>
            <w:tcW w:w="5361" w:type="dxa"/>
            <w:tcBorders>
              <w:top w:val="single" w:sz="4" w:space="0" w:color="auto"/>
              <w:left w:val="nil"/>
              <w:bottom w:val="single" w:sz="4" w:space="0" w:color="auto"/>
              <w:right w:val="single" w:sz="4" w:space="0" w:color="auto"/>
            </w:tcBorders>
            <w:shd w:val="clear" w:color="000000" w:fill="BFBFBF"/>
            <w:vAlign w:val="center"/>
            <w:hideMark/>
          </w:tcPr>
          <w:p w14:paraId="7D0D5492"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Hosts</w:t>
            </w:r>
          </w:p>
        </w:tc>
        <w:tc>
          <w:tcPr>
            <w:tcW w:w="766" w:type="dxa"/>
            <w:tcBorders>
              <w:top w:val="single" w:sz="4" w:space="0" w:color="auto"/>
              <w:left w:val="nil"/>
              <w:bottom w:val="single" w:sz="4" w:space="0" w:color="auto"/>
              <w:right w:val="single" w:sz="4" w:space="0" w:color="auto"/>
            </w:tcBorders>
            <w:shd w:val="clear" w:color="000000" w:fill="BFBFBF"/>
            <w:vAlign w:val="center"/>
            <w:hideMark/>
          </w:tcPr>
          <w:p w14:paraId="0372592F"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Cases</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54D4022A"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Case fatality (%)</w:t>
            </w:r>
          </w:p>
        </w:tc>
        <w:tc>
          <w:tcPr>
            <w:tcW w:w="1276" w:type="dxa"/>
            <w:tcBorders>
              <w:top w:val="single" w:sz="4" w:space="0" w:color="auto"/>
              <w:left w:val="nil"/>
              <w:bottom w:val="single" w:sz="4" w:space="0" w:color="auto"/>
              <w:right w:val="single" w:sz="4" w:space="0" w:color="auto"/>
            </w:tcBorders>
            <w:shd w:val="clear" w:color="000000" w:fill="BFBFBF"/>
            <w:vAlign w:val="bottom"/>
            <w:hideMark/>
          </w:tcPr>
          <w:p w14:paraId="6463F7E5" w14:textId="77777777" w:rsidR="00C36F76" w:rsidRPr="00E63AC9" w:rsidRDefault="00C36F76" w:rsidP="005C116B">
            <w:pPr>
              <w:spacing w:after="0" w:line="240" w:lineRule="auto"/>
              <w:jc w:val="center"/>
              <w:rPr>
                <w:rFonts w:ascii="Calibri" w:eastAsia="Times New Roman" w:hAnsi="Calibri" w:cs="Calibri"/>
                <w:b/>
                <w:bCs/>
                <w:color w:val="000000"/>
                <w:lang w:eastAsia="en-GB"/>
              </w:rPr>
            </w:pPr>
            <w:r w:rsidRPr="00E63AC9">
              <w:rPr>
                <w:rFonts w:ascii="Calibri" w:eastAsia="Times New Roman" w:hAnsi="Calibri" w:cs="Calibri"/>
                <w:b/>
                <w:bCs/>
                <w:color w:val="000000"/>
                <w:lang w:eastAsia="en-GB"/>
              </w:rPr>
              <w:t>References</w:t>
            </w:r>
          </w:p>
        </w:tc>
      </w:tr>
      <w:tr w:rsidR="00C36F76" w:rsidRPr="002751A3" w14:paraId="565D7D3F"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9A6164F"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Aeromonas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23B2D23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1E36F83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w:t>
            </w:r>
          </w:p>
        </w:tc>
        <w:tc>
          <w:tcPr>
            <w:tcW w:w="5361" w:type="dxa"/>
            <w:tcBorders>
              <w:top w:val="nil"/>
              <w:left w:val="nil"/>
              <w:bottom w:val="single" w:sz="4" w:space="0" w:color="auto"/>
              <w:right w:val="single" w:sz="4" w:space="0" w:color="auto"/>
            </w:tcBorders>
            <w:shd w:val="clear" w:color="auto" w:fill="auto"/>
            <w:vAlign w:val="center"/>
            <w:hideMark/>
          </w:tcPr>
          <w:p w14:paraId="3DDE5D2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 Mollusca, Amphibians, Reptiles,</w:t>
            </w:r>
            <w:r w:rsidR="00E63AC9">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Shrimp,</w:t>
            </w:r>
            <w:r w:rsidR="00E63AC9">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Livestock</w:t>
            </w:r>
          </w:p>
        </w:tc>
        <w:tc>
          <w:tcPr>
            <w:tcW w:w="766" w:type="dxa"/>
            <w:tcBorders>
              <w:top w:val="nil"/>
              <w:left w:val="nil"/>
              <w:bottom w:val="single" w:sz="4" w:space="0" w:color="auto"/>
              <w:right w:val="single" w:sz="4" w:space="0" w:color="auto"/>
            </w:tcBorders>
            <w:shd w:val="clear" w:color="auto" w:fill="auto"/>
            <w:vAlign w:val="center"/>
            <w:hideMark/>
          </w:tcPr>
          <w:p w14:paraId="16A994D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2BEC70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BE54A3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w:t>
            </w:r>
          </w:p>
        </w:tc>
      </w:tr>
      <w:tr w:rsidR="00C36F76" w:rsidRPr="002751A3" w14:paraId="6999EA47"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B9AB320"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Alaria alata</w:t>
            </w:r>
          </w:p>
        </w:tc>
        <w:tc>
          <w:tcPr>
            <w:tcW w:w="1691" w:type="dxa"/>
            <w:tcBorders>
              <w:top w:val="nil"/>
              <w:left w:val="nil"/>
              <w:bottom w:val="single" w:sz="4" w:space="0" w:color="auto"/>
              <w:right w:val="single" w:sz="4" w:space="0" w:color="auto"/>
            </w:tcBorders>
            <w:shd w:val="clear" w:color="auto" w:fill="auto"/>
            <w:vAlign w:val="center"/>
            <w:hideMark/>
          </w:tcPr>
          <w:p w14:paraId="58D6B94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408EACC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3C878C9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Red fox, wild boar, mustelids</w:t>
            </w:r>
          </w:p>
        </w:tc>
        <w:tc>
          <w:tcPr>
            <w:tcW w:w="766" w:type="dxa"/>
            <w:tcBorders>
              <w:top w:val="nil"/>
              <w:left w:val="nil"/>
              <w:bottom w:val="single" w:sz="4" w:space="0" w:color="auto"/>
              <w:right w:val="single" w:sz="4" w:space="0" w:color="auto"/>
            </w:tcBorders>
            <w:shd w:val="clear" w:color="auto" w:fill="auto"/>
            <w:vAlign w:val="center"/>
            <w:hideMark/>
          </w:tcPr>
          <w:p w14:paraId="372A249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6CAD8F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EF1B42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w:t>
            </w:r>
          </w:p>
        </w:tc>
      </w:tr>
      <w:tr w:rsidR="00C36F76" w:rsidRPr="002751A3" w14:paraId="02A05502"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0BD8E04"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Anaplasma phagocytophilum</w:t>
            </w:r>
          </w:p>
        </w:tc>
        <w:tc>
          <w:tcPr>
            <w:tcW w:w="1691" w:type="dxa"/>
            <w:tcBorders>
              <w:top w:val="nil"/>
              <w:left w:val="nil"/>
              <w:bottom w:val="single" w:sz="4" w:space="0" w:color="auto"/>
              <w:right w:val="single" w:sz="4" w:space="0" w:color="auto"/>
            </w:tcBorders>
            <w:shd w:val="clear" w:color="auto" w:fill="auto"/>
            <w:vAlign w:val="center"/>
            <w:hideMark/>
          </w:tcPr>
          <w:p w14:paraId="12FE22B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A85C8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395970B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Ruminants, Rodents, Horse, Rodents, Canines, Felines</w:t>
            </w:r>
          </w:p>
        </w:tc>
        <w:tc>
          <w:tcPr>
            <w:tcW w:w="766" w:type="dxa"/>
            <w:tcBorders>
              <w:top w:val="nil"/>
              <w:left w:val="nil"/>
              <w:bottom w:val="single" w:sz="4" w:space="0" w:color="auto"/>
              <w:right w:val="single" w:sz="4" w:space="0" w:color="auto"/>
            </w:tcBorders>
            <w:shd w:val="clear" w:color="auto" w:fill="auto"/>
            <w:vAlign w:val="center"/>
            <w:hideMark/>
          </w:tcPr>
          <w:p w14:paraId="374536C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55444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CC23CB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w:t>
            </w:r>
          </w:p>
        </w:tc>
      </w:tr>
      <w:tr w:rsidR="00C36F76" w:rsidRPr="002751A3" w14:paraId="76469E56"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5BE9F25C"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Anasakis simplex</w:t>
            </w:r>
          </w:p>
        </w:tc>
        <w:tc>
          <w:tcPr>
            <w:tcW w:w="1691" w:type="dxa"/>
            <w:tcBorders>
              <w:top w:val="nil"/>
              <w:left w:val="nil"/>
              <w:bottom w:val="single" w:sz="4" w:space="0" w:color="auto"/>
              <w:right w:val="single" w:sz="4" w:space="0" w:color="auto"/>
            </w:tcBorders>
            <w:shd w:val="clear" w:color="auto" w:fill="auto"/>
            <w:vAlign w:val="center"/>
            <w:hideMark/>
          </w:tcPr>
          <w:p w14:paraId="39039BF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5A8292A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5E417858" w14:textId="12A4C196"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 Cephalopods,</w:t>
            </w:r>
            <w:r w:rsidR="00525829">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Sea mammals and birds</w:t>
            </w:r>
          </w:p>
        </w:tc>
        <w:tc>
          <w:tcPr>
            <w:tcW w:w="766" w:type="dxa"/>
            <w:tcBorders>
              <w:top w:val="nil"/>
              <w:left w:val="nil"/>
              <w:bottom w:val="single" w:sz="4" w:space="0" w:color="auto"/>
              <w:right w:val="single" w:sz="4" w:space="0" w:color="auto"/>
            </w:tcBorders>
            <w:shd w:val="clear" w:color="auto" w:fill="auto"/>
            <w:vAlign w:val="center"/>
            <w:hideMark/>
          </w:tcPr>
          <w:p w14:paraId="10B2BA1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399A9F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91A6FF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w:t>
            </w:r>
          </w:p>
        </w:tc>
      </w:tr>
      <w:tr w:rsidR="00C36F76" w:rsidRPr="002751A3" w14:paraId="00A04E39"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E354540"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Ancylostoma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2CAE736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3B8E176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5523995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Felines, Canines</w:t>
            </w:r>
          </w:p>
        </w:tc>
        <w:tc>
          <w:tcPr>
            <w:tcW w:w="766" w:type="dxa"/>
            <w:tcBorders>
              <w:top w:val="nil"/>
              <w:left w:val="nil"/>
              <w:bottom w:val="single" w:sz="4" w:space="0" w:color="auto"/>
              <w:right w:val="single" w:sz="4" w:space="0" w:color="auto"/>
            </w:tcBorders>
            <w:shd w:val="clear" w:color="auto" w:fill="auto"/>
            <w:vAlign w:val="center"/>
            <w:hideMark/>
          </w:tcPr>
          <w:p w14:paraId="51BF564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45EE02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6CA0EA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w:t>
            </w:r>
          </w:p>
        </w:tc>
      </w:tr>
      <w:tr w:rsidR="00C36F76" w:rsidRPr="002751A3" w14:paraId="07236D01"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0E58D5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 xml:space="preserve">Angiostrongylus </w:t>
            </w:r>
            <w:r w:rsidRPr="002751A3">
              <w:rPr>
                <w:rFonts w:ascii="Calibri" w:eastAsia="Times New Roman" w:hAnsi="Calibri" w:cs="Calibri"/>
                <w:color w:val="000000"/>
                <w:sz w:val="20"/>
                <w:szCs w:val="20"/>
                <w:lang w:eastAsia="en-GB"/>
              </w:rPr>
              <w:t xml:space="preserve">spp. </w:t>
            </w:r>
          </w:p>
        </w:tc>
        <w:tc>
          <w:tcPr>
            <w:tcW w:w="1691" w:type="dxa"/>
            <w:tcBorders>
              <w:top w:val="nil"/>
              <w:left w:val="nil"/>
              <w:bottom w:val="single" w:sz="4" w:space="0" w:color="auto"/>
              <w:right w:val="single" w:sz="4" w:space="0" w:color="auto"/>
            </w:tcBorders>
            <w:shd w:val="clear" w:color="auto" w:fill="auto"/>
            <w:vAlign w:val="center"/>
            <w:hideMark/>
          </w:tcPr>
          <w:p w14:paraId="216D0C8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6F86003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02C3923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Mollusca, Felines, Canids, Mustelids</w:t>
            </w:r>
          </w:p>
        </w:tc>
        <w:tc>
          <w:tcPr>
            <w:tcW w:w="766" w:type="dxa"/>
            <w:tcBorders>
              <w:top w:val="nil"/>
              <w:left w:val="nil"/>
              <w:bottom w:val="single" w:sz="4" w:space="0" w:color="auto"/>
              <w:right w:val="single" w:sz="4" w:space="0" w:color="auto"/>
            </w:tcBorders>
            <w:shd w:val="clear" w:color="auto" w:fill="auto"/>
            <w:vAlign w:val="center"/>
            <w:hideMark/>
          </w:tcPr>
          <w:p w14:paraId="23CD21D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F9746F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98A3BC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6,7</w:t>
            </w:r>
          </w:p>
        </w:tc>
      </w:tr>
      <w:tr w:rsidR="00C36F76" w:rsidRPr="002751A3" w14:paraId="7ACD0F72"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75196593"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Anoplocephalidae</w:t>
            </w:r>
          </w:p>
        </w:tc>
        <w:tc>
          <w:tcPr>
            <w:tcW w:w="1691" w:type="dxa"/>
            <w:tcBorders>
              <w:top w:val="nil"/>
              <w:left w:val="nil"/>
              <w:bottom w:val="single" w:sz="4" w:space="0" w:color="auto"/>
              <w:right w:val="single" w:sz="4" w:space="0" w:color="auto"/>
            </w:tcBorders>
            <w:shd w:val="clear" w:color="auto" w:fill="auto"/>
            <w:vAlign w:val="center"/>
            <w:hideMark/>
          </w:tcPr>
          <w:p w14:paraId="6A5AAAA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33523C1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74D8DDC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Wide host range including mites, reptiles, birds and mammals. </w:t>
            </w:r>
          </w:p>
        </w:tc>
        <w:tc>
          <w:tcPr>
            <w:tcW w:w="766" w:type="dxa"/>
            <w:tcBorders>
              <w:top w:val="nil"/>
              <w:left w:val="nil"/>
              <w:bottom w:val="single" w:sz="4" w:space="0" w:color="auto"/>
              <w:right w:val="single" w:sz="4" w:space="0" w:color="auto"/>
            </w:tcBorders>
            <w:shd w:val="clear" w:color="auto" w:fill="auto"/>
            <w:vAlign w:val="center"/>
            <w:hideMark/>
          </w:tcPr>
          <w:p w14:paraId="3EC112C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FFB37E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39BCB2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w:t>
            </w:r>
          </w:p>
        </w:tc>
      </w:tr>
      <w:bookmarkEnd w:id="0"/>
      <w:tr w:rsidR="00C36F76" w:rsidRPr="002751A3" w14:paraId="2D1378A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27D693C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Apophallus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DF033C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330018A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25BE050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Molluscs and Fish</w:t>
            </w:r>
          </w:p>
        </w:tc>
        <w:tc>
          <w:tcPr>
            <w:tcW w:w="766" w:type="dxa"/>
            <w:tcBorders>
              <w:top w:val="nil"/>
              <w:left w:val="nil"/>
              <w:bottom w:val="single" w:sz="4" w:space="0" w:color="auto"/>
              <w:right w:val="single" w:sz="4" w:space="0" w:color="auto"/>
            </w:tcBorders>
            <w:shd w:val="clear" w:color="auto" w:fill="auto"/>
            <w:vAlign w:val="center"/>
            <w:hideMark/>
          </w:tcPr>
          <w:p w14:paraId="05D4836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4C23C1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A89371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w:t>
            </w:r>
          </w:p>
        </w:tc>
      </w:tr>
      <w:tr w:rsidR="00C36F76" w:rsidRPr="002751A3" w14:paraId="05AEE118"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5F08457B"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Ascaridinae</w:t>
            </w:r>
          </w:p>
        </w:tc>
        <w:tc>
          <w:tcPr>
            <w:tcW w:w="1691" w:type="dxa"/>
            <w:tcBorders>
              <w:top w:val="nil"/>
              <w:left w:val="nil"/>
              <w:bottom w:val="single" w:sz="4" w:space="0" w:color="auto"/>
              <w:right w:val="single" w:sz="4" w:space="0" w:color="auto"/>
            </w:tcBorders>
            <w:shd w:val="clear" w:color="auto" w:fill="auto"/>
            <w:vAlign w:val="center"/>
            <w:hideMark/>
          </w:tcPr>
          <w:p w14:paraId="5B5E5CF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4E21756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w:t>
            </w:r>
          </w:p>
        </w:tc>
        <w:tc>
          <w:tcPr>
            <w:tcW w:w="5361" w:type="dxa"/>
            <w:tcBorders>
              <w:top w:val="nil"/>
              <w:left w:val="nil"/>
              <w:bottom w:val="single" w:sz="4" w:space="0" w:color="auto"/>
              <w:right w:val="single" w:sz="4" w:space="0" w:color="auto"/>
            </w:tcBorders>
            <w:shd w:val="clear" w:color="auto" w:fill="auto"/>
            <w:vAlign w:val="center"/>
            <w:hideMark/>
          </w:tcPr>
          <w:p w14:paraId="74A1CC0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host range including Cats, birds, pigs</w:t>
            </w:r>
          </w:p>
        </w:tc>
        <w:tc>
          <w:tcPr>
            <w:tcW w:w="766" w:type="dxa"/>
            <w:tcBorders>
              <w:top w:val="nil"/>
              <w:left w:val="nil"/>
              <w:bottom w:val="single" w:sz="4" w:space="0" w:color="auto"/>
              <w:right w:val="single" w:sz="4" w:space="0" w:color="auto"/>
            </w:tcBorders>
            <w:shd w:val="clear" w:color="auto" w:fill="auto"/>
            <w:vAlign w:val="center"/>
            <w:hideMark/>
          </w:tcPr>
          <w:p w14:paraId="7E1E148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307023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EED039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w:t>
            </w:r>
          </w:p>
        </w:tc>
      </w:tr>
      <w:tr w:rsidR="00C36F76" w:rsidRPr="002751A3" w14:paraId="09F5D3E4"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0FDFC29"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Aspicularis tetraptera</w:t>
            </w:r>
          </w:p>
        </w:tc>
        <w:tc>
          <w:tcPr>
            <w:tcW w:w="1691" w:type="dxa"/>
            <w:tcBorders>
              <w:top w:val="nil"/>
              <w:left w:val="nil"/>
              <w:bottom w:val="single" w:sz="4" w:space="0" w:color="auto"/>
              <w:right w:val="single" w:sz="4" w:space="0" w:color="auto"/>
            </w:tcBorders>
            <w:shd w:val="clear" w:color="auto" w:fill="auto"/>
            <w:vAlign w:val="center"/>
            <w:hideMark/>
          </w:tcPr>
          <w:p w14:paraId="4ABF6B5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2C85B62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20A9F64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335A8C5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3C5B69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2F9F34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w:t>
            </w:r>
          </w:p>
        </w:tc>
      </w:tr>
      <w:tr w:rsidR="00C36F76" w:rsidRPr="002751A3" w14:paraId="0AD043A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6CE8C0C"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Babesia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2CDF875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vAlign w:val="center"/>
            <w:hideMark/>
          </w:tcPr>
          <w:p w14:paraId="1659074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7078F85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Dogs, Rodents</w:t>
            </w:r>
          </w:p>
        </w:tc>
        <w:tc>
          <w:tcPr>
            <w:tcW w:w="766" w:type="dxa"/>
            <w:tcBorders>
              <w:top w:val="nil"/>
              <w:left w:val="nil"/>
              <w:bottom w:val="single" w:sz="4" w:space="0" w:color="auto"/>
              <w:right w:val="single" w:sz="4" w:space="0" w:color="auto"/>
            </w:tcBorders>
            <w:shd w:val="clear" w:color="auto" w:fill="auto"/>
            <w:vAlign w:val="center"/>
            <w:hideMark/>
          </w:tcPr>
          <w:p w14:paraId="6BDD3C9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16A2BD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121DAB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12,13,14</w:t>
            </w:r>
          </w:p>
        </w:tc>
      </w:tr>
      <w:tr w:rsidR="00C36F76" w:rsidRPr="002751A3" w14:paraId="6D36ED48"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2BFEE60" w14:textId="65F03941"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lastRenderedPageBreak/>
              <w:t>Bartonella</w:t>
            </w:r>
            <w:r w:rsidR="00525829">
              <w:rPr>
                <w:rFonts w:ascii="Calibri" w:eastAsia="Times New Roman" w:hAnsi="Calibri" w:cs="Calibri"/>
                <w:color w:val="000000"/>
                <w:sz w:val="20"/>
                <w:szCs w:val="20"/>
                <w:lang w:eastAsia="en-GB"/>
              </w:rPr>
              <w:t xml:space="preserve">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vAlign w:val="center"/>
            <w:hideMark/>
          </w:tcPr>
          <w:p w14:paraId="4828D19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60FEA2D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V(F)</w:t>
            </w:r>
          </w:p>
        </w:tc>
        <w:tc>
          <w:tcPr>
            <w:tcW w:w="5361" w:type="dxa"/>
            <w:tcBorders>
              <w:top w:val="nil"/>
              <w:left w:val="nil"/>
              <w:bottom w:val="single" w:sz="4" w:space="0" w:color="auto"/>
              <w:right w:val="single" w:sz="4" w:space="0" w:color="auto"/>
            </w:tcBorders>
            <w:shd w:val="clear" w:color="auto" w:fill="auto"/>
            <w:vAlign w:val="center"/>
            <w:hideMark/>
          </w:tcPr>
          <w:p w14:paraId="23BA0965" w14:textId="3501E103"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Felines,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Ruminants, Canines</w:t>
            </w:r>
          </w:p>
        </w:tc>
        <w:tc>
          <w:tcPr>
            <w:tcW w:w="766" w:type="dxa"/>
            <w:tcBorders>
              <w:top w:val="nil"/>
              <w:left w:val="nil"/>
              <w:bottom w:val="single" w:sz="4" w:space="0" w:color="auto"/>
              <w:right w:val="single" w:sz="4" w:space="0" w:color="auto"/>
            </w:tcBorders>
            <w:shd w:val="clear" w:color="auto" w:fill="auto"/>
            <w:vAlign w:val="center"/>
            <w:hideMark/>
          </w:tcPr>
          <w:p w14:paraId="330721C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3A706E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9C107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15</w:t>
            </w:r>
          </w:p>
        </w:tc>
      </w:tr>
      <w:tr w:rsidR="00C36F76" w:rsidRPr="002751A3" w14:paraId="18A7824F"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F39D246"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Baylisascaris procyonis</w:t>
            </w:r>
          </w:p>
        </w:tc>
        <w:tc>
          <w:tcPr>
            <w:tcW w:w="1691" w:type="dxa"/>
            <w:tcBorders>
              <w:top w:val="nil"/>
              <w:left w:val="nil"/>
              <w:bottom w:val="single" w:sz="4" w:space="0" w:color="auto"/>
              <w:right w:val="single" w:sz="4" w:space="0" w:color="auto"/>
            </w:tcBorders>
            <w:shd w:val="clear" w:color="auto" w:fill="auto"/>
            <w:vAlign w:val="center"/>
            <w:hideMark/>
          </w:tcPr>
          <w:p w14:paraId="1844AFA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1E138CF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6F1467ED" w14:textId="4BD1719E"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Ra</w:t>
            </w:r>
            <w:r w:rsidR="00DE20A9">
              <w:rPr>
                <w:rFonts w:ascii="Calibri" w:eastAsia="Times New Roman" w:hAnsi="Calibri" w:cs="Calibri"/>
                <w:color w:val="000000"/>
                <w:lang w:eastAsia="en-GB"/>
              </w:rPr>
              <w:t>c</w:t>
            </w:r>
            <w:r w:rsidRPr="002751A3">
              <w:rPr>
                <w:rFonts w:ascii="Calibri" w:eastAsia="Times New Roman" w:hAnsi="Calibri" w:cs="Calibri"/>
                <w:color w:val="000000"/>
                <w:lang w:eastAsia="en-GB"/>
              </w:rPr>
              <w:t>coon</w:t>
            </w:r>
          </w:p>
        </w:tc>
        <w:tc>
          <w:tcPr>
            <w:tcW w:w="766" w:type="dxa"/>
            <w:tcBorders>
              <w:top w:val="nil"/>
              <w:left w:val="nil"/>
              <w:bottom w:val="single" w:sz="4" w:space="0" w:color="auto"/>
              <w:right w:val="single" w:sz="4" w:space="0" w:color="auto"/>
            </w:tcBorders>
            <w:shd w:val="clear" w:color="auto" w:fill="auto"/>
            <w:vAlign w:val="center"/>
            <w:hideMark/>
          </w:tcPr>
          <w:p w14:paraId="7CE3DAC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C4C922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08FD33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16</w:t>
            </w:r>
          </w:p>
        </w:tc>
      </w:tr>
      <w:tr w:rsidR="00C36F76" w:rsidRPr="002751A3" w14:paraId="407A72EB"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D3EDE8C"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Borrelia burgdorferi</w:t>
            </w:r>
          </w:p>
        </w:tc>
        <w:tc>
          <w:tcPr>
            <w:tcW w:w="1691" w:type="dxa"/>
            <w:tcBorders>
              <w:top w:val="nil"/>
              <w:left w:val="nil"/>
              <w:bottom w:val="single" w:sz="4" w:space="0" w:color="auto"/>
              <w:right w:val="single" w:sz="4" w:space="0" w:color="auto"/>
            </w:tcBorders>
            <w:shd w:val="clear" w:color="auto" w:fill="auto"/>
            <w:vAlign w:val="center"/>
            <w:hideMark/>
          </w:tcPr>
          <w:p w14:paraId="1FEC968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525666D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57B53F9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5F55881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F533E2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783A5B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17</w:t>
            </w:r>
          </w:p>
        </w:tc>
      </w:tr>
      <w:tr w:rsidR="00C36F76" w:rsidRPr="002751A3" w14:paraId="4636F3A7"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49775B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Borrelia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318CC1B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7FF0F64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 LI)</w:t>
            </w:r>
          </w:p>
        </w:tc>
        <w:tc>
          <w:tcPr>
            <w:tcW w:w="5361" w:type="dxa"/>
            <w:tcBorders>
              <w:top w:val="nil"/>
              <w:left w:val="nil"/>
              <w:bottom w:val="single" w:sz="4" w:space="0" w:color="auto"/>
              <w:right w:val="single" w:sz="4" w:space="0" w:color="auto"/>
            </w:tcBorders>
            <w:shd w:val="clear" w:color="auto" w:fill="auto"/>
            <w:vAlign w:val="center"/>
            <w:hideMark/>
          </w:tcPr>
          <w:p w14:paraId="5A23F4DA"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Broad host range </w:t>
            </w:r>
          </w:p>
        </w:tc>
        <w:tc>
          <w:tcPr>
            <w:tcW w:w="766" w:type="dxa"/>
            <w:tcBorders>
              <w:top w:val="nil"/>
              <w:left w:val="nil"/>
              <w:bottom w:val="single" w:sz="4" w:space="0" w:color="auto"/>
              <w:right w:val="single" w:sz="4" w:space="0" w:color="auto"/>
            </w:tcBorders>
            <w:shd w:val="clear" w:color="auto" w:fill="auto"/>
            <w:vAlign w:val="center"/>
            <w:hideMark/>
          </w:tcPr>
          <w:p w14:paraId="307535E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BA279B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3238F2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18,19</w:t>
            </w:r>
          </w:p>
        </w:tc>
      </w:tr>
      <w:tr w:rsidR="00C36F76" w:rsidRPr="002751A3" w14:paraId="630A3EF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452E2183"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Brucella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15C8823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483974B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C;O(F)</w:t>
            </w:r>
          </w:p>
        </w:tc>
        <w:tc>
          <w:tcPr>
            <w:tcW w:w="5361" w:type="dxa"/>
            <w:tcBorders>
              <w:top w:val="nil"/>
              <w:left w:val="nil"/>
              <w:bottom w:val="single" w:sz="4" w:space="0" w:color="auto"/>
              <w:right w:val="single" w:sz="4" w:space="0" w:color="auto"/>
            </w:tcBorders>
            <w:shd w:val="clear" w:color="auto" w:fill="auto"/>
            <w:noWrap/>
            <w:vAlign w:val="center"/>
            <w:hideMark/>
          </w:tcPr>
          <w:p w14:paraId="5F3E80EB" w14:textId="2421EF1B"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Ruminants, Canines,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Pigs, Rodents</w:t>
            </w:r>
          </w:p>
        </w:tc>
        <w:tc>
          <w:tcPr>
            <w:tcW w:w="766" w:type="dxa"/>
            <w:tcBorders>
              <w:top w:val="nil"/>
              <w:left w:val="nil"/>
              <w:bottom w:val="single" w:sz="4" w:space="0" w:color="auto"/>
              <w:right w:val="single" w:sz="4" w:space="0" w:color="auto"/>
            </w:tcBorders>
            <w:shd w:val="clear" w:color="auto" w:fill="auto"/>
            <w:noWrap/>
            <w:vAlign w:val="center"/>
            <w:hideMark/>
          </w:tcPr>
          <w:p w14:paraId="7BE4904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388</w:t>
            </w:r>
          </w:p>
        </w:tc>
        <w:tc>
          <w:tcPr>
            <w:tcW w:w="992" w:type="dxa"/>
            <w:tcBorders>
              <w:top w:val="nil"/>
              <w:left w:val="nil"/>
              <w:bottom w:val="single" w:sz="4" w:space="0" w:color="auto"/>
              <w:right w:val="single" w:sz="4" w:space="0" w:color="auto"/>
            </w:tcBorders>
            <w:shd w:val="clear" w:color="auto" w:fill="auto"/>
            <w:noWrap/>
            <w:vAlign w:val="center"/>
            <w:hideMark/>
          </w:tcPr>
          <w:p w14:paraId="0A8117D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0.73</w:t>
            </w:r>
          </w:p>
        </w:tc>
        <w:tc>
          <w:tcPr>
            <w:tcW w:w="1276" w:type="dxa"/>
            <w:tcBorders>
              <w:top w:val="nil"/>
              <w:left w:val="nil"/>
              <w:bottom w:val="single" w:sz="4" w:space="0" w:color="auto"/>
              <w:right w:val="single" w:sz="4" w:space="0" w:color="auto"/>
            </w:tcBorders>
            <w:shd w:val="clear" w:color="auto" w:fill="auto"/>
            <w:noWrap/>
            <w:vAlign w:val="bottom"/>
            <w:hideMark/>
          </w:tcPr>
          <w:p w14:paraId="157C77B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20</w:t>
            </w:r>
          </w:p>
        </w:tc>
      </w:tr>
      <w:tr w:rsidR="00C36F76" w:rsidRPr="002751A3" w14:paraId="04B912AC"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1B1E512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B-virus</w:t>
            </w:r>
          </w:p>
        </w:tc>
        <w:tc>
          <w:tcPr>
            <w:tcW w:w="1691" w:type="dxa"/>
            <w:tcBorders>
              <w:top w:val="nil"/>
              <w:left w:val="nil"/>
              <w:bottom w:val="single" w:sz="4" w:space="0" w:color="auto"/>
              <w:right w:val="single" w:sz="4" w:space="0" w:color="auto"/>
            </w:tcBorders>
            <w:shd w:val="clear" w:color="auto" w:fill="auto"/>
            <w:vAlign w:val="center"/>
            <w:hideMark/>
          </w:tcPr>
          <w:p w14:paraId="751B89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3C77C36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59902BA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Primates</w:t>
            </w:r>
          </w:p>
        </w:tc>
        <w:tc>
          <w:tcPr>
            <w:tcW w:w="766" w:type="dxa"/>
            <w:tcBorders>
              <w:top w:val="nil"/>
              <w:left w:val="nil"/>
              <w:bottom w:val="single" w:sz="4" w:space="0" w:color="auto"/>
              <w:right w:val="single" w:sz="4" w:space="0" w:color="auto"/>
            </w:tcBorders>
            <w:shd w:val="clear" w:color="auto" w:fill="auto"/>
            <w:vAlign w:val="center"/>
            <w:hideMark/>
          </w:tcPr>
          <w:p w14:paraId="0AE741F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4DB7A1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2E70BB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21</w:t>
            </w:r>
          </w:p>
        </w:tc>
      </w:tr>
      <w:tr w:rsidR="00C36F76" w:rsidRPr="002751A3" w14:paraId="6E8C0DDD"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B0E03E3"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Cache Valley Virus</w:t>
            </w:r>
          </w:p>
        </w:tc>
        <w:tc>
          <w:tcPr>
            <w:tcW w:w="1691" w:type="dxa"/>
            <w:tcBorders>
              <w:top w:val="nil"/>
              <w:left w:val="nil"/>
              <w:bottom w:val="single" w:sz="4" w:space="0" w:color="auto"/>
              <w:right w:val="single" w:sz="4" w:space="0" w:color="auto"/>
            </w:tcBorders>
            <w:shd w:val="clear" w:color="auto" w:fill="auto"/>
            <w:vAlign w:val="center"/>
            <w:hideMark/>
          </w:tcPr>
          <w:p w14:paraId="73B7E62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7105DD2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09012F3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goats, sheep and cattle</w:t>
            </w:r>
          </w:p>
        </w:tc>
        <w:tc>
          <w:tcPr>
            <w:tcW w:w="766" w:type="dxa"/>
            <w:tcBorders>
              <w:top w:val="nil"/>
              <w:left w:val="nil"/>
              <w:bottom w:val="single" w:sz="4" w:space="0" w:color="auto"/>
              <w:right w:val="single" w:sz="4" w:space="0" w:color="auto"/>
            </w:tcBorders>
            <w:shd w:val="clear" w:color="auto" w:fill="auto"/>
            <w:vAlign w:val="center"/>
            <w:hideMark/>
          </w:tcPr>
          <w:p w14:paraId="0D7CAD3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30EE4B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D68F50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22</w:t>
            </w:r>
          </w:p>
        </w:tc>
      </w:tr>
      <w:tr w:rsidR="00C36F76" w:rsidRPr="002751A3" w14:paraId="2B73E66F"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DFCDACA"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Calodium hepatica</w:t>
            </w:r>
          </w:p>
        </w:tc>
        <w:tc>
          <w:tcPr>
            <w:tcW w:w="1691" w:type="dxa"/>
            <w:tcBorders>
              <w:top w:val="nil"/>
              <w:left w:val="nil"/>
              <w:bottom w:val="single" w:sz="4" w:space="0" w:color="auto"/>
              <w:right w:val="single" w:sz="4" w:space="0" w:color="auto"/>
            </w:tcBorders>
            <w:shd w:val="clear" w:color="auto" w:fill="auto"/>
            <w:vAlign w:val="center"/>
            <w:hideMark/>
          </w:tcPr>
          <w:p w14:paraId="3862227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27D11A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1BE24BD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Primarily rodent but wide host range</w:t>
            </w:r>
          </w:p>
        </w:tc>
        <w:tc>
          <w:tcPr>
            <w:tcW w:w="766" w:type="dxa"/>
            <w:tcBorders>
              <w:top w:val="nil"/>
              <w:left w:val="nil"/>
              <w:bottom w:val="single" w:sz="4" w:space="0" w:color="auto"/>
              <w:right w:val="single" w:sz="4" w:space="0" w:color="auto"/>
            </w:tcBorders>
            <w:shd w:val="clear" w:color="auto" w:fill="auto"/>
            <w:vAlign w:val="center"/>
            <w:hideMark/>
          </w:tcPr>
          <w:p w14:paraId="5384DB3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AD996F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881ED2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23</w:t>
            </w:r>
          </w:p>
        </w:tc>
      </w:tr>
      <w:tr w:rsidR="00C36F76" w:rsidRPr="002751A3" w14:paraId="66B9579C"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185BEE25"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Campylobacte</w:t>
            </w:r>
            <w:r w:rsidRPr="002751A3">
              <w:rPr>
                <w:rFonts w:ascii="Calibri" w:eastAsia="Times New Roman" w:hAnsi="Calibri" w:cs="Calibri"/>
                <w:color w:val="000000"/>
                <w:sz w:val="20"/>
                <w:szCs w:val="20"/>
                <w:lang w:eastAsia="en-GB"/>
              </w:rPr>
              <w:t>r spp.</w:t>
            </w:r>
          </w:p>
        </w:tc>
        <w:tc>
          <w:tcPr>
            <w:tcW w:w="1691" w:type="dxa"/>
            <w:tcBorders>
              <w:top w:val="nil"/>
              <w:left w:val="nil"/>
              <w:bottom w:val="single" w:sz="4" w:space="0" w:color="auto"/>
              <w:right w:val="single" w:sz="4" w:space="0" w:color="auto"/>
            </w:tcBorders>
            <w:shd w:val="clear" w:color="auto" w:fill="auto"/>
            <w:noWrap/>
            <w:vAlign w:val="center"/>
            <w:hideMark/>
          </w:tcPr>
          <w:p w14:paraId="19CBAF4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3610D6B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3F0B129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Poultry, Ruminants, Pigs, Wild birds</w:t>
            </w:r>
          </w:p>
        </w:tc>
        <w:tc>
          <w:tcPr>
            <w:tcW w:w="766" w:type="dxa"/>
            <w:tcBorders>
              <w:top w:val="nil"/>
              <w:left w:val="nil"/>
              <w:bottom w:val="single" w:sz="4" w:space="0" w:color="auto"/>
              <w:right w:val="single" w:sz="4" w:space="0" w:color="auto"/>
            </w:tcBorders>
            <w:shd w:val="clear" w:color="auto" w:fill="auto"/>
            <w:noWrap/>
            <w:vAlign w:val="center"/>
            <w:hideMark/>
          </w:tcPr>
          <w:p w14:paraId="26D4DCF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233533</w:t>
            </w:r>
          </w:p>
        </w:tc>
        <w:tc>
          <w:tcPr>
            <w:tcW w:w="992" w:type="dxa"/>
            <w:tcBorders>
              <w:top w:val="nil"/>
              <w:left w:val="nil"/>
              <w:bottom w:val="single" w:sz="4" w:space="0" w:color="auto"/>
              <w:right w:val="single" w:sz="4" w:space="0" w:color="auto"/>
            </w:tcBorders>
            <w:shd w:val="clear" w:color="auto" w:fill="auto"/>
            <w:noWrap/>
            <w:vAlign w:val="center"/>
            <w:hideMark/>
          </w:tcPr>
          <w:p w14:paraId="4F2E76E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0.13</w:t>
            </w:r>
          </w:p>
        </w:tc>
        <w:tc>
          <w:tcPr>
            <w:tcW w:w="1276" w:type="dxa"/>
            <w:tcBorders>
              <w:top w:val="nil"/>
              <w:left w:val="nil"/>
              <w:bottom w:val="single" w:sz="4" w:space="0" w:color="auto"/>
              <w:right w:val="single" w:sz="4" w:space="0" w:color="auto"/>
            </w:tcBorders>
            <w:shd w:val="clear" w:color="auto" w:fill="auto"/>
            <w:noWrap/>
            <w:vAlign w:val="bottom"/>
            <w:hideMark/>
          </w:tcPr>
          <w:p w14:paraId="44936C9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24</w:t>
            </w:r>
          </w:p>
        </w:tc>
      </w:tr>
      <w:tr w:rsidR="00C36F76" w:rsidRPr="002751A3" w14:paraId="46D0B95C" w14:textId="77777777" w:rsidTr="005C116B">
        <w:trPr>
          <w:trHeight w:val="765"/>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F62E073" w14:textId="3D008FAB"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Rickettsia senegalensis</w:t>
            </w:r>
            <w:r w:rsidRPr="002751A3">
              <w:rPr>
                <w:rFonts w:ascii="Calibri" w:eastAsia="Times New Roman" w:hAnsi="Calibri" w:cs="Calibri"/>
                <w:color w:val="000000"/>
                <w:sz w:val="20"/>
                <w:szCs w:val="20"/>
                <w:lang w:eastAsia="en-GB"/>
              </w:rPr>
              <w:t xml:space="preserve"> </w:t>
            </w:r>
          </w:p>
        </w:tc>
        <w:tc>
          <w:tcPr>
            <w:tcW w:w="1691" w:type="dxa"/>
            <w:tcBorders>
              <w:top w:val="nil"/>
              <w:left w:val="nil"/>
              <w:bottom w:val="single" w:sz="4" w:space="0" w:color="auto"/>
              <w:right w:val="single" w:sz="4" w:space="0" w:color="auto"/>
            </w:tcBorders>
            <w:shd w:val="clear" w:color="auto" w:fill="auto"/>
            <w:vAlign w:val="center"/>
            <w:hideMark/>
          </w:tcPr>
          <w:p w14:paraId="3F49816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01F54BC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V(F)</w:t>
            </w:r>
          </w:p>
        </w:tc>
        <w:tc>
          <w:tcPr>
            <w:tcW w:w="5361" w:type="dxa"/>
            <w:tcBorders>
              <w:top w:val="nil"/>
              <w:left w:val="nil"/>
              <w:bottom w:val="single" w:sz="4" w:space="0" w:color="auto"/>
              <w:right w:val="single" w:sz="4" w:space="0" w:color="auto"/>
            </w:tcBorders>
            <w:shd w:val="clear" w:color="auto" w:fill="auto"/>
            <w:vAlign w:val="center"/>
            <w:hideMark/>
          </w:tcPr>
          <w:p w14:paraId="3A687CC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w:t>
            </w:r>
          </w:p>
        </w:tc>
        <w:tc>
          <w:tcPr>
            <w:tcW w:w="766" w:type="dxa"/>
            <w:tcBorders>
              <w:top w:val="nil"/>
              <w:left w:val="nil"/>
              <w:bottom w:val="single" w:sz="4" w:space="0" w:color="auto"/>
              <w:right w:val="single" w:sz="4" w:space="0" w:color="auto"/>
            </w:tcBorders>
            <w:shd w:val="clear" w:color="auto" w:fill="auto"/>
            <w:vAlign w:val="center"/>
            <w:hideMark/>
          </w:tcPr>
          <w:p w14:paraId="558727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D0412A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04B60E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25</w:t>
            </w:r>
          </w:p>
        </w:tc>
      </w:tr>
      <w:tr w:rsidR="00C36F76" w:rsidRPr="002751A3" w14:paraId="5CA1BEEA"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063D08B"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Capillaria hepatica</w:t>
            </w:r>
          </w:p>
        </w:tc>
        <w:tc>
          <w:tcPr>
            <w:tcW w:w="1691" w:type="dxa"/>
            <w:tcBorders>
              <w:top w:val="nil"/>
              <w:left w:val="nil"/>
              <w:bottom w:val="single" w:sz="4" w:space="0" w:color="auto"/>
              <w:right w:val="single" w:sz="4" w:space="0" w:color="auto"/>
            </w:tcBorders>
            <w:shd w:val="clear" w:color="auto" w:fill="auto"/>
            <w:vAlign w:val="center"/>
            <w:hideMark/>
          </w:tcPr>
          <w:p w14:paraId="2044415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758B35B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7899880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Carnivores</w:t>
            </w:r>
          </w:p>
        </w:tc>
        <w:tc>
          <w:tcPr>
            <w:tcW w:w="766" w:type="dxa"/>
            <w:tcBorders>
              <w:top w:val="nil"/>
              <w:left w:val="nil"/>
              <w:bottom w:val="single" w:sz="4" w:space="0" w:color="auto"/>
              <w:right w:val="single" w:sz="4" w:space="0" w:color="auto"/>
            </w:tcBorders>
            <w:shd w:val="clear" w:color="auto" w:fill="auto"/>
            <w:vAlign w:val="center"/>
            <w:hideMark/>
          </w:tcPr>
          <w:p w14:paraId="35042B7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C04539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D0890A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26</w:t>
            </w:r>
          </w:p>
        </w:tc>
      </w:tr>
      <w:tr w:rsidR="00C36F76" w:rsidRPr="002751A3" w14:paraId="56ABCF83"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42600F5"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Centrocestus formosanus</w:t>
            </w:r>
          </w:p>
        </w:tc>
        <w:tc>
          <w:tcPr>
            <w:tcW w:w="1691" w:type="dxa"/>
            <w:tcBorders>
              <w:top w:val="nil"/>
              <w:left w:val="nil"/>
              <w:bottom w:val="single" w:sz="4" w:space="0" w:color="auto"/>
              <w:right w:val="single" w:sz="4" w:space="0" w:color="auto"/>
            </w:tcBorders>
            <w:shd w:val="clear" w:color="auto" w:fill="auto"/>
            <w:vAlign w:val="center"/>
            <w:hideMark/>
          </w:tcPr>
          <w:p w14:paraId="00FF8AB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6678CAB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O(W)(F)</w:t>
            </w:r>
          </w:p>
        </w:tc>
        <w:tc>
          <w:tcPr>
            <w:tcW w:w="5361" w:type="dxa"/>
            <w:tcBorders>
              <w:top w:val="nil"/>
              <w:left w:val="nil"/>
              <w:bottom w:val="single" w:sz="4" w:space="0" w:color="auto"/>
              <w:right w:val="single" w:sz="4" w:space="0" w:color="auto"/>
            </w:tcBorders>
            <w:shd w:val="clear" w:color="auto" w:fill="auto"/>
            <w:vAlign w:val="center"/>
            <w:hideMark/>
          </w:tcPr>
          <w:p w14:paraId="4306D36F" w14:textId="2C75BE70"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range of hosts including birds</w:t>
            </w:r>
            <w:r w:rsidR="009C5A73">
              <w:rPr>
                <w:rFonts w:ascii="Calibri" w:eastAsia="Times New Roman" w:hAnsi="Calibri" w:cs="Calibri"/>
                <w:color w:val="000000"/>
                <w:lang w:eastAsia="en-GB"/>
              </w:rPr>
              <w:t>,</w:t>
            </w:r>
            <w:r w:rsidRPr="002751A3">
              <w:rPr>
                <w:rFonts w:ascii="Calibri" w:eastAsia="Times New Roman" w:hAnsi="Calibri" w:cs="Calibri"/>
                <w:color w:val="000000"/>
                <w:lang w:eastAsia="en-GB"/>
              </w:rPr>
              <w:t xml:space="preserve"> mammals,</w:t>
            </w:r>
            <w:r w:rsidR="009C5A73">
              <w:rPr>
                <w:rFonts w:ascii="Calibri" w:eastAsia="Times New Roman" w:hAnsi="Calibri" w:cs="Calibri"/>
                <w:color w:val="000000"/>
                <w:lang w:eastAsia="en-GB"/>
              </w:rPr>
              <w:t xml:space="preserve"> f</w:t>
            </w:r>
            <w:r w:rsidRPr="002751A3">
              <w:rPr>
                <w:rFonts w:ascii="Calibri" w:eastAsia="Times New Roman" w:hAnsi="Calibri" w:cs="Calibri"/>
                <w:color w:val="000000"/>
                <w:lang w:eastAsia="en-GB"/>
              </w:rPr>
              <w:t>ish,</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Mollusca</w:t>
            </w:r>
          </w:p>
        </w:tc>
        <w:tc>
          <w:tcPr>
            <w:tcW w:w="766" w:type="dxa"/>
            <w:tcBorders>
              <w:top w:val="nil"/>
              <w:left w:val="nil"/>
              <w:bottom w:val="single" w:sz="4" w:space="0" w:color="auto"/>
              <w:right w:val="single" w:sz="4" w:space="0" w:color="auto"/>
            </w:tcBorders>
            <w:shd w:val="clear" w:color="auto" w:fill="auto"/>
            <w:vAlign w:val="center"/>
            <w:hideMark/>
          </w:tcPr>
          <w:p w14:paraId="77EA2AA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D7346F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A77881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27</w:t>
            </w:r>
          </w:p>
        </w:tc>
      </w:tr>
      <w:tr w:rsidR="00C36F76" w:rsidRPr="002751A3" w14:paraId="33A61590"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1844BE9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Chikungunya virus</w:t>
            </w:r>
          </w:p>
        </w:tc>
        <w:tc>
          <w:tcPr>
            <w:tcW w:w="1691" w:type="dxa"/>
            <w:tcBorders>
              <w:top w:val="nil"/>
              <w:left w:val="nil"/>
              <w:bottom w:val="single" w:sz="4" w:space="0" w:color="auto"/>
              <w:right w:val="single" w:sz="4" w:space="0" w:color="auto"/>
            </w:tcBorders>
            <w:shd w:val="clear" w:color="auto" w:fill="auto"/>
            <w:vAlign w:val="center"/>
            <w:hideMark/>
          </w:tcPr>
          <w:p w14:paraId="205167B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6E040F9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2CD83F8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Primates</w:t>
            </w:r>
          </w:p>
        </w:tc>
        <w:tc>
          <w:tcPr>
            <w:tcW w:w="766" w:type="dxa"/>
            <w:tcBorders>
              <w:top w:val="nil"/>
              <w:left w:val="nil"/>
              <w:bottom w:val="single" w:sz="4" w:space="0" w:color="auto"/>
              <w:right w:val="single" w:sz="4" w:space="0" w:color="auto"/>
            </w:tcBorders>
            <w:shd w:val="clear" w:color="auto" w:fill="auto"/>
            <w:vAlign w:val="center"/>
            <w:hideMark/>
          </w:tcPr>
          <w:p w14:paraId="7F0AB03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816ACA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8E9927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28</w:t>
            </w:r>
          </w:p>
        </w:tc>
      </w:tr>
      <w:tr w:rsidR="00C36F76" w:rsidRPr="002751A3" w14:paraId="1FEEA84B"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595FFDF"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Chlamydia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685B73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2D2DBC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vAlign w:val="center"/>
            <w:hideMark/>
          </w:tcPr>
          <w:p w14:paraId="5E4715F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Birds, Poultry and Livestock</w:t>
            </w:r>
          </w:p>
        </w:tc>
        <w:tc>
          <w:tcPr>
            <w:tcW w:w="766" w:type="dxa"/>
            <w:tcBorders>
              <w:top w:val="nil"/>
              <w:left w:val="nil"/>
              <w:bottom w:val="single" w:sz="4" w:space="0" w:color="auto"/>
              <w:right w:val="single" w:sz="4" w:space="0" w:color="auto"/>
            </w:tcBorders>
            <w:shd w:val="clear" w:color="auto" w:fill="auto"/>
            <w:vAlign w:val="center"/>
            <w:hideMark/>
          </w:tcPr>
          <w:p w14:paraId="6823BF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E6D4F3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284138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29,30</w:t>
            </w:r>
          </w:p>
        </w:tc>
      </w:tr>
      <w:tr w:rsidR="00C36F76" w:rsidRPr="002751A3" w14:paraId="53B1A9A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1BB1533"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Clonorchis sinensis</w:t>
            </w:r>
          </w:p>
        </w:tc>
        <w:tc>
          <w:tcPr>
            <w:tcW w:w="1691" w:type="dxa"/>
            <w:tcBorders>
              <w:top w:val="nil"/>
              <w:left w:val="nil"/>
              <w:bottom w:val="single" w:sz="4" w:space="0" w:color="auto"/>
              <w:right w:val="single" w:sz="4" w:space="0" w:color="auto"/>
            </w:tcBorders>
            <w:shd w:val="clear" w:color="auto" w:fill="auto"/>
            <w:vAlign w:val="center"/>
            <w:hideMark/>
          </w:tcPr>
          <w:p w14:paraId="212908B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3E4111E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O(W)(F)</w:t>
            </w:r>
          </w:p>
        </w:tc>
        <w:tc>
          <w:tcPr>
            <w:tcW w:w="5361" w:type="dxa"/>
            <w:tcBorders>
              <w:top w:val="nil"/>
              <w:left w:val="nil"/>
              <w:bottom w:val="single" w:sz="4" w:space="0" w:color="auto"/>
              <w:right w:val="single" w:sz="4" w:space="0" w:color="auto"/>
            </w:tcBorders>
            <w:shd w:val="clear" w:color="auto" w:fill="auto"/>
            <w:vAlign w:val="center"/>
            <w:hideMark/>
          </w:tcPr>
          <w:p w14:paraId="6157A8B2" w14:textId="3C17AC6C"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 Crustacea</w:t>
            </w:r>
            <w:r w:rsidR="009C5A73">
              <w:rPr>
                <w:rFonts w:ascii="Calibri" w:eastAsia="Times New Roman" w:hAnsi="Calibri" w:cs="Calibri"/>
                <w:color w:val="000000"/>
                <w:lang w:eastAsia="en-GB"/>
              </w:rPr>
              <w:t>ns</w:t>
            </w:r>
            <w:r w:rsidRPr="002751A3">
              <w:rPr>
                <w:rFonts w:ascii="Calibri" w:eastAsia="Times New Roman" w:hAnsi="Calibri" w:cs="Calibri"/>
                <w:color w:val="000000"/>
                <w:lang w:eastAsia="en-GB"/>
              </w:rPr>
              <w:t>, Mollusca</w:t>
            </w:r>
          </w:p>
        </w:tc>
        <w:tc>
          <w:tcPr>
            <w:tcW w:w="766" w:type="dxa"/>
            <w:tcBorders>
              <w:top w:val="nil"/>
              <w:left w:val="nil"/>
              <w:bottom w:val="single" w:sz="4" w:space="0" w:color="auto"/>
              <w:right w:val="single" w:sz="4" w:space="0" w:color="auto"/>
            </w:tcBorders>
            <w:shd w:val="clear" w:color="auto" w:fill="auto"/>
            <w:vAlign w:val="center"/>
            <w:hideMark/>
          </w:tcPr>
          <w:p w14:paraId="7AEFAB3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787AB0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AB8195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31</w:t>
            </w:r>
          </w:p>
        </w:tc>
      </w:tr>
      <w:tr w:rsidR="00C36F76" w:rsidRPr="002751A3" w14:paraId="21D5E3BA"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1C62D3A"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Coccidia</w:t>
            </w:r>
          </w:p>
        </w:tc>
        <w:tc>
          <w:tcPr>
            <w:tcW w:w="1691" w:type="dxa"/>
            <w:tcBorders>
              <w:top w:val="nil"/>
              <w:left w:val="nil"/>
              <w:bottom w:val="single" w:sz="4" w:space="0" w:color="auto"/>
              <w:right w:val="single" w:sz="4" w:space="0" w:color="auto"/>
            </w:tcBorders>
            <w:shd w:val="clear" w:color="auto" w:fill="auto"/>
            <w:vAlign w:val="center"/>
            <w:hideMark/>
          </w:tcPr>
          <w:p w14:paraId="0AC207C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vAlign w:val="center"/>
            <w:hideMark/>
          </w:tcPr>
          <w:p w14:paraId="50B2155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5AEAA57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Poultry, Livestock, Domestic animals</w:t>
            </w:r>
          </w:p>
        </w:tc>
        <w:tc>
          <w:tcPr>
            <w:tcW w:w="766" w:type="dxa"/>
            <w:tcBorders>
              <w:top w:val="nil"/>
              <w:left w:val="nil"/>
              <w:bottom w:val="single" w:sz="4" w:space="0" w:color="auto"/>
              <w:right w:val="single" w:sz="4" w:space="0" w:color="auto"/>
            </w:tcBorders>
            <w:shd w:val="clear" w:color="auto" w:fill="auto"/>
            <w:vAlign w:val="center"/>
            <w:hideMark/>
          </w:tcPr>
          <w:p w14:paraId="76D9C84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BE518A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EF0400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32</w:t>
            </w:r>
          </w:p>
        </w:tc>
      </w:tr>
      <w:tr w:rsidR="00C36F76" w:rsidRPr="002751A3" w14:paraId="408CF32C"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58E287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Coliforms</w:t>
            </w:r>
          </w:p>
        </w:tc>
        <w:tc>
          <w:tcPr>
            <w:tcW w:w="1691" w:type="dxa"/>
            <w:tcBorders>
              <w:top w:val="nil"/>
              <w:left w:val="nil"/>
              <w:bottom w:val="single" w:sz="4" w:space="0" w:color="auto"/>
              <w:right w:val="single" w:sz="4" w:space="0" w:color="auto"/>
            </w:tcBorders>
            <w:shd w:val="clear" w:color="auto" w:fill="auto"/>
            <w:vAlign w:val="center"/>
            <w:hideMark/>
          </w:tcPr>
          <w:p w14:paraId="59B34B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4E653BE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1CB8002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w:t>
            </w:r>
          </w:p>
        </w:tc>
        <w:tc>
          <w:tcPr>
            <w:tcW w:w="766" w:type="dxa"/>
            <w:tcBorders>
              <w:top w:val="nil"/>
              <w:left w:val="nil"/>
              <w:bottom w:val="single" w:sz="4" w:space="0" w:color="auto"/>
              <w:right w:val="single" w:sz="4" w:space="0" w:color="auto"/>
            </w:tcBorders>
            <w:shd w:val="clear" w:color="auto" w:fill="auto"/>
            <w:vAlign w:val="center"/>
            <w:hideMark/>
          </w:tcPr>
          <w:p w14:paraId="59EAE64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3922E2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A00822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33</w:t>
            </w:r>
          </w:p>
        </w:tc>
      </w:tr>
      <w:tr w:rsidR="00C36F76" w:rsidRPr="002751A3" w14:paraId="03FECB19"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A59A7E3"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Contracaecum bancrofti</w:t>
            </w:r>
          </w:p>
        </w:tc>
        <w:tc>
          <w:tcPr>
            <w:tcW w:w="1691" w:type="dxa"/>
            <w:tcBorders>
              <w:top w:val="nil"/>
              <w:left w:val="nil"/>
              <w:bottom w:val="single" w:sz="4" w:space="0" w:color="auto"/>
              <w:right w:val="single" w:sz="4" w:space="0" w:color="auto"/>
            </w:tcBorders>
            <w:shd w:val="clear" w:color="auto" w:fill="auto"/>
            <w:vAlign w:val="center"/>
            <w:hideMark/>
          </w:tcPr>
          <w:p w14:paraId="5C8AA58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4DFDF64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O(W)(F)</w:t>
            </w:r>
          </w:p>
        </w:tc>
        <w:tc>
          <w:tcPr>
            <w:tcW w:w="5361" w:type="dxa"/>
            <w:tcBorders>
              <w:top w:val="nil"/>
              <w:left w:val="nil"/>
              <w:bottom w:val="single" w:sz="4" w:space="0" w:color="auto"/>
              <w:right w:val="single" w:sz="4" w:space="0" w:color="auto"/>
            </w:tcBorders>
            <w:shd w:val="clear" w:color="auto" w:fill="auto"/>
            <w:vAlign w:val="center"/>
            <w:hideMark/>
          </w:tcPr>
          <w:p w14:paraId="22DCE1E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w:t>
            </w:r>
          </w:p>
        </w:tc>
        <w:tc>
          <w:tcPr>
            <w:tcW w:w="766" w:type="dxa"/>
            <w:tcBorders>
              <w:top w:val="nil"/>
              <w:left w:val="nil"/>
              <w:bottom w:val="single" w:sz="4" w:space="0" w:color="auto"/>
              <w:right w:val="single" w:sz="4" w:space="0" w:color="auto"/>
            </w:tcBorders>
            <w:shd w:val="clear" w:color="auto" w:fill="auto"/>
            <w:vAlign w:val="center"/>
            <w:hideMark/>
          </w:tcPr>
          <w:p w14:paraId="0ED2F69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E49F37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60EE1F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34</w:t>
            </w:r>
          </w:p>
        </w:tc>
      </w:tr>
      <w:tr w:rsidR="00C36F76" w:rsidRPr="002751A3" w14:paraId="02269410"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60C22AD0"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Coxiella burnetii</w:t>
            </w:r>
          </w:p>
        </w:tc>
        <w:tc>
          <w:tcPr>
            <w:tcW w:w="1691" w:type="dxa"/>
            <w:tcBorders>
              <w:top w:val="nil"/>
              <w:left w:val="nil"/>
              <w:bottom w:val="single" w:sz="4" w:space="0" w:color="auto"/>
              <w:right w:val="single" w:sz="4" w:space="0" w:color="auto"/>
            </w:tcBorders>
            <w:shd w:val="clear" w:color="auto" w:fill="auto"/>
            <w:noWrap/>
            <w:vAlign w:val="center"/>
            <w:hideMark/>
          </w:tcPr>
          <w:p w14:paraId="13F158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2CD3CEF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A;O(F)</w:t>
            </w:r>
          </w:p>
        </w:tc>
        <w:tc>
          <w:tcPr>
            <w:tcW w:w="5361" w:type="dxa"/>
            <w:tcBorders>
              <w:top w:val="nil"/>
              <w:left w:val="nil"/>
              <w:bottom w:val="single" w:sz="4" w:space="0" w:color="auto"/>
              <w:right w:val="single" w:sz="4" w:space="0" w:color="auto"/>
            </w:tcBorders>
            <w:shd w:val="clear" w:color="auto" w:fill="auto"/>
            <w:noWrap/>
            <w:vAlign w:val="center"/>
            <w:hideMark/>
          </w:tcPr>
          <w:p w14:paraId="54B8B92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Ruminants</w:t>
            </w:r>
          </w:p>
        </w:tc>
        <w:tc>
          <w:tcPr>
            <w:tcW w:w="766" w:type="dxa"/>
            <w:tcBorders>
              <w:top w:val="nil"/>
              <w:left w:val="nil"/>
              <w:bottom w:val="single" w:sz="4" w:space="0" w:color="auto"/>
              <w:right w:val="single" w:sz="4" w:space="0" w:color="auto"/>
            </w:tcBorders>
            <w:shd w:val="clear" w:color="auto" w:fill="auto"/>
            <w:noWrap/>
            <w:vAlign w:val="center"/>
            <w:hideMark/>
          </w:tcPr>
          <w:p w14:paraId="4DA3963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810</w:t>
            </w:r>
          </w:p>
        </w:tc>
        <w:tc>
          <w:tcPr>
            <w:tcW w:w="992" w:type="dxa"/>
            <w:tcBorders>
              <w:top w:val="nil"/>
              <w:left w:val="nil"/>
              <w:bottom w:val="single" w:sz="4" w:space="0" w:color="auto"/>
              <w:right w:val="single" w:sz="4" w:space="0" w:color="auto"/>
            </w:tcBorders>
            <w:shd w:val="clear" w:color="auto" w:fill="auto"/>
            <w:noWrap/>
            <w:vAlign w:val="center"/>
            <w:hideMark/>
          </w:tcPr>
          <w:p w14:paraId="17C754D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0.69</w:t>
            </w:r>
          </w:p>
        </w:tc>
        <w:tc>
          <w:tcPr>
            <w:tcW w:w="1276" w:type="dxa"/>
            <w:tcBorders>
              <w:top w:val="nil"/>
              <w:left w:val="nil"/>
              <w:bottom w:val="single" w:sz="4" w:space="0" w:color="auto"/>
              <w:right w:val="single" w:sz="4" w:space="0" w:color="auto"/>
            </w:tcBorders>
            <w:shd w:val="clear" w:color="auto" w:fill="auto"/>
            <w:noWrap/>
            <w:vAlign w:val="bottom"/>
            <w:hideMark/>
          </w:tcPr>
          <w:p w14:paraId="550D814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35</w:t>
            </w:r>
          </w:p>
        </w:tc>
      </w:tr>
      <w:tr w:rsidR="00C36F76" w:rsidRPr="002751A3" w14:paraId="54E48D0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1D0ACD8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lastRenderedPageBreak/>
              <w:t>Cryptosporidium</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427C8CB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noWrap/>
            <w:vAlign w:val="center"/>
            <w:hideMark/>
          </w:tcPr>
          <w:p w14:paraId="3F2F27F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O(W)(F)</w:t>
            </w:r>
          </w:p>
        </w:tc>
        <w:tc>
          <w:tcPr>
            <w:tcW w:w="5361" w:type="dxa"/>
            <w:tcBorders>
              <w:top w:val="nil"/>
              <w:left w:val="nil"/>
              <w:bottom w:val="single" w:sz="4" w:space="0" w:color="auto"/>
              <w:right w:val="single" w:sz="4" w:space="0" w:color="auto"/>
            </w:tcBorders>
            <w:shd w:val="clear" w:color="auto" w:fill="auto"/>
            <w:noWrap/>
            <w:vAlign w:val="center"/>
            <w:hideMark/>
          </w:tcPr>
          <w:p w14:paraId="0F1C0BC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mammals and birds</w:t>
            </w:r>
          </w:p>
        </w:tc>
        <w:tc>
          <w:tcPr>
            <w:tcW w:w="766" w:type="dxa"/>
            <w:tcBorders>
              <w:top w:val="nil"/>
              <w:left w:val="nil"/>
              <w:bottom w:val="single" w:sz="4" w:space="0" w:color="auto"/>
              <w:right w:val="single" w:sz="4" w:space="0" w:color="auto"/>
            </w:tcBorders>
            <w:shd w:val="clear" w:color="auto" w:fill="auto"/>
            <w:noWrap/>
            <w:vAlign w:val="center"/>
            <w:hideMark/>
          </w:tcPr>
          <w:p w14:paraId="41FC0F0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11043</w:t>
            </w:r>
          </w:p>
        </w:tc>
        <w:tc>
          <w:tcPr>
            <w:tcW w:w="992" w:type="dxa"/>
            <w:tcBorders>
              <w:top w:val="nil"/>
              <w:left w:val="nil"/>
              <w:bottom w:val="single" w:sz="4" w:space="0" w:color="auto"/>
              <w:right w:val="single" w:sz="4" w:space="0" w:color="auto"/>
            </w:tcBorders>
            <w:shd w:val="clear" w:color="auto" w:fill="auto"/>
            <w:noWrap/>
            <w:vAlign w:val="center"/>
            <w:hideMark/>
          </w:tcPr>
          <w:p w14:paraId="7DDA766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0.01</w:t>
            </w:r>
          </w:p>
        </w:tc>
        <w:tc>
          <w:tcPr>
            <w:tcW w:w="1276" w:type="dxa"/>
            <w:tcBorders>
              <w:top w:val="nil"/>
              <w:left w:val="nil"/>
              <w:bottom w:val="single" w:sz="4" w:space="0" w:color="auto"/>
              <w:right w:val="single" w:sz="4" w:space="0" w:color="auto"/>
            </w:tcBorders>
            <w:shd w:val="clear" w:color="auto" w:fill="auto"/>
            <w:noWrap/>
            <w:vAlign w:val="bottom"/>
            <w:hideMark/>
          </w:tcPr>
          <w:p w14:paraId="40FD6A5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36</w:t>
            </w:r>
          </w:p>
        </w:tc>
      </w:tr>
      <w:tr w:rsidR="00C36F76" w:rsidRPr="002751A3" w14:paraId="1DD5A932"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5F040D9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 xml:space="preserve">Dengue </w:t>
            </w:r>
          </w:p>
        </w:tc>
        <w:tc>
          <w:tcPr>
            <w:tcW w:w="1691" w:type="dxa"/>
            <w:tcBorders>
              <w:top w:val="nil"/>
              <w:left w:val="nil"/>
              <w:bottom w:val="single" w:sz="4" w:space="0" w:color="auto"/>
              <w:right w:val="single" w:sz="4" w:space="0" w:color="auto"/>
            </w:tcBorders>
            <w:shd w:val="clear" w:color="auto" w:fill="auto"/>
            <w:noWrap/>
            <w:vAlign w:val="center"/>
            <w:hideMark/>
          </w:tcPr>
          <w:p w14:paraId="3989C92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noWrap/>
            <w:vAlign w:val="center"/>
            <w:hideMark/>
          </w:tcPr>
          <w:p w14:paraId="75F67D3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noWrap/>
            <w:vAlign w:val="center"/>
            <w:hideMark/>
          </w:tcPr>
          <w:p w14:paraId="0C2F5D1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Primates</w:t>
            </w:r>
          </w:p>
        </w:tc>
        <w:tc>
          <w:tcPr>
            <w:tcW w:w="766" w:type="dxa"/>
            <w:tcBorders>
              <w:top w:val="nil"/>
              <w:left w:val="nil"/>
              <w:bottom w:val="single" w:sz="4" w:space="0" w:color="auto"/>
              <w:right w:val="single" w:sz="4" w:space="0" w:color="auto"/>
            </w:tcBorders>
            <w:shd w:val="clear" w:color="auto" w:fill="auto"/>
            <w:noWrap/>
            <w:vAlign w:val="center"/>
            <w:hideMark/>
          </w:tcPr>
          <w:p w14:paraId="1013CDD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16*</w:t>
            </w:r>
          </w:p>
        </w:tc>
        <w:tc>
          <w:tcPr>
            <w:tcW w:w="992" w:type="dxa"/>
            <w:tcBorders>
              <w:top w:val="nil"/>
              <w:left w:val="nil"/>
              <w:bottom w:val="single" w:sz="4" w:space="0" w:color="auto"/>
              <w:right w:val="single" w:sz="4" w:space="0" w:color="auto"/>
            </w:tcBorders>
            <w:shd w:val="clear" w:color="auto" w:fill="auto"/>
            <w:noWrap/>
            <w:vAlign w:val="center"/>
            <w:hideMark/>
          </w:tcPr>
          <w:p w14:paraId="62CBB22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NA</w:t>
            </w:r>
          </w:p>
        </w:tc>
        <w:tc>
          <w:tcPr>
            <w:tcW w:w="1276" w:type="dxa"/>
            <w:tcBorders>
              <w:top w:val="nil"/>
              <w:left w:val="nil"/>
              <w:bottom w:val="single" w:sz="4" w:space="0" w:color="auto"/>
              <w:right w:val="single" w:sz="4" w:space="0" w:color="auto"/>
            </w:tcBorders>
            <w:shd w:val="clear" w:color="auto" w:fill="auto"/>
            <w:noWrap/>
            <w:vAlign w:val="bottom"/>
            <w:hideMark/>
          </w:tcPr>
          <w:p w14:paraId="3B7F4DB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37</w:t>
            </w:r>
          </w:p>
        </w:tc>
      </w:tr>
      <w:tr w:rsidR="00C36F76" w:rsidRPr="002751A3" w14:paraId="08D72768"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8C8A7BA"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Dicrocoelium dendriticum</w:t>
            </w:r>
          </w:p>
        </w:tc>
        <w:tc>
          <w:tcPr>
            <w:tcW w:w="1691" w:type="dxa"/>
            <w:tcBorders>
              <w:top w:val="nil"/>
              <w:left w:val="nil"/>
              <w:bottom w:val="single" w:sz="4" w:space="0" w:color="auto"/>
              <w:right w:val="single" w:sz="4" w:space="0" w:color="auto"/>
            </w:tcBorders>
            <w:shd w:val="clear" w:color="auto" w:fill="auto"/>
            <w:vAlign w:val="center"/>
            <w:hideMark/>
          </w:tcPr>
          <w:p w14:paraId="34D745C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419C36B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20EBBB0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Ants, molluscs, ruminants</w:t>
            </w:r>
          </w:p>
        </w:tc>
        <w:tc>
          <w:tcPr>
            <w:tcW w:w="766" w:type="dxa"/>
            <w:tcBorders>
              <w:top w:val="nil"/>
              <w:left w:val="nil"/>
              <w:bottom w:val="single" w:sz="4" w:space="0" w:color="auto"/>
              <w:right w:val="single" w:sz="4" w:space="0" w:color="auto"/>
            </w:tcBorders>
            <w:shd w:val="clear" w:color="auto" w:fill="auto"/>
            <w:vAlign w:val="center"/>
            <w:hideMark/>
          </w:tcPr>
          <w:p w14:paraId="0E7316B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03B718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37E217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38</w:t>
            </w:r>
          </w:p>
        </w:tc>
      </w:tr>
      <w:tr w:rsidR="00C36F76" w:rsidRPr="002751A3" w14:paraId="43CBB2F8" w14:textId="77777777" w:rsidTr="005C116B">
        <w:trPr>
          <w:trHeight w:val="525"/>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410F6B57"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 xml:space="preserve">Diphyllobothrium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vAlign w:val="center"/>
            <w:hideMark/>
          </w:tcPr>
          <w:p w14:paraId="0795C90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184E55B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103AC8C3" w14:textId="733E8DFD"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Fish, Copepods, </w:t>
            </w:r>
            <w:r w:rsidR="009C5A73" w:rsidRPr="002751A3">
              <w:rPr>
                <w:rFonts w:ascii="Calibri" w:eastAsia="Times New Roman" w:hAnsi="Calibri" w:cs="Calibri"/>
                <w:color w:val="000000"/>
                <w:lang w:eastAsia="en-GB"/>
              </w:rPr>
              <w:t>C</w:t>
            </w:r>
            <w:r w:rsidR="009C5A73">
              <w:rPr>
                <w:rFonts w:ascii="Calibri" w:eastAsia="Times New Roman" w:hAnsi="Calibri" w:cs="Calibri"/>
                <w:color w:val="000000"/>
                <w:lang w:eastAsia="en-GB"/>
              </w:rPr>
              <w:t>a</w:t>
            </w:r>
            <w:r w:rsidR="009C5A73" w:rsidRPr="002751A3">
              <w:rPr>
                <w:rFonts w:ascii="Calibri" w:eastAsia="Times New Roman" w:hAnsi="Calibri" w:cs="Calibri"/>
                <w:color w:val="000000"/>
                <w:lang w:eastAsia="en-GB"/>
              </w:rPr>
              <w:t>rnivores</w:t>
            </w:r>
          </w:p>
        </w:tc>
        <w:tc>
          <w:tcPr>
            <w:tcW w:w="766" w:type="dxa"/>
            <w:tcBorders>
              <w:top w:val="nil"/>
              <w:left w:val="nil"/>
              <w:bottom w:val="single" w:sz="4" w:space="0" w:color="auto"/>
              <w:right w:val="single" w:sz="4" w:space="0" w:color="auto"/>
            </w:tcBorders>
            <w:shd w:val="clear" w:color="auto" w:fill="auto"/>
            <w:vAlign w:val="center"/>
            <w:hideMark/>
          </w:tcPr>
          <w:p w14:paraId="3A34A9A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15DF43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C6FB04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39</w:t>
            </w:r>
          </w:p>
        </w:tc>
      </w:tr>
      <w:tr w:rsidR="00C36F76" w:rsidRPr="002751A3" w14:paraId="18344063" w14:textId="77777777" w:rsidTr="005C116B">
        <w:trPr>
          <w:trHeight w:val="525"/>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789DBFFD" w14:textId="77777777" w:rsidR="00C36F76" w:rsidRPr="00707D99" w:rsidRDefault="00C36F76" w:rsidP="005C116B">
            <w:pPr>
              <w:spacing w:after="0" w:line="240" w:lineRule="auto"/>
              <w:rPr>
                <w:rFonts w:ascii="Calibri" w:eastAsia="Times New Roman" w:hAnsi="Calibri" w:cs="Calibri"/>
                <w:i/>
                <w:iCs/>
                <w:color w:val="2E2E2E"/>
                <w:sz w:val="20"/>
                <w:szCs w:val="20"/>
                <w:lang w:eastAsia="en-GB"/>
              </w:rPr>
            </w:pPr>
            <w:r w:rsidRPr="00707D99">
              <w:rPr>
                <w:rFonts w:ascii="Calibri" w:eastAsia="Times New Roman" w:hAnsi="Calibri" w:cs="Calibri"/>
                <w:i/>
                <w:iCs/>
                <w:color w:val="2E2E2E"/>
                <w:sz w:val="20"/>
                <w:szCs w:val="20"/>
                <w:lang w:eastAsia="en-GB"/>
              </w:rPr>
              <w:t>Diplogonoporus balaenopterae</w:t>
            </w:r>
          </w:p>
        </w:tc>
        <w:tc>
          <w:tcPr>
            <w:tcW w:w="1691" w:type="dxa"/>
            <w:tcBorders>
              <w:top w:val="nil"/>
              <w:left w:val="nil"/>
              <w:bottom w:val="single" w:sz="4" w:space="0" w:color="auto"/>
              <w:right w:val="single" w:sz="4" w:space="0" w:color="auto"/>
            </w:tcBorders>
            <w:shd w:val="clear" w:color="auto" w:fill="auto"/>
            <w:vAlign w:val="center"/>
            <w:hideMark/>
          </w:tcPr>
          <w:p w14:paraId="56DB3C5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33A6404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0BFBBA02" w14:textId="41DA0C2F"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Fish, Copepods, </w:t>
            </w:r>
            <w:r w:rsidR="009C5A73" w:rsidRPr="002751A3">
              <w:rPr>
                <w:rFonts w:ascii="Calibri" w:eastAsia="Times New Roman" w:hAnsi="Calibri" w:cs="Calibri"/>
                <w:color w:val="000000"/>
                <w:lang w:eastAsia="en-GB"/>
              </w:rPr>
              <w:t>C</w:t>
            </w:r>
            <w:r w:rsidR="009C5A73">
              <w:rPr>
                <w:rFonts w:ascii="Calibri" w:eastAsia="Times New Roman" w:hAnsi="Calibri" w:cs="Calibri"/>
                <w:color w:val="000000"/>
                <w:lang w:eastAsia="en-GB"/>
              </w:rPr>
              <w:t>a</w:t>
            </w:r>
            <w:r w:rsidR="009C5A73" w:rsidRPr="002751A3">
              <w:rPr>
                <w:rFonts w:ascii="Calibri" w:eastAsia="Times New Roman" w:hAnsi="Calibri" w:cs="Calibri"/>
                <w:color w:val="000000"/>
                <w:lang w:eastAsia="en-GB"/>
              </w:rPr>
              <w:t>rnivores</w:t>
            </w:r>
          </w:p>
        </w:tc>
        <w:tc>
          <w:tcPr>
            <w:tcW w:w="766" w:type="dxa"/>
            <w:tcBorders>
              <w:top w:val="nil"/>
              <w:left w:val="nil"/>
              <w:bottom w:val="single" w:sz="4" w:space="0" w:color="auto"/>
              <w:right w:val="single" w:sz="4" w:space="0" w:color="auto"/>
            </w:tcBorders>
            <w:shd w:val="clear" w:color="auto" w:fill="auto"/>
            <w:vAlign w:val="center"/>
            <w:hideMark/>
          </w:tcPr>
          <w:p w14:paraId="531BA1A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614CBE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6DFF12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40</w:t>
            </w:r>
          </w:p>
        </w:tc>
      </w:tr>
      <w:tr w:rsidR="00C36F76" w:rsidRPr="002751A3" w14:paraId="7312F8AB"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796E52A"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Dirofilaria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2E255D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20052F2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01EE5DD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Canines, Felines</w:t>
            </w:r>
          </w:p>
        </w:tc>
        <w:tc>
          <w:tcPr>
            <w:tcW w:w="766" w:type="dxa"/>
            <w:tcBorders>
              <w:top w:val="nil"/>
              <w:left w:val="nil"/>
              <w:bottom w:val="single" w:sz="4" w:space="0" w:color="auto"/>
              <w:right w:val="single" w:sz="4" w:space="0" w:color="auto"/>
            </w:tcBorders>
            <w:shd w:val="clear" w:color="auto" w:fill="auto"/>
            <w:vAlign w:val="center"/>
            <w:hideMark/>
          </w:tcPr>
          <w:p w14:paraId="3092817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F7E220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4EB546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41,42</w:t>
            </w:r>
          </w:p>
        </w:tc>
      </w:tr>
      <w:tr w:rsidR="00C36F76" w:rsidRPr="002751A3" w14:paraId="6B9B0B5D"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9DAA9DD" w14:textId="32B1BE3D"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Eastern equine encephalitis virus</w:t>
            </w:r>
          </w:p>
        </w:tc>
        <w:tc>
          <w:tcPr>
            <w:tcW w:w="1691" w:type="dxa"/>
            <w:tcBorders>
              <w:top w:val="nil"/>
              <w:left w:val="nil"/>
              <w:bottom w:val="single" w:sz="4" w:space="0" w:color="auto"/>
              <w:right w:val="single" w:sz="4" w:space="0" w:color="auto"/>
            </w:tcBorders>
            <w:shd w:val="clear" w:color="auto" w:fill="auto"/>
            <w:vAlign w:val="center"/>
            <w:hideMark/>
          </w:tcPr>
          <w:p w14:paraId="14B352F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3E8177E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07E109DF" w14:textId="1F249A59"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Horses,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vAlign w:val="center"/>
            <w:hideMark/>
          </w:tcPr>
          <w:p w14:paraId="5F4471A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FC8CBA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539205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43</w:t>
            </w:r>
          </w:p>
        </w:tc>
      </w:tr>
      <w:tr w:rsidR="00C36F76" w:rsidRPr="002751A3" w14:paraId="1C05F488"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360FD37D"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 xml:space="preserve">Echinococcus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noWrap/>
            <w:vAlign w:val="center"/>
            <w:hideMark/>
          </w:tcPr>
          <w:p w14:paraId="1831410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noWrap/>
            <w:vAlign w:val="center"/>
            <w:hideMark/>
          </w:tcPr>
          <w:p w14:paraId="34992CA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noWrap/>
            <w:vAlign w:val="center"/>
            <w:hideMark/>
          </w:tcPr>
          <w:p w14:paraId="7352942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Ruminants, Canines</w:t>
            </w:r>
          </w:p>
        </w:tc>
        <w:tc>
          <w:tcPr>
            <w:tcW w:w="766" w:type="dxa"/>
            <w:tcBorders>
              <w:top w:val="nil"/>
              <w:left w:val="nil"/>
              <w:bottom w:val="single" w:sz="4" w:space="0" w:color="auto"/>
              <w:right w:val="single" w:sz="4" w:space="0" w:color="auto"/>
            </w:tcBorders>
            <w:shd w:val="clear" w:color="auto" w:fill="auto"/>
            <w:noWrap/>
            <w:vAlign w:val="center"/>
            <w:hideMark/>
          </w:tcPr>
          <w:p w14:paraId="420975D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815</w:t>
            </w:r>
          </w:p>
        </w:tc>
        <w:tc>
          <w:tcPr>
            <w:tcW w:w="992" w:type="dxa"/>
            <w:tcBorders>
              <w:top w:val="nil"/>
              <w:left w:val="nil"/>
              <w:bottom w:val="single" w:sz="4" w:space="0" w:color="auto"/>
              <w:right w:val="single" w:sz="4" w:space="0" w:color="auto"/>
            </w:tcBorders>
            <w:shd w:val="clear" w:color="auto" w:fill="auto"/>
            <w:noWrap/>
            <w:vAlign w:val="center"/>
            <w:hideMark/>
          </w:tcPr>
          <w:p w14:paraId="7FFA168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0.64</w:t>
            </w:r>
          </w:p>
        </w:tc>
        <w:tc>
          <w:tcPr>
            <w:tcW w:w="1276" w:type="dxa"/>
            <w:tcBorders>
              <w:top w:val="nil"/>
              <w:left w:val="nil"/>
              <w:bottom w:val="single" w:sz="4" w:space="0" w:color="auto"/>
              <w:right w:val="single" w:sz="4" w:space="0" w:color="auto"/>
            </w:tcBorders>
            <w:shd w:val="clear" w:color="auto" w:fill="auto"/>
            <w:noWrap/>
            <w:vAlign w:val="bottom"/>
            <w:hideMark/>
          </w:tcPr>
          <w:p w14:paraId="3840764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44</w:t>
            </w:r>
          </w:p>
        </w:tc>
      </w:tr>
      <w:tr w:rsidR="00C36F76" w:rsidRPr="002751A3" w14:paraId="7159EB7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B82D97A"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 xml:space="preserve">Echinostomatid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vAlign w:val="center"/>
            <w:hideMark/>
          </w:tcPr>
          <w:p w14:paraId="55DDEF8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3E3A7EC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651DB037" w14:textId="5A421AD4"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Mammals, Reptiles, Fish</w:t>
            </w:r>
          </w:p>
        </w:tc>
        <w:tc>
          <w:tcPr>
            <w:tcW w:w="766" w:type="dxa"/>
            <w:tcBorders>
              <w:top w:val="nil"/>
              <w:left w:val="nil"/>
              <w:bottom w:val="single" w:sz="4" w:space="0" w:color="auto"/>
              <w:right w:val="single" w:sz="4" w:space="0" w:color="auto"/>
            </w:tcBorders>
            <w:shd w:val="clear" w:color="auto" w:fill="auto"/>
            <w:vAlign w:val="center"/>
            <w:hideMark/>
          </w:tcPr>
          <w:p w14:paraId="3EFE22B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686C68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B7B398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45</w:t>
            </w:r>
          </w:p>
        </w:tc>
      </w:tr>
      <w:tr w:rsidR="00C36F76" w:rsidRPr="002751A3" w14:paraId="3128A0A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1AC34B1"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Ehrlichia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66E1DC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29792CF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28BED91F" w14:textId="350C1055"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Deer,</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Canines, Rodents</w:t>
            </w:r>
          </w:p>
        </w:tc>
        <w:tc>
          <w:tcPr>
            <w:tcW w:w="766" w:type="dxa"/>
            <w:tcBorders>
              <w:top w:val="nil"/>
              <w:left w:val="nil"/>
              <w:bottom w:val="single" w:sz="4" w:space="0" w:color="auto"/>
              <w:right w:val="single" w:sz="4" w:space="0" w:color="auto"/>
            </w:tcBorders>
            <w:shd w:val="clear" w:color="auto" w:fill="auto"/>
            <w:vAlign w:val="center"/>
            <w:hideMark/>
          </w:tcPr>
          <w:p w14:paraId="3C9C487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295AF2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36DAA3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46</w:t>
            </w:r>
          </w:p>
        </w:tc>
      </w:tr>
      <w:tr w:rsidR="00C36F76" w:rsidRPr="002751A3" w14:paraId="01FB303F"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EA907BA"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Entamoeba</w:t>
            </w:r>
          </w:p>
        </w:tc>
        <w:tc>
          <w:tcPr>
            <w:tcW w:w="1691" w:type="dxa"/>
            <w:tcBorders>
              <w:top w:val="nil"/>
              <w:left w:val="nil"/>
              <w:bottom w:val="single" w:sz="4" w:space="0" w:color="auto"/>
              <w:right w:val="single" w:sz="4" w:space="0" w:color="auto"/>
            </w:tcBorders>
            <w:shd w:val="clear" w:color="auto" w:fill="auto"/>
            <w:vAlign w:val="center"/>
            <w:hideMark/>
          </w:tcPr>
          <w:p w14:paraId="359A669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Amoeba</w:t>
            </w:r>
          </w:p>
        </w:tc>
        <w:tc>
          <w:tcPr>
            <w:tcW w:w="1576" w:type="dxa"/>
            <w:tcBorders>
              <w:top w:val="nil"/>
              <w:left w:val="nil"/>
              <w:bottom w:val="single" w:sz="4" w:space="0" w:color="auto"/>
              <w:right w:val="single" w:sz="4" w:space="0" w:color="auto"/>
            </w:tcBorders>
            <w:shd w:val="clear" w:color="auto" w:fill="auto"/>
            <w:vAlign w:val="center"/>
            <w:hideMark/>
          </w:tcPr>
          <w:p w14:paraId="7F5E06E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C;O(W)</w:t>
            </w:r>
          </w:p>
        </w:tc>
        <w:tc>
          <w:tcPr>
            <w:tcW w:w="5361" w:type="dxa"/>
            <w:tcBorders>
              <w:top w:val="nil"/>
              <w:left w:val="nil"/>
              <w:bottom w:val="single" w:sz="4" w:space="0" w:color="auto"/>
              <w:right w:val="single" w:sz="4" w:space="0" w:color="auto"/>
            </w:tcBorders>
            <w:shd w:val="clear" w:color="auto" w:fill="auto"/>
            <w:vAlign w:val="center"/>
            <w:hideMark/>
          </w:tcPr>
          <w:p w14:paraId="553C465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766" w:type="dxa"/>
            <w:tcBorders>
              <w:top w:val="nil"/>
              <w:left w:val="nil"/>
              <w:bottom w:val="single" w:sz="4" w:space="0" w:color="auto"/>
              <w:right w:val="single" w:sz="4" w:space="0" w:color="auto"/>
            </w:tcBorders>
            <w:shd w:val="clear" w:color="auto" w:fill="auto"/>
            <w:vAlign w:val="center"/>
            <w:hideMark/>
          </w:tcPr>
          <w:p w14:paraId="0462E02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03E17A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91D3EB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47</w:t>
            </w:r>
          </w:p>
        </w:tc>
      </w:tr>
      <w:tr w:rsidR="00C36F76" w:rsidRPr="002751A3" w14:paraId="4765C0E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1C76A4D9"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707D99">
              <w:rPr>
                <w:rFonts w:ascii="Calibri" w:eastAsia="Times New Roman" w:hAnsi="Calibri" w:cs="Calibri"/>
                <w:i/>
                <w:iCs/>
                <w:color w:val="000000"/>
                <w:sz w:val="20"/>
                <w:szCs w:val="20"/>
                <w:lang w:eastAsia="en-GB"/>
              </w:rPr>
              <w:t>Enterococcus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0E9EE90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015DC9D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06152E5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host range</w:t>
            </w:r>
          </w:p>
        </w:tc>
        <w:tc>
          <w:tcPr>
            <w:tcW w:w="766" w:type="dxa"/>
            <w:tcBorders>
              <w:top w:val="nil"/>
              <w:left w:val="nil"/>
              <w:bottom w:val="single" w:sz="4" w:space="0" w:color="auto"/>
              <w:right w:val="single" w:sz="4" w:space="0" w:color="auto"/>
            </w:tcBorders>
            <w:shd w:val="clear" w:color="auto" w:fill="auto"/>
            <w:vAlign w:val="center"/>
            <w:hideMark/>
          </w:tcPr>
          <w:p w14:paraId="759EEB3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CB354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6B48BD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48</w:t>
            </w:r>
          </w:p>
        </w:tc>
      </w:tr>
      <w:tr w:rsidR="00C36F76" w:rsidRPr="002751A3" w14:paraId="2197B23A"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5A612D2"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Enterocytozoon bieneusi</w:t>
            </w:r>
          </w:p>
        </w:tc>
        <w:tc>
          <w:tcPr>
            <w:tcW w:w="1691" w:type="dxa"/>
            <w:tcBorders>
              <w:top w:val="nil"/>
              <w:left w:val="nil"/>
              <w:bottom w:val="single" w:sz="4" w:space="0" w:color="auto"/>
              <w:right w:val="single" w:sz="4" w:space="0" w:color="auto"/>
            </w:tcBorders>
            <w:shd w:val="clear" w:color="auto" w:fill="auto"/>
            <w:vAlign w:val="center"/>
            <w:hideMark/>
          </w:tcPr>
          <w:p w14:paraId="6F2CBEE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Fungus</w:t>
            </w:r>
          </w:p>
        </w:tc>
        <w:tc>
          <w:tcPr>
            <w:tcW w:w="1576" w:type="dxa"/>
            <w:tcBorders>
              <w:top w:val="nil"/>
              <w:left w:val="nil"/>
              <w:bottom w:val="single" w:sz="4" w:space="0" w:color="auto"/>
              <w:right w:val="single" w:sz="4" w:space="0" w:color="auto"/>
            </w:tcBorders>
            <w:shd w:val="clear" w:color="auto" w:fill="auto"/>
            <w:vAlign w:val="center"/>
            <w:hideMark/>
          </w:tcPr>
          <w:p w14:paraId="22A4A21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w:t>
            </w:r>
          </w:p>
        </w:tc>
        <w:tc>
          <w:tcPr>
            <w:tcW w:w="5361" w:type="dxa"/>
            <w:tcBorders>
              <w:top w:val="nil"/>
              <w:left w:val="nil"/>
              <w:bottom w:val="single" w:sz="4" w:space="0" w:color="auto"/>
              <w:right w:val="single" w:sz="4" w:space="0" w:color="auto"/>
            </w:tcBorders>
            <w:shd w:val="clear" w:color="auto" w:fill="auto"/>
            <w:vAlign w:val="center"/>
            <w:hideMark/>
          </w:tcPr>
          <w:p w14:paraId="20EB6E6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w:t>
            </w:r>
          </w:p>
        </w:tc>
        <w:tc>
          <w:tcPr>
            <w:tcW w:w="766" w:type="dxa"/>
            <w:tcBorders>
              <w:top w:val="nil"/>
              <w:left w:val="nil"/>
              <w:bottom w:val="single" w:sz="4" w:space="0" w:color="auto"/>
              <w:right w:val="single" w:sz="4" w:space="0" w:color="auto"/>
            </w:tcBorders>
            <w:shd w:val="clear" w:color="auto" w:fill="auto"/>
            <w:vAlign w:val="center"/>
            <w:hideMark/>
          </w:tcPr>
          <w:p w14:paraId="02F8212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41D32B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F300E0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49</w:t>
            </w:r>
          </w:p>
        </w:tc>
      </w:tr>
      <w:tr w:rsidR="00C36F76" w:rsidRPr="002751A3" w14:paraId="0EA8A1B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539D1789" w14:textId="77777777" w:rsidR="00C36F76" w:rsidRPr="00707D99" w:rsidRDefault="00C36F76" w:rsidP="005C116B">
            <w:pPr>
              <w:spacing w:after="0" w:line="240" w:lineRule="auto"/>
              <w:rPr>
                <w:rFonts w:ascii="Calibri" w:eastAsia="Times New Roman" w:hAnsi="Calibri" w:cs="Calibri"/>
                <w:i/>
                <w:iCs/>
                <w:color w:val="000000"/>
                <w:sz w:val="20"/>
                <w:szCs w:val="20"/>
                <w:lang w:eastAsia="en-GB"/>
              </w:rPr>
            </w:pPr>
            <w:r w:rsidRPr="00707D99">
              <w:rPr>
                <w:rFonts w:ascii="Calibri" w:eastAsia="Times New Roman" w:hAnsi="Calibri" w:cs="Calibri"/>
                <w:i/>
                <w:iCs/>
                <w:color w:val="000000"/>
                <w:sz w:val="20"/>
                <w:szCs w:val="20"/>
                <w:lang w:eastAsia="en-GB"/>
              </w:rPr>
              <w:t>Escherichia coli</w:t>
            </w:r>
          </w:p>
        </w:tc>
        <w:tc>
          <w:tcPr>
            <w:tcW w:w="1691" w:type="dxa"/>
            <w:tcBorders>
              <w:top w:val="nil"/>
              <w:left w:val="nil"/>
              <w:bottom w:val="single" w:sz="4" w:space="0" w:color="auto"/>
              <w:right w:val="single" w:sz="4" w:space="0" w:color="auto"/>
            </w:tcBorders>
            <w:shd w:val="clear" w:color="auto" w:fill="auto"/>
            <w:noWrap/>
            <w:vAlign w:val="center"/>
            <w:hideMark/>
          </w:tcPr>
          <w:p w14:paraId="4C9CD30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3757F7A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44C57CA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livestock</w:t>
            </w:r>
          </w:p>
        </w:tc>
        <w:tc>
          <w:tcPr>
            <w:tcW w:w="766" w:type="dxa"/>
            <w:tcBorders>
              <w:top w:val="nil"/>
              <w:left w:val="nil"/>
              <w:bottom w:val="single" w:sz="4" w:space="0" w:color="auto"/>
              <w:right w:val="single" w:sz="4" w:space="0" w:color="auto"/>
            </w:tcBorders>
            <w:shd w:val="clear" w:color="auto" w:fill="auto"/>
            <w:noWrap/>
            <w:vAlign w:val="center"/>
            <w:hideMark/>
          </w:tcPr>
          <w:p w14:paraId="674C774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6311</w:t>
            </w:r>
          </w:p>
        </w:tc>
        <w:tc>
          <w:tcPr>
            <w:tcW w:w="992" w:type="dxa"/>
            <w:tcBorders>
              <w:top w:val="nil"/>
              <w:left w:val="nil"/>
              <w:bottom w:val="single" w:sz="4" w:space="0" w:color="auto"/>
              <w:right w:val="single" w:sz="4" w:space="0" w:color="auto"/>
            </w:tcBorders>
            <w:shd w:val="clear" w:color="auto" w:fill="auto"/>
            <w:noWrap/>
            <w:vAlign w:val="center"/>
            <w:hideMark/>
          </w:tcPr>
          <w:p w14:paraId="7B88996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0.30</w:t>
            </w:r>
          </w:p>
        </w:tc>
        <w:tc>
          <w:tcPr>
            <w:tcW w:w="1276" w:type="dxa"/>
            <w:tcBorders>
              <w:top w:val="nil"/>
              <w:left w:val="nil"/>
              <w:bottom w:val="single" w:sz="4" w:space="0" w:color="auto"/>
              <w:right w:val="single" w:sz="4" w:space="0" w:color="auto"/>
            </w:tcBorders>
            <w:shd w:val="clear" w:color="auto" w:fill="auto"/>
            <w:noWrap/>
            <w:vAlign w:val="bottom"/>
            <w:hideMark/>
          </w:tcPr>
          <w:p w14:paraId="4271467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50</w:t>
            </w:r>
          </w:p>
        </w:tc>
      </w:tr>
      <w:tr w:rsidR="00C36F76" w:rsidRPr="002751A3" w14:paraId="4347F86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651A21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Eucoleus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34C3D1F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575B2F4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603166E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 and Feline</w:t>
            </w:r>
          </w:p>
        </w:tc>
        <w:tc>
          <w:tcPr>
            <w:tcW w:w="766" w:type="dxa"/>
            <w:tcBorders>
              <w:top w:val="nil"/>
              <w:left w:val="nil"/>
              <w:bottom w:val="single" w:sz="4" w:space="0" w:color="auto"/>
              <w:right w:val="single" w:sz="4" w:space="0" w:color="auto"/>
            </w:tcBorders>
            <w:shd w:val="clear" w:color="auto" w:fill="auto"/>
            <w:vAlign w:val="center"/>
            <w:hideMark/>
          </w:tcPr>
          <w:p w14:paraId="6245508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83050F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09F1DD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51</w:t>
            </w:r>
          </w:p>
        </w:tc>
      </w:tr>
      <w:tr w:rsidR="00C36F76" w:rsidRPr="002751A3" w14:paraId="49140789"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B12401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 xml:space="preserve">Everglades virus </w:t>
            </w:r>
          </w:p>
        </w:tc>
        <w:tc>
          <w:tcPr>
            <w:tcW w:w="1691" w:type="dxa"/>
            <w:tcBorders>
              <w:top w:val="nil"/>
              <w:left w:val="nil"/>
              <w:bottom w:val="single" w:sz="4" w:space="0" w:color="auto"/>
              <w:right w:val="single" w:sz="4" w:space="0" w:color="auto"/>
            </w:tcBorders>
            <w:shd w:val="clear" w:color="auto" w:fill="auto"/>
            <w:vAlign w:val="center"/>
            <w:hideMark/>
          </w:tcPr>
          <w:p w14:paraId="4631B20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7B87CA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23716CE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516C3F1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0BE7A9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67246D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52</w:t>
            </w:r>
          </w:p>
        </w:tc>
      </w:tr>
      <w:tr w:rsidR="00C36F76" w:rsidRPr="002751A3" w14:paraId="09DEFD84"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071E86A"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Fasciola hepatica</w:t>
            </w:r>
          </w:p>
        </w:tc>
        <w:tc>
          <w:tcPr>
            <w:tcW w:w="1691" w:type="dxa"/>
            <w:tcBorders>
              <w:top w:val="nil"/>
              <w:left w:val="nil"/>
              <w:bottom w:val="single" w:sz="4" w:space="0" w:color="auto"/>
              <w:right w:val="single" w:sz="4" w:space="0" w:color="auto"/>
            </w:tcBorders>
            <w:shd w:val="clear" w:color="auto" w:fill="auto"/>
            <w:vAlign w:val="center"/>
            <w:hideMark/>
          </w:tcPr>
          <w:p w14:paraId="4CEDF59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5FF3557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O(W)(F)</w:t>
            </w:r>
          </w:p>
        </w:tc>
        <w:tc>
          <w:tcPr>
            <w:tcW w:w="5361" w:type="dxa"/>
            <w:tcBorders>
              <w:top w:val="nil"/>
              <w:left w:val="nil"/>
              <w:bottom w:val="single" w:sz="4" w:space="0" w:color="auto"/>
              <w:right w:val="single" w:sz="4" w:space="0" w:color="auto"/>
            </w:tcBorders>
            <w:shd w:val="clear" w:color="auto" w:fill="auto"/>
            <w:vAlign w:val="center"/>
            <w:hideMark/>
          </w:tcPr>
          <w:p w14:paraId="15232F4C" w14:textId="651248DB"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Bovine, </w:t>
            </w:r>
            <w:r w:rsidR="009C5A73" w:rsidRPr="002751A3">
              <w:rPr>
                <w:rFonts w:ascii="Calibri" w:eastAsia="Times New Roman" w:hAnsi="Calibri" w:cs="Calibri"/>
                <w:color w:val="000000"/>
                <w:lang w:eastAsia="en-GB"/>
              </w:rPr>
              <w:t>M</w:t>
            </w:r>
            <w:r w:rsidR="009C5A73">
              <w:rPr>
                <w:rFonts w:ascii="Calibri" w:eastAsia="Times New Roman" w:hAnsi="Calibri" w:cs="Calibri"/>
                <w:color w:val="000000"/>
                <w:lang w:eastAsia="en-GB"/>
              </w:rPr>
              <w:t>o</w:t>
            </w:r>
            <w:r w:rsidR="009C5A73" w:rsidRPr="002751A3">
              <w:rPr>
                <w:rFonts w:ascii="Calibri" w:eastAsia="Times New Roman" w:hAnsi="Calibri" w:cs="Calibri"/>
                <w:color w:val="000000"/>
                <w:lang w:eastAsia="en-GB"/>
              </w:rPr>
              <w:t>ll</w:t>
            </w:r>
            <w:r w:rsidR="009C5A73">
              <w:rPr>
                <w:rFonts w:ascii="Calibri" w:eastAsia="Times New Roman" w:hAnsi="Calibri" w:cs="Calibri"/>
                <w:color w:val="000000"/>
                <w:lang w:eastAsia="en-GB"/>
              </w:rPr>
              <w:t>u</w:t>
            </w:r>
            <w:r w:rsidR="009C5A73" w:rsidRPr="002751A3">
              <w:rPr>
                <w:rFonts w:ascii="Calibri" w:eastAsia="Times New Roman" w:hAnsi="Calibri" w:cs="Calibri"/>
                <w:color w:val="000000"/>
                <w:lang w:eastAsia="en-GB"/>
              </w:rPr>
              <w:t xml:space="preserve">sca </w:t>
            </w:r>
          </w:p>
        </w:tc>
        <w:tc>
          <w:tcPr>
            <w:tcW w:w="766" w:type="dxa"/>
            <w:tcBorders>
              <w:top w:val="nil"/>
              <w:left w:val="nil"/>
              <w:bottom w:val="single" w:sz="4" w:space="0" w:color="auto"/>
              <w:right w:val="single" w:sz="4" w:space="0" w:color="auto"/>
            </w:tcBorders>
            <w:shd w:val="clear" w:color="auto" w:fill="auto"/>
            <w:vAlign w:val="center"/>
            <w:hideMark/>
          </w:tcPr>
          <w:p w14:paraId="01DA216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83FEEA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7B3DAD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53</w:t>
            </w:r>
          </w:p>
        </w:tc>
      </w:tr>
      <w:tr w:rsidR="00C36F76" w:rsidRPr="002751A3" w14:paraId="7CCEE5A8"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4AB06627"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Francisella tularensis</w:t>
            </w:r>
          </w:p>
        </w:tc>
        <w:tc>
          <w:tcPr>
            <w:tcW w:w="1691" w:type="dxa"/>
            <w:tcBorders>
              <w:top w:val="nil"/>
              <w:left w:val="nil"/>
              <w:bottom w:val="single" w:sz="4" w:space="0" w:color="auto"/>
              <w:right w:val="single" w:sz="4" w:space="0" w:color="auto"/>
            </w:tcBorders>
            <w:shd w:val="clear" w:color="auto" w:fill="auto"/>
            <w:noWrap/>
            <w:vAlign w:val="center"/>
            <w:hideMark/>
          </w:tcPr>
          <w:p w14:paraId="6C4BBEA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30DE20B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V(T,BF,MOS)</w:t>
            </w:r>
          </w:p>
        </w:tc>
        <w:tc>
          <w:tcPr>
            <w:tcW w:w="5361" w:type="dxa"/>
            <w:tcBorders>
              <w:top w:val="nil"/>
              <w:left w:val="nil"/>
              <w:bottom w:val="single" w:sz="4" w:space="0" w:color="auto"/>
              <w:right w:val="single" w:sz="4" w:space="0" w:color="auto"/>
            </w:tcBorders>
            <w:shd w:val="clear" w:color="auto" w:fill="auto"/>
            <w:noWrap/>
            <w:vAlign w:val="center"/>
            <w:hideMark/>
          </w:tcPr>
          <w:p w14:paraId="549A566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Squirrels, Rabbits</w:t>
            </w:r>
          </w:p>
        </w:tc>
        <w:tc>
          <w:tcPr>
            <w:tcW w:w="766" w:type="dxa"/>
            <w:tcBorders>
              <w:top w:val="nil"/>
              <w:left w:val="nil"/>
              <w:bottom w:val="single" w:sz="4" w:space="0" w:color="auto"/>
              <w:right w:val="single" w:sz="4" w:space="0" w:color="auto"/>
            </w:tcBorders>
            <w:shd w:val="clear" w:color="auto" w:fill="auto"/>
            <w:noWrap/>
            <w:vAlign w:val="center"/>
            <w:hideMark/>
          </w:tcPr>
          <w:p w14:paraId="3FF1E7F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585</w:t>
            </w:r>
          </w:p>
        </w:tc>
        <w:tc>
          <w:tcPr>
            <w:tcW w:w="992" w:type="dxa"/>
            <w:tcBorders>
              <w:top w:val="nil"/>
              <w:left w:val="nil"/>
              <w:bottom w:val="single" w:sz="4" w:space="0" w:color="auto"/>
              <w:right w:val="single" w:sz="4" w:space="0" w:color="auto"/>
            </w:tcBorders>
            <w:shd w:val="clear" w:color="auto" w:fill="auto"/>
            <w:noWrap/>
            <w:vAlign w:val="center"/>
            <w:hideMark/>
          </w:tcPr>
          <w:p w14:paraId="3E5DB9B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3.05</w:t>
            </w:r>
          </w:p>
        </w:tc>
        <w:tc>
          <w:tcPr>
            <w:tcW w:w="1276" w:type="dxa"/>
            <w:tcBorders>
              <w:top w:val="nil"/>
              <w:left w:val="nil"/>
              <w:bottom w:val="single" w:sz="4" w:space="0" w:color="auto"/>
              <w:right w:val="single" w:sz="4" w:space="0" w:color="auto"/>
            </w:tcBorders>
            <w:shd w:val="clear" w:color="auto" w:fill="auto"/>
            <w:noWrap/>
            <w:vAlign w:val="bottom"/>
            <w:hideMark/>
          </w:tcPr>
          <w:p w14:paraId="2CA97A8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54</w:t>
            </w:r>
          </w:p>
        </w:tc>
      </w:tr>
      <w:tr w:rsidR="00C36F76" w:rsidRPr="002751A3" w14:paraId="31627ACB"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284D62F5"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Giardia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3BDA0D7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Diplomonad</w:t>
            </w:r>
          </w:p>
        </w:tc>
        <w:tc>
          <w:tcPr>
            <w:tcW w:w="1576" w:type="dxa"/>
            <w:tcBorders>
              <w:top w:val="nil"/>
              <w:left w:val="nil"/>
              <w:bottom w:val="single" w:sz="4" w:space="0" w:color="auto"/>
              <w:right w:val="single" w:sz="4" w:space="0" w:color="auto"/>
            </w:tcBorders>
            <w:shd w:val="clear" w:color="auto" w:fill="auto"/>
            <w:noWrap/>
            <w:vAlign w:val="center"/>
            <w:hideMark/>
          </w:tcPr>
          <w:p w14:paraId="3743A4D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noWrap/>
            <w:vAlign w:val="center"/>
            <w:hideMark/>
          </w:tcPr>
          <w:p w14:paraId="3917835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range of hosts Including livestock and felines and canines</w:t>
            </w:r>
          </w:p>
        </w:tc>
        <w:tc>
          <w:tcPr>
            <w:tcW w:w="766" w:type="dxa"/>
            <w:tcBorders>
              <w:top w:val="nil"/>
              <w:left w:val="nil"/>
              <w:bottom w:val="single" w:sz="4" w:space="0" w:color="auto"/>
              <w:right w:val="single" w:sz="4" w:space="0" w:color="auto"/>
            </w:tcBorders>
            <w:shd w:val="clear" w:color="auto" w:fill="auto"/>
            <w:noWrap/>
            <w:vAlign w:val="center"/>
            <w:hideMark/>
          </w:tcPr>
          <w:p w14:paraId="5616025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18242</w:t>
            </w:r>
          </w:p>
        </w:tc>
        <w:tc>
          <w:tcPr>
            <w:tcW w:w="992" w:type="dxa"/>
            <w:tcBorders>
              <w:top w:val="nil"/>
              <w:left w:val="nil"/>
              <w:bottom w:val="single" w:sz="4" w:space="0" w:color="auto"/>
              <w:right w:val="single" w:sz="4" w:space="0" w:color="auto"/>
            </w:tcBorders>
            <w:shd w:val="clear" w:color="auto" w:fill="auto"/>
            <w:noWrap/>
            <w:vAlign w:val="center"/>
            <w:hideMark/>
          </w:tcPr>
          <w:p w14:paraId="2564686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0.05</w:t>
            </w:r>
          </w:p>
        </w:tc>
        <w:tc>
          <w:tcPr>
            <w:tcW w:w="1276" w:type="dxa"/>
            <w:tcBorders>
              <w:top w:val="nil"/>
              <w:left w:val="nil"/>
              <w:bottom w:val="single" w:sz="4" w:space="0" w:color="auto"/>
              <w:right w:val="single" w:sz="4" w:space="0" w:color="auto"/>
            </w:tcBorders>
            <w:shd w:val="clear" w:color="auto" w:fill="auto"/>
            <w:noWrap/>
            <w:vAlign w:val="bottom"/>
            <w:hideMark/>
          </w:tcPr>
          <w:p w14:paraId="1805CBA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55</w:t>
            </w:r>
          </w:p>
        </w:tc>
      </w:tr>
      <w:tr w:rsidR="00C36F76" w:rsidRPr="002751A3" w14:paraId="4408EC3F"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A0D8F45"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Gongylonema neoplasticum</w:t>
            </w:r>
          </w:p>
        </w:tc>
        <w:tc>
          <w:tcPr>
            <w:tcW w:w="1691" w:type="dxa"/>
            <w:tcBorders>
              <w:top w:val="nil"/>
              <w:left w:val="nil"/>
              <w:bottom w:val="single" w:sz="4" w:space="0" w:color="auto"/>
              <w:right w:val="single" w:sz="4" w:space="0" w:color="auto"/>
            </w:tcBorders>
            <w:shd w:val="clear" w:color="auto" w:fill="auto"/>
            <w:vAlign w:val="center"/>
            <w:hideMark/>
          </w:tcPr>
          <w:p w14:paraId="653E158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19CC65C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51699B0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5B6D083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0E070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D3F64C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56</w:t>
            </w:r>
          </w:p>
        </w:tc>
      </w:tr>
      <w:tr w:rsidR="00C36F76" w:rsidRPr="002751A3" w14:paraId="4680BF70"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255C11AB"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Hantavirus</w:t>
            </w:r>
          </w:p>
        </w:tc>
        <w:tc>
          <w:tcPr>
            <w:tcW w:w="1691" w:type="dxa"/>
            <w:tcBorders>
              <w:top w:val="nil"/>
              <w:left w:val="nil"/>
              <w:bottom w:val="single" w:sz="4" w:space="0" w:color="auto"/>
              <w:right w:val="single" w:sz="4" w:space="0" w:color="auto"/>
            </w:tcBorders>
            <w:shd w:val="clear" w:color="auto" w:fill="auto"/>
            <w:noWrap/>
            <w:vAlign w:val="center"/>
            <w:hideMark/>
          </w:tcPr>
          <w:p w14:paraId="581E8C5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noWrap/>
            <w:vAlign w:val="center"/>
            <w:hideMark/>
          </w:tcPr>
          <w:p w14:paraId="26FB8AF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noWrap/>
            <w:vAlign w:val="center"/>
            <w:hideMark/>
          </w:tcPr>
          <w:p w14:paraId="1B0E6AD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Small mammals</w:t>
            </w:r>
          </w:p>
        </w:tc>
        <w:tc>
          <w:tcPr>
            <w:tcW w:w="766" w:type="dxa"/>
            <w:tcBorders>
              <w:top w:val="nil"/>
              <w:left w:val="nil"/>
              <w:bottom w:val="single" w:sz="4" w:space="0" w:color="auto"/>
              <w:right w:val="single" w:sz="4" w:space="0" w:color="auto"/>
            </w:tcBorders>
            <w:shd w:val="clear" w:color="auto" w:fill="auto"/>
            <w:noWrap/>
            <w:vAlign w:val="center"/>
            <w:hideMark/>
          </w:tcPr>
          <w:p w14:paraId="1325766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1236*</w:t>
            </w:r>
          </w:p>
        </w:tc>
        <w:tc>
          <w:tcPr>
            <w:tcW w:w="992" w:type="dxa"/>
            <w:tcBorders>
              <w:top w:val="nil"/>
              <w:left w:val="nil"/>
              <w:bottom w:val="single" w:sz="4" w:space="0" w:color="auto"/>
              <w:right w:val="single" w:sz="4" w:space="0" w:color="auto"/>
            </w:tcBorders>
            <w:shd w:val="clear" w:color="auto" w:fill="auto"/>
            <w:noWrap/>
            <w:vAlign w:val="center"/>
            <w:hideMark/>
          </w:tcPr>
          <w:p w14:paraId="1F3CEF8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NA</w:t>
            </w:r>
          </w:p>
        </w:tc>
        <w:tc>
          <w:tcPr>
            <w:tcW w:w="1276" w:type="dxa"/>
            <w:tcBorders>
              <w:top w:val="nil"/>
              <w:left w:val="nil"/>
              <w:bottom w:val="single" w:sz="4" w:space="0" w:color="auto"/>
              <w:right w:val="single" w:sz="4" w:space="0" w:color="auto"/>
            </w:tcBorders>
            <w:shd w:val="clear" w:color="auto" w:fill="auto"/>
            <w:noWrap/>
            <w:vAlign w:val="bottom"/>
            <w:hideMark/>
          </w:tcPr>
          <w:p w14:paraId="7FBE66F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57</w:t>
            </w:r>
          </w:p>
        </w:tc>
      </w:tr>
      <w:tr w:rsidR="00C36F76" w:rsidRPr="002751A3" w14:paraId="280C7DEA"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43CFE08"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Haplorchis pumilio</w:t>
            </w:r>
          </w:p>
        </w:tc>
        <w:tc>
          <w:tcPr>
            <w:tcW w:w="1691" w:type="dxa"/>
            <w:tcBorders>
              <w:top w:val="nil"/>
              <w:left w:val="nil"/>
              <w:bottom w:val="single" w:sz="4" w:space="0" w:color="auto"/>
              <w:right w:val="single" w:sz="4" w:space="0" w:color="auto"/>
            </w:tcBorders>
            <w:shd w:val="clear" w:color="auto" w:fill="auto"/>
            <w:vAlign w:val="center"/>
            <w:hideMark/>
          </w:tcPr>
          <w:p w14:paraId="42EA6AA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360A31C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40257AF6" w14:textId="197C9314"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Canines, Felines, Pigs</w:t>
            </w:r>
          </w:p>
        </w:tc>
        <w:tc>
          <w:tcPr>
            <w:tcW w:w="766" w:type="dxa"/>
            <w:tcBorders>
              <w:top w:val="nil"/>
              <w:left w:val="nil"/>
              <w:bottom w:val="single" w:sz="4" w:space="0" w:color="auto"/>
              <w:right w:val="single" w:sz="4" w:space="0" w:color="auto"/>
            </w:tcBorders>
            <w:shd w:val="clear" w:color="auto" w:fill="auto"/>
            <w:vAlign w:val="center"/>
            <w:hideMark/>
          </w:tcPr>
          <w:p w14:paraId="78EB020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AB9145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94E332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58</w:t>
            </w:r>
          </w:p>
        </w:tc>
      </w:tr>
      <w:tr w:rsidR="00C36F76" w:rsidRPr="002751A3" w14:paraId="4547DC44"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247365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lastRenderedPageBreak/>
              <w:t>Hepatitis E</w:t>
            </w:r>
          </w:p>
        </w:tc>
        <w:tc>
          <w:tcPr>
            <w:tcW w:w="1691" w:type="dxa"/>
            <w:tcBorders>
              <w:top w:val="nil"/>
              <w:left w:val="nil"/>
              <w:bottom w:val="single" w:sz="4" w:space="0" w:color="auto"/>
              <w:right w:val="single" w:sz="4" w:space="0" w:color="auto"/>
            </w:tcBorders>
            <w:shd w:val="clear" w:color="auto" w:fill="auto"/>
            <w:vAlign w:val="center"/>
            <w:hideMark/>
          </w:tcPr>
          <w:p w14:paraId="00FBF07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5C449E5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4F7B0DF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pigs, poultry, ruminants, rodents</w:t>
            </w:r>
          </w:p>
        </w:tc>
        <w:tc>
          <w:tcPr>
            <w:tcW w:w="766" w:type="dxa"/>
            <w:tcBorders>
              <w:top w:val="nil"/>
              <w:left w:val="nil"/>
              <w:bottom w:val="single" w:sz="4" w:space="0" w:color="auto"/>
              <w:right w:val="single" w:sz="4" w:space="0" w:color="auto"/>
            </w:tcBorders>
            <w:shd w:val="clear" w:color="auto" w:fill="auto"/>
            <w:vAlign w:val="center"/>
            <w:hideMark/>
          </w:tcPr>
          <w:p w14:paraId="3ED2D94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9E7376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644B7B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59</w:t>
            </w:r>
          </w:p>
        </w:tc>
      </w:tr>
      <w:tr w:rsidR="00C36F76" w:rsidRPr="002751A3" w14:paraId="47A4240F"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70D9E3F5"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Hepatozoon canis</w:t>
            </w:r>
          </w:p>
        </w:tc>
        <w:tc>
          <w:tcPr>
            <w:tcW w:w="1691" w:type="dxa"/>
            <w:tcBorders>
              <w:top w:val="nil"/>
              <w:left w:val="nil"/>
              <w:bottom w:val="single" w:sz="4" w:space="0" w:color="auto"/>
              <w:right w:val="single" w:sz="4" w:space="0" w:color="auto"/>
            </w:tcBorders>
            <w:shd w:val="clear" w:color="auto" w:fill="auto"/>
            <w:vAlign w:val="center"/>
            <w:hideMark/>
          </w:tcPr>
          <w:p w14:paraId="720B243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vAlign w:val="center"/>
            <w:hideMark/>
          </w:tcPr>
          <w:p w14:paraId="307A2A4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59B4B1D8" w14:textId="0981D4FA"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Dogs, </w:t>
            </w:r>
            <w:r w:rsidR="009C5A73" w:rsidRPr="002751A3">
              <w:rPr>
                <w:rFonts w:ascii="Calibri" w:eastAsia="Times New Roman" w:hAnsi="Calibri" w:cs="Calibri"/>
                <w:color w:val="000000"/>
                <w:lang w:eastAsia="en-GB"/>
              </w:rPr>
              <w:t>hematophagous</w:t>
            </w:r>
            <w:r w:rsidRPr="002751A3">
              <w:rPr>
                <w:rFonts w:ascii="Calibri" w:eastAsia="Times New Roman" w:hAnsi="Calibri" w:cs="Calibri"/>
                <w:color w:val="000000"/>
                <w:lang w:eastAsia="en-GB"/>
              </w:rPr>
              <w:t xml:space="preserve"> arthropods</w:t>
            </w:r>
          </w:p>
        </w:tc>
        <w:tc>
          <w:tcPr>
            <w:tcW w:w="766" w:type="dxa"/>
            <w:tcBorders>
              <w:top w:val="nil"/>
              <w:left w:val="nil"/>
              <w:bottom w:val="single" w:sz="4" w:space="0" w:color="auto"/>
              <w:right w:val="single" w:sz="4" w:space="0" w:color="auto"/>
            </w:tcBorders>
            <w:shd w:val="clear" w:color="auto" w:fill="auto"/>
            <w:vAlign w:val="center"/>
            <w:hideMark/>
          </w:tcPr>
          <w:p w14:paraId="0417935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77B813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817E47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60</w:t>
            </w:r>
          </w:p>
        </w:tc>
      </w:tr>
      <w:tr w:rsidR="00C36F76" w:rsidRPr="002751A3" w14:paraId="40B81513"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F083F44"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Heterakis spumosa</w:t>
            </w:r>
          </w:p>
        </w:tc>
        <w:tc>
          <w:tcPr>
            <w:tcW w:w="1691" w:type="dxa"/>
            <w:tcBorders>
              <w:top w:val="nil"/>
              <w:left w:val="nil"/>
              <w:bottom w:val="single" w:sz="4" w:space="0" w:color="auto"/>
              <w:right w:val="single" w:sz="4" w:space="0" w:color="auto"/>
            </w:tcBorders>
            <w:shd w:val="clear" w:color="auto" w:fill="auto"/>
            <w:vAlign w:val="center"/>
            <w:hideMark/>
          </w:tcPr>
          <w:p w14:paraId="7A70228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3AE903E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1846DE8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71D3AA5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039FE5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BDFB88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61</w:t>
            </w:r>
          </w:p>
        </w:tc>
      </w:tr>
      <w:tr w:rsidR="00C36F76" w:rsidRPr="002751A3" w14:paraId="74CB5B2F"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10D4C8C"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Heterophyidae</w:t>
            </w:r>
          </w:p>
        </w:tc>
        <w:tc>
          <w:tcPr>
            <w:tcW w:w="1691" w:type="dxa"/>
            <w:tcBorders>
              <w:top w:val="nil"/>
              <w:left w:val="nil"/>
              <w:bottom w:val="single" w:sz="4" w:space="0" w:color="auto"/>
              <w:right w:val="single" w:sz="4" w:space="0" w:color="auto"/>
            </w:tcBorders>
            <w:shd w:val="clear" w:color="auto" w:fill="auto"/>
            <w:vAlign w:val="center"/>
            <w:hideMark/>
          </w:tcPr>
          <w:p w14:paraId="263E7E1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4678DDB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25DDFA9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host range fish eating mammals and birds</w:t>
            </w:r>
          </w:p>
        </w:tc>
        <w:tc>
          <w:tcPr>
            <w:tcW w:w="766" w:type="dxa"/>
            <w:tcBorders>
              <w:top w:val="nil"/>
              <w:left w:val="nil"/>
              <w:bottom w:val="single" w:sz="4" w:space="0" w:color="auto"/>
              <w:right w:val="single" w:sz="4" w:space="0" w:color="auto"/>
            </w:tcBorders>
            <w:shd w:val="clear" w:color="auto" w:fill="auto"/>
            <w:vAlign w:val="center"/>
            <w:hideMark/>
          </w:tcPr>
          <w:p w14:paraId="4FE32F2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9958D4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95A35B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62</w:t>
            </w:r>
          </w:p>
        </w:tc>
      </w:tr>
      <w:tr w:rsidR="00C36F76" w:rsidRPr="002751A3" w14:paraId="0312183B"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87612A2"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Hydatigera taeniaeformis</w:t>
            </w:r>
          </w:p>
        </w:tc>
        <w:tc>
          <w:tcPr>
            <w:tcW w:w="1691" w:type="dxa"/>
            <w:tcBorders>
              <w:top w:val="nil"/>
              <w:left w:val="nil"/>
              <w:bottom w:val="single" w:sz="4" w:space="0" w:color="auto"/>
              <w:right w:val="single" w:sz="4" w:space="0" w:color="auto"/>
            </w:tcBorders>
            <w:shd w:val="clear" w:color="auto" w:fill="auto"/>
            <w:vAlign w:val="center"/>
            <w:hideMark/>
          </w:tcPr>
          <w:p w14:paraId="24B5B4B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69E348A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4F66AC3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Felines, rodents</w:t>
            </w:r>
          </w:p>
        </w:tc>
        <w:tc>
          <w:tcPr>
            <w:tcW w:w="766" w:type="dxa"/>
            <w:tcBorders>
              <w:top w:val="nil"/>
              <w:left w:val="nil"/>
              <w:bottom w:val="single" w:sz="4" w:space="0" w:color="auto"/>
              <w:right w:val="single" w:sz="4" w:space="0" w:color="auto"/>
            </w:tcBorders>
            <w:shd w:val="clear" w:color="auto" w:fill="auto"/>
            <w:vAlign w:val="center"/>
            <w:hideMark/>
          </w:tcPr>
          <w:p w14:paraId="30E8D43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F229BA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DB9FC5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63</w:t>
            </w:r>
          </w:p>
        </w:tc>
      </w:tr>
      <w:tr w:rsidR="00C36F76" w:rsidRPr="002751A3" w14:paraId="6BA293D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838509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Hymenolepis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5379BEA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0093E3D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44975F8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Beetles</w:t>
            </w:r>
          </w:p>
        </w:tc>
        <w:tc>
          <w:tcPr>
            <w:tcW w:w="766" w:type="dxa"/>
            <w:tcBorders>
              <w:top w:val="nil"/>
              <w:left w:val="nil"/>
              <w:bottom w:val="single" w:sz="4" w:space="0" w:color="auto"/>
              <w:right w:val="single" w:sz="4" w:space="0" w:color="auto"/>
            </w:tcBorders>
            <w:shd w:val="clear" w:color="auto" w:fill="auto"/>
            <w:vAlign w:val="center"/>
            <w:hideMark/>
          </w:tcPr>
          <w:p w14:paraId="7E399EE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391104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F2B4FD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64,65</w:t>
            </w:r>
          </w:p>
        </w:tc>
      </w:tr>
      <w:tr w:rsidR="00C36F76" w:rsidRPr="002751A3" w14:paraId="611B9B32"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70F7E4B"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Inermicapsifer madagascariensis</w:t>
            </w:r>
          </w:p>
        </w:tc>
        <w:tc>
          <w:tcPr>
            <w:tcW w:w="1691" w:type="dxa"/>
            <w:tcBorders>
              <w:top w:val="nil"/>
              <w:left w:val="nil"/>
              <w:bottom w:val="single" w:sz="4" w:space="0" w:color="auto"/>
              <w:right w:val="single" w:sz="4" w:space="0" w:color="auto"/>
            </w:tcBorders>
            <w:shd w:val="clear" w:color="auto" w:fill="auto"/>
            <w:vAlign w:val="center"/>
            <w:hideMark/>
          </w:tcPr>
          <w:p w14:paraId="086CEA9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556FCF6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3D73D57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Beetles</w:t>
            </w:r>
          </w:p>
        </w:tc>
        <w:tc>
          <w:tcPr>
            <w:tcW w:w="766" w:type="dxa"/>
            <w:tcBorders>
              <w:top w:val="nil"/>
              <w:left w:val="nil"/>
              <w:bottom w:val="single" w:sz="4" w:space="0" w:color="auto"/>
              <w:right w:val="single" w:sz="4" w:space="0" w:color="auto"/>
            </w:tcBorders>
            <w:shd w:val="clear" w:color="auto" w:fill="auto"/>
            <w:vAlign w:val="center"/>
            <w:hideMark/>
          </w:tcPr>
          <w:p w14:paraId="1FD1218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50016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F5BD58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66</w:t>
            </w:r>
          </w:p>
        </w:tc>
      </w:tr>
      <w:tr w:rsidR="00C36F76" w:rsidRPr="002751A3" w14:paraId="3275E1C9"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B1DB05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 xml:space="preserve">Influenza A </w:t>
            </w:r>
          </w:p>
        </w:tc>
        <w:tc>
          <w:tcPr>
            <w:tcW w:w="1691" w:type="dxa"/>
            <w:tcBorders>
              <w:top w:val="nil"/>
              <w:left w:val="nil"/>
              <w:bottom w:val="single" w:sz="4" w:space="0" w:color="auto"/>
              <w:right w:val="single" w:sz="4" w:space="0" w:color="auto"/>
            </w:tcBorders>
            <w:shd w:val="clear" w:color="auto" w:fill="auto"/>
            <w:vAlign w:val="center"/>
            <w:hideMark/>
          </w:tcPr>
          <w:p w14:paraId="3D03F2D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5B891E1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vAlign w:val="center"/>
            <w:hideMark/>
          </w:tcPr>
          <w:p w14:paraId="36534FD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host range including Birds, Pigs</w:t>
            </w:r>
          </w:p>
        </w:tc>
        <w:tc>
          <w:tcPr>
            <w:tcW w:w="766" w:type="dxa"/>
            <w:tcBorders>
              <w:top w:val="nil"/>
              <w:left w:val="nil"/>
              <w:bottom w:val="single" w:sz="4" w:space="0" w:color="auto"/>
              <w:right w:val="single" w:sz="4" w:space="0" w:color="auto"/>
            </w:tcBorders>
            <w:shd w:val="clear" w:color="auto" w:fill="auto"/>
            <w:vAlign w:val="center"/>
            <w:hideMark/>
          </w:tcPr>
          <w:p w14:paraId="352AA08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F5D487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8B0D2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67</w:t>
            </w:r>
          </w:p>
        </w:tc>
      </w:tr>
      <w:tr w:rsidR="00C36F76" w:rsidRPr="002751A3" w14:paraId="6C1EC032"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F639915"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 xml:space="preserve">Japanese encephalitis virus </w:t>
            </w:r>
          </w:p>
        </w:tc>
        <w:tc>
          <w:tcPr>
            <w:tcW w:w="1691" w:type="dxa"/>
            <w:tcBorders>
              <w:top w:val="nil"/>
              <w:left w:val="nil"/>
              <w:bottom w:val="single" w:sz="4" w:space="0" w:color="auto"/>
              <w:right w:val="single" w:sz="4" w:space="0" w:color="auto"/>
            </w:tcBorders>
            <w:shd w:val="clear" w:color="auto" w:fill="auto"/>
            <w:vAlign w:val="center"/>
            <w:hideMark/>
          </w:tcPr>
          <w:p w14:paraId="5AF4BC4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79E6ECB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2B151AC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Wild Birds, Pigs, Horses, Bovine</w:t>
            </w:r>
          </w:p>
        </w:tc>
        <w:tc>
          <w:tcPr>
            <w:tcW w:w="766" w:type="dxa"/>
            <w:tcBorders>
              <w:top w:val="nil"/>
              <w:left w:val="nil"/>
              <w:bottom w:val="single" w:sz="4" w:space="0" w:color="auto"/>
              <w:right w:val="single" w:sz="4" w:space="0" w:color="auto"/>
            </w:tcBorders>
            <w:shd w:val="clear" w:color="auto" w:fill="auto"/>
            <w:vAlign w:val="center"/>
            <w:hideMark/>
          </w:tcPr>
          <w:p w14:paraId="63B1118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AFAE5C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64CD1F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68</w:t>
            </w:r>
          </w:p>
        </w:tc>
      </w:tr>
      <w:tr w:rsidR="00C36F76" w:rsidRPr="002751A3" w14:paraId="4D263A19"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2C04076"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Klebsiella pneumoniae</w:t>
            </w:r>
          </w:p>
        </w:tc>
        <w:tc>
          <w:tcPr>
            <w:tcW w:w="1691" w:type="dxa"/>
            <w:tcBorders>
              <w:top w:val="nil"/>
              <w:left w:val="nil"/>
              <w:bottom w:val="single" w:sz="4" w:space="0" w:color="auto"/>
              <w:right w:val="single" w:sz="4" w:space="0" w:color="auto"/>
            </w:tcBorders>
            <w:shd w:val="clear" w:color="auto" w:fill="auto"/>
            <w:vAlign w:val="center"/>
            <w:hideMark/>
          </w:tcPr>
          <w:p w14:paraId="5475EA4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4AA95F9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w:t>
            </w:r>
          </w:p>
        </w:tc>
        <w:tc>
          <w:tcPr>
            <w:tcW w:w="5361" w:type="dxa"/>
            <w:tcBorders>
              <w:top w:val="nil"/>
              <w:left w:val="nil"/>
              <w:bottom w:val="single" w:sz="4" w:space="0" w:color="auto"/>
              <w:right w:val="single" w:sz="4" w:space="0" w:color="auto"/>
            </w:tcBorders>
            <w:shd w:val="clear" w:color="auto" w:fill="auto"/>
            <w:vAlign w:val="center"/>
            <w:hideMark/>
          </w:tcPr>
          <w:p w14:paraId="5EC3F2E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vAlign w:val="center"/>
            <w:hideMark/>
          </w:tcPr>
          <w:p w14:paraId="1E4953D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E2332F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7679E0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69</w:t>
            </w:r>
          </w:p>
        </w:tc>
      </w:tr>
      <w:tr w:rsidR="00C36F76" w:rsidRPr="002751A3" w14:paraId="771A7762"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E8FBCD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Leishmania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7B4BF27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Trypanosome</w:t>
            </w:r>
          </w:p>
        </w:tc>
        <w:tc>
          <w:tcPr>
            <w:tcW w:w="1576" w:type="dxa"/>
            <w:tcBorders>
              <w:top w:val="nil"/>
              <w:left w:val="nil"/>
              <w:bottom w:val="single" w:sz="4" w:space="0" w:color="auto"/>
              <w:right w:val="single" w:sz="4" w:space="0" w:color="auto"/>
            </w:tcBorders>
            <w:shd w:val="clear" w:color="auto" w:fill="auto"/>
            <w:vAlign w:val="center"/>
            <w:hideMark/>
          </w:tcPr>
          <w:p w14:paraId="2BA2D80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V(BF)</w:t>
            </w:r>
          </w:p>
        </w:tc>
        <w:tc>
          <w:tcPr>
            <w:tcW w:w="5361" w:type="dxa"/>
            <w:tcBorders>
              <w:top w:val="nil"/>
              <w:left w:val="nil"/>
              <w:bottom w:val="single" w:sz="4" w:space="0" w:color="auto"/>
              <w:right w:val="single" w:sz="4" w:space="0" w:color="auto"/>
            </w:tcBorders>
            <w:shd w:val="clear" w:color="auto" w:fill="auto"/>
            <w:vAlign w:val="center"/>
            <w:hideMark/>
          </w:tcPr>
          <w:p w14:paraId="2146D2A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Canines, Rodents,</w:t>
            </w:r>
          </w:p>
        </w:tc>
        <w:tc>
          <w:tcPr>
            <w:tcW w:w="766" w:type="dxa"/>
            <w:tcBorders>
              <w:top w:val="nil"/>
              <w:left w:val="nil"/>
              <w:bottom w:val="single" w:sz="4" w:space="0" w:color="auto"/>
              <w:right w:val="single" w:sz="4" w:space="0" w:color="auto"/>
            </w:tcBorders>
            <w:shd w:val="clear" w:color="auto" w:fill="auto"/>
            <w:vAlign w:val="center"/>
            <w:hideMark/>
          </w:tcPr>
          <w:p w14:paraId="350CDE9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9C2F82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7B5DE3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70</w:t>
            </w:r>
          </w:p>
        </w:tc>
      </w:tr>
      <w:tr w:rsidR="00C36F76" w:rsidRPr="002751A3" w14:paraId="53150BD8"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4D62EC87"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Leptospira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6718CFA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3DE441D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A;C;O(W)</w:t>
            </w:r>
          </w:p>
        </w:tc>
        <w:tc>
          <w:tcPr>
            <w:tcW w:w="5361" w:type="dxa"/>
            <w:tcBorders>
              <w:top w:val="nil"/>
              <w:left w:val="nil"/>
              <w:bottom w:val="single" w:sz="4" w:space="0" w:color="auto"/>
              <w:right w:val="single" w:sz="4" w:space="0" w:color="auto"/>
            </w:tcBorders>
            <w:shd w:val="clear" w:color="auto" w:fill="auto"/>
            <w:noWrap/>
            <w:vAlign w:val="center"/>
            <w:hideMark/>
          </w:tcPr>
          <w:p w14:paraId="78BECA1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rodents, livestock, pets</w:t>
            </w:r>
          </w:p>
        </w:tc>
        <w:tc>
          <w:tcPr>
            <w:tcW w:w="766" w:type="dxa"/>
            <w:tcBorders>
              <w:top w:val="nil"/>
              <w:left w:val="nil"/>
              <w:bottom w:val="single" w:sz="4" w:space="0" w:color="auto"/>
              <w:right w:val="single" w:sz="4" w:space="0" w:color="auto"/>
            </w:tcBorders>
            <w:shd w:val="clear" w:color="auto" w:fill="auto"/>
            <w:noWrap/>
            <w:vAlign w:val="center"/>
            <w:hideMark/>
          </w:tcPr>
          <w:p w14:paraId="4A5ADCC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725</w:t>
            </w:r>
          </w:p>
        </w:tc>
        <w:tc>
          <w:tcPr>
            <w:tcW w:w="992" w:type="dxa"/>
            <w:tcBorders>
              <w:top w:val="nil"/>
              <w:left w:val="nil"/>
              <w:bottom w:val="single" w:sz="4" w:space="0" w:color="auto"/>
              <w:right w:val="single" w:sz="4" w:space="0" w:color="auto"/>
            </w:tcBorders>
            <w:shd w:val="clear" w:color="auto" w:fill="auto"/>
            <w:noWrap/>
            <w:vAlign w:val="center"/>
            <w:hideMark/>
          </w:tcPr>
          <w:p w14:paraId="1AD44F4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3.08</w:t>
            </w:r>
          </w:p>
        </w:tc>
        <w:tc>
          <w:tcPr>
            <w:tcW w:w="1276" w:type="dxa"/>
            <w:tcBorders>
              <w:top w:val="nil"/>
              <w:left w:val="nil"/>
              <w:bottom w:val="single" w:sz="4" w:space="0" w:color="auto"/>
              <w:right w:val="single" w:sz="4" w:space="0" w:color="auto"/>
            </w:tcBorders>
            <w:shd w:val="clear" w:color="auto" w:fill="auto"/>
            <w:noWrap/>
            <w:vAlign w:val="bottom"/>
            <w:hideMark/>
          </w:tcPr>
          <w:p w14:paraId="5DF31FB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71,72</w:t>
            </w:r>
          </w:p>
        </w:tc>
      </w:tr>
      <w:tr w:rsidR="00C36F76" w:rsidRPr="002751A3" w14:paraId="78C45503"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69743F2C"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 xml:space="preserve">Listeria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noWrap/>
            <w:vAlign w:val="center"/>
            <w:hideMark/>
          </w:tcPr>
          <w:p w14:paraId="2BA875C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78BBBB6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5511ED6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range of host including livestock, canines and rodents</w:t>
            </w:r>
          </w:p>
        </w:tc>
        <w:tc>
          <w:tcPr>
            <w:tcW w:w="766" w:type="dxa"/>
            <w:tcBorders>
              <w:top w:val="nil"/>
              <w:left w:val="nil"/>
              <w:bottom w:val="single" w:sz="4" w:space="0" w:color="auto"/>
              <w:right w:val="single" w:sz="4" w:space="0" w:color="auto"/>
            </w:tcBorders>
            <w:shd w:val="clear" w:color="auto" w:fill="auto"/>
            <w:noWrap/>
            <w:vAlign w:val="center"/>
            <w:hideMark/>
          </w:tcPr>
          <w:p w14:paraId="2BCE95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2801</w:t>
            </w:r>
          </w:p>
        </w:tc>
        <w:tc>
          <w:tcPr>
            <w:tcW w:w="992" w:type="dxa"/>
            <w:tcBorders>
              <w:top w:val="nil"/>
              <w:left w:val="nil"/>
              <w:bottom w:val="single" w:sz="4" w:space="0" w:color="auto"/>
              <w:right w:val="single" w:sz="4" w:space="0" w:color="auto"/>
            </w:tcBorders>
            <w:shd w:val="clear" w:color="auto" w:fill="auto"/>
            <w:noWrap/>
            <w:vAlign w:val="center"/>
            <w:hideMark/>
          </w:tcPr>
          <w:p w14:paraId="2F377E3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15.91</w:t>
            </w:r>
          </w:p>
        </w:tc>
        <w:tc>
          <w:tcPr>
            <w:tcW w:w="1276" w:type="dxa"/>
            <w:tcBorders>
              <w:top w:val="nil"/>
              <w:left w:val="nil"/>
              <w:bottom w:val="single" w:sz="4" w:space="0" w:color="auto"/>
              <w:right w:val="single" w:sz="4" w:space="0" w:color="auto"/>
            </w:tcBorders>
            <w:shd w:val="clear" w:color="auto" w:fill="auto"/>
            <w:noWrap/>
            <w:vAlign w:val="bottom"/>
            <w:hideMark/>
          </w:tcPr>
          <w:p w14:paraId="7EF0D91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73</w:t>
            </w:r>
          </w:p>
        </w:tc>
      </w:tr>
      <w:tr w:rsidR="00C36F76" w:rsidRPr="002751A3" w14:paraId="0AC2D7CA" w14:textId="77777777" w:rsidTr="005C116B">
        <w:trPr>
          <w:trHeight w:val="765"/>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1EFE4D67"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Macacine herpesvirus 1 (McHV-1)</w:t>
            </w:r>
          </w:p>
        </w:tc>
        <w:tc>
          <w:tcPr>
            <w:tcW w:w="1691" w:type="dxa"/>
            <w:tcBorders>
              <w:top w:val="nil"/>
              <w:left w:val="nil"/>
              <w:bottom w:val="single" w:sz="4" w:space="0" w:color="auto"/>
              <w:right w:val="single" w:sz="4" w:space="0" w:color="auto"/>
            </w:tcBorders>
            <w:shd w:val="clear" w:color="auto" w:fill="auto"/>
            <w:vAlign w:val="center"/>
            <w:hideMark/>
          </w:tcPr>
          <w:p w14:paraId="1CEC1EE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2969ECB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5FAA104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Primates</w:t>
            </w:r>
          </w:p>
        </w:tc>
        <w:tc>
          <w:tcPr>
            <w:tcW w:w="766" w:type="dxa"/>
            <w:tcBorders>
              <w:top w:val="nil"/>
              <w:left w:val="nil"/>
              <w:bottom w:val="single" w:sz="4" w:space="0" w:color="auto"/>
              <w:right w:val="single" w:sz="4" w:space="0" w:color="auto"/>
            </w:tcBorders>
            <w:shd w:val="clear" w:color="auto" w:fill="auto"/>
            <w:vAlign w:val="center"/>
            <w:hideMark/>
          </w:tcPr>
          <w:p w14:paraId="1A40373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C91DE6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30E68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74</w:t>
            </w:r>
          </w:p>
        </w:tc>
      </w:tr>
      <w:tr w:rsidR="00C36F76" w:rsidRPr="002751A3" w14:paraId="0FFFF89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6FDD2730"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Mammarenavirus</w:t>
            </w:r>
          </w:p>
        </w:tc>
        <w:tc>
          <w:tcPr>
            <w:tcW w:w="1691" w:type="dxa"/>
            <w:tcBorders>
              <w:top w:val="nil"/>
              <w:left w:val="nil"/>
              <w:bottom w:val="single" w:sz="4" w:space="0" w:color="auto"/>
              <w:right w:val="single" w:sz="4" w:space="0" w:color="auto"/>
            </w:tcBorders>
            <w:shd w:val="clear" w:color="auto" w:fill="auto"/>
            <w:vAlign w:val="center"/>
            <w:hideMark/>
          </w:tcPr>
          <w:p w14:paraId="12354F3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222D486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w:t>
            </w:r>
          </w:p>
        </w:tc>
        <w:tc>
          <w:tcPr>
            <w:tcW w:w="5361" w:type="dxa"/>
            <w:tcBorders>
              <w:top w:val="nil"/>
              <w:left w:val="nil"/>
              <w:bottom w:val="single" w:sz="4" w:space="0" w:color="auto"/>
              <w:right w:val="single" w:sz="4" w:space="0" w:color="auto"/>
            </w:tcBorders>
            <w:shd w:val="clear" w:color="auto" w:fill="auto"/>
            <w:vAlign w:val="center"/>
            <w:hideMark/>
          </w:tcPr>
          <w:p w14:paraId="3E3F533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1E68168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A34558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4C2609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75</w:t>
            </w:r>
          </w:p>
        </w:tc>
      </w:tr>
      <w:tr w:rsidR="00C36F76" w:rsidRPr="002751A3" w14:paraId="5449D061"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9F1799F"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Mastophorus muris</w:t>
            </w:r>
          </w:p>
        </w:tc>
        <w:tc>
          <w:tcPr>
            <w:tcW w:w="1691" w:type="dxa"/>
            <w:tcBorders>
              <w:top w:val="nil"/>
              <w:left w:val="nil"/>
              <w:bottom w:val="single" w:sz="4" w:space="0" w:color="auto"/>
              <w:right w:val="single" w:sz="4" w:space="0" w:color="auto"/>
            </w:tcBorders>
            <w:shd w:val="clear" w:color="auto" w:fill="auto"/>
            <w:vAlign w:val="center"/>
            <w:hideMark/>
          </w:tcPr>
          <w:p w14:paraId="6FD3B9C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2889F7A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4FEEBA1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1465672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132635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519A7D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76</w:t>
            </w:r>
          </w:p>
        </w:tc>
      </w:tr>
      <w:tr w:rsidR="00C36F76" w:rsidRPr="002751A3" w14:paraId="234B8971"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ECC062F"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Mesocestoides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41616F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3E7BA5B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28907EB3" w14:textId="5E158884"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felines, birds,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mites,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4A59551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02353A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64D6C9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77</w:t>
            </w:r>
          </w:p>
        </w:tc>
      </w:tr>
      <w:tr w:rsidR="00C36F76" w:rsidRPr="002751A3" w14:paraId="1982AC7C"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3E46A73"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lastRenderedPageBreak/>
              <w:t>Molineus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0CD492A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520BA29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2369F12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Felines, Canines</w:t>
            </w:r>
          </w:p>
        </w:tc>
        <w:tc>
          <w:tcPr>
            <w:tcW w:w="766" w:type="dxa"/>
            <w:tcBorders>
              <w:top w:val="nil"/>
              <w:left w:val="nil"/>
              <w:bottom w:val="single" w:sz="4" w:space="0" w:color="auto"/>
              <w:right w:val="single" w:sz="4" w:space="0" w:color="auto"/>
            </w:tcBorders>
            <w:shd w:val="clear" w:color="auto" w:fill="auto"/>
            <w:vAlign w:val="center"/>
            <w:hideMark/>
          </w:tcPr>
          <w:p w14:paraId="3254F44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02D225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E8B1A7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78</w:t>
            </w:r>
          </w:p>
        </w:tc>
      </w:tr>
      <w:tr w:rsidR="00C36F76" w:rsidRPr="002751A3" w14:paraId="01C8B490"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51FD8D4"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Moniliformis moniliformis</w:t>
            </w:r>
          </w:p>
        </w:tc>
        <w:tc>
          <w:tcPr>
            <w:tcW w:w="1691" w:type="dxa"/>
            <w:tcBorders>
              <w:top w:val="nil"/>
              <w:left w:val="nil"/>
              <w:bottom w:val="single" w:sz="4" w:space="0" w:color="auto"/>
              <w:right w:val="single" w:sz="4" w:space="0" w:color="auto"/>
            </w:tcBorders>
            <w:shd w:val="clear" w:color="auto" w:fill="auto"/>
            <w:vAlign w:val="center"/>
            <w:hideMark/>
          </w:tcPr>
          <w:p w14:paraId="71CE174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Acanthocephalan</w:t>
            </w:r>
          </w:p>
        </w:tc>
        <w:tc>
          <w:tcPr>
            <w:tcW w:w="1576" w:type="dxa"/>
            <w:tcBorders>
              <w:top w:val="nil"/>
              <w:left w:val="nil"/>
              <w:bottom w:val="single" w:sz="4" w:space="0" w:color="auto"/>
              <w:right w:val="single" w:sz="4" w:space="0" w:color="auto"/>
            </w:tcBorders>
            <w:shd w:val="clear" w:color="auto" w:fill="auto"/>
            <w:vAlign w:val="center"/>
            <w:hideMark/>
          </w:tcPr>
          <w:p w14:paraId="0A60E07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418FA92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Felines, Canines, Cockroach</w:t>
            </w:r>
          </w:p>
        </w:tc>
        <w:tc>
          <w:tcPr>
            <w:tcW w:w="766" w:type="dxa"/>
            <w:tcBorders>
              <w:top w:val="nil"/>
              <w:left w:val="nil"/>
              <w:bottom w:val="single" w:sz="4" w:space="0" w:color="auto"/>
              <w:right w:val="single" w:sz="4" w:space="0" w:color="auto"/>
            </w:tcBorders>
            <w:shd w:val="clear" w:color="auto" w:fill="auto"/>
            <w:vAlign w:val="center"/>
            <w:hideMark/>
          </w:tcPr>
          <w:p w14:paraId="3F59A71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D6C20B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82F833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79</w:t>
            </w:r>
          </w:p>
        </w:tc>
      </w:tr>
      <w:tr w:rsidR="00C36F76" w:rsidRPr="002751A3" w14:paraId="2018BC45"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BC3AFEA"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Mycobacterium avium</w:t>
            </w:r>
          </w:p>
        </w:tc>
        <w:tc>
          <w:tcPr>
            <w:tcW w:w="1691" w:type="dxa"/>
            <w:tcBorders>
              <w:top w:val="nil"/>
              <w:left w:val="nil"/>
              <w:bottom w:val="single" w:sz="4" w:space="0" w:color="auto"/>
              <w:right w:val="single" w:sz="4" w:space="0" w:color="auto"/>
            </w:tcBorders>
            <w:shd w:val="clear" w:color="auto" w:fill="auto"/>
            <w:vAlign w:val="center"/>
            <w:hideMark/>
          </w:tcPr>
          <w:p w14:paraId="6D404EF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5721677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w:t>
            </w:r>
          </w:p>
        </w:tc>
        <w:tc>
          <w:tcPr>
            <w:tcW w:w="5361" w:type="dxa"/>
            <w:tcBorders>
              <w:top w:val="nil"/>
              <w:left w:val="nil"/>
              <w:bottom w:val="single" w:sz="4" w:space="0" w:color="auto"/>
              <w:right w:val="single" w:sz="4" w:space="0" w:color="auto"/>
            </w:tcBorders>
            <w:shd w:val="clear" w:color="auto" w:fill="auto"/>
            <w:vAlign w:val="center"/>
            <w:hideMark/>
          </w:tcPr>
          <w:p w14:paraId="378ABE0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Broad host range including livestock, rodents and birds </w:t>
            </w:r>
          </w:p>
        </w:tc>
        <w:tc>
          <w:tcPr>
            <w:tcW w:w="766" w:type="dxa"/>
            <w:tcBorders>
              <w:top w:val="nil"/>
              <w:left w:val="nil"/>
              <w:bottom w:val="single" w:sz="4" w:space="0" w:color="auto"/>
              <w:right w:val="single" w:sz="4" w:space="0" w:color="auto"/>
            </w:tcBorders>
            <w:shd w:val="clear" w:color="auto" w:fill="auto"/>
            <w:vAlign w:val="center"/>
            <w:hideMark/>
          </w:tcPr>
          <w:p w14:paraId="60AA150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7F55D4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B0814F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80</w:t>
            </w:r>
          </w:p>
        </w:tc>
      </w:tr>
      <w:tr w:rsidR="00C36F76" w:rsidRPr="002751A3" w14:paraId="49BC753B"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FFB5E8F"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Nematospiroides dubius</w:t>
            </w:r>
          </w:p>
        </w:tc>
        <w:tc>
          <w:tcPr>
            <w:tcW w:w="1691" w:type="dxa"/>
            <w:tcBorders>
              <w:top w:val="nil"/>
              <w:left w:val="nil"/>
              <w:bottom w:val="single" w:sz="4" w:space="0" w:color="auto"/>
              <w:right w:val="single" w:sz="4" w:space="0" w:color="auto"/>
            </w:tcBorders>
            <w:shd w:val="clear" w:color="auto" w:fill="auto"/>
            <w:vAlign w:val="center"/>
            <w:hideMark/>
          </w:tcPr>
          <w:p w14:paraId="1967765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3133616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1B2BE9E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7EB8518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01D6EE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43393D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81</w:t>
            </w:r>
          </w:p>
        </w:tc>
      </w:tr>
      <w:tr w:rsidR="00C36F76" w:rsidRPr="002751A3" w14:paraId="7BBEC965"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DEA2884"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Nippostrongylus brasiliensis</w:t>
            </w:r>
          </w:p>
        </w:tc>
        <w:tc>
          <w:tcPr>
            <w:tcW w:w="1691" w:type="dxa"/>
            <w:tcBorders>
              <w:top w:val="nil"/>
              <w:left w:val="nil"/>
              <w:bottom w:val="single" w:sz="4" w:space="0" w:color="auto"/>
              <w:right w:val="single" w:sz="4" w:space="0" w:color="auto"/>
            </w:tcBorders>
            <w:shd w:val="clear" w:color="auto" w:fill="auto"/>
            <w:vAlign w:val="center"/>
            <w:hideMark/>
          </w:tcPr>
          <w:p w14:paraId="7B213FF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459FFC2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2598AC0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6D0D205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B9DF36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590B6B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82</w:t>
            </w:r>
          </w:p>
        </w:tc>
      </w:tr>
      <w:tr w:rsidR="00C36F76" w:rsidRPr="002751A3" w14:paraId="12B2A098"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1412100"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Orientia tsutsugamushi</w:t>
            </w:r>
          </w:p>
        </w:tc>
        <w:tc>
          <w:tcPr>
            <w:tcW w:w="1691" w:type="dxa"/>
            <w:tcBorders>
              <w:top w:val="nil"/>
              <w:left w:val="nil"/>
              <w:bottom w:val="single" w:sz="4" w:space="0" w:color="auto"/>
              <w:right w:val="single" w:sz="4" w:space="0" w:color="auto"/>
            </w:tcBorders>
            <w:shd w:val="clear" w:color="auto" w:fill="auto"/>
            <w:vAlign w:val="center"/>
            <w:hideMark/>
          </w:tcPr>
          <w:p w14:paraId="1A9BD9D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6800C29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V(MI)</w:t>
            </w:r>
          </w:p>
        </w:tc>
        <w:tc>
          <w:tcPr>
            <w:tcW w:w="5361" w:type="dxa"/>
            <w:tcBorders>
              <w:top w:val="nil"/>
              <w:left w:val="nil"/>
              <w:bottom w:val="single" w:sz="4" w:space="0" w:color="auto"/>
              <w:right w:val="single" w:sz="4" w:space="0" w:color="auto"/>
            </w:tcBorders>
            <w:shd w:val="clear" w:color="auto" w:fill="auto"/>
            <w:vAlign w:val="center"/>
            <w:hideMark/>
          </w:tcPr>
          <w:p w14:paraId="0036825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Mite</w:t>
            </w:r>
          </w:p>
        </w:tc>
        <w:tc>
          <w:tcPr>
            <w:tcW w:w="766" w:type="dxa"/>
            <w:tcBorders>
              <w:top w:val="nil"/>
              <w:left w:val="nil"/>
              <w:bottom w:val="single" w:sz="4" w:space="0" w:color="auto"/>
              <w:right w:val="single" w:sz="4" w:space="0" w:color="auto"/>
            </w:tcBorders>
            <w:shd w:val="clear" w:color="auto" w:fill="auto"/>
            <w:vAlign w:val="center"/>
            <w:hideMark/>
          </w:tcPr>
          <w:p w14:paraId="4631EDE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480DBF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E8440B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83</w:t>
            </w:r>
          </w:p>
        </w:tc>
      </w:tr>
      <w:tr w:rsidR="00C36F76" w:rsidRPr="002751A3" w14:paraId="40A23A49"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9C795F9"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Paragonimus westermani</w:t>
            </w:r>
          </w:p>
        </w:tc>
        <w:tc>
          <w:tcPr>
            <w:tcW w:w="1691" w:type="dxa"/>
            <w:tcBorders>
              <w:top w:val="nil"/>
              <w:left w:val="nil"/>
              <w:bottom w:val="single" w:sz="4" w:space="0" w:color="auto"/>
              <w:right w:val="single" w:sz="4" w:space="0" w:color="auto"/>
            </w:tcBorders>
            <w:shd w:val="clear" w:color="auto" w:fill="auto"/>
            <w:vAlign w:val="center"/>
            <w:hideMark/>
          </w:tcPr>
          <w:p w14:paraId="28D1587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Platyhelminth</w:t>
            </w:r>
          </w:p>
        </w:tc>
        <w:tc>
          <w:tcPr>
            <w:tcW w:w="1576" w:type="dxa"/>
            <w:tcBorders>
              <w:top w:val="nil"/>
              <w:left w:val="nil"/>
              <w:bottom w:val="single" w:sz="4" w:space="0" w:color="auto"/>
              <w:right w:val="single" w:sz="4" w:space="0" w:color="auto"/>
            </w:tcBorders>
            <w:shd w:val="clear" w:color="auto" w:fill="auto"/>
            <w:vAlign w:val="center"/>
            <w:hideMark/>
          </w:tcPr>
          <w:p w14:paraId="023C5D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60DC944D" w14:textId="2D624E20"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Pigs,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Crustaceans, Molluscs</w:t>
            </w:r>
          </w:p>
        </w:tc>
        <w:tc>
          <w:tcPr>
            <w:tcW w:w="766" w:type="dxa"/>
            <w:tcBorders>
              <w:top w:val="nil"/>
              <w:left w:val="nil"/>
              <w:bottom w:val="single" w:sz="4" w:space="0" w:color="auto"/>
              <w:right w:val="single" w:sz="4" w:space="0" w:color="auto"/>
            </w:tcBorders>
            <w:shd w:val="clear" w:color="auto" w:fill="auto"/>
            <w:vAlign w:val="center"/>
            <w:hideMark/>
          </w:tcPr>
          <w:p w14:paraId="093237C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69283B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DD2F23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84</w:t>
            </w:r>
          </w:p>
        </w:tc>
      </w:tr>
      <w:tr w:rsidR="00C36F76" w:rsidRPr="002751A3" w14:paraId="3FBFA9E1"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AA2DF5B"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Philophthalmus gralli</w:t>
            </w:r>
          </w:p>
        </w:tc>
        <w:tc>
          <w:tcPr>
            <w:tcW w:w="1691" w:type="dxa"/>
            <w:tcBorders>
              <w:top w:val="nil"/>
              <w:left w:val="nil"/>
              <w:bottom w:val="single" w:sz="4" w:space="0" w:color="auto"/>
              <w:right w:val="single" w:sz="4" w:space="0" w:color="auto"/>
            </w:tcBorders>
            <w:shd w:val="clear" w:color="auto" w:fill="auto"/>
            <w:vAlign w:val="center"/>
            <w:hideMark/>
          </w:tcPr>
          <w:p w14:paraId="455F81E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Platyhelminth</w:t>
            </w:r>
          </w:p>
        </w:tc>
        <w:tc>
          <w:tcPr>
            <w:tcW w:w="1576" w:type="dxa"/>
            <w:tcBorders>
              <w:top w:val="nil"/>
              <w:left w:val="nil"/>
              <w:bottom w:val="single" w:sz="4" w:space="0" w:color="auto"/>
              <w:right w:val="single" w:sz="4" w:space="0" w:color="auto"/>
            </w:tcBorders>
            <w:shd w:val="clear" w:color="auto" w:fill="auto"/>
            <w:vAlign w:val="center"/>
            <w:hideMark/>
          </w:tcPr>
          <w:p w14:paraId="7C0808B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w:t>
            </w:r>
          </w:p>
        </w:tc>
        <w:tc>
          <w:tcPr>
            <w:tcW w:w="5361" w:type="dxa"/>
            <w:tcBorders>
              <w:top w:val="nil"/>
              <w:left w:val="nil"/>
              <w:bottom w:val="single" w:sz="4" w:space="0" w:color="auto"/>
              <w:right w:val="single" w:sz="4" w:space="0" w:color="auto"/>
            </w:tcBorders>
            <w:shd w:val="clear" w:color="auto" w:fill="auto"/>
            <w:vAlign w:val="center"/>
            <w:hideMark/>
          </w:tcPr>
          <w:p w14:paraId="5B43F18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 Molluscs</w:t>
            </w:r>
          </w:p>
        </w:tc>
        <w:tc>
          <w:tcPr>
            <w:tcW w:w="766" w:type="dxa"/>
            <w:tcBorders>
              <w:top w:val="nil"/>
              <w:left w:val="nil"/>
              <w:bottom w:val="single" w:sz="4" w:space="0" w:color="auto"/>
              <w:right w:val="single" w:sz="4" w:space="0" w:color="auto"/>
            </w:tcBorders>
            <w:shd w:val="clear" w:color="auto" w:fill="auto"/>
            <w:vAlign w:val="center"/>
            <w:hideMark/>
          </w:tcPr>
          <w:p w14:paraId="5894E09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277FA6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FCF536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85</w:t>
            </w:r>
          </w:p>
        </w:tc>
      </w:tr>
      <w:tr w:rsidR="00C36F76" w:rsidRPr="002751A3" w14:paraId="2E6ED95B"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6E4E233"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Protospirura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05C6809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2B40E8D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7430755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Canines, Insects</w:t>
            </w:r>
          </w:p>
        </w:tc>
        <w:tc>
          <w:tcPr>
            <w:tcW w:w="766" w:type="dxa"/>
            <w:tcBorders>
              <w:top w:val="nil"/>
              <w:left w:val="nil"/>
              <w:bottom w:val="single" w:sz="4" w:space="0" w:color="auto"/>
              <w:right w:val="single" w:sz="4" w:space="0" w:color="auto"/>
            </w:tcBorders>
            <w:shd w:val="clear" w:color="auto" w:fill="auto"/>
            <w:vAlign w:val="center"/>
            <w:hideMark/>
          </w:tcPr>
          <w:p w14:paraId="0212552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459D58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562128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86,87</w:t>
            </w:r>
          </w:p>
        </w:tc>
      </w:tr>
      <w:tr w:rsidR="00C36F76" w:rsidRPr="002751A3" w14:paraId="1D819D21"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D9556F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Pseudorabies virus</w:t>
            </w:r>
          </w:p>
        </w:tc>
        <w:tc>
          <w:tcPr>
            <w:tcW w:w="1691" w:type="dxa"/>
            <w:tcBorders>
              <w:top w:val="nil"/>
              <w:left w:val="nil"/>
              <w:bottom w:val="single" w:sz="4" w:space="0" w:color="auto"/>
              <w:right w:val="single" w:sz="4" w:space="0" w:color="auto"/>
            </w:tcBorders>
            <w:shd w:val="clear" w:color="auto" w:fill="auto"/>
            <w:vAlign w:val="center"/>
            <w:hideMark/>
          </w:tcPr>
          <w:p w14:paraId="15372D6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00D6C92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A;O</w:t>
            </w:r>
          </w:p>
        </w:tc>
        <w:tc>
          <w:tcPr>
            <w:tcW w:w="5361" w:type="dxa"/>
            <w:tcBorders>
              <w:top w:val="nil"/>
              <w:left w:val="nil"/>
              <w:bottom w:val="single" w:sz="4" w:space="0" w:color="auto"/>
              <w:right w:val="single" w:sz="4" w:space="0" w:color="auto"/>
            </w:tcBorders>
            <w:shd w:val="clear" w:color="auto" w:fill="auto"/>
            <w:vAlign w:val="center"/>
            <w:hideMark/>
          </w:tcPr>
          <w:p w14:paraId="4AF0929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Swine, Ruminants, Carnivores and Rodents</w:t>
            </w:r>
          </w:p>
        </w:tc>
        <w:tc>
          <w:tcPr>
            <w:tcW w:w="766" w:type="dxa"/>
            <w:tcBorders>
              <w:top w:val="nil"/>
              <w:left w:val="nil"/>
              <w:bottom w:val="single" w:sz="4" w:space="0" w:color="auto"/>
              <w:right w:val="single" w:sz="4" w:space="0" w:color="auto"/>
            </w:tcBorders>
            <w:shd w:val="clear" w:color="auto" w:fill="auto"/>
            <w:vAlign w:val="center"/>
            <w:hideMark/>
          </w:tcPr>
          <w:p w14:paraId="0A35BE5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AD4207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6ED6D2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88</w:t>
            </w:r>
          </w:p>
        </w:tc>
      </w:tr>
      <w:tr w:rsidR="00C36F76" w:rsidRPr="002751A3" w14:paraId="365AC34E"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1075CFA9"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Pterygodermatites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12AC439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75AAA0D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2DEA65C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Canines, Felines</w:t>
            </w:r>
          </w:p>
        </w:tc>
        <w:tc>
          <w:tcPr>
            <w:tcW w:w="766" w:type="dxa"/>
            <w:tcBorders>
              <w:top w:val="nil"/>
              <w:left w:val="nil"/>
              <w:bottom w:val="single" w:sz="4" w:space="0" w:color="auto"/>
              <w:right w:val="single" w:sz="4" w:space="0" w:color="auto"/>
            </w:tcBorders>
            <w:shd w:val="clear" w:color="auto" w:fill="auto"/>
            <w:vAlign w:val="center"/>
            <w:hideMark/>
          </w:tcPr>
          <w:p w14:paraId="144E4F6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B48849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813B02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89,90</w:t>
            </w:r>
          </w:p>
        </w:tc>
      </w:tr>
      <w:tr w:rsidR="00C36F76" w:rsidRPr="002751A3" w14:paraId="2D2992F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53036512"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Rabies virus</w:t>
            </w:r>
          </w:p>
        </w:tc>
        <w:tc>
          <w:tcPr>
            <w:tcW w:w="1691" w:type="dxa"/>
            <w:tcBorders>
              <w:top w:val="nil"/>
              <w:left w:val="nil"/>
              <w:bottom w:val="single" w:sz="4" w:space="0" w:color="auto"/>
              <w:right w:val="single" w:sz="4" w:space="0" w:color="auto"/>
            </w:tcBorders>
            <w:shd w:val="clear" w:color="auto" w:fill="auto"/>
            <w:noWrap/>
            <w:vAlign w:val="center"/>
            <w:hideMark/>
          </w:tcPr>
          <w:p w14:paraId="4449464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noWrap/>
            <w:vAlign w:val="center"/>
            <w:hideMark/>
          </w:tcPr>
          <w:p w14:paraId="4A1A948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noWrap/>
            <w:vAlign w:val="center"/>
            <w:hideMark/>
          </w:tcPr>
          <w:p w14:paraId="78C09405" w14:textId="54D41F02"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Canines, Rac</w:t>
            </w:r>
            <w:r w:rsidR="00DE20A9">
              <w:rPr>
                <w:rFonts w:ascii="Calibri" w:eastAsia="Times New Roman" w:hAnsi="Calibri" w:cs="Calibri"/>
                <w:color w:val="000000"/>
                <w:lang w:eastAsia="en-GB"/>
              </w:rPr>
              <w:t>c</w:t>
            </w:r>
            <w:r w:rsidRPr="002751A3">
              <w:rPr>
                <w:rFonts w:ascii="Calibri" w:eastAsia="Times New Roman" w:hAnsi="Calibri" w:cs="Calibri"/>
                <w:color w:val="000000"/>
                <w:lang w:eastAsia="en-GB"/>
              </w:rPr>
              <w:t>oon, Bats</w:t>
            </w:r>
          </w:p>
        </w:tc>
        <w:tc>
          <w:tcPr>
            <w:tcW w:w="766" w:type="dxa"/>
            <w:tcBorders>
              <w:top w:val="nil"/>
              <w:left w:val="nil"/>
              <w:bottom w:val="single" w:sz="4" w:space="0" w:color="auto"/>
              <w:right w:val="single" w:sz="4" w:space="0" w:color="auto"/>
            </w:tcBorders>
            <w:shd w:val="clear" w:color="auto" w:fill="auto"/>
            <w:noWrap/>
            <w:vAlign w:val="center"/>
            <w:hideMark/>
          </w:tcPr>
          <w:p w14:paraId="0EFB7EA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1.14</w:t>
            </w:r>
          </w:p>
        </w:tc>
        <w:tc>
          <w:tcPr>
            <w:tcW w:w="992" w:type="dxa"/>
            <w:tcBorders>
              <w:top w:val="nil"/>
              <w:left w:val="nil"/>
              <w:bottom w:val="single" w:sz="4" w:space="0" w:color="auto"/>
              <w:right w:val="single" w:sz="4" w:space="0" w:color="auto"/>
            </w:tcBorders>
            <w:shd w:val="clear" w:color="auto" w:fill="auto"/>
            <w:noWrap/>
            <w:vAlign w:val="center"/>
            <w:hideMark/>
          </w:tcPr>
          <w:p w14:paraId="61358ED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100.00</w:t>
            </w:r>
          </w:p>
        </w:tc>
        <w:tc>
          <w:tcPr>
            <w:tcW w:w="1276" w:type="dxa"/>
            <w:tcBorders>
              <w:top w:val="nil"/>
              <w:left w:val="nil"/>
              <w:bottom w:val="single" w:sz="4" w:space="0" w:color="auto"/>
              <w:right w:val="single" w:sz="4" w:space="0" w:color="auto"/>
            </w:tcBorders>
            <w:shd w:val="clear" w:color="auto" w:fill="auto"/>
            <w:noWrap/>
            <w:vAlign w:val="bottom"/>
            <w:hideMark/>
          </w:tcPr>
          <w:p w14:paraId="5EB6FD8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91</w:t>
            </w:r>
          </w:p>
        </w:tc>
      </w:tr>
      <w:tr w:rsidR="00C36F76" w:rsidRPr="002751A3" w14:paraId="6EBD883D"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EF8D76B"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Rickettsia aeschlimannii</w:t>
            </w:r>
          </w:p>
        </w:tc>
        <w:tc>
          <w:tcPr>
            <w:tcW w:w="1691" w:type="dxa"/>
            <w:tcBorders>
              <w:top w:val="nil"/>
              <w:left w:val="nil"/>
              <w:bottom w:val="single" w:sz="4" w:space="0" w:color="auto"/>
              <w:right w:val="single" w:sz="4" w:space="0" w:color="auto"/>
            </w:tcBorders>
            <w:shd w:val="clear" w:color="auto" w:fill="auto"/>
            <w:vAlign w:val="center"/>
            <w:hideMark/>
          </w:tcPr>
          <w:p w14:paraId="1B6CDFB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AD0348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607BAA8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Ticks</w:t>
            </w:r>
          </w:p>
        </w:tc>
        <w:tc>
          <w:tcPr>
            <w:tcW w:w="766" w:type="dxa"/>
            <w:tcBorders>
              <w:top w:val="nil"/>
              <w:left w:val="nil"/>
              <w:bottom w:val="single" w:sz="4" w:space="0" w:color="auto"/>
              <w:right w:val="single" w:sz="4" w:space="0" w:color="auto"/>
            </w:tcBorders>
            <w:shd w:val="clear" w:color="auto" w:fill="auto"/>
            <w:vAlign w:val="center"/>
            <w:hideMark/>
          </w:tcPr>
          <w:p w14:paraId="03490F0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4D326B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37FF3E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92</w:t>
            </w:r>
          </w:p>
        </w:tc>
      </w:tr>
      <w:tr w:rsidR="00C36F76" w:rsidRPr="002751A3" w14:paraId="43484027"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8206E63"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Rickettsia conorii</w:t>
            </w:r>
          </w:p>
        </w:tc>
        <w:tc>
          <w:tcPr>
            <w:tcW w:w="1691" w:type="dxa"/>
            <w:tcBorders>
              <w:top w:val="nil"/>
              <w:left w:val="nil"/>
              <w:bottom w:val="single" w:sz="4" w:space="0" w:color="auto"/>
              <w:right w:val="single" w:sz="4" w:space="0" w:color="auto"/>
            </w:tcBorders>
            <w:shd w:val="clear" w:color="auto" w:fill="auto"/>
            <w:vAlign w:val="center"/>
            <w:hideMark/>
          </w:tcPr>
          <w:p w14:paraId="0F37D14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6B63D69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702B9A1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Ticks</w:t>
            </w:r>
          </w:p>
        </w:tc>
        <w:tc>
          <w:tcPr>
            <w:tcW w:w="766" w:type="dxa"/>
            <w:tcBorders>
              <w:top w:val="nil"/>
              <w:left w:val="nil"/>
              <w:bottom w:val="single" w:sz="4" w:space="0" w:color="auto"/>
              <w:right w:val="single" w:sz="4" w:space="0" w:color="auto"/>
            </w:tcBorders>
            <w:shd w:val="clear" w:color="auto" w:fill="auto"/>
            <w:vAlign w:val="center"/>
            <w:hideMark/>
          </w:tcPr>
          <w:p w14:paraId="53C2884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8F28FE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3C87DD7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93</w:t>
            </w:r>
          </w:p>
        </w:tc>
      </w:tr>
      <w:tr w:rsidR="00C36F76" w:rsidRPr="002751A3" w14:paraId="70F68167"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5D1DFCD"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Rickettsia japonica</w:t>
            </w:r>
          </w:p>
        </w:tc>
        <w:tc>
          <w:tcPr>
            <w:tcW w:w="1691" w:type="dxa"/>
            <w:tcBorders>
              <w:top w:val="nil"/>
              <w:left w:val="nil"/>
              <w:bottom w:val="single" w:sz="4" w:space="0" w:color="auto"/>
              <w:right w:val="single" w:sz="4" w:space="0" w:color="auto"/>
            </w:tcBorders>
            <w:shd w:val="clear" w:color="auto" w:fill="auto"/>
            <w:vAlign w:val="center"/>
            <w:hideMark/>
          </w:tcPr>
          <w:p w14:paraId="1F8387D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13FE87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268E645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3FAD41A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74BCF69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04CE4E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94</w:t>
            </w:r>
          </w:p>
        </w:tc>
      </w:tr>
      <w:tr w:rsidR="00C36F76" w:rsidRPr="002751A3" w14:paraId="374A50F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BCF468D"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Rickettsia typhi</w:t>
            </w:r>
          </w:p>
        </w:tc>
        <w:tc>
          <w:tcPr>
            <w:tcW w:w="1691" w:type="dxa"/>
            <w:tcBorders>
              <w:top w:val="nil"/>
              <w:left w:val="nil"/>
              <w:bottom w:val="single" w:sz="4" w:space="0" w:color="auto"/>
              <w:right w:val="single" w:sz="4" w:space="0" w:color="auto"/>
            </w:tcBorders>
            <w:shd w:val="clear" w:color="auto" w:fill="auto"/>
            <w:vAlign w:val="center"/>
            <w:hideMark/>
          </w:tcPr>
          <w:p w14:paraId="19D26C1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888575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V(F)</w:t>
            </w:r>
          </w:p>
        </w:tc>
        <w:tc>
          <w:tcPr>
            <w:tcW w:w="5361" w:type="dxa"/>
            <w:tcBorders>
              <w:top w:val="nil"/>
              <w:left w:val="nil"/>
              <w:bottom w:val="single" w:sz="4" w:space="0" w:color="auto"/>
              <w:right w:val="single" w:sz="4" w:space="0" w:color="auto"/>
            </w:tcBorders>
            <w:shd w:val="clear" w:color="auto" w:fill="auto"/>
            <w:vAlign w:val="center"/>
            <w:hideMark/>
          </w:tcPr>
          <w:p w14:paraId="618A661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157A510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0832B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3296D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95</w:t>
            </w:r>
          </w:p>
        </w:tc>
      </w:tr>
      <w:tr w:rsidR="00C36F76" w:rsidRPr="002751A3" w14:paraId="71633B80"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911C0A5"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Salmonella enterica</w:t>
            </w:r>
          </w:p>
        </w:tc>
        <w:tc>
          <w:tcPr>
            <w:tcW w:w="1691" w:type="dxa"/>
            <w:tcBorders>
              <w:top w:val="nil"/>
              <w:left w:val="nil"/>
              <w:bottom w:val="single" w:sz="4" w:space="0" w:color="auto"/>
              <w:right w:val="single" w:sz="4" w:space="0" w:color="auto"/>
            </w:tcBorders>
            <w:shd w:val="clear" w:color="auto" w:fill="auto"/>
            <w:vAlign w:val="center"/>
            <w:hideMark/>
          </w:tcPr>
          <w:p w14:paraId="79183F6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245148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1F307AC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 Livestock</w:t>
            </w:r>
          </w:p>
        </w:tc>
        <w:tc>
          <w:tcPr>
            <w:tcW w:w="766" w:type="dxa"/>
            <w:tcBorders>
              <w:top w:val="nil"/>
              <w:left w:val="nil"/>
              <w:bottom w:val="single" w:sz="4" w:space="0" w:color="auto"/>
              <w:right w:val="single" w:sz="4" w:space="0" w:color="auto"/>
            </w:tcBorders>
            <w:shd w:val="clear" w:color="auto" w:fill="auto"/>
            <w:vAlign w:val="center"/>
            <w:hideMark/>
          </w:tcPr>
          <w:p w14:paraId="21E3A71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58E2C6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A49EF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96</w:t>
            </w:r>
          </w:p>
        </w:tc>
      </w:tr>
      <w:tr w:rsidR="00C36F76" w:rsidRPr="002751A3" w14:paraId="47C47F04"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6EE8F8B"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Salmonella panama</w:t>
            </w:r>
          </w:p>
        </w:tc>
        <w:tc>
          <w:tcPr>
            <w:tcW w:w="1691" w:type="dxa"/>
            <w:tcBorders>
              <w:top w:val="nil"/>
              <w:left w:val="nil"/>
              <w:bottom w:val="single" w:sz="4" w:space="0" w:color="auto"/>
              <w:right w:val="single" w:sz="4" w:space="0" w:color="auto"/>
            </w:tcBorders>
            <w:shd w:val="clear" w:color="auto" w:fill="auto"/>
            <w:vAlign w:val="center"/>
            <w:hideMark/>
          </w:tcPr>
          <w:p w14:paraId="09058CA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4F1D59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3C9C8D9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Reptiles, Livestock</w:t>
            </w:r>
          </w:p>
        </w:tc>
        <w:tc>
          <w:tcPr>
            <w:tcW w:w="766" w:type="dxa"/>
            <w:tcBorders>
              <w:top w:val="nil"/>
              <w:left w:val="nil"/>
              <w:bottom w:val="single" w:sz="4" w:space="0" w:color="auto"/>
              <w:right w:val="single" w:sz="4" w:space="0" w:color="auto"/>
            </w:tcBorders>
            <w:shd w:val="clear" w:color="auto" w:fill="auto"/>
            <w:vAlign w:val="center"/>
            <w:hideMark/>
          </w:tcPr>
          <w:p w14:paraId="5CF01A5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22E6E1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A41577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97</w:t>
            </w:r>
          </w:p>
        </w:tc>
      </w:tr>
      <w:tr w:rsidR="00C36F76" w:rsidRPr="002751A3" w14:paraId="12434906"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58499BB0"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Salmonella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1AE6839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1853B4E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5E4F51AA"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range of hosts Including Livestock, Reptiles and Poultry</w:t>
            </w:r>
          </w:p>
        </w:tc>
        <w:tc>
          <w:tcPr>
            <w:tcW w:w="766" w:type="dxa"/>
            <w:tcBorders>
              <w:top w:val="nil"/>
              <w:left w:val="nil"/>
              <w:bottom w:val="single" w:sz="4" w:space="0" w:color="auto"/>
              <w:right w:val="single" w:sz="4" w:space="0" w:color="auto"/>
            </w:tcBorders>
            <w:shd w:val="clear" w:color="auto" w:fill="auto"/>
            <w:noWrap/>
            <w:vAlign w:val="center"/>
            <w:hideMark/>
          </w:tcPr>
          <w:p w14:paraId="23FCC17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90703</w:t>
            </w:r>
          </w:p>
        </w:tc>
        <w:tc>
          <w:tcPr>
            <w:tcW w:w="992" w:type="dxa"/>
            <w:tcBorders>
              <w:top w:val="nil"/>
              <w:left w:val="nil"/>
              <w:bottom w:val="single" w:sz="4" w:space="0" w:color="auto"/>
              <w:right w:val="single" w:sz="4" w:space="0" w:color="auto"/>
            </w:tcBorders>
            <w:shd w:val="clear" w:color="auto" w:fill="auto"/>
            <w:noWrap/>
            <w:vAlign w:val="center"/>
            <w:hideMark/>
          </w:tcPr>
          <w:p w14:paraId="3297FDB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0.20</w:t>
            </w:r>
          </w:p>
        </w:tc>
        <w:tc>
          <w:tcPr>
            <w:tcW w:w="1276" w:type="dxa"/>
            <w:tcBorders>
              <w:top w:val="nil"/>
              <w:left w:val="nil"/>
              <w:bottom w:val="single" w:sz="4" w:space="0" w:color="auto"/>
              <w:right w:val="single" w:sz="4" w:space="0" w:color="auto"/>
            </w:tcBorders>
            <w:shd w:val="clear" w:color="auto" w:fill="auto"/>
            <w:noWrap/>
            <w:vAlign w:val="bottom"/>
            <w:hideMark/>
          </w:tcPr>
          <w:p w14:paraId="0BECB0B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98</w:t>
            </w:r>
          </w:p>
        </w:tc>
      </w:tr>
      <w:tr w:rsidR="00C36F76" w:rsidRPr="002751A3" w14:paraId="6AACFB82" w14:textId="77777777" w:rsidTr="005C116B">
        <w:trPr>
          <w:trHeight w:val="525"/>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3A553309"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lastRenderedPageBreak/>
              <w:t>Schistosoma mansoni</w:t>
            </w:r>
          </w:p>
        </w:tc>
        <w:tc>
          <w:tcPr>
            <w:tcW w:w="1691" w:type="dxa"/>
            <w:tcBorders>
              <w:top w:val="nil"/>
              <w:left w:val="nil"/>
              <w:bottom w:val="single" w:sz="4" w:space="0" w:color="auto"/>
              <w:right w:val="single" w:sz="4" w:space="0" w:color="auto"/>
            </w:tcBorders>
            <w:shd w:val="clear" w:color="auto" w:fill="auto"/>
            <w:vAlign w:val="center"/>
            <w:hideMark/>
          </w:tcPr>
          <w:p w14:paraId="7193C1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Trematode</w:t>
            </w:r>
          </w:p>
        </w:tc>
        <w:tc>
          <w:tcPr>
            <w:tcW w:w="1576" w:type="dxa"/>
            <w:tcBorders>
              <w:top w:val="nil"/>
              <w:left w:val="nil"/>
              <w:bottom w:val="single" w:sz="4" w:space="0" w:color="auto"/>
              <w:right w:val="single" w:sz="4" w:space="0" w:color="auto"/>
            </w:tcBorders>
            <w:shd w:val="clear" w:color="auto" w:fill="auto"/>
            <w:vAlign w:val="center"/>
            <w:hideMark/>
          </w:tcPr>
          <w:p w14:paraId="4C74290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w:t>
            </w:r>
          </w:p>
        </w:tc>
        <w:tc>
          <w:tcPr>
            <w:tcW w:w="5361" w:type="dxa"/>
            <w:tcBorders>
              <w:top w:val="nil"/>
              <w:left w:val="nil"/>
              <w:bottom w:val="single" w:sz="4" w:space="0" w:color="auto"/>
              <w:right w:val="single" w:sz="4" w:space="0" w:color="auto"/>
            </w:tcBorders>
            <w:shd w:val="clear" w:color="auto" w:fill="auto"/>
            <w:vAlign w:val="center"/>
            <w:hideMark/>
          </w:tcPr>
          <w:p w14:paraId="1F574C1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Molluscs</w:t>
            </w:r>
          </w:p>
        </w:tc>
        <w:tc>
          <w:tcPr>
            <w:tcW w:w="766" w:type="dxa"/>
            <w:tcBorders>
              <w:top w:val="nil"/>
              <w:left w:val="nil"/>
              <w:bottom w:val="single" w:sz="4" w:space="0" w:color="auto"/>
              <w:right w:val="single" w:sz="4" w:space="0" w:color="auto"/>
            </w:tcBorders>
            <w:shd w:val="clear" w:color="auto" w:fill="auto"/>
            <w:vAlign w:val="center"/>
            <w:hideMark/>
          </w:tcPr>
          <w:p w14:paraId="730FA21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9CA36F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DAC00F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99</w:t>
            </w:r>
          </w:p>
        </w:tc>
      </w:tr>
      <w:tr w:rsidR="00C36F76" w:rsidRPr="002751A3" w14:paraId="43CC4772"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939A1E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Seoul Hantavirus</w:t>
            </w:r>
          </w:p>
        </w:tc>
        <w:tc>
          <w:tcPr>
            <w:tcW w:w="1691" w:type="dxa"/>
            <w:tcBorders>
              <w:top w:val="nil"/>
              <w:left w:val="nil"/>
              <w:bottom w:val="single" w:sz="4" w:space="0" w:color="auto"/>
              <w:right w:val="single" w:sz="4" w:space="0" w:color="auto"/>
            </w:tcBorders>
            <w:shd w:val="clear" w:color="auto" w:fill="auto"/>
            <w:vAlign w:val="center"/>
            <w:hideMark/>
          </w:tcPr>
          <w:p w14:paraId="03045E6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59A56BB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vAlign w:val="center"/>
            <w:hideMark/>
          </w:tcPr>
          <w:p w14:paraId="3A21C8A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Small mammals</w:t>
            </w:r>
          </w:p>
        </w:tc>
        <w:tc>
          <w:tcPr>
            <w:tcW w:w="766" w:type="dxa"/>
            <w:tcBorders>
              <w:top w:val="nil"/>
              <w:left w:val="nil"/>
              <w:bottom w:val="single" w:sz="4" w:space="0" w:color="auto"/>
              <w:right w:val="single" w:sz="4" w:space="0" w:color="auto"/>
            </w:tcBorders>
            <w:shd w:val="clear" w:color="auto" w:fill="auto"/>
            <w:vAlign w:val="center"/>
            <w:hideMark/>
          </w:tcPr>
          <w:p w14:paraId="3D1AE37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B9431C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F4777D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100</w:t>
            </w:r>
          </w:p>
        </w:tc>
      </w:tr>
      <w:tr w:rsidR="00C36F76" w:rsidRPr="002751A3" w14:paraId="36C18E59"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0EDDB4F0"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Sin Nombre Virus (Hantavirus)</w:t>
            </w:r>
          </w:p>
        </w:tc>
        <w:tc>
          <w:tcPr>
            <w:tcW w:w="1691" w:type="dxa"/>
            <w:tcBorders>
              <w:top w:val="nil"/>
              <w:left w:val="nil"/>
              <w:bottom w:val="single" w:sz="4" w:space="0" w:color="auto"/>
              <w:right w:val="single" w:sz="4" w:space="0" w:color="auto"/>
            </w:tcBorders>
            <w:shd w:val="clear" w:color="auto" w:fill="auto"/>
            <w:noWrap/>
            <w:vAlign w:val="center"/>
            <w:hideMark/>
          </w:tcPr>
          <w:p w14:paraId="6A730A7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noWrap/>
            <w:vAlign w:val="center"/>
            <w:hideMark/>
          </w:tcPr>
          <w:p w14:paraId="5A6568A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noWrap/>
            <w:vAlign w:val="center"/>
            <w:hideMark/>
          </w:tcPr>
          <w:p w14:paraId="7F6D687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Small mammals</w:t>
            </w:r>
          </w:p>
        </w:tc>
        <w:tc>
          <w:tcPr>
            <w:tcW w:w="766" w:type="dxa"/>
            <w:tcBorders>
              <w:top w:val="nil"/>
              <w:left w:val="nil"/>
              <w:bottom w:val="single" w:sz="4" w:space="0" w:color="auto"/>
              <w:right w:val="single" w:sz="4" w:space="0" w:color="auto"/>
            </w:tcBorders>
            <w:shd w:val="clear" w:color="auto" w:fill="auto"/>
            <w:noWrap/>
            <w:vAlign w:val="center"/>
            <w:hideMark/>
          </w:tcPr>
          <w:p w14:paraId="234DC99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1236*</w:t>
            </w:r>
          </w:p>
        </w:tc>
        <w:tc>
          <w:tcPr>
            <w:tcW w:w="992" w:type="dxa"/>
            <w:tcBorders>
              <w:top w:val="nil"/>
              <w:left w:val="nil"/>
              <w:bottom w:val="single" w:sz="4" w:space="0" w:color="auto"/>
              <w:right w:val="single" w:sz="4" w:space="0" w:color="auto"/>
            </w:tcBorders>
            <w:shd w:val="clear" w:color="auto" w:fill="auto"/>
            <w:noWrap/>
            <w:vAlign w:val="center"/>
            <w:hideMark/>
          </w:tcPr>
          <w:p w14:paraId="7A3A90D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NA</w:t>
            </w:r>
          </w:p>
        </w:tc>
        <w:tc>
          <w:tcPr>
            <w:tcW w:w="1276" w:type="dxa"/>
            <w:tcBorders>
              <w:top w:val="nil"/>
              <w:left w:val="nil"/>
              <w:bottom w:val="single" w:sz="4" w:space="0" w:color="auto"/>
              <w:right w:val="single" w:sz="4" w:space="0" w:color="auto"/>
            </w:tcBorders>
            <w:shd w:val="clear" w:color="auto" w:fill="auto"/>
            <w:noWrap/>
            <w:vAlign w:val="bottom"/>
            <w:hideMark/>
          </w:tcPr>
          <w:p w14:paraId="33D2BDA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101</w:t>
            </w:r>
          </w:p>
        </w:tc>
      </w:tr>
      <w:tr w:rsidR="00C36F76" w:rsidRPr="002751A3" w14:paraId="6AC6D8A4" w14:textId="77777777" w:rsidTr="005C116B">
        <w:trPr>
          <w:trHeight w:val="78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3A7EC366" w14:textId="77777777" w:rsidR="00C36F76" w:rsidRPr="00BF1A53" w:rsidRDefault="00C36F76" w:rsidP="005C116B">
            <w:pPr>
              <w:spacing w:after="0" w:line="240" w:lineRule="auto"/>
              <w:rPr>
                <w:rFonts w:ascii="Calibri" w:eastAsia="Times New Roman" w:hAnsi="Calibri" w:cs="Calibri"/>
                <w:color w:val="000000"/>
                <w:sz w:val="20"/>
                <w:szCs w:val="20"/>
                <w:lang w:val="fr-BE" w:eastAsia="en-GB"/>
              </w:rPr>
            </w:pPr>
            <w:r w:rsidRPr="00BF1A53">
              <w:rPr>
                <w:rFonts w:ascii="Calibri" w:eastAsia="Times New Roman" w:hAnsi="Calibri" w:cs="Calibri"/>
                <w:color w:val="000000"/>
                <w:sz w:val="20"/>
                <w:szCs w:val="20"/>
                <w:lang w:val="fr-BE" w:eastAsia="en-GB"/>
              </w:rPr>
              <w:t>St. Louis encephalitis virus (SLEV)</w:t>
            </w:r>
          </w:p>
        </w:tc>
        <w:tc>
          <w:tcPr>
            <w:tcW w:w="1691" w:type="dxa"/>
            <w:tcBorders>
              <w:top w:val="nil"/>
              <w:left w:val="nil"/>
              <w:bottom w:val="single" w:sz="4" w:space="0" w:color="auto"/>
              <w:right w:val="single" w:sz="4" w:space="0" w:color="auto"/>
            </w:tcBorders>
            <w:shd w:val="clear" w:color="auto" w:fill="auto"/>
            <w:vAlign w:val="center"/>
            <w:hideMark/>
          </w:tcPr>
          <w:p w14:paraId="2C1AFC7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2253537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71B5E2F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vAlign w:val="center"/>
            <w:hideMark/>
          </w:tcPr>
          <w:p w14:paraId="69D0ABF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562105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E1A1C9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102</w:t>
            </w:r>
          </w:p>
        </w:tc>
      </w:tr>
      <w:tr w:rsidR="00C36F76" w:rsidRPr="002751A3" w14:paraId="56364257"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971EFFB"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 xml:space="preserve">Staphylococcus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vAlign w:val="center"/>
            <w:hideMark/>
          </w:tcPr>
          <w:p w14:paraId="5310594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353EFF7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A;C</w:t>
            </w:r>
          </w:p>
        </w:tc>
        <w:tc>
          <w:tcPr>
            <w:tcW w:w="5361" w:type="dxa"/>
            <w:tcBorders>
              <w:top w:val="nil"/>
              <w:left w:val="nil"/>
              <w:bottom w:val="single" w:sz="4" w:space="0" w:color="auto"/>
              <w:right w:val="single" w:sz="4" w:space="0" w:color="auto"/>
            </w:tcBorders>
            <w:shd w:val="clear" w:color="auto" w:fill="auto"/>
            <w:vAlign w:val="center"/>
            <w:hideMark/>
          </w:tcPr>
          <w:p w14:paraId="4CDB7B4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Poultry, Cattle and Canines</w:t>
            </w:r>
          </w:p>
        </w:tc>
        <w:tc>
          <w:tcPr>
            <w:tcW w:w="766" w:type="dxa"/>
            <w:tcBorders>
              <w:top w:val="nil"/>
              <w:left w:val="nil"/>
              <w:bottom w:val="single" w:sz="4" w:space="0" w:color="auto"/>
              <w:right w:val="single" w:sz="4" w:space="0" w:color="auto"/>
            </w:tcBorders>
            <w:shd w:val="clear" w:color="auto" w:fill="auto"/>
            <w:vAlign w:val="center"/>
            <w:hideMark/>
          </w:tcPr>
          <w:p w14:paraId="1B15471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A54C6E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15E357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103</w:t>
            </w:r>
          </w:p>
        </w:tc>
      </w:tr>
      <w:tr w:rsidR="00C36F76" w:rsidRPr="002751A3" w14:paraId="139FD0AC"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A9BE635" w14:textId="77777777" w:rsidR="00C36F76" w:rsidRPr="008708AC" w:rsidRDefault="00C36F76" w:rsidP="005C116B">
            <w:pPr>
              <w:spacing w:after="0" w:line="240" w:lineRule="auto"/>
              <w:rPr>
                <w:rFonts w:ascii="Calibri" w:eastAsia="Times New Roman" w:hAnsi="Calibri" w:cs="Calibri"/>
                <w:i/>
                <w:iCs/>
                <w:color w:val="000000"/>
                <w:sz w:val="20"/>
                <w:szCs w:val="20"/>
                <w:lang w:eastAsia="en-GB"/>
              </w:rPr>
            </w:pPr>
            <w:r w:rsidRPr="008708AC">
              <w:rPr>
                <w:rFonts w:ascii="Calibri" w:eastAsia="Times New Roman" w:hAnsi="Calibri" w:cs="Calibri"/>
                <w:i/>
                <w:iCs/>
                <w:color w:val="000000"/>
                <w:sz w:val="20"/>
                <w:szCs w:val="20"/>
                <w:lang w:eastAsia="en-GB"/>
              </w:rPr>
              <w:t>Streptococcus suis</w:t>
            </w:r>
          </w:p>
        </w:tc>
        <w:tc>
          <w:tcPr>
            <w:tcW w:w="1691" w:type="dxa"/>
            <w:tcBorders>
              <w:top w:val="nil"/>
              <w:left w:val="nil"/>
              <w:bottom w:val="single" w:sz="4" w:space="0" w:color="auto"/>
              <w:right w:val="single" w:sz="4" w:space="0" w:color="auto"/>
            </w:tcBorders>
            <w:shd w:val="clear" w:color="auto" w:fill="auto"/>
            <w:vAlign w:val="center"/>
            <w:hideMark/>
          </w:tcPr>
          <w:p w14:paraId="49DB80F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04EEFAA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5F13266B" w14:textId="2F5BE01E"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Pigs,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Poultry, Ruminants, Felines, Canines</w:t>
            </w:r>
          </w:p>
        </w:tc>
        <w:tc>
          <w:tcPr>
            <w:tcW w:w="766" w:type="dxa"/>
            <w:tcBorders>
              <w:top w:val="nil"/>
              <w:left w:val="nil"/>
              <w:bottom w:val="single" w:sz="4" w:space="0" w:color="auto"/>
              <w:right w:val="single" w:sz="4" w:space="0" w:color="auto"/>
            </w:tcBorders>
            <w:shd w:val="clear" w:color="auto" w:fill="auto"/>
            <w:vAlign w:val="center"/>
            <w:hideMark/>
          </w:tcPr>
          <w:p w14:paraId="7CB5CED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5CC93C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44EF1D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104</w:t>
            </w:r>
          </w:p>
        </w:tc>
      </w:tr>
      <w:tr w:rsidR="00C36F76" w:rsidRPr="002751A3" w14:paraId="0ACE3144"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514FFC4"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Strongyloides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41A505A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72D5BC0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w:t>
            </w:r>
          </w:p>
        </w:tc>
        <w:tc>
          <w:tcPr>
            <w:tcW w:w="5361" w:type="dxa"/>
            <w:tcBorders>
              <w:top w:val="nil"/>
              <w:left w:val="nil"/>
              <w:bottom w:val="single" w:sz="4" w:space="0" w:color="auto"/>
              <w:right w:val="single" w:sz="4" w:space="0" w:color="auto"/>
            </w:tcBorders>
            <w:shd w:val="clear" w:color="auto" w:fill="auto"/>
            <w:vAlign w:val="center"/>
            <w:hideMark/>
          </w:tcPr>
          <w:p w14:paraId="0C9BC193" w14:textId="5880C162"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 Rac</w:t>
            </w:r>
            <w:r w:rsidR="00DE20A9">
              <w:rPr>
                <w:rFonts w:ascii="Calibri" w:eastAsia="Times New Roman" w:hAnsi="Calibri" w:cs="Calibri"/>
                <w:color w:val="000000"/>
                <w:lang w:eastAsia="en-GB"/>
              </w:rPr>
              <w:t>c</w:t>
            </w:r>
            <w:r w:rsidRPr="002751A3">
              <w:rPr>
                <w:rFonts w:ascii="Calibri" w:eastAsia="Times New Roman" w:hAnsi="Calibri" w:cs="Calibri"/>
                <w:color w:val="000000"/>
                <w:lang w:eastAsia="en-GB"/>
              </w:rPr>
              <w:t>oon</w:t>
            </w:r>
          </w:p>
        </w:tc>
        <w:tc>
          <w:tcPr>
            <w:tcW w:w="766" w:type="dxa"/>
            <w:tcBorders>
              <w:top w:val="nil"/>
              <w:left w:val="nil"/>
              <w:bottom w:val="single" w:sz="4" w:space="0" w:color="auto"/>
              <w:right w:val="single" w:sz="4" w:space="0" w:color="auto"/>
            </w:tcBorders>
            <w:shd w:val="clear" w:color="auto" w:fill="auto"/>
            <w:vAlign w:val="center"/>
            <w:hideMark/>
          </w:tcPr>
          <w:p w14:paraId="4E5DD44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0A5AA9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6E8F4EC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105,106,107</w:t>
            </w:r>
          </w:p>
        </w:tc>
      </w:tr>
      <w:tr w:rsidR="00C36F76" w:rsidRPr="002751A3" w14:paraId="6AE770CC"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344BE3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Syphacia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1F422CE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48C098F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1FB924C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1CC4D97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46D73E5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A7E509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108,109</w:t>
            </w:r>
          </w:p>
        </w:tc>
      </w:tr>
      <w:tr w:rsidR="00C36F76" w:rsidRPr="002751A3" w14:paraId="0DFA6F71"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4BDF332D"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8708AC">
              <w:rPr>
                <w:rFonts w:ascii="Calibri" w:eastAsia="Times New Roman" w:hAnsi="Calibri" w:cs="Calibri"/>
                <w:i/>
                <w:iCs/>
                <w:color w:val="000000"/>
                <w:sz w:val="20"/>
                <w:szCs w:val="20"/>
                <w:lang w:eastAsia="en-GB"/>
              </w:rPr>
              <w:t>Taenia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4CBB22E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Cestode</w:t>
            </w:r>
          </w:p>
        </w:tc>
        <w:tc>
          <w:tcPr>
            <w:tcW w:w="1576" w:type="dxa"/>
            <w:tcBorders>
              <w:top w:val="nil"/>
              <w:left w:val="nil"/>
              <w:bottom w:val="single" w:sz="4" w:space="0" w:color="auto"/>
              <w:right w:val="single" w:sz="4" w:space="0" w:color="auto"/>
            </w:tcBorders>
            <w:shd w:val="clear" w:color="auto" w:fill="auto"/>
            <w:vAlign w:val="center"/>
            <w:hideMark/>
          </w:tcPr>
          <w:p w14:paraId="4237FFA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7957281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Felines, Bovine, Pigs, Canines and Rodents</w:t>
            </w:r>
          </w:p>
        </w:tc>
        <w:tc>
          <w:tcPr>
            <w:tcW w:w="766" w:type="dxa"/>
            <w:tcBorders>
              <w:top w:val="nil"/>
              <w:left w:val="nil"/>
              <w:bottom w:val="single" w:sz="4" w:space="0" w:color="auto"/>
              <w:right w:val="single" w:sz="4" w:space="0" w:color="auto"/>
            </w:tcBorders>
            <w:shd w:val="clear" w:color="auto" w:fill="auto"/>
            <w:vAlign w:val="center"/>
            <w:hideMark/>
          </w:tcPr>
          <w:p w14:paraId="1FAA01A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80F257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81DE58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111,112,113</w:t>
            </w:r>
          </w:p>
        </w:tc>
      </w:tr>
      <w:tr w:rsidR="00C36F76" w:rsidRPr="002751A3" w14:paraId="0709562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5B91F2E7" w14:textId="77777777" w:rsidR="00C36F76" w:rsidRPr="008708AC" w:rsidRDefault="00C36F76" w:rsidP="005C116B">
            <w:pPr>
              <w:spacing w:after="0" w:line="240" w:lineRule="auto"/>
              <w:rPr>
                <w:rFonts w:ascii="Calibri" w:eastAsia="Times New Roman" w:hAnsi="Calibri" w:cs="Calibri"/>
                <w:i/>
                <w:iCs/>
                <w:color w:val="222222"/>
                <w:sz w:val="20"/>
                <w:szCs w:val="20"/>
                <w:lang w:eastAsia="en-GB"/>
              </w:rPr>
            </w:pPr>
            <w:r w:rsidRPr="008708AC">
              <w:rPr>
                <w:rFonts w:ascii="Calibri" w:eastAsia="Times New Roman" w:hAnsi="Calibri" w:cs="Calibri"/>
                <w:i/>
                <w:iCs/>
                <w:color w:val="222222"/>
                <w:sz w:val="20"/>
                <w:szCs w:val="20"/>
                <w:lang w:eastAsia="en-GB"/>
              </w:rPr>
              <w:t>Theileria parva</w:t>
            </w:r>
          </w:p>
        </w:tc>
        <w:tc>
          <w:tcPr>
            <w:tcW w:w="1691" w:type="dxa"/>
            <w:tcBorders>
              <w:top w:val="nil"/>
              <w:left w:val="nil"/>
              <w:bottom w:val="single" w:sz="4" w:space="0" w:color="auto"/>
              <w:right w:val="single" w:sz="4" w:space="0" w:color="auto"/>
            </w:tcBorders>
            <w:shd w:val="clear" w:color="auto" w:fill="auto"/>
            <w:vAlign w:val="center"/>
            <w:hideMark/>
          </w:tcPr>
          <w:p w14:paraId="0920723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vAlign w:val="center"/>
            <w:hideMark/>
          </w:tcPr>
          <w:p w14:paraId="3CCB84B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V(T)</w:t>
            </w:r>
          </w:p>
        </w:tc>
        <w:tc>
          <w:tcPr>
            <w:tcW w:w="5361" w:type="dxa"/>
            <w:tcBorders>
              <w:top w:val="nil"/>
              <w:left w:val="nil"/>
              <w:bottom w:val="single" w:sz="4" w:space="0" w:color="auto"/>
              <w:right w:val="single" w:sz="4" w:space="0" w:color="auto"/>
            </w:tcBorders>
            <w:shd w:val="clear" w:color="auto" w:fill="auto"/>
            <w:vAlign w:val="center"/>
            <w:hideMark/>
          </w:tcPr>
          <w:p w14:paraId="66AE882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Buffalo, Cattle</w:t>
            </w:r>
          </w:p>
        </w:tc>
        <w:tc>
          <w:tcPr>
            <w:tcW w:w="766" w:type="dxa"/>
            <w:tcBorders>
              <w:top w:val="nil"/>
              <w:left w:val="nil"/>
              <w:bottom w:val="single" w:sz="4" w:space="0" w:color="auto"/>
              <w:right w:val="single" w:sz="4" w:space="0" w:color="auto"/>
            </w:tcBorders>
            <w:shd w:val="clear" w:color="auto" w:fill="auto"/>
            <w:vAlign w:val="center"/>
            <w:hideMark/>
          </w:tcPr>
          <w:p w14:paraId="50A9A0F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692414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03DE6D0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114</w:t>
            </w:r>
          </w:p>
        </w:tc>
      </w:tr>
      <w:tr w:rsidR="00C36F76" w:rsidRPr="002751A3" w14:paraId="2DFADC41"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C3BAB6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C1066">
              <w:rPr>
                <w:rFonts w:ascii="Calibri" w:eastAsia="Times New Roman" w:hAnsi="Calibri" w:cs="Calibri"/>
                <w:i/>
                <w:iCs/>
                <w:color w:val="000000"/>
                <w:sz w:val="20"/>
                <w:szCs w:val="20"/>
                <w:lang w:eastAsia="en-GB"/>
              </w:rPr>
              <w:t>Toxocara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682B6AF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64B2F8F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410706C2" w14:textId="72B1A51A"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Felines, Canines,</w:t>
            </w:r>
            <w:r w:rsidR="009C5A73">
              <w:rPr>
                <w:rFonts w:ascii="Calibri" w:eastAsia="Times New Roman" w:hAnsi="Calibri" w:cs="Calibri"/>
                <w:color w:val="000000"/>
                <w:lang w:eastAsia="en-GB"/>
              </w:rPr>
              <w:t xml:space="preserve"> </w:t>
            </w:r>
            <w:r w:rsidRPr="002751A3">
              <w:rPr>
                <w:rFonts w:ascii="Calibri" w:eastAsia="Times New Roman" w:hAnsi="Calibri" w:cs="Calibri"/>
                <w:color w:val="000000"/>
                <w:lang w:eastAsia="en-GB"/>
              </w:rPr>
              <w:t>Cats, Rodents, birds, worms, molluscs</w:t>
            </w:r>
          </w:p>
        </w:tc>
        <w:tc>
          <w:tcPr>
            <w:tcW w:w="766" w:type="dxa"/>
            <w:tcBorders>
              <w:top w:val="nil"/>
              <w:left w:val="nil"/>
              <w:bottom w:val="single" w:sz="4" w:space="0" w:color="auto"/>
              <w:right w:val="single" w:sz="4" w:space="0" w:color="auto"/>
            </w:tcBorders>
            <w:shd w:val="clear" w:color="auto" w:fill="auto"/>
            <w:vAlign w:val="center"/>
            <w:hideMark/>
          </w:tcPr>
          <w:p w14:paraId="459B1C3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A9543D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B595AB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115,116</w:t>
            </w:r>
          </w:p>
        </w:tc>
      </w:tr>
      <w:tr w:rsidR="00C36F76" w:rsidRPr="002751A3" w14:paraId="4F3971F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0BE06A21"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C1066">
              <w:rPr>
                <w:rFonts w:ascii="Calibri" w:eastAsia="Times New Roman" w:hAnsi="Calibri" w:cs="Calibri"/>
                <w:i/>
                <w:iCs/>
                <w:color w:val="000000"/>
                <w:sz w:val="20"/>
                <w:szCs w:val="20"/>
                <w:lang w:eastAsia="en-GB"/>
              </w:rPr>
              <w:t xml:space="preserve">Toxoplasma </w:t>
            </w:r>
            <w:r w:rsidRPr="002751A3">
              <w:rPr>
                <w:rFonts w:ascii="Calibri" w:eastAsia="Times New Roman" w:hAnsi="Calibri" w:cs="Calibri"/>
                <w:color w:val="000000"/>
                <w:sz w:val="20"/>
                <w:szCs w:val="20"/>
                <w:lang w:eastAsia="en-GB"/>
              </w:rPr>
              <w:t>spp.</w:t>
            </w:r>
          </w:p>
        </w:tc>
        <w:tc>
          <w:tcPr>
            <w:tcW w:w="1691" w:type="dxa"/>
            <w:tcBorders>
              <w:top w:val="nil"/>
              <w:left w:val="nil"/>
              <w:bottom w:val="single" w:sz="4" w:space="0" w:color="auto"/>
              <w:right w:val="single" w:sz="4" w:space="0" w:color="auto"/>
            </w:tcBorders>
            <w:shd w:val="clear" w:color="auto" w:fill="auto"/>
            <w:noWrap/>
            <w:vAlign w:val="center"/>
            <w:hideMark/>
          </w:tcPr>
          <w:p w14:paraId="3B54368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noWrap/>
            <w:vAlign w:val="center"/>
            <w:hideMark/>
          </w:tcPr>
          <w:p w14:paraId="28BC97E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661C8854" w14:textId="643BFA3C"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w:t>
            </w:r>
            <w:r w:rsidR="009C5A73">
              <w:rPr>
                <w:rFonts w:ascii="Calibri" w:eastAsia="Times New Roman" w:hAnsi="Calibri" w:cs="Calibri"/>
                <w:color w:val="000000"/>
                <w:lang w:eastAsia="en-GB"/>
              </w:rPr>
              <w:t>e</w:t>
            </w:r>
            <w:r w:rsidRPr="002751A3">
              <w:rPr>
                <w:rFonts w:ascii="Calibri" w:eastAsia="Times New Roman" w:hAnsi="Calibri" w:cs="Calibri"/>
                <w:color w:val="000000"/>
                <w:lang w:eastAsia="en-GB"/>
              </w:rPr>
              <w:t xml:space="preserve"> host range including felines, birds and mammals</w:t>
            </w:r>
          </w:p>
        </w:tc>
        <w:tc>
          <w:tcPr>
            <w:tcW w:w="766" w:type="dxa"/>
            <w:tcBorders>
              <w:top w:val="nil"/>
              <w:left w:val="nil"/>
              <w:bottom w:val="single" w:sz="4" w:space="0" w:color="auto"/>
              <w:right w:val="single" w:sz="4" w:space="0" w:color="auto"/>
            </w:tcBorders>
            <w:shd w:val="clear" w:color="auto" w:fill="auto"/>
            <w:noWrap/>
            <w:vAlign w:val="center"/>
            <w:hideMark/>
          </w:tcPr>
          <w:p w14:paraId="6FA6F1A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199</w:t>
            </w:r>
          </w:p>
        </w:tc>
        <w:tc>
          <w:tcPr>
            <w:tcW w:w="992" w:type="dxa"/>
            <w:tcBorders>
              <w:top w:val="nil"/>
              <w:left w:val="nil"/>
              <w:bottom w:val="single" w:sz="4" w:space="0" w:color="auto"/>
              <w:right w:val="single" w:sz="4" w:space="0" w:color="auto"/>
            </w:tcBorders>
            <w:shd w:val="clear" w:color="auto" w:fill="auto"/>
            <w:noWrap/>
            <w:vAlign w:val="center"/>
            <w:hideMark/>
          </w:tcPr>
          <w:p w14:paraId="7292810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2.11</w:t>
            </w:r>
          </w:p>
        </w:tc>
        <w:tc>
          <w:tcPr>
            <w:tcW w:w="1276" w:type="dxa"/>
            <w:tcBorders>
              <w:top w:val="nil"/>
              <w:left w:val="nil"/>
              <w:bottom w:val="single" w:sz="4" w:space="0" w:color="auto"/>
              <w:right w:val="single" w:sz="4" w:space="0" w:color="auto"/>
            </w:tcBorders>
            <w:shd w:val="clear" w:color="auto" w:fill="auto"/>
            <w:noWrap/>
            <w:vAlign w:val="bottom"/>
            <w:hideMark/>
          </w:tcPr>
          <w:p w14:paraId="796C6A5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117</w:t>
            </w:r>
          </w:p>
        </w:tc>
      </w:tr>
      <w:tr w:rsidR="00C36F76" w:rsidRPr="002751A3" w14:paraId="3713BA1A"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69D6C8A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C1066">
              <w:rPr>
                <w:rFonts w:ascii="Calibri" w:eastAsia="Times New Roman" w:hAnsi="Calibri" w:cs="Calibri"/>
                <w:i/>
                <w:iCs/>
                <w:color w:val="000000"/>
                <w:sz w:val="20"/>
                <w:szCs w:val="20"/>
                <w:lang w:eastAsia="en-GB"/>
              </w:rPr>
              <w:t>Trichinella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6FDCB56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noWrap/>
            <w:vAlign w:val="center"/>
            <w:hideMark/>
          </w:tcPr>
          <w:p w14:paraId="0127877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noWrap/>
            <w:vAlign w:val="center"/>
            <w:hideMark/>
          </w:tcPr>
          <w:p w14:paraId="6483798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birds, mammals and reptiles</w:t>
            </w:r>
          </w:p>
        </w:tc>
        <w:tc>
          <w:tcPr>
            <w:tcW w:w="766" w:type="dxa"/>
            <w:tcBorders>
              <w:top w:val="nil"/>
              <w:left w:val="nil"/>
              <w:bottom w:val="single" w:sz="4" w:space="0" w:color="auto"/>
              <w:right w:val="single" w:sz="4" w:space="0" w:color="auto"/>
            </w:tcBorders>
            <w:shd w:val="clear" w:color="auto" w:fill="auto"/>
            <w:noWrap/>
            <w:vAlign w:val="center"/>
            <w:hideMark/>
          </w:tcPr>
          <w:p w14:paraId="22D9FF7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189</w:t>
            </w:r>
          </w:p>
        </w:tc>
        <w:tc>
          <w:tcPr>
            <w:tcW w:w="992" w:type="dxa"/>
            <w:tcBorders>
              <w:top w:val="nil"/>
              <w:left w:val="nil"/>
              <w:bottom w:val="single" w:sz="4" w:space="0" w:color="auto"/>
              <w:right w:val="single" w:sz="4" w:space="0" w:color="auto"/>
            </w:tcBorders>
            <w:shd w:val="clear" w:color="auto" w:fill="auto"/>
            <w:noWrap/>
            <w:vAlign w:val="center"/>
            <w:hideMark/>
          </w:tcPr>
          <w:p w14:paraId="202A723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0.42</w:t>
            </w:r>
          </w:p>
        </w:tc>
        <w:tc>
          <w:tcPr>
            <w:tcW w:w="1276" w:type="dxa"/>
            <w:tcBorders>
              <w:top w:val="nil"/>
              <w:left w:val="nil"/>
              <w:bottom w:val="single" w:sz="4" w:space="0" w:color="auto"/>
              <w:right w:val="single" w:sz="4" w:space="0" w:color="auto"/>
            </w:tcBorders>
            <w:shd w:val="clear" w:color="auto" w:fill="auto"/>
            <w:noWrap/>
            <w:vAlign w:val="bottom"/>
            <w:hideMark/>
          </w:tcPr>
          <w:p w14:paraId="176C76B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118</w:t>
            </w:r>
          </w:p>
        </w:tc>
      </w:tr>
      <w:tr w:rsidR="00C36F76" w:rsidRPr="002751A3" w14:paraId="58CAF4A8"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0AD74CF1" w14:textId="77777777" w:rsidR="00C36F76" w:rsidRPr="009C1066" w:rsidRDefault="00C36F76" w:rsidP="005C116B">
            <w:pPr>
              <w:spacing w:after="0" w:line="240" w:lineRule="auto"/>
              <w:rPr>
                <w:rFonts w:ascii="Calibri" w:eastAsia="Times New Roman" w:hAnsi="Calibri" w:cs="Calibri"/>
                <w:i/>
                <w:iCs/>
                <w:color w:val="000000"/>
                <w:sz w:val="20"/>
                <w:szCs w:val="20"/>
                <w:lang w:eastAsia="en-GB"/>
              </w:rPr>
            </w:pPr>
            <w:r w:rsidRPr="009C1066">
              <w:rPr>
                <w:rFonts w:ascii="Calibri" w:eastAsia="Times New Roman" w:hAnsi="Calibri" w:cs="Calibri"/>
                <w:i/>
                <w:iCs/>
                <w:color w:val="000000"/>
                <w:sz w:val="20"/>
                <w:szCs w:val="20"/>
                <w:lang w:eastAsia="en-GB"/>
              </w:rPr>
              <w:t>Trichosomoides crassicauda</w:t>
            </w:r>
          </w:p>
        </w:tc>
        <w:tc>
          <w:tcPr>
            <w:tcW w:w="1691" w:type="dxa"/>
            <w:tcBorders>
              <w:top w:val="nil"/>
              <w:left w:val="nil"/>
              <w:bottom w:val="single" w:sz="4" w:space="0" w:color="auto"/>
              <w:right w:val="single" w:sz="4" w:space="0" w:color="auto"/>
            </w:tcBorders>
            <w:shd w:val="clear" w:color="auto" w:fill="auto"/>
            <w:vAlign w:val="center"/>
            <w:hideMark/>
          </w:tcPr>
          <w:p w14:paraId="00AF76B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6669468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6FC3AE4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Rodents</w:t>
            </w:r>
          </w:p>
        </w:tc>
        <w:tc>
          <w:tcPr>
            <w:tcW w:w="766" w:type="dxa"/>
            <w:tcBorders>
              <w:top w:val="nil"/>
              <w:left w:val="nil"/>
              <w:bottom w:val="single" w:sz="4" w:space="0" w:color="auto"/>
              <w:right w:val="single" w:sz="4" w:space="0" w:color="auto"/>
            </w:tcBorders>
            <w:shd w:val="clear" w:color="auto" w:fill="auto"/>
            <w:vAlign w:val="center"/>
            <w:hideMark/>
          </w:tcPr>
          <w:p w14:paraId="41014A5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698E756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939C86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119</w:t>
            </w:r>
          </w:p>
        </w:tc>
      </w:tr>
      <w:tr w:rsidR="00C36F76" w:rsidRPr="002751A3" w14:paraId="358583D0"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7D18C2EB"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5049F">
              <w:rPr>
                <w:rFonts w:ascii="Calibri" w:eastAsia="Times New Roman" w:hAnsi="Calibri" w:cs="Calibri"/>
                <w:i/>
                <w:iCs/>
                <w:color w:val="000000"/>
                <w:sz w:val="20"/>
                <w:szCs w:val="20"/>
                <w:lang w:eastAsia="en-GB"/>
              </w:rPr>
              <w:t>Trichostrongylus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39FAB52C"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62051FF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O(F)</w:t>
            </w:r>
          </w:p>
        </w:tc>
        <w:tc>
          <w:tcPr>
            <w:tcW w:w="5361" w:type="dxa"/>
            <w:tcBorders>
              <w:top w:val="nil"/>
              <w:left w:val="nil"/>
              <w:bottom w:val="single" w:sz="4" w:space="0" w:color="auto"/>
              <w:right w:val="single" w:sz="4" w:space="0" w:color="auto"/>
            </w:tcBorders>
            <w:shd w:val="clear" w:color="auto" w:fill="auto"/>
            <w:vAlign w:val="center"/>
            <w:hideMark/>
          </w:tcPr>
          <w:p w14:paraId="79A73AE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Livestock, Rabbits</w:t>
            </w:r>
          </w:p>
        </w:tc>
        <w:tc>
          <w:tcPr>
            <w:tcW w:w="766" w:type="dxa"/>
            <w:tcBorders>
              <w:top w:val="nil"/>
              <w:left w:val="nil"/>
              <w:bottom w:val="single" w:sz="4" w:space="0" w:color="auto"/>
              <w:right w:val="single" w:sz="4" w:space="0" w:color="auto"/>
            </w:tcBorders>
            <w:shd w:val="clear" w:color="auto" w:fill="auto"/>
            <w:vAlign w:val="center"/>
            <w:hideMark/>
          </w:tcPr>
          <w:p w14:paraId="1F8BFF1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8C61EB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439490D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120</w:t>
            </w:r>
          </w:p>
        </w:tc>
      </w:tr>
      <w:tr w:rsidR="00C36F76" w:rsidRPr="002751A3" w14:paraId="04059A72" w14:textId="77777777" w:rsidTr="005C116B">
        <w:trPr>
          <w:trHeight w:val="6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E1E9821"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5049F">
              <w:rPr>
                <w:rFonts w:ascii="Calibri" w:eastAsia="Times New Roman" w:hAnsi="Calibri" w:cs="Calibri"/>
                <w:i/>
                <w:iCs/>
                <w:color w:val="000000"/>
                <w:sz w:val="20"/>
                <w:szCs w:val="20"/>
                <w:lang w:eastAsia="en-GB"/>
              </w:rPr>
              <w:t>Trichuris</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vAlign w:val="center"/>
            <w:hideMark/>
          </w:tcPr>
          <w:p w14:paraId="56BF1476"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w:t>
            </w:r>
          </w:p>
        </w:tc>
        <w:tc>
          <w:tcPr>
            <w:tcW w:w="1576" w:type="dxa"/>
            <w:tcBorders>
              <w:top w:val="nil"/>
              <w:left w:val="nil"/>
              <w:bottom w:val="single" w:sz="4" w:space="0" w:color="auto"/>
              <w:right w:val="single" w:sz="4" w:space="0" w:color="auto"/>
            </w:tcBorders>
            <w:shd w:val="clear" w:color="auto" w:fill="auto"/>
            <w:vAlign w:val="center"/>
            <w:hideMark/>
          </w:tcPr>
          <w:p w14:paraId="7B80D0F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17DDE60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Wide host range including domestic animals</w:t>
            </w:r>
          </w:p>
        </w:tc>
        <w:tc>
          <w:tcPr>
            <w:tcW w:w="766" w:type="dxa"/>
            <w:tcBorders>
              <w:top w:val="nil"/>
              <w:left w:val="nil"/>
              <w:bottom w:val="single" w:sz="4" w:space="0" w:color="auto"/>
              <w:right w:val="single" w:sz="4" w:space="0" w:color="auto"/>
            </w:tcBorders>
            <w:shd w:val="clear" w:color="auto" w:fill="auto"/>
            <w:vAlign w:val="center"/>
            <w:hideMark/>
          </w:tcPr>
          <w:p w14:paraId="36CF7BD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0CE5E9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80E9F6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121</w:t>
            </w:r>
          </w:p>
        </w:tc>
      </w:tr>
      <w:tr w:rsidR="00C36F76" w:rsidRPr="002751A3" w14:paraId="41EAA308"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602B618" w14:textId="77777777" w:rsidR="00C36F76" w:rsidRPr="0095049F" w:rsidRDefault="00C36F76" w:rsidP="005C116B">
            <w:pPr>
              <w:spacing w:after="0" w:line="240" w:lineRule="auto"/>
              <w:rPr>
                <w:rFonts w:ascii="Calibri" w:eastAsia="Times New Roman" w:hAnsi="Calibri" w:cs="Calibri"/>
                <w:i/>
                <w:iCs/>
                <w:color w:val="000000"/>
                <w:sz w:val="20"/>
                <w:szCs w:val="20"/>
                <w:lang w:eastAsia="en-GB"/>
              </w:rPr>
            </w:pPr>
            <w:r w:rsidRPr="0095049F">
              <w:rPr>
                <w:rFonts w:ascii="Calibri" w:eastAsia="Times New Roman" w:hAnsi="Calibri" w:cs="Calibri"/>
                <w:i/>
                <w:iCs/>
                <w:color w:val="000000"/>
                <w:sz w:val="20"/>
                <w:szCs w:val="20"/>
                <w:lang w:eastAsia="en-GB"/>
              </w:rPr>
              <w:lastRenderedPageBreak/>
              <w:t>Trypanosoma</w:t>
            </w:r>
          </w:p>
        </w:tc>
        <w:tc>
          <w:tcPr>
            <w:tcW w:w="1691" w:type="dxa"/>
            <w:tcBorders>
              <w:top w:val="nil"/>
              <w:left w:val="nil"/>
              <w:bottom w:val="single" w:sz="4" w:space="0" w:color="auto"/>
              <w:right w:val="single" w:sz="4" w:space="0" w:color="auto"/>
            </w:tcBorders>
            <w:shd w:val="clear" w:color="auto" w:fill="auto"/>
            <w:vAlign w:val="center"/>
            <w:hideMark/>
          </w:tcPr>
          <w:p w14:paraId="111096C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Apicomplexa</w:t>
            </w:r>
          </w:p>
        </w:tc>
        <w:tc>
          <w:tcPr>
            <w:tcW w:w="1576" w:type="dxa"/>
            <w:tcBorders>
              <w:top w:val="nil"/>
              <w:left w:val="nil"/>
              <w:bottom w:val="single" w:sz="4" w:space="0" w:color="auto"/>
              <w:right w:val="single" w:sz="4" w:space="0" w:color="auto"/>
            </w:tcBorders>
            <w:shd w:val="clear" w:color="auto" w:fill="auto"/>
            <w:vAlign w:val="center"/>
            <w:hideMark/>
          </w:tcPr>
          <w:p w14:paraId="447524E3" w14:textId="77777777" w:rsidR="00C36F76" w:rsidRPr="00BF1A53" w:rsidRDefault="00C36F76" w:rsidP="005C116B">
            <w:pPr>
              <w:spacing w:after="0" w:line="240" w:lineRule="auto"/>
              <w:jc w:val="center"/>
              <w:rPr>
                <w:rFonts w:ascii="Calibri" w:eastAsia="Times New Roman" w:hAnsi="Calibri" w:cs="Calibri"/>
                <w:color w:val="000000"/>
                <w:lang w:val="de-DE" w:eastAsia="en-GB"/>
              </w:rPr>
            </w:pPr>
            <w:r w:rsidRPr="00BF1A53">
              <w:rPr>
                <w:rFonts w:ascii="Calibri" w:eastAsia="Times New Roman" w:hAnsi="Calibri" w:cs="Calibri"/>
                <w:color w:val="000000"/>
                <w:lang w:val="de-DE" w:eastAsia="en-GB"/>
              </w:rPr>
              <w:t>O;V(GEN,TRI,FL)</w:t>
            </w:r>
          </w:p>
        </w:tc>
        <w:tc>
          <w:tcPr>
            <w:tcW w:w="5361" w:type="dxa"/>
            <w:tcBorders>
              <w:top w:val="nil"/>
              <w:left w:val="nil"/>
              <w:bottom w:val="single" w:sz="4" w:space="0" w:color="auto"/>
              <w:right w:val="single" w:sz="4" w:space="0" w:color="auto"/>
            </w:tcBorders>
            <w:shd w:val="clear" w:color="auto" w:fill="auto"/>
            <w:vAlign w:val="center"/>
            <w:hideMark/>
          </w:tcPr>
          <w:p w14:paraId="5D14F51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rodents, domestic animals and livestock</w:t>
            </w:r>
          </w:p>
        </w:tc>
        <w:tc>
          <w:tcPr>
            <w:tcW w:w="766" w:type="dxa"/>
            <w:tcBorders>
              <w:top w:val="nil"/>
              <w:left w:val="nil"/>
              <w:bottom w:val="single" w:sz="4" w:space="0" w:color="auto"/>
              <w:right w:val="single" w:sz="4" w:space="0" w:color="auto"/>
            </w:tcBorders>
            <w:shd w:val="clear" w:color="auto" w:fill="auto"/>
            <w:vAlign w:val="center"/>
            <w:hideMark/>
          </w:tcPr>
          <w:p w14:paraId="080AC73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089B01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D347EA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122,123,124</w:t>
            </w:r>
          </w:p>
        </w:tc>
      </w:tr>
      <w:tr w:rsidR="00C36F76" w:rsidRPr="002751A3" w14:paraId="48459E4D" w14:textId="77777777" w:rsidTr="005C116B">
        <w:trPr>
          <w:trHeight w:val="51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617D3AC1" w14:textId="77777777" w:rsidR="00C36F76" w:rsidRPr="0095049F" w:rsidRDefault="00C36F76" w:rsidP="005C116B">
            <w:pPr>
              <w:spacing w:after="0" w:line="240" w:lineRule="auto"/>
              <w:rPr>
                <w:rFonts w:ascii="Calibri" w:eastAsia="Times New Roman" w:hAnsi="Calibri" w:cs="Calibri"/>
                <w:i/>
                <w:iCs/>
                <w:color w:val="000000"/>
                <w:sz w:val="20"/>
                <w:szCs w:val="20"/>
                <w:lang w:eastAsia="en-GB"/>
              </w:rPr>
            </w:pPr>
            <w:r w:rsidRPr="0095049F">
              <w:rPr>
                <w:rFonts w:ascii="Calibri" w:eastAsia="Times New Roman" w:hAnsi="Calibri" w:cs="Calibri"/>
                <w:i/>
                <w:iCs/>
                <w:color w:val="000000"/>
                <w:sz w:val="20"/>
                <w:szCs w:val="20"/>
                <w:lang w:eastAsia="en-GB"/>
              </w:rPr>
              <w:t>Uncinaria stenocephala</w:t>
            </w:r>
          </w:p>
        </w:tc>
        <w:tc>
          <w:tcPr>
            <w:tcW w:w="1691" w:type="dxa"/>
            <w:tcBorders>
              <w:top w:val="nil"/>
              <w:left w:val="nil"/>
              <w:bottom w:val="single" w:sz="4" w:space="0" w:color="auto"/>
              <w:right w:val="single" w:sz="4" w:space="0" w:color="auto"/>
            </w:tcBorders>
            <w:shd w:val="clear" w:color="auto" w:fill="auto"/>
            <w:vAlign w:val="center"/>
            <w:hideMark/>
          </w:tcPr>
          <w:p w14:paraId="1C43D79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Nematodes</w:t>
            </w:r>
          </w:p>
        </w:tc>
        <w:tc>
          <w:tcPr>
            <w:tcW w:w="1576" w:type="dxa"/>
            <w:tcBorders>
              <w:top w:val="nil"/>
              <w:left w:val="nil"/>
              <w:bottom w:val="single" w:sz="4" w:space="0" w:color="auto"/>
              <w:right w:val="single" w:sz="4" w:space="0" w:color="auto"/>
            </w:tcBorders>
            <w:shd w:val="clear" w:color="auto" w:fill="auto"/>
            <w:vAlign w:val="center"/>
            <w:hideMark/>
          </w:tcPr>
          <w:p w14:paraId="71B21DF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O</w:t>
            </w:r>
          </w:p>
        </w:tc>
        <w:tc>
          <w:tcPr>
            <w:tcW w:w="5361" w:type="dxa"/>
            <w:tcBorders>
              <w:top w:val="nil"/>
              <w:left w:val="nil"/>
              <w:bottom w:val="single" w:sz="4" w:space="0" w:color="auto"/>
              <w:right w:val="single" w:sz="4" w:space="0" w:color="auto"/>
            </w:tcBorders>
            <w:shd w:val="clear" w:color="auto" w:fill="auto"/>
            <w:vAlign w:val="center"/>
            <w:hideMark/>
          </w:tcPr>
          <w:p w14:paraId="59342DF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Canines</w:t>
            </w:r>
          </w:p>
        </w:tc>
        <w:tc>
          <w:tcPr>
            <w:tcW w:w="766" w:type="dxa"/>
            <w:tcBorders>
              <w:top w:val="nil"/>
              <w:left w:val="nil"/>
              <w:bottom w:val="single" w:sz="4" w:space="0" w:color="auto"/>
              <w:right w:val="single" w:sz="4" w:space="0" w:color="auto"/>
            </w:tcBorders>
            <w:shd w:val="clear" w:color="auto" w:fill="auto"/>
            <w:vAlign w:val="center"/>
            <w:hideMark/>
          </w:tcPr>
          <w:p w14:paraId="41D5825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6F6940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C9AC35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125</w:t>
            </w:r>
          </w:p>
        </w:tc>
      </w:tr>
      <w:tr w:rsidR="00C36F76" w:rsidRPr="002751A3" w14:paraId="65C1B50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31D6CFCF"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Usutu virus (USUV)</w:t>
            </w:r>
          </w:p>
        </w:tc>
        <w:tc>
          <w:tcPr>
            <w:tcW w:w="1691" w:type="dxa"/>
            <w:tcBorders>
              <w:top w:val="nil"/>
              <w:left w:val="nil"/>
              <w:bottom w:val="single" w:sz="4" w:space="0" w:color="auto"/>
              <w:right w:val="single" w:sz="4" w:space="0" w:color="auto"/>
            </w:tcBorders>
            <w:shd w:val="clear" w:color="auto" w:fill="auto"/>
            <w:vAlign w:val="center"/>
            <w:hideMark/>
          </w:tcPr>
          <w:p w14:paraId="18EEF7E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22A8A87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3B52BCE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vAlign w:val="center"/>
            <w:hideMark/>
          </w:tcPr>
          <w:p w14:paraId="70250F07"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8BE731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1D51CA1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126</w:t>
            </w:r>
          </w:p>
        </w:tc>
      </w:tr>
      <w:tr w:rsidR="00C36F76" w:rsidRPr="002751A3" w14:paraId="011D1967" w14:textId="77777777" w:rsidTr="005C116B">
        <w:trPr>
          <w:trHeight w:val="765"/>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34BD3D8"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Variegated squirrel bornavirus 1 (VSBV-1)</w:t>
            </w:r>
          </w:p>
        </w:tc>
        <w:tc>
          <w:tcPr>
            <w:tcW w:w="1691" w:type="dxa"/>
            <w:tcBorders>
              <w:top w:val="nil"/>
              <w:left w:val="nil"/>
              <w:bottom w:val="single" w:sz="4" w:space="0" w:color="auto"/>
              <w:right w:val="single" w:sz="4" w:space="0" w:color="auto"/>
            </w:tcBorders>
            <w:shd w:val="clear" w:color="auto" w:fill="auto"/>
            <w:vAlign w:val="center"/>
            <w:hideMark/>
          </w:tcPr>
          <w:p w14:paraId="1F0AE5A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001A006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w:t>
            </w:r>
          </w:p>
        </w:tc>
        <w:tc>
          <w:tcPr>
            <w:tcW w:w="5361" w:type="dxa"/>
            <w:tcBorders>
              <w:top w:val="nil"/>
              <w:left w:val="nil"/>
              <w:bottom w:val="single" w:sz="4" w:space="0" w:color="auto"/>
              <w:right w:val="single" w:sz="4" w:space="0" w:color="auto"/>
            </w:tcBorders>
            <w:shd w:val="clear" w:color="auto" w:fill="auto"/>
            <w:vAlign w:val="center"/>
            <w:hideMark/>
          </w:tcPr>
          <w:p w14:paraId="008D5D9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Squirrels</w:t>
            </w:r>
          </w:p>
        </w:tc>
        <w:tc>
          <w:tcPr>
            <w:tcW w:w="766" w:type="dxa"/>
            <w:tcBorders>
              <w:top w:val="nil"/>
              <w:left w:val="nil"/>
              <w:bottom w:val="single" w:sz="4" w:space="0" w:color="auto"/>
              <w:right w:val="single" w:sz="4" w:space="0" w:color="auto"/>
            </w:tcBorders>
            <w:shd w:val="clear" w:color="auto" w:fill="auto"/>
            <w:vAlign w:val="center"/>
            <w:hideMark/>
          </w:tcPr>
          <w:p w14:paraId="4A4CF16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4D4F7F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93854E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127</w:t>
            </w:r>
          </w:p>
        </w:tc>
      </w:tr>
      <w:tr w:rsidR="00C36F76" w:rsidRPr="002751A3" w14:paraId="4DBD54B9"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546439FE"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West Nile Virus</w:t>
            </w:r>
          </w:p>
        </w:tc>
        <w:tc>
          <w:tcPr>
            <w:tcW w:w="1691" w:type="dxa"/>
            <w:tcBorders>
              <w:top w:val="nil"/>
              <w:left w:val="nil"/>
              <w:bottom w:val="single" w:sz="4" w:space="0" w:color="auto"/>
              <w:right w:val="single" w:sz="4" w:space="0" w:color="auto"/>
            </w:tcBorders>
            <w:shd w:val="clear" w:color="auto" w:fill="auto"/>
            <w:noWrap/>
            <w:vAlign w:val="center"/>
            <w:hideMark/>
          </w:tcPr>
          <w:p w14:paraId="24119A3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noWrap/>
            <w:vAlign w:val="center"/>
            <w:hideMark/>
          </w:tcPr>
          <w:p w14:paraId="525721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noWrap/>
            <w:vAlign w:val="center"/>
            <w:hideMark/>
          </w:tcPr>
          <w:p w14:paraId="739CCCF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noWrap/>
            <w:vAlign w:val="center"/>
            <w:hideMark/>
          </w:tcPr>
          <w:p w14:paraId="616FEB42"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383</w:t>
            </w:r>
          </w:p>
        </w:tc>
        <w:tc>
          <w:tcPr>
            <w:tcW w:w="992" w:type="dxa"/>
            <w:tcBorders>
              <w:top w:val="nil"/>
              <w:left w:val="nil"/>
              <w:bottom w:val="single" w:sz="4" w:space="0" w:color="auto"/>
              <w:right w:val="single" w:sz="4" w:space="0" w:color="auto"/>
            </w:tcBorders>
            <w:shd w:val="clear" w:color="auto" w:fill="auto"/>
            <w:noWrap/>
            <w:vAlign w:val="center"/>
            <w:hideMark/>
          </w:tcPr>
          <w:p w14:paraId="1DA1206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9.13</w:t>
            </w:r>
          </w:p>
        </w:tc>
        <w:tc>
          <w:tcPr>
            <w:tcW w:w="1276" w:type="dxa"/>
            <w:tcBorders>
              <w:top w:val="nil"/>
              <w:left w:val="nil"/>
              <w:bottom w:val="single" w:sz="4" w:space="0" w:color="auto"/>
              <w:right w:val="single" w:sz="4" w:space="0" w:color="auto"/>
            </w:tcBorders>
            <w:shd w:val="clear" w:color="auto" w:fill="auto"/>
            <w:noWrap/>
            <w:vAlign w:val="bottom"/>
            <w:hideMark/>
          </w:tcPr>
          <w:p w14:paraId="4965496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128</w:t>
            </w:r>
          </w:p>
        </w:tc>
      </w:tr>
      <w:tr w:rsidR="00C36F76" w:rsidRPr="002751A3" w14:paraId="1DD24A22" w14:textId="77777777" w:rsidTr="005C116B">
        <w:trPr>
          <w:trHeight w:val="780"/>
        </w:trPr>
        <w:tc>
          <w:tcPr>
            <w:tcW w:w="2367" w:type="dxa"/>
            <w:tcBorders>
              <w:top w:val="nil"/>
              <w:left w:val="single" w:sz="4" w:space="0" w:color="auto"/>
              <w:bottom w:val="single" w:sz="4" w:space="0" w:color="auto"/>
              <w:right w:val="single" w:sz="4" w:space="0" w:color="auto"/>
            </w:tcBorders>
            <w:shd w:val="clear" w:color="auto" w:fill="auto"/>
            <w:vAlign w:val="bottom"/>
            <w:hideMark/>
          </w:tcPr>
          <w:p w14:paraId="73681D6A"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Western equine encephalomyelitis virus (WEEV)</w:t>
            </w:r>
          </w:p>
        </w:tc>
        <w:tc>
          <w:tcPr>
            <w:tcW w:w="1691" w:type="dxa"/>
            <w:tcBorders>
              <w:top w:val="nil"/>
              <w:left w:val="nil"/>
              <w:bottom w:val="single" w:sz="4" w:space="0" w:color="auto"/>
              <w:right w:val="single" w:sz="4" w:space="0" w:color="auto"/>
            </w:tcBorders>
            <w:shd w:val="clear" w:color="auto" w:fill="auto"/>
            <w:vAlign w:val="center"/>
            <w:hideMark/>
          </w:tcPr>
          <w:p w14:paraId="7C3D4E0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56E7AA1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1074900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 Horses</w:t>
            </w:r>
          </w:p>
        </w:tc>
        <w:tc>
          <w:tcPr>
            <w:tcW w:w="766" w:type="dxa"/>
            <w:tcBorders>
              <w:top w:val="nil"/>
              <w:left w:val="nil"/>
              <w:bottom w:val="single" w:sz="4" w:space="0" w:color="auto"/>
              <w:right w:val="single" w:sz="4" w:space="0" w:color="auto"/>
            </w:tcBorders>
            <w:shd w:val="clear" w:color="auto" w:fill="auto"/>
            <w:vAlign w:val="center"/>
            <w:hideMark/>
          </w:tcPr>
          <w:p w14:paraId="62C5BF9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57550C4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4C3FD1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129</w:t>
            </w:r>
          </w:p>
        </w:tc>
      </w:tr>
      <w:tr w:rsidR="00C36F76" w:rsidRPr="002751A3" w14:paraId="4EC7A1F0"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2772B2ED"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Whataroa virus</w:t>
            </w:r>
          </w:p>
        </w:tc>
        <w:tc>
          <w:tcPr>
            <w:tcW w:w="1691" w:type="dxa"/>
            <w:tcBorders>
              <w:top w:val="nil"/>
              <w:left w:val="nil"/>
              <w:bottom w:val="single" w:sz="4" w:space="0" w:color="auto"/>
              <w:right w:val="single" w:sz="4" w:space="0" w:color="auto"/>
            </w:tcBorders>
            <w:shd w:val="clear" w:color="auto" w:fill="auto"/>
            <w:vAlign w:val="center"/>
            <w:hideMark/>
          </w:tcPr>
          <w:p w14:paraId="7646E6E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1914ACE5"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49398E9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Birds</w:t>
            </w:r>
          </w:p>
        </w:tc>
        <w:tc>
          <w:tcPr>
            <w:tcW w:w="766" w:type="dxa"/>
            <w:tcBorders>
              <w:top w:val="nil"/>
              <w:left w:val="nil"/>
              <w:bottom w:val="single" w:sz="4" w:space="0" w:color="auto"/>
              <w:right w:val="single" w:sz="4" w:space="0" w:color="auto"/>
            </w:tcBorders>
            <w:shd w:val="clear" w:color="auto" w:fill="auto"/>
            <w:vAlign w:val="center"/>
            <w:hideMark/>
          </w:tcPr>
          <w:p w14:paraId="402099B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DB6C1C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27359CA8"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130</w:t>
            </w:r>
          </w:p>
        </w:tc>
      </w:tr>
      <w:tr w:rsidR="00C36F76" w:rsidRPr="002751A3" w14:paraId="27128C5D" w14:textId="77777777" w:rsidTr="005C116B">
        <w:trPr>
          <w:trHeight w:val="9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B9C43E9" w14:textId="77777777" w:rsidR="00C36F76" w:rsidRPr="0095049F" w:rsidRDefault="00C36F76" w:rsidP="005C116B">
            <w:pPr>
              <w:spacing w:after="0" w:line="240" w:lineRule="auto"/>
              <w:rPr>
                <w:rFonts w:ascii="Calibri" w:eastAsia="Times New Roman" w:hAnsi="Calibri" w:cs="Calibri"/>
                <w:i/>
                <w:iCs/>
                <w:color w:val="000000"/>
                <w:sz w:val="20"/>
                <w:szCs w:val="20"/>
                <w:lang w:eastAsia="en-GB"/>
              </w:rPr>
            </w:pPr>
            <w:r w:rsidRPr="0095049F">
              <w:rPr>
                <w:rFonts w:ascii="Calibri" w:eastAsia="Times New Roman" w:hAnsi="Calibri" w:cs="Calibri"/>
                <w:i/>
                <w:iCs/>
                <w:color w:val="000000"/>
                <w:sz w:val="20"/>
                <w:szCs w:val="20"/>
                <w:lang w:eastAsia="en-GB"/>
              </w:rPr>
              <w:t>Yersinia pestis</w:t>
            </w:r>
          </w:p>
        </w:tc>
        <w:tc>
          <w:tcPr>
            <w:tcW w:w="1691" w:type="dxa"/>
            <w:tcBorders>
              <w:top w:val="nil"/>
              <w:left w:val="nil"/>
              <w:bottom w:val="single" w:sz="4" w:space="0" w:color="auto"/>
              <w:right w:val="single" w:sz="4" w:space="0" w:color="auto"/>
            </w:tcBorders>
            <w:shd w:val="clear" w:color="auto" w:fill="auto"/>
            <w:vAlign w:val="center"/>
            <w:hideMark/>
          </w:tcPr>
          <w:p w14:paraId="14E625AD"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vAlign w:val="center"/>
            <w:hideMark/>
          </w:tcPr>
          <w:p w14:paraId="5C40242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A;V(FL)</w:t>
            </w:r>
          </w:p>
        </w:tc>
        <w:tc>
          <w:tcPr>
            <w:tcW w:w="5361" w:type="dxa"/>
            <w:tcBorders>
              <w:top w:val="nil"/>
              <w:left w:val="nil"/>
              <w:bottom w:val="single" w:sz="4" w:space="0" w:color="auto"/>
              <w:right w:val="single" w:sz="4" w:space="0" w:color="auto"/>
            </w:tcBorders>
            <w:shd w:val="clear" w:color="auto" w:fill="auto"/>
            <w:vAlign w:val="center"/>
            <w:hideMark/>
          </w:tcPr>
          <w:p w14:paraId="23B6EE5E" w14:textId="68B685A9"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Broad </w:t>
            </w:r>
            <w:r w:rsidR="009C5A73" w:rsidRPr="002751A3">
              <w:rPr>
                <w:rFonts w:ascii="Calibri" w:eastAsia="Times New Roman" w:hAnsi="Calibri" w:cs="Calibri"/>
                <w:color w:val="000000"/>
                <w:lang w:eastAsia="en-GB"/>
              </w:rPr>
              <w:t>incidental</w:t>
            </w:r>
            <w:r w:rsidRPr="002751A3">
              <w:rPr>
                <w:rFonts w:ascii="Calibri" w:eastAsia="Times New Roman" w:hAnsi="Calibri" w:cs="Calibri"/>
                <w:color w:val="000000"/>
                <w:lang w:eastAsia="en-GB"/>
              </w:rPr>
              <w:t xml:space="preserve"> host range but mainly maintained in rodents</w:t>
            </w:r>
          </w:p>
        </w:tc>
        <w:tc>
          <w:tcPr>
            <w:tcW w:w="766" w:type="dxa"/>
            <w:tcBorders>
              <w:top w:val="nil"/>
              <w:left w:val="nil"/>
              <w:bottom w:val="single" w:sz="4" w:space="0" w:color="auto"/>
              <w:right w:val="single" w:sz="4" w:space="0" w:color="auto"/>
            </w:tcBorders>
            <w:shd w:val="clear" w:color="auto" w:fill="auto"/>
            <w:vAlign w:val="center"/>
            <w:hideMark/>
          </w:tcPr>
          <w:p w14:paraId="3BE34099"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8320D1E"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532E021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131</w:t>
            </w:r>
          </w:p>
        </w:tc>
      </w:tr>
      <w:tr w:rsidR="00C36F76" w:rsidRPr="002751A3" w14:paraId="08DE96CE"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noWrap/>
            <w:vAlign w:val="center"/>
            <w:hideMark/>
          </w:tcPr>
          <w:p w14:paraId="0D9F9020"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95049F">
              <w:rPr>
                <w:rFonts w:ascii="Calibri" w:eastAsia="Times New Roman" w:hAnsi="Calibri" w:cs="Calibri"/>
                <w:i/>
                <w:iCs/>
                <w:color w:val="000000"/>
                <w:sz w:val="20"/>
                <w:szCs w:val="20"/>
                <w:lang w:eastAsia="en-GB"/>
              </w:rPr>
              <w:t>Yersinia</w:t>
            </w:r>
            <w:r w:rsidRPr="002751A3">
              <w:rPr>
                <w:rFonts w:ascii="Calibri" w:eastAsia="Times New Roman" w:hAnsi="Calibri" w:cs="Calibri"/>
                <w:color w:val="000000"/>
                <w:sz w:val="20"/>
                <w:szCs w:val="20"/>
                <w:lang w:eastAsia="en-GB"/>
              </w:rPr>
              <w:t xml:space="preserve"> spp.</w:t>
            </w:r>
          </w:p>
        </w:tc>
        <w:tc>
          <w:tcPr>
            <w:tcW w:w="1691" w:type="dxa"/>
            <w:tcBorders>
              <w:top w:val="nil"/>
              <w:left w:val="nil"/>
              <w:bottom w:val="single" w:sz="4" w:space="0" w:color="auto"/>
              <w:right w:val="single" w:sz="4" w:space="0" w:color="auto"/>
            </w:tcBorders>
            <w:shd w:val="clear" w:color="auto" w:fill="auto"/>
            <w:noWrap/>
            <w:vAlign w:val="center"/>
            <w:hideMark/>
          </w:tcPr>
          <w:p w14:paraId="3D68C1E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Bacteria</w:t>
            </w:r>
          </w:p>
        </w:tc>
        <w:tc>
          <w:tcPr>
            <w:tcW w:w="1576" w:type="dxa"/>
            <w:tcBorders>
              <w:top w:val="nil"/>
              <w:left w:val="nil"/>
              <w:bottom w:val="single" w:sz="4" w:space="0" w:color="auto"/>
              <w:right w:val="single" w:sz="4" w:space="0" w:color="auto"/>
            </w:tcBorders>
            <w:shd w:val="clear" w:color="auto" w:fill="auto"/>
            <w:noWrap/>
            <w:vAlign w:val="center"/>
            <w:hideMark/>
          </w:tcPr>
          <w:p w14:paraId="76E400E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A;O(W)(F);V(F)</w:t>
            </w:r>
          </w:p>
        </w:tc>
        <w:tc>
          <w:tcPr>
            <w:tcW w:w="5361" w:type="dxa"/>
            <w:tcBorders>
              <w:top w:val="nil"/>
              <w:left w:val="nil"/>
              <w:bottom w:val="single" w:sz="4" w:space="0" w:color="auto"/>
              <w:right w:val="single" w:sz="4" w:space="0" w:color="auto"/>
            </w:tcBorders>
            <w:shd w:val="clear" w:color="auto" w:fill="auto"/>
            <w:noWrap/>
            <w:vAlign w:val="center"/>
            <w:hideMark/>
          </w:tcPr>
          <w:p w14:paraId="24028D89" w14:textId="3D32A0DA"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Broad host range including domestic animals and rodents</w:t>
            </w:r>
          </w:p>
        </w:tc>
        <w:tc>
          <w:tcPr>
            <w:tcW w:w="766" w:type="dxa"/>
            <w:tcBorders>
              <w:top w:val="nil"/>
              <w:left w:val="nil"/>
              <w:bottom w:val="single" w:sz="4" w:space="0" w:color="auto"/>
              <w:right w:val="single" w:sz="4" w:space="0" w:color="auto"/>
            </w:tcBorders>
            <w:shd w:val="clear" w:color="auto" w:fill="auto"/>
            <w:noWrap/>
            <w:vAlign w:val="center"/>
            <w:hideMark/>
          </w:tcPr>
          <w:p w14:paraId="10FC7380"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6780</w:t>
            </w:r>
          </w:p>
        </w:tc>
        <w:tc>
          <w:tcPr>
            <w:tcW w:w="992" w:type="dxa"/>
            <w:tcBorders>
              <w:top w:val="nil"/>
              <w:left w:val="nil"/>
              <w:bottom w:val="single" w:sz="4" w:space="0" w:color="auto"/>
              <w:right w:val="single" w:sz="4" w:space="0" w:color="auto"/>
            </w:tcBorders>
            <w:shd w:val="clear" w:color="auto" w:fill="auto"/>
            <w:noWrap/>
            <w:vAlign w:val="center"/>
            <w:hideMark/>
          </w:tcPr>
          <w:p w14:paraId="3FE7A7DA"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0.07</w:t>
            </w:r>
          </w:p>
        </w:tc>
        <w:tc>
          <w:tcPr>
            <w:tcW w:w="1276" w:type="dxa"/>
            <w:tcBorders>
              <w:top w:val="nil"/>
              <w:left w:val="nil"/>
              <w:bottom w:val="single" w:sz="4" w:space="0" w:color="auto"/>
              <w:right w:val="single" w:sz="4" w:space="0" w:color="auto"/>
            </w:tcBorders>
            <w:shd w:val="clear" w:color="auto" w:fill="auto"/>
            <w:noWrap/>
            <w:vAlign w:val="bottom"/>
            <w:hideMark/>
          </w:tcPr>
          <w:p w14:paraId="351F326F"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132</w:t>
            </w:r>
          </w:p>
        </w:tc>
      </w:tr>
      <w:tr w:rsidR="00C36F76" w:rsidRPr="002751A3" w14:paraId="24C11A2D" w14:textId="77777777" w:rsidTr="005C116B">
        <w:trPr>
          <w:trHeight w:val="300"/>
        </w:trPr>
        <w:tc>
          <w:tcPr>
            <w:tcW w:w="2367" w:type="dxa"/>
            <w:tcBorders>
              <w:top w:val="nil"/>
              <w:left w:val="single" w:sz="4" w:space="0" w:color="auto"/>
              <w:bottom w:val="single" w:sz="4" w:space="0" w:color="auto"/>
              <w:right w:val="single" w:sz="4" w:space="0" w:color="auto"/>
            </w:tcBorders>
            <w:shd w:val="clear" w:color="auto" w:fill="auto"/>
            <w:vAlign w:val="center"/>
            <w:hideMark/>
          </w:tcPr>
          <w:p w14:paraId="5E4C2571" w14:textId="77777777" w:rsidR="00C36F76" w:rsidRPr="002751A3" w:rsidRDefault="00C36F76" w:rsidP="005C116B">
            <w:pPr>
              <w:spacing w:after="0" w:line="240" w:lineRule="auto"/>
              <w:rPr>
                <w:rFonts w:ascii="Calibri" w:eastAsia="Times New Roman" w:hAnsi="Calibri" w:cs="Calibri"/>
                <w:color w:val="000000"/>
                <w:sz w:val="20"/>
                <w:szCs w:val="20"/>
                <w:lang w:eastAsia="en-GB"/>
              </w:rPr>
            </w:pPr>
            <w:r w:rsidRPr="002751A3">
              <w:rPr>
                <w:rFonts w:ascii="Calibri" w:eastAsia="Times New Roman" w:hAnsi="Calibri" w:cs="Calibri"/>
                <w:color w:val="000000"/>
                <w:sz w:val="20"/>
                <w:szCs w:val="20"/>
                <w:lang w:eastAsia="en-GB"/>
              </w:rPr>
              <w:t>Zika virus</w:t>
            </w:r>
          </w:p>
        </w:tc>
        <w:tc>
          <w:tcPr>
            <w:tcW w:w="1691" w:type="dxa"/>
            <w:tcBorders>
              <w:top w:val="nil"/>
              <w:left w:val="nil"/>
              <w:bottom w:val="single" w:sz="4" w:space="0" w:color="auto"/>
              <w:right w:val="single" w:sz="4" w:space="0" w:color="auto"/>
            </w:tcBorders>
            <w:shd w:val="clear" w:color="auto" w:fill="auto"/>
            <w:vAlign w:val="center"/>
            <w:hideMark/>
          </w:tcPr>
          <w:p w14:paraId="2A453A44"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Virus</w:t>
            </w:r>
          </w:p>
        </w:tc>
        <w:tc>
          <w:tcPr>
            <w:tcW w:w="1576" w:type="dxa"/>
            <w:tcBorders>
              <w:top w:val="nil"/>
              <w:left w:val="nil"/>
              <w:bottom w:val="single" w:sz="4" w:space="0" w:color="auto"/>
              <w:right w:val="single" w:sz="4" w:space="0" w:color="auto"/>
            </w:tcBorders>
            <w:shd w:val="clear" w:color="auto" w:fill="auto"/>
            <w:vAlign w:val="center"/>
            <w:hideMark/>
          </w:tcPr>
          <w:p w14:paraId="3CD910D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V(MOS)</w:t>
            </w:r>
          </w:p>
        </w:tc>
        <w:tc>
          <w:tcPr>
            <w:tcW w:w="5361" w:type="dxa"/>
            <w:tcBorders>
              <w:top w:val="nil"/>
              <w:left w:val="nil"/>
              <w:bottom w:val="single" w:sz="4" w:space="0" w:color="auto"/>
              <w:right w:val="single" w:sz="4" w:space="0" w:color="auto"/>
            </w:tcBorders>
            <w:shd w:val="clear" w:color="auto" w:fill="auto"/>
            <w:vAlign w:val="center"/>
            <w:hideMark/>
          </w:tcPr>
          <w:p w14:paraId="6E68665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Primates</w:t>
            </w:r>
          </w:p>
        </w:tc>
        <w:tc>
          <w:tcPr>
            <w:tcW w:w="766" w:type="dxa"/>
            <w:tcBorders>
              <w:top w:val="nil"/>
              <w:left w:val="nil"/>
              <w:bottom w:val="single" w:sz="4" w:space="0" w:color="auto"/>
              <w:right w:val="single" w:sz="4" w:space="0" w:color="auto"/>
            </w:tcBorders>
            <w:shd w:val="clear" w:color="auto" w:fill="auto"/>
            <w:vAlign w:val="center"/>
            <w:hideMark/>
          </w:tcPr>
          <w:p w14:paraId="362B0E11"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2CC782C3"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w:t>
            </w:r>
          </w:p>
        </w:tc>
        <w:tc>
          <w:tcPr>
            <w:tcW w:w="1276" w:type="dxa"/>
            <w:tcBorders>
              <w:top w:val="nil"/>
              <w:left w:val="nil"/>
              <w:bottom w:val="single" w:sz="4" w:space="0" w:color="auto"/>
              <w:right w:val="single" w:sz="4" w:space="0" w:color="auto"/>
            </w:tcBorders>
            <w:shd w:val="clear" w:color="auto" w:fill="auto"/>
            <w:vAlign w:val="bottom"/>
            <w:hideMark/>
          </w:tcPr>
          <w:p w14:paraId="7CF02B7B" w14:textId="77777777" w:rsidR="00C36F76" w:rsidRPr="002751A3" w:rsidRDefault="00C36F76" w:rsidP="005C116B">
            <w:pPr>
              <w:spacing w:after="0" w:line="240" w:lineRule="auto"/>
              <w:jc w:val="center"/>
              <w:rPr>
                <w:rFonts w:ascii="Calibri" w:eastAsia="Times New Roman" w:hAnsi="Calibri" w:cs="Calibri"/>
                <w:color w:val="000000"/>
                <w:lang w:eastAsia="en-GB"/>
              </w:rPr>
            </w:pPr>
            <w:r w:rsidRPr="002751A3">
              <w:rPr>
                <w:rFonts w:ascii="Calibri" w:eastAsia="Times New Roman" w:hAnsi="Calibri" w:cs="Calibri"/>
                <w:color w:val="000000"/>
                <w:lang w:eastAsia="en-GB"/>
              </w:rPr>
              <w:t>133</w:t>
            </w:r>
          </w:p>
        </w:tc>
      </w:tr>
    </w:tbl>
    <w:p w14:paraId="1F15FA01" w14:textId="77777777" w:rsidR="00C36F76" w:rsidRDefault="00C36F76" w:rsidP="00C36F76">
      <w:r>
        <w:br w:type="page"/>
      </w:r>
    </w:p>
    <w:tbl>
      <w:tblPr>
        <w:tblW w:w="14884" w:type="dxa"/>
        <w:tblLook w:val="04A0" w:firstRow="1" w:lastRow="0" w:firstColumn="1" w:lastColumn="0" w:noHBand="0" w:noVBand="1"/>
      </w:tblPr>
      <w:tblGrid>
        <w:gridCol w:w="960"/>
        <w:gridCol w:w="13924"/>
      </w:tblGrid>
      <w:tr w:rsidR="00C36F76" w:rsidRPr="002751A3" w14:paraId="06BD42BE" w14:textId="77777777" w:rsidTr="005C116B">
        <w:trPr>
          <w:trHeight w:val="300"/>
        </w:trPr>
        <w:tc>
          <w:tcPr>
            <w:tcW w:w="960" w:type="dxa"/>
            <w:tcBorders>
              <w:top w:val="nil"/>
              <w:left w:val="nil"/>
              <w:bottom w:val="nil"/>
              <w:right w:val="nil"/>
            </w:tcBorders>
            <w:shd w:val="clear" w:color="auto" w:fill="auto"/>
            <w:noWrap/>
            <w:vAlign w:val="bottom"/>
            <w:hideMark/>
          </w:tcPr>
          <w:p w14:paraId="2924C10C" w14:textId="77777777" w:rsidR="00C36F76" w:rsidRPr="002751A3" w:rsidRDefault="00C36F76" w:rsidP="005C116B">
            <w:pPr>
              <w:spacing w:after="0" w:line="240" w:lineRule="auto"/>
              <w:rPr>
                <w:rFonts w:ascii="Calibri" w:eastAsia="Times New Roman" w:hAnsi="Calibri" w:cs="Calibri"/>
                <w:color w:val="000000"/>
                <w:lang w:eastAsia="en-GB"/>
              </w:rPr>
            </w:pPr>
          </w:p>
        </w:tc>
        <w:tc>
          <w:tcPr>
            <w:tcW w:w="13924" w:type="dxa"/>
            <w:tcBorders>
              <w:top w:val="nil"/>
              <w:left w:val="nil"/>
              <w:bottom w:val="nil"/>
              <w:right w:val="nil"/>
            </w:tcBorders>
            <w:shd w:val="clear" w:color="auto" w:fill="auto"/>
            <w:noWrap/>
            <w:vAlign w:val="bottom"/>
            <w:hideMark/>
          </w:tcPr>
          <w:p w14:paraId="020EA42F" w14:textId="77777777" w:rsidR="00C36F76" w:rsidRPr="002751A3" w:rsidRDefault="00C36F76" w:rsidP="009A2FB8">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w:t>
            </w:r>
            <w:r>
              <w:rPr>
                <w:rFonts w:ascii="Calibri" w:eastAsia="Times New Roman" w:hAnsi="Calibri" w:cs="Calibri"/>
                <w:color w:val="000000"/>
                <w:lang w:eastAsia="en-GB"/>
              </w:rPr>
              <w:t xml:space="preserve">eferences </w:t>
            </w:r>
          </w:p>
        </w:tc>
      </w:tr>
      <w:tr w:rsidR="00C36F76" w:rsidRPr="002751A3" w14:paraId="522101E4" w14:textId="77777777" w:rsidTr="005C116B">
        <w:trPr>
          <w:trHeight w:val="900"/>
        </w:trPr>
        <w:tc>
          <w:tcPr>
            <w:tcW w:w="960" w:type="dxa"/>
            <w:tcBorders>
              <w:top w:val="nil"/>
              <w:left w:val="nil"/>
              <w:bottom w:val="nil"/>
              <w:right w:val="nil"/>
            </w:tcBorders>
            <w:shd w:val="clear" w:color="auto" w:fill="auto"/>
            <w:vAlign w:val="bottom"/>
            <w:hideMark/>
          </w:tcPr>
          <w:p w14:paraId="25B6383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w:t>
            </w:r>
          </w:p>
        </w:tc>
        <w:tc>
          <w:tcPr>
            <w:tcW w:w="13924" w:type="dxa"/>
            <w:tcBorders>
              <w:top w:val="nil"/>
              <w:left w:val="nil"/>
              <w:bottom w:val="nil"/>
              <w:right w:val="nil"/>
            </w:tcBorders>
            <w:shd w:val="clear" w:color="auto" w:fill="auto"/>
            <w:vAlign w:val="bottom"/>
            <w:hideMark/>
          </w:tcPr>
          <w:p w14:paraId="5A9646A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Igbinosa, I.H., Igumbor, E.U., Aghdasi, F., Tom, M. and Okoh, A.I., 2012. Emerging Aeromonas species infections and their significance in public health. The Scientific World Journal, 2012.</w:t>
            </w:r>
          </w:p>
        </w:tc>
      </w:tr>
      <w:tr w:rsidR="00C36F76" w:rsidRPr="002751A3" w14:paraId="0E2431C2" w14:textId="77777777" w:rsidTr="005C116B">
        <w:trPr>
          <w:trHeight w:val="600"/>
        </w:trPr>
        <w:tc>
          <w:tcPr>
            <w:tcW w:w="960" w:type="dxa"/>
            <w:tcBorders>
              <w:top w:val="nil"/>
              <w:left w:val="nil"/>
              <w:bottom w:val="nil"/>
              <w:right w:val="nil"/>
            </w:tcBorders>
            <w:shd w:val="clear" w:color="auto" w:fill="auto"/>
            <w:vAlign w:val="bottom"/>
            <w:hideMark/>
          </w:tcPr>
          <w:p w14:paraId="5752772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w:t>
            </w:r>
          </w:p>
        </w:tc>
        <w:tc>
          <w:tcPr>
            <w:tcW w:w="13924" w:type="dxa"/>
            <w:tcBorders>
              <w:top w:val="nil"/>
              <w:left w:val="nil"/>
              <w:bottom w:val="nil"/>
              <w:right w:val="nil"/>
            </w:tcBorders>
            <w:shd w:val="clear" w:color="auto" w:fill="auto"/>
            <w:vAlign w:val="bottom"/>
            <w:hideMark/>
          </w:tcPr>
          <w:p w14:paraId="11B2A9A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Tăbăran, F., Sándor, A.D., Marinov, M., Cătoi, C. and Mihalca, A.D., 2013. Alaria alata infection in European mink. Emerging Infectious Diseases, 19(9), p.1547.</w:t>
            </w:r>
          </w:p>
        </w:tc>
      </w:tr>
      <w:tr w:rsidR="00C36F76" w:rsidRPr="002751A3" w14:paraId="2C38F677" w14:textId="77777777" w:rsidTr="005C116B">
        <w:trPr>
          <w:trHeight w:val="600"/>
        </w:trPr>
        <w:tc>
          <w:tcPr>
            <w:tcW w:w="960" w:type="dxa"/>
            <w:tcBorders>
              <w:top w:val="nil"/>
              <w:left w:val="nil"/>
              <w:bottom w:val="nil"/>
              <w:right w:val="nil"/>
            </w:tcBorders>
            <w:shd w:val="clear" w:color="auto" w:fill="auto"/>
            <w:vAlign w:val="bottom"/>
            <w:hideMark/>
          </w:tcPr>
          <w:p w14:paraId="1D95A62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w:t>
            </w:r>
          </w:p>
        </w:tc>
        <w:tc>
          <w:tcPr>
            <w:tcW w:w="13924" w:type="dxa"/>
            <w:tcBorders>
              <w:top w:val="nil"/>
              <w:left w:val="nil"/>
              <w:bottom w:val="nil"/>
              <w:right w:val="nil"/>
            </w:tcBorders>
            <w:shd w:val="clear" w:color="auto" w:fill="auto"/>
            <w:vAlign w:val="bottom"/>
            <w:hideMark/>
          </w:tcPr>
          <w:p w14:paraId="11134B3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Rikihisa, Y., 2011. Mechanisms of obligatory intracellular infection with Anaplasma phagocytophilum. Clinical microbiology reviews, 24(3), pp.469-489.</w:t>
            </w:r>
          </w:p>
        </w:tc>
      </w:tr>
      <w:tr w:rsidR="00C36F76" w:rsidRPr="002751A3" w14:paraId="54DB18F1" w14:textId="77777777" w:rsidTr="005C116B">
        <w:trPr>
          <w:trHeight w:val="900"/>
        </w:trPr>
        <w:tc>
          <w:tcPr>
            <w:tcW w:w="960" w:type="dxa"/>
            <w:tcBorders>
              <w:top w:val="nil"/>
              <w:left w:val="nil"/>
              <w:bottom w:val="nil"/>
              <w:right w:val="nil"/>
            </w:tcBorders>
            <w:shd w:val="clear" w:color="auto" w:fill="auto"/>
            <w:vAlign w:val="bottom"/>
            <w:hideMark/>
          </w:tcPr>
          <w:p w14:paraId="2053EE4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w:t>
            </w:r>
          </w:p>
        </w:tc>
        <w:tc>
          <w:tcPr>
            <w:tcW w:w="13924" w:type="dxa"/>
            <w:tcBorders>
              <w:top w:val="nil"/>
              <w:left w:val="nil"/>
              <w:bottom w:val="nil"/>
              <w:right w:val="nil"/>
            </w:tcBorders>
            <w:shd w:val="clear" w:color="auto" w:fill="auto"/>
            <w:vAlign w:val="bottom"/>
            <w:hideMark/>
          </w:tcPr>
          <w:p w14:paraId="4EE8D25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Audicana, M.T. and Kennedy, M.W., 2008. Anisakis simplex: from obscure infectious worm to inducer of immune hypersensitivity. Clinical microbiology reviews, 21(2), pp.360-379.</w:t>
            </w:r>
          </w:p>
        </w:tc>
      </w:tr>
      <w:tr w:rsidR="00C36F76" w:rsidRPr="002751A3" w14:paraId="3CD3DC1F" w14:textId="77777777" w:rsidTr="005C116B">
        <w:trPr>
          <w:trHeight w:val="900"/>
        </w:trPr>
        <w:tc>
          <w:tcPr>
            <w:tcW w:w="960" w:type="dxa"/>
            <w:tcBorders>
              <w:top w:val="nil"/>
              <w:left w:val="nil"/>
              <w:bottom w:val="nil"/>
              <w:right w:val="nil"/>
            </w:tcBorders>
            <w:shd w:val="clear" w:color="auto" w:fill="auto"/>
            <w:vAlign w:val="bottom"/>
            <w:hideMark/>
          </w:tcPr>
          <w:p w14:paraId="7458C99D"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w:t>
            </w:r>
          </w:p>
        </w:tc>
        <w:tc>
          <w:tcPr>
            <w:tcW w:w="13924" w:type="dxa"/>
            <w:tcBorders>
              <w:top w:val="nil"/>
              <w:left w:val="nil"/>
              <w:bottom w:val="nil"/>
              <w:right w:val="nil"/>
            </w:tcBorders>
            <w:shd w:val="clear" w:color="auto" w:fill="auto"/>
            <w:vAlign w:val="bottom"/>
            <w:hideMark/>
          </w:tcPr>
          <w:p w14:paraId="0D3B73B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Scharf, C., 2017. Dermoscopy Findings in Infectious and Parasitic Diseases. In The Microbiology of Skin, Soft Tissue, Bone and Joint Infections (pp. 303-313). Academic Press.</w:t>
            </w:r>
          </w:p>
        </w:tc>
      </w:tr>
      <w:tr w:rsidR="00C36F76" w:rsidRPr="002751A3" w14:paraId="4A0B3DD6" w14:textId="77777777" w:rsidTr="005C116B">
        <w:trPr>
          <w:trHeight w:val="1200"/>
        </w:trPr>
        <w:tc>
          <w:tcPr>
            <w:tcW w:w="960" w:type="dxa"/>
            <w:tcBorders>
              <w:top w:val="nil"/>
              <w:left w:val="nil"/>
              <w:bottom w:val="nil"/>
              <w:right w:val="nil"/>
            </w:tcBorders>
            <w:shd w:val="clear" w:color="auto" w:fill="auto"/>
            <w:vAlign w:val="bottom"/>
            <w:hideMark/>
          </w:tcPr>
          <w:p w14:paraId="26B06F8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w:t>
            </w:r>
          </w:p>
        </w:tc>
        <w:tc>
          <w:tcPr>
            <w:tcW w:w="13924" w:type="dxa"/>
            <w:tcBorders>
              <w:top w:val="nil"/>
              <w:left w:val="nil"/>
              <w:bottom w:val="nil"/>
              <w:right w:val="nil"/>
            </w:tcBorders>
            <w:shd w:val="clear" w:color="auto" w:fill="auto"/>
            <w:vAlign w:val="bottom"/>
            <w:hideMark/>
          </w:tcPr>
          <w:p w14:paraId="59B32E7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Barratt, J., Chan, D., Sandaradura, I., Malik, R., Spielman, D., Lee, R., Marriott, D., Harkness, J., Ellis, J. and Stark, D., 2016. Angiostrongylus cantonensis: a review of its distribution, molecular biology and clinical significance as a human pathogen. Parasitology, 143(9), pp.1087-1118.</w:t>
            </w:r>
          </w:p>
        </w:tc>
      </w:tr>
      <w:tr w:rsidR="00C36F76" w:rsidRPr="002751A3" w14:paraId="52939F8E" w14:textId="77777777" w:rsidTr="005C116B">
        <w:trPr>
          <w:trHeight w:val="1200"/>
        </w:trPr>
        <w:tc>
          <w:tcPr>
            <w:tcW w:w="960" w:type="dxa"/>
            <w:tcBorders>
              <w:top w:val="nil"/>
              <w:left w:val="nil"/>
              <w:bottom w:val="nil"/>
              <w:right w:val="nil"/>
            </w:tcBorders>
            <w:shd w:val="clear" w:color="auto" w:fill="auto"/>
            <w:vAlign w:val="bottom"/>
            <w:hideMark/>
          </w:tcPr>
          <w:p w14:paraId="2C501F1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w:t>
            </w:r>
          </w:p>
        </w:tc>
        <w:tc>
          <w:tcPr>
            <w:tcW w:w="13924" w:type="dxa"/>
            <w:tcBorders>
              <w:top w:val="nil"/>
              <w:left w:val="nil"/>
              <w:bottom w:val="nil"/>
              <w:right w:val="nil"/>
            </w:tcBorders>
            <w:shd w:val="clear" w:color="auto" w:fill="auto"/>
            <w:vAlign w:val="bottom"/>
            <w:hideMark/>
          </w:tcPr>
          <w:p w14:paraId="18C4D7B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Valente, R., Robles, M.D.R., Navone, G.T. and Diaz, J.I., 2018. Angiostrongylus spp. in the Americas: geographical and chronological distribution of definitive hosts versus disease reports. Memórias do Instituto Oswaldo Cruz, 113(3), pp.143-152.</w:t>
            </w:r>
          </w:p>
        </w:tc>
      </w:tr>
      <w:tr w:rsidR="00C36F76" w:rsidRPr="002751A3" w14:paraId="1CCF05DA" w14:textId="77777777" w:rsidTr="005C116B">
        <w:trPr>
          <w:trHeight w:val="900"/>
        </w:trPr>
        <w:tc>
          <w:tcPr>
            <w:tcW w:w="960" w:type="dxa"/>
            <w:tcBorders>
              <w:top w:val="nil"/>
              <w:left w:val="nil"/>
              <w:bottom w:val="nil"/>
              <w:right w:val="nil"/>
            </w:tcBorders>
            <w:shd w:val="clear" w:color="auto" w:fill="auto"/>
            <w:vAlign w:val="bottom"/>
            <w:hideMark/>
          </w:tcPr>
          <w:p w14:paraId="045CE6E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w:t>
            </w:r>
          </w:p>
        </w:tc>
        <w:tc>
          <w:tcPr>
            <w:tcW w:w="13924" w:type="dxa"/>
            <w:tcBorders>
              <w:top w:val="nil"/>
              <w:left w:val="nil"/>
              <w:bottom w:val="nil"/>
              <w:right w:val="nil"/>
            </w:tcBorders>
            <w:shd w:val="clear" w:color="auto" w:fill="auto"/>
            <w:vAlign w:val="bottom"/>
            <w:hideMark/>
          </w:tcPr>
          <w:p w14:paraId="7B12D70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Denegri, G., Bernadina, W. and Perez-Serrano, J., 1998. Anoplocephalid cestodes of veterinary and medical signiﬁcance: a review. Folia Parasitol (Praha), 45(1), pp.1-8.</w:t>
            </w:r>
          </w:p>
        </w:tc>
      </w:tr>
      <w:tr w:rsidR="00C36F76" w:rsidRPr="002751A3" w14:paraId="3FECED9C" w14:textId="77777777" w:rsidTr="005C116B">
        <w:trPr>
          <w:trHeight w:val="900"/>
        </w:trPr>
        <w:tc>
          <w:tcPr>
            <w:tcW w:w="960" w:type="dxa"/>
            <w:tcBorders>
              <w:top w:val="nil"/>
              <w:left w:val="nil"/>
              <w:bottom w:val="nil"/>
              <w:right w:val="nil"/>
            </w:tcBorders>
            <w:shd w:val="clear" w:color="auto" w:fill="auto"/>
            <w:vAlign w:val="bottom"/>
            <w:hideMark/>
          </w:tcPr>
          <w:p w14:paraId="4D20309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w:t>
            </w:r>
          </w:p>
        </w:tc>
        <w:tc>
          <w:tcPr>
            <w:tcW w:w="13924" w:type="dxa"/>
            <w:tcBorders>
              <w:top w:val="nil"/>
              <w:left w:val="nil"/>
              <w:bottom w:val="nil"/>
              <w:right w:val="nil"/>
            </w:tcBorders>
            <w:shd w:val="clear" w:color="auto" w:fill="auto"/>
            <w:vAlign w:val="bottom"/>
            <w:hideMark/>
          </w:tcPr>
          <w:p w14:paraId="66F4299A"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Tyutin, A.V. and Izvekova, G.I., 2013. Infection of mollusks and fish by the trematode Apophallus muehlingi (Jagerskiold, 1898) and its interrelations with intermediate hosts. Inland water biology, 6(1), pp.52-56.</w:t>
            </w:r>
          </w:p>
        </w:tc>
      </w:tr>
      <w:tr w:rsidR="00C36F76" w:rsidRPr="002751A3" w14:paraId="5EDD8A31" w14:textId="77777777" w:rsidTr="005C116B">
        <w:trPr>
          <w:trHeight w:val="1200"/>
        </w:trPr>
        <w:tc>
          <w:tcPr>
            <w:tcW w:w="960" w:type="dxa"/>
            <w:tcBorders>
              <w:top w:val="nil"/>
              <w:left w:val="nil"/>
              <w:bottom w:val="nil"/>
              <w:right w:val="nil"/>
            </w:tcBorders>
            <w:shd w:val="clear" w:color="auto" w:fill="auto"/>
            <w:vAlign w:val="bottom"/>
            <w:hideMark/>
          </w:tcPr>
          <w:p w14:paraId="7F644C6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10</w:t>
            </w:r>
          </w:p>
        </w:tc>
        <w:tc>
          <w:tcPr>
            <w:tcW w:w="13924" w:type="dxa"/>
            <w:tcBorders>
              <w:top w:val="nil"/>
              <w:left w:val="nil"/>
              <w:bottom w:val="nil"/>
              <w:right w:val="nil"/>
            </w:tcBorders>
            <w:shd w:val="clear" w:color="auto" w:fill="auto"/>
            <w:vAlign w:val="bottom"/>
            <w:hideMark/>
          </w:tcPr>
          <w:p w14:paraId="45D3868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Mota, K.C.P., Grama, D.F., Fava, N.M.N., Úngari, L.P., Faria, E.S.M. and Cury, M.C., 2018. Distribution and risk factors of Ascarididae and other geohelminths in the soil of Uberlandia, Minas Gerais, Brazil. Revista do Instituto de Medicina Tropical de São Paulo, 60.</w:t>
            </w:r>
          </w:p>
        </w:tc>
      </w:tr>
      <w:tr w:rsidR="00C36F76" w:rsidRPr="002751A3" w14:paraId="25F4F573" w14:textId="77777777" w:rsidTr="005C116B">
        <w:trPr>
          <w:trHeight w:val="1200"/>
        </w:trPr>
        <w:tc>
          <w:tcPr>
            <w:tcW w:w="960" w:type="dxa"/>
            <w:tcBorders>
              <w:top w:val="nil"/>
              <w:left w:val="nil"/>
              <w:bottom w:val="nil"/>
              <w:right w:val="nil"/>
            </w:tcBorders>
            <w:shd w:val="clear" w:color="auto" w:fill="auto"/>
            <w:vAlign w:val="bottom"/>
            <w:hideMark/>
          </w:tcPr>
          <w:p w14:paraId="740B51C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w:t>
            </w:r>
          </w:p>
        </w:tc>
        <w:tc>
          <w:tcPr>
            <w:tcW w:w="13924" w:type="dxa"/>
            <w:tcBorders>
              <w:top w:val="nil"/>
              <w:left w:val="nil"/>
              <w:bottom w:val="nil"/>
              <w:right w:val="nil"/>
            </w:tcBorders>
            <w:shd w:val="clear" w:color="auto" w:fill="auto"/>
            <w:vAlign w:val="bottom"/>
            <w:hideMark/>
          </w:tcPr>
          <w:p w14:paraId="714CAF7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Derothe, J.M., Loubes, C., Orth, A., Renaud, F. and Moulia, C., 1997. Comparison between patterns of pinworm infection (Aspiculuris tetraptera) in wild and laboratory strains of mice, Mus musculus. International journal for parasitology, 27(6), pp.645-651.</w:t>
            </w:r>
          </w:p>
        </w:tc>
      </w:tr>
      <w:tr w:rsidR="00C36F76" w:rsidRPr="002751A3" w14:paraId="7A530543" w14:textId="77777777" w:rsidTr="005C116B">
        <w:trPr>
          <w:trHeight w:val="900"/>
        </w:trPr>
        <w:tc>
          <w:tcPr>
            <w:tcW w:w="960" w:type="dxa"/>
            <w:tcBorders>
              <w:top w:val="nil"/>
              <w:left w:val="nil"/>
              <w:bottom w:val="nil"/>
              <w:right w:val="nil"/>
            </w:tcBorders>
            <w:shd w:val="clear" w:color="auto" w:fill="auto"/>
            <w:vAlign w:val="bottom"/>
            <w:hideMark/>
          </w:tcPr>
          <w:p w14:paraId="417908A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w:t>
            </w:r>
          </w:p>
        </w:tc>
        <w:tc>
          <w:tcPr>
            <w:tcW w:w="13924" w:type="dxa"/>
            <w:tcBorders>
              <w:top w:val="nil"/>
              <w:left w:val="nil"/>
              <w:bottom w:val="nil"/>
              <w:right w:val="nil"/>
            </w:tcBorders>
            <w:shd w:val="clear" w:color="auto" w:fill="auto"/>
            <w:vAlign w:val="bottom"/>
            <w:hideMark/>
          </w:tcPr>
          <w:p w14:paraId="5B4ED52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Yabsley, M.J. and Shock, B.C., 2013. Natural history of zoonotic Babesia: role of wildlife reservoirs. International Journal for Parasitology: Parasites and Wildlife, 2, pp.18-31.</w:t>
            </w:r>
          </w:p>
        </w:tc>
      </w:tr>
      <w:tr w:rsidR="00C36F76" w:rsidRPr="002751A3" w14:paraId="4A2F106C" w14:textId="77777777" w:rsidTr="005C116B">
        <w:trPr>
          <w:trHeight w:val="900"/>
        </w:trPr>
        <w:tc>
          <w:tcPr>
            <w:tcW w:w="960" w:type="dxa"/>
            <w:tcBorders>
              <w:top w:val="nil"/>
              <w:left w:val="nil"/>
              <w:bottom w:val="nil"/>
              <w:right w:val="nil"/>
            </w:tcBorders>
            <w:shd w:val="clear" w:color="auto" w:fill="auto"/>
            <w:vAlign w:val="bottom"/>
            <w:hideMark/>
          </w:tcPr>
          <w:p w14:paraId="5DFDD6F8"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13</w:t>
            </w:r>
          </w:p>
        </w:tc>
        <w:tc>
          <w:tcPr>
            <w:tcW w:w="13924" w:type="dxa"/>
            <w:tcBorders>
              <w:top w:val="nil"/>
              <w:left w:val="nil"/>
              <w:bottom w:val="nil"/>
              <w:right w:val="nil"/>
            </w:tcBorders>
            <w:shd w:val="clear" w:color="auto" w:fill="auto"/>
            <w:vAlign w:val="bottom"/>
            <w:hideMark/>
          </w:tcPr>
          <w:p w14:paraId="6E2CDD3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Hu, C.M., Humair, P.F., Wallich, R. and Gern, L., 1997. Apodemus sp. rodents, reservoir hosts for Borrelia afzelii in an endemic area in Switzerland. Zentralblatt für Bakteriologie, 285(4), pp.558-564.</w:t>
            </w:r>
          </w:p>
        </w:tc>
      </w:tr>
      <w:tr w:rsidR="00C36F76" w:rsidRPr="002751A3" w14:paraId="7B84D9E9" w14:textId="77777777" w:rsidTr="005C116B">
        <w:trPr>
          <w:trHeight w:val="1200"/>
        </w:trPr>
        <w:tc>
          <w:tcPr>
            <w:tcW w:w="960" w:type="dxa"/>
            <w:tcBorders>
              <w:top w:val="nil"/>
              <w:left w:val="nil"/>
              <w:bottom w:val="nil"/>
              <w:right w:val="nil"/>
            </w:tcBorders>
            <w:shd w:val="clear" w:color="auto" w:fill="auto"/>
            <w:vAlign w:val="bottom"/>
            <w:hideMark/>
          </w:tcPr>
          <w:p w14:paraId="0A95D4E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14</w:t>
            </w:r>
          </w:p>
        </w:tc>
        <w:tc>
          <w:tcPr>
            <w:tcW w:w="13924" w:type="dxa"/>
            <w:tcBorders>
              <w:top w:val="nil"/>
              <w:left w:val="nil"/>
              <w:bottom w:val="nil"/>
              <w:right w:val="nil"/>
            </w:tcBorders>
            <w:shd w:val="clear" w:color="auto" w:fill="auto"/>
            <w:vAlign w:val="bottom"/>
            <w:hideMark/>
          </w:tcPr>
          <w:p w14:paraId="311486D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Alho, A.M., Pita, J., Amaro, A., Amaro, F., Schnyder, M., Grimm, F., Custódio, A.C., Cardoso, L., Deplazes, P. and de Carvalho, L.M., 2016. Seroprevalence of vector-borne pathogens and molecular detection of Borrelia afzelii in military dogs from Portugal. Parasites &amp; vectors, 9(1), pp.1-6.</w:t>
            </w:r>
          </w:p>
        </w:tc>
      </w:tr>
      <w:tr w:rsidR="00C36F76" w:rsidRPr="002751A3" w14:paraId="3D0B3CD6" w14:textId="77777777" w:rsidTr="005C116B">
        <w:trPr>
          <w:trHeight w:val="900"/>
        </w:trPr>
        <w:tc>
          <w:tcPr>
            <w:tcW w:w="960" w:type="dxa"/>
            <w:tcBorders>
              <w:top w:val="nil"/>
              <w:left w:val="nil"/>
              <w:bottom w:val="nil"/>
              <w:right w:val="nil"/>
            </w:tcBorders>
            <w:shd w:val="clear" w:color="auto" w:fill="auto"/>
            <w:vAlign w:val="bottom"/>
            <w:hideMark/>
          </w:tcPr>
          <w:p w14:paraId="32A8C59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15</w:t>
            </w:r>
          </w:p>
        </w:tc>
        <w:tc>
          <w:tcPr>
            <w:tcW w:w="13924" w:type="dxa"/>
            <w:tcBorders>
              <w:top w:val="nil"/>
              <w:left w:val="nil"/>
              <w:bottom w:val="nil"/>
              <w:right w:val="nil"/>
            </w:tcBorders>
            <w:shd w:val="clear" w:color="auto" w:fill="auto"/>
            <w:vAlign w:val="bottom"/>
            <w:hideMark/>
          </w:tcPr>
          <w:p w14:paraId="0FB20F8D"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fr-BE" w:eastAsia="en-GB"/>
              </w:rPr>
              <w:t xml:space="preserve">Vayssier‐Taussat, M., Le Rhun, D., Bonnet, S. and Cotté, V., 2009. </w:t>
            </w:r>
            <w:r w:rsidRPr="002751A3">
              <w:rPr>
                <w:rFonts w:ascii="Calibri" w:eastAsia="Times New Roman" w:hAnsi="Calibri" w:cs="Calibri"/>
                <w:color w:val="000000"/>
                <w:lang w:eastAsia="en-GB"/>
              </w:rPr>
              <w:t>Insights in Bartonella host specificity. Annals of the New York Academy of Sciences, 1166(1), pp.127-132.</w:t>
            </w:r>
          </w:p>
        </w:tc>
      </w:tr>
      <w:tr w:rsidR="00C36F76" w:rsidRPr="002751A3" w14:paraId="75B90CB1" w14:textId="77777777" w:rsidTr="005C116B">
        <w:trPr>
          <w:trHeight w:val="900"/>
        </w:trPr>
        <w:tc>
          <w:tcPr>
            <w:tcW w:w="960" w:type="dxa"/>
            <w:tcBorders>
              <w:top w:val="nil"/>
              <w:left w:val="nil"/>
              <w:bottom w:val="nil"/>
              <w:right w:val="nil"/>
            </w:tcBorders>
            <w:shd w:val="clear" w:color="auto" w:fill="auto"/>
            <w:vAlign w:val="bottom"/>
            <w:hideMark/>
          </w:tcPr>
          <w:p w14:paraId="7329A27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16</w:t>
            </w:r>
          </w:p>
        </w:tc>
        <w:tc>
          <w:tcPr>
            <w:tcW w:w="13924" w:type="dxa"/>
            <w:tcBorders>
              <w:top w:val="nil"/>
              <w:left w:val="nil"/>
              <w:bottom w:val="nil"/>
              <w:right w:val="nil"/>
            </w:tcBorders>
            <w:shd w:val="clear" w:color="auto" w:fill="auto"/>
            <w:vAlign w:val="bottom"/>
            <w:hideMark/>
          </w:tcPr>
          <w:p w14:paraId="1F4A054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Sorvillo, F., Ash, L.R., Berlin, O.G.W., Yatabe, J., Degiorgio, C. and Morse, S.A., 2002. Baylisascaris procyonis: an emerging helminthic zoonosis. Emerging infectious diseases, 8(4), p.355.</w:t>
            </w:r>
          </w:p>
        </w:tc>
      </w:tr>
      <w:tr w:rsidR="00C36F76" w:rsidRPr="002751A3" w14:paraId="79726211" w14:textId="77777777" w:rsidTr="005C116B">
        <w:trPr>
          <w:trHeight w:val="600"/>
        </w:trPr>
        <w:tc>
          <w:tcPr>
            <w:tcW w:w="960" w:type="dxa"/>
            <w:tcBorders>
              <w:top w:val="nil"/>
              <w:left w:val="nil"/>
              <w:bottom w:val="nil"/>
              <w:right w:val="nil"/>
            </w:tcBorders>
            <w:shd w:val="clear" w:color="auto" w:fill="auto"/>
            <w:vAlign w:val="bottom"/>
            <w:hideMark/>
          </w:tcPr>
          <w:p w14:paraId="5728E05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17</w:t>
            </w:r>
          </w:p>
        </w:tc>
        <w:tc>
          <w:tcPr>
            <w:tcW w:w="13924" w:type="dxa"/>
            <w:tcBorders>
              <w:top w:val="nil"/>
              <w:left w:val="nil"/>
              <w:bottom w:val="nil"/>
              <w:right w:val="nil"/>
            </w:tcBorders>
            <w:shd w:val="clear" w:color="auto" w:fill="auto"/>
            <w:vAlign w:val="bottom"/>
            <w:hideMark/>
          </w:tcPr>
          <w:p w14:paraId="5632E46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Hyde, J.A., 2017. Borrelia burgdorferi keeps moving and carries on: a review of borrelial dissemination and invasion. Frontiers in immunology, 8, p.114.</w:t>
            </w:r>
          </w:p>
        </w:tc>
      </w:tr>
      <w:tr w:rsidR="00C36F76" w:rsidRPr="002751A3" w14:paraId="22E95CC1" w14:textId="77777777" w:rsidTr="005C116B">
        <w:trPr>
          <w:trHeight w:val="900"/>
        </w:trPr>
        <w:tc>
          <w:tcPr>
            <w:tcW w:w="960" w:type="dxa"/>
            <w:tcBorders>
              <w:top w:val="nil"/>
              <w:left w:val="nil"/>
              <w:bottom w:val="nil"/>
              <w:right w:val="nil"/>
            </w:tcBorders>
            <w:shd w:val="clear" w:color="auto" w:fill="auto"/>
            <w:vAlign w:val="bottom"/>
            <w:hideMark/>
          </w:tcPr>
          <w:p w14:paraId="34292E0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19</w:t>
            </w:r>
          </w:p>
        </w:tc>
        <w:tc>
          <w:tcPr>
            <w:tcW w:w="13924" w:type="dxa"/>
            <w:tcBorders>
              <w:top w:val="nil"/>
              <w:left w:val="nil"/>
              <w:bottom w:val="nil"/>
              <w:right w:val="nil"/>
            </w:tcBorders>
            <w:shd w:val="clear" w:color="auto" w:fill="auto"/>
            <w:vAlign w:val="bottom"/>
            <w:hideMark/>
          </w:tcPr>
          <w:p w14:paraId="2AD75BC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Fryxell, R.T.T., Steelman, C.D., Szalanski, A.L., Kvamme, K.L., Billingsley, P.M. and Williamson, P.C., 2012. Survey of Borreliae in ticks, canines, and white-tailed deer from Arkansas, USA. Parasites &amp; vectors, 5(1), p.139.</w:t>
            </w:r>
          </w:p>
        </w:tc>
      </w:tr>
      <w:tr w:rsidR="00C36F76" w:rsidRPr="002751A3" w14:paraId="75F138C7" w14:textId="77777777" w:rsidTr="005C116B">
        <w:trPr>
          <w:trHeight w:val="900"/>
        </w:trPr>
        <w:tc>
          <w:tcPr>
            <w:tcW w:w="960" w:type="dxa"/>
            <w:tcBorders>
              <w:top w:val="nil"/>
              <w:left w:val="nil"/>
              <w:bottom w:val="nil"/>
              <w:right w:val="nil"/>
            </w:tcBorders>
            <w:shd w:val="clear" w:color="auto" w:fill="auto"/>
            <w:vAlign w:val="bottom"/>
            <w:hideMark/>
          </w:tcPr>
          <w:p w14:paraId="6D982211"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20</w:t>
            </w:r>
          </w:p>
        </w:tc>
        <w:tc>
          <w:tcPr>
            <w:tcW w:w="13924" w:type="dxa"/>
            <w:tcBorders>
              <w:top w:val="nil"/>
              <w:left w:val="nil"/>
              <w:bottom w:val="nil"/>
              <w:right w:val="nil"/>
            </w:tcBorders>
            <w:shd w:val="clear" w:color="auto" w:fill="auto"/>
            <w:vAlign w:val="bottom"/>
            <w:hideMark/>
          </w:tcPr>
          <w:p w14:paraId="005FCAB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 Figueiredo, P., Ficht, T.A., Rice-Ficht, A., Rossetti, C.A. and Adams, L.G., 2015. Pathogenesis and immunobiology of brucellosis: review of Brucella–Host Interactions. The American journal of pathology, 185(6), pp.1505-1517.</w:t>
            </w:r>
          </w:p>
        </w:tc>
      </w:tr>
      <w:tr w:rsidR="00C36F76" w:rsidRPr="002751A3" w14:paraId="13DA834F" w14:textId="77777777" w:rsidTr="005C116B">
        <w:trPr>
          <w:trHeight w:val="900"/>
        </w:trPr>
        <w:tc>
          <w:tcPr>
            <w:tcW w:w="960" w:type="dxa"/>
            <w:tcBorders>
              <w:top w:val="nil"/>
              <w:left w:val="nil"/>
              <w:bottom w:val="nil"/>
              <w:right w:val="nil"/>
            </w:tcBorders>
            <w:shd w:val="clear" w:color="auto" w:fill="auto"/>
            <w:vAlign w:val="bottom"/>
            <w:hideMark/>
          </w:tcPr>
          <w:p w14:paraId="421C2A1F"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21</w:t>
            </w:r>
          </w:p>
        </w:tc>
        <w:tc>
          <w:tcPr>
            <w:tcW w:w="13924" w:type="dxa"/>
            <w:tcBorders>
              <w:top w:val="nil"/>
              <w:left w:val="nil"/>
              <w:bottom w:val="nil"/>
              <w:right w:val="nil"/>
            </w:tcBorders>
            <w:shd w:val="clear" w:color="auto" w:fill="auto"/>
            <w:vAlign w:val="bottom"/>
            <w:hideMark/>
          </w:tcPr>
          <w:p w14:paraId="4D88CAD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Jainkittivong, A. and Langlais, R.P., 1998. Herpes B virus infection. Oral Surgery, Oral Medicine, Oral Pathology, Oral Radiology, and Endodontology, 85(4), pp.399-403.</w:t>
            </w:r>
          </w:p>
        </w:tc>
      </w:tr>
      <w:tr w:rsidR="00C36F76" w:rsidRPr="002751A3" w14:paraId="7098C8E4" w14:textId="77777777" w:rsidTr="005C116B">
        <w:trPr>
          <w:trHeight w:val="900"/>
        </w:trPr>
        <w:tc>
          <w:tcPr>
            <w:tcW w:w="960" w:type="dxa"/>
            <w:tcBorders>
              <w:top w:val="nil"/>
              <w:left w:val="nil"/>
              <w:bottom w:val="nil"/>
              <w:right w:val="nil"/>
            </w:tcBorders>
            <w:shd w:val="clear" w:color="auto" w:fill="auto"/>
            <w:vAlign w:val="bottom"/>
            <w:hideMark/>
          </w:tcPr>
          <w:p w14:paraId="40EC221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22</w:t>
            </w:r>
          </w:p>
        </w:tc>
        <w:tc>
          <w:tcPr>
            <w:tcW w:w="13924" w:type="dxa"/>
            <w:tcBorders>
              <w:top w:val="nil"/>
              <w:left w:val="nil"/>
              <w:bottom w:val="nil"/>
              <w:right w:val="nil"/>
            </w:tcBorders>
            <w:shd w:val="clear" w:color="auto" w:fill="auto"/>
            <w:vAlign w:val="bottom"/>
            <w:hideMark/>
          </w:tcPr>
          <w:p w14:paraId="3DE40B7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Waddell, L., Pachal, N., Mascarenhas, M., Greig, J., Harding, S., Young, I. and Wilhelm, B., 2019. Cache Valley virus: A scoping review of the global evidence. Zoonoses and public health, 66(7), pp.739-758.</w:t>
            </w:r>
          </w:p>
        </w:tc>
      </w:tr>
      <w:tr w:rsidR="00C36F76" w:rsidRPr="002751A3" w14:paraId="3EB4DA8B" w14:textId="77777777" w:rsidTr="005C116B">
        <w:trPr>
          <w:trHeight w:val="900"/>
        </w:trPr>
        <w:tc>
          <w:tcPr>
            <w:tcW w:w="960" w:type="dxa"/>
            <w:tcBorders>
              <w:top w:val="nil"/>
              <w:left w:val="nil"/>
              <w:bottom w:val="nil"/>
              <w:right w:val="nil"/>
            </w:tcBorders>
            <w:shd w:val="clear" w:color="auto" w:fill="auto"/>
            <w:vAlign w:val="bottom"/>
            <w:hideMark/>
          </w:tcPr>
          <w:p w14:paraId="305FCBE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23</w:t>
            </w:r>
          </w:p>
        </w:tc>
        <w:tc>
          <w:tcPr>
            <w:tcW w:w="13924" w:type="dxa"/>
            <w:tcBorders>
              <w:top w:val="nil"/>
              <w:left w:val="nil"/>
              <w:bottom w:val="nil"/>
              <w:right w:val="nil"/>
            </w:tcBorders>
            <w:shd w:val="clear" w:color="auto" w:fill="auto"/>
            <w:vAlign w:val="bottom"/>
            <w:hideMark/>
          </w:tcPr>
          <w:p w14:paraId="661E97D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Fuehrer, H.P., 2014. An overview of the host spectrum and distribution of Calodium hepaticum (syn. Capillaria hepatica): part 2—Mammalia (excluding Muroidea). Parasitology Research, 113(2), pp.641-651.</w:t>
            </w:r>
          </w:p>
        </w:tc>
      </w:tr>
      <w:tr w:rsidR="00C36F76" w:rsidRPr="002751A3" w14:paraId="1E895F4D" w14:textId="77777777" w:rsidTr="005C116B">
        <w:trPr>
          <w:trHeight w:val="900"/>
        </w:trPr>
        <w:tc>
          <w:tcPr>
            <w:tcW w:w="960" w:type="dxa"/>
            <w:tcBorders>
              <w:top w:val="nil"/>
              <w:left w:val="nil"/>
              <w:bottom w:val="nil"/>
              <w:right w:val="nil"/>
            </w:tcBorders>
            <w:shd w:val="clear" w:color="auto" w:fill="auto"/>
            <w:vAlign w:val="bottom"/>
            <w:hideMark/>
          </w:tcPr>
          <w:p w14:paraId="3B30D77F"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24</w:t>
            </w:r>
          </w:p>
        </w:tc>
        <w:tc>
          <w:tcPr>
            <w:tcW w:w="13924" w:type="dxa"/>
            <w:tcBorders>
              <w:top w:val="nil"/>
              <w:left w:val="nil"/>
              <w:bottom w:val="nil"/>
              <w:right w:val="nil"/>
            </w:tcBorders>
            <w:shd w:val="clear" w:color="auto" w:fill="auto"/>
            <w:vAlign w:val="bottom"/>
            <w:hideMark/>
          </w:tcPr>
          <w:p w14:paraId="5BC7E42C"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Facciolà, A., Riso, R., Avventuroso, E., Visalli, G., Delia, S.A. and Laganà, P., 2017. </w:t>
            </w:r>
            <w:r w:rsidRPr="002751A3">
              <w:rPr>
                <w:rFonts w:ascii="Calibri" w:eastAsia="Times New Roman" w:hAnsi="Calibri" w:cs="Calibri"/>
                <w:color w:val="000000"/>
                <w:lang w:eastAsia="en-GB"/>
              </w:rPr>
              <w:t>Campylobacter: from microbiology to prevention. Journal of preventive medicine and hygiene, 58(2), p.E79.</w:t>
            </w:r>
          </w:p>
        </w:tc>
      </w:tr>
      <w:tr w:rsidR="00C36F76" w:rsidRPr="002751A3" w14:paraId="7FABF5A9" w14:textId="77777777" w:rsidTr="005C116B">
        <w:trPr>
          <w:trHeight w:val="900"/>
        </w:trPr>
        <w:tc>
          <w:tcPr>
            <w:tcW w:w="960" w:type="dxa"/>
            <w:tcBorders>
              <w:top w:val="nil"/>
              <w:left w:val="nil"/>
              <w:bottom w:val="nil"/>
              <w:right w:val="nil"/>
            </w:tcBorders>
            <w:shd w:val="clear" w:color="auto" w:fill="auto"/>
            <w:vAlign w:val="bottom"/>
            <w:hideMark/>
          </w:tcPr>
          <w:p w14:paraId="1719D55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25</w:t>
            </w:r>
          </w:p>
        </w:tc>
        <w:tc>
          <w:tcPr>
            <w:tcW w:w="13924" w:type="dxa"/>
            <w:tcBorders>
              <w:top w:val="nil"/>
              <w:left w:val="nil"/>
              <w:bottom w:val="nil"/>
              <w:right w:val="nil"/>
            </w:tcBorders>
            <w:shd w:val="clear" w:color="auto" w:fill="auto"/>
            <w:vAlign w:val="bottom"/>
            <w:hideMark/>
          </w:tcPr>
          <w:p w14:paraId="551AC95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Mediannikov, O., Aubadie-Ladrix, M. and Raoult, D., 2015. Candidatus ‘Rickettsia senegalensis’ in cat fleas in Senegal. New Microbes and New Infections, 3, pp.24-28.</w:t>
            </w:r>
          </w:p>
        </w:tc>
      </w:tr>
      <w:tr w:rsidR="00C36F76" w:rsidRPr="002751A3" w14:paraId="12275E3E" w14:textId="77777777" w:rsidTr="005C116B">
        <w:trPr>
          <w:trHeight w:val="600"/>
        </w:trPr>
        <w:tc>
          <w:tcPr>
            <w:tcW w:w="960" w:type="dxa"/>
            <w:tcBorders>
              <w:top w:val="nil"/>
              <w:left w:val="nil"/>
              <w:bottom w:val="nil"/>
              <w:right w:val="nil"/>
            </w:tcBorders>
            <w:shd w:val="clear" w:color="auto" w:fill="auto"/>
            <w:vAlign w:val="bottom"/>
            <w:hideMark/>
          </w:tcPr>
          <w:p w14:paraId="02FC3E6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26</w:t>
            </w:r>
          </w:p>
        </w:tc>
        <w:tc>
          <w:tcPr>
            <w:tcW w:w="13924" w:type="dxa"/>
            <w:tcBorders>
              <w:top w:val="nil"/>
              <w:left w:val="nil"/>
              <w:bottom w:val="nil"/>
              <w:right w:val="nil"/>
            </w:tcBorders>
            <w:shd w:val="clear" w:color="auto" w:fill="auto"/>
            <w:vAlign w:val="bottom"/>
            <w:hideMark/>
          </w:tcPr>
          <w:p w14:paraId="21F3699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Misdraji, J., 2010. Liver and bile duct infections. Diagnostic Pathology of Infectious Disease, p.255.</w:t>
            </w:r>
          </w:p>
        </w:tc>
      </w:tr>
      <w:tr w:rsidR="00C36F76" w:rsidRPr="002751A3" w14:paraId="56E91A25" w14:textId="77777777" w:rsidTr="005C116B">
        <w:trPr>
          <w:trHeight w:val="1200"/>
        </w:trPr>
        <w:tc>
          <w:tcPr>
            <w:tcW w:w="960" w:type="dxa"/>
            <w:tcBorders>
              <w:top w:val="nil"/>
              <w:left w:val="nil"/>
              <w:bottom w:val="nil"/>
              <w:right w:val="nil"/>
            </w:tcBorders>
            <w:shd w:val="clear" w:color="auto" w:fill="auto"/>
            <w:vAlign w:val="bottom"/>
            <w:hideMark/>
          </w:tcPr>
          <w:p w14:paraId="0B572F7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27</w:t>
            </w:r>
          </w:p>
        </w:tc>
        <w:tc>
          <w:tcPr>
            <w:tcW w:w="13924" w:type="dxa"/>
            <w:tcBorders>
              <w:top w:val="nil"/>
              <w:left w:val="nil"/>
              <w:bottom w:val="nil"/>
              <w:right w:val="nil"/>
            </w:tcBorders>
            <w:shd w:val="clear" w:color="auto" w:fill="auto"/>
            <w:vAlign w:val="bottom"/>
            <w:hideMark/>
          </w:tcPr>
          <w:p w14:paraId="2AC4B1E3"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Pinto HA, Gonçalves NQ, López-Hernandez D, Pulido-Murillo EA, Melo AL. 2018. </w:t>
            </w:r>
            <w:r w:rsidRPr="002751A3">
              <w:rPr>
                <w:rFonts w:ascii="Calibri" w:eastAsia="Times New Roman" w:hAnsi="Calibri" w:cs="Calibri"/>
                <w:color w:val="000000"/>
                <w:lang w:eastAsia="en-GB"/>
              </w:rPr>
              <w:t>The life cycle of a zoonotic parasite reassessed: Experimental infection of Melanoides tuberculata (Mollusca: Thiaridae) with Centrocestus formosanus (Trematoda: Heterophyidae). PLoS ONE 13(4): e0194161.</w:t>
            </w:r>
          </w:p>
        </w:tc>
      </w:tr>
      <w:tr w:rsidR="00C36F76" w:rsidRPr="002751A3" w14:paraId="189645B1" w14:textId="77777777" w:rsidTr="005C116B">
        <w:trPr>
          <w:trHeight w:val="900"/>
        </w:trPr>
        <w:tc>
          <w:tcPr>
            <w:tcW w:w="960" w:type="dxa"/>
            <w:tcBorders>
              <w:top w:val="nil"/>
              <w:left w:val="nil"/>
              <w:bottom w:val="nil"/>
              <w:right w:val="nil"/>
            </w:tcBorders>
            <w:shd w:val="clear" w:color="auto" w:fill="auto"/>
            <w:vAlign w:val="bottom"/>
            <w:hideMark/>
          </w:tcPr>
          <w:p w14:paraId="479CDEA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28</w:t>
            </w:r>
          </w:p>
        </w:tc>
        <w:tc>
          <w:tcPr>
            <w:tcW w:w="13924" w:type="dxa"/>
            <w:tcBorders>
              <w:top w:val="nil"/>
              <w:left w:val="nil"/>
              <w:bottom w:val="nil"/>
              <w:right w:val="nil"/>
            </w:tcBorders>
            <w:shd w:val="clear" w:color="auto" w:fill="auto"/>
            <w:vAlign w:val="bottom"/>
            <w:hideMark/>
          </w:tcPr>
          <w:p w14:paraId="68156A2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Staples, J.E., Breiman, R.F. and Powers, A.M., 2009. Chikungunya fever: an epidemiological review of a re-emerging infectious disease. Clinical infectious diseases, 49(6), pp.942-948.</w:t>
            </w:r>
          </w:p>
        </w:tc>
      </w:tr>
      <w:tr w:rsidR="00C36F76" w:rsidRPr="002751A3" w14:paraId="29BDBF7E" w14:textId="77777777" w:rsidTr="005C116B">
        <w:trPr>
          <w:trHeight w:val="1500"/>
        </w:trPr>
        <w:tc>
          <w:tcPr>
            <w:tcW w:w="960" w:type="dxa"/>
            <w:tcBorders>
              <w:top w:val="nil"/>
              <w:left w:val="nil"/>
              <w:bottom w:val="nil"/>
              <w:right w:val="nil"/>
            </w:tcBorders>
            <w:shd w:val="clear" w:color="auto" w:fill="auto"/>
            <w:vAlign w:val="bottom"/>
            <w:hideMark/>
          </w:tcPr>
          <w:p w14:paraId="57FC63E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29</w:t>
            </w:r>
          </w:p>
        </w:tc>
        <w:tc>
          <w:tcPr>
            <w:tcW w:w="13924" w:type="dxa"/>
            <w:tcBorders>
              <w:top w:val="nil"/>
              <w:left w:val="nil"/>
              <w:bottom w:val="nil"/>
              <w:right w:val="nil"/>
            </w:tcBorders>
            <w:shd w:val="clear" w:color="auto" w:fill="auto"/>
            <w:vAlign w:val="bottom"/>
            <w:hideMark/>
          </w:tcPr>
          <w:p w14:paraId="08907AA5"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Knittler, M.R., Berndt, A., Böcker, S., Dutow, P., Hänel, F., Heuer, D., Kägebein, D., Klos, A., Koch, S., Liebler-Tenorio, E. and Ostermann, C., 2014. </w:t>
            </w:r>
            <w:r w:rsidRPr="002751A3">
              <w:rPr>
                <w:rFonts w:ascii="Calibri" w:eastAsia="Times New Roman" w:hAnsi="Calibri" w:cs="Calibri"/>
                <w:color w:val="000000"/>
                <w:lang w:eastAsia="en-GB"/>
              </w:rPr>
              <w:t>Chlamydia psittaci: new insights into genomic diversity, clinical pathology, host–pathogen interaction and anti-bacterial immunity. International Journal of Medical Microbiology, 304(7), pp.877-893.</w:t>
            </w:r>
          </w:p>
        </w:tc>
      </w:tr>
      <w:tr w:rsidR="00C36F76" w:rsidRPr="002751A3" w14:paraId="30EAE10B" w14:textId="77777777" w:rsidTr="005C116B">
        <w:trPr>
          <w:trHeight w:val="900"/>
        </w:trPr>
        <w:tc>
          <w:tcPr>
            <w:tcW w:w="960" w:type="dxa"/>
            <w:tcBorders>
              <w:top w:val="nil"/>
              <w:left w:val="nil"/>
              <w:bottom w:val="nil"/>
              <w:right w:val="nil"/>
            </w:tcBorders>
            <w:shd w:val="clear" w:color="auto" w:fill="auto"/>
            <w:vAlign w:val="bottom"/>
            <w:hideMark/>
          </w:tcPr>
          <w:p w14:paraId="6F681D6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30</w:t>
            </w:r>
          </w:p>
        </w:tc>
        <w:tc>
          <w:tcPr>
            <w:tcW w:w="13924" w:type="dxa"/>
            <w:tcBorders>
              <w:top w:val="nil"/>
              <w:left w:val="nil"/>
              <w:bottom w:val="nil"/>
              <w:right w:val="nil"/>
            </w:tcBorders>
            <w:shd w:val="clear" w:color="auto" w:fill="auto"/>
            <w:vAlign w:val="bottom"/>
            <w:hideMark/>
          </w:tcPr>
          <w:p w14:paraId="083D40C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Bachmann, N.L., Polkinghorne, A. and Timms, P., 2014. Chlamydia genomics: providing novel insights into chlamydial biology. Trends in microbiology, 22(8), pp.464-472.</w:t>
            </w:r>
          </w:p>
        </w:tc>
      </w:tr>
      <w:tr w:rsidR="00C36F76" w:rsidRPr="002751A3" w14:paraId="23260A42" w14:textId="77777777" w:rsidTr="005C116B">
        <w:trPr>
          <w:trHeight w:val="900"/>
        </w:trPr>
        <w:tc>
          <w:tcPr>
            <w:tcW w:w="960" w:type="dxa"/>
            <w:tcBorders>
              <w:top w:val="nil"/>
              <w:left w:val="nil"/>
              <w:bottom w:val="nil"/>
              <w:right w:val="nil"/>
            </w:tcBorders>
            <w:shd w:val="clear" w:color="auto" w:fill="auto"/>
            <w:vAlign w:val="bottom"/>
            <w:hideMark/>
          </w:tcPr>
          <w:p w14:paraId="3DC8392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31</w:t>
            </w:r>
          </w:p>
        </w:tc>
        <w:tc>
          <w:tcPr>
            <w:tcW w:w="13924" w:type="dxa"/>
            <w:tcBorders>
              <w:top w:val="nil"/>
              <w:left w:val="nil"/>
              <w:bottom w:val="nil"/>
              <w:right w:val="nil"/>
            </w:tcBorders>
            <w:shd w:val="clear" w:color="auto" w:fill="auto"/>
            <w:vAlign w:val="bottom"/>
            <w:hideMark/>
          </w:tcPr>
          <w:p w14:paraId="4545D5C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Tang, Z.L., Huang, Y. and Yu, X.B., 2016. Current status and perspectives of Clonorchis sinensis and clonorchiasis: epidemiology, pathogenesis, omics, prevention and control. Infectious diseases of poverty, 5(1), p.71.</w:t>
            </w:r>
          </w:p>
        </w:tc>
      </w:tr>
      <w:tr w:rsidR="00C36F76" w:rsidRPr="002751A3" w14:paraId="704AA0B4" w14:textId="77777777" w:rsidTr="005C116B">
        <w:trPr>
          <w:trHeight w:val="600"/>
        </w:trPr>
        <w:tc>
          <w:tcPr>
            <w:tcW w:w="960" w:type="dxa"/>
            <w:tcBorders>
              <w:top w:val="nil"/>
              <w:left w:val="nil"/>
              <w:bottom w:val="nil"/>
              <w:right w:val="nil"/>
            </w:tcBorders>
            <w:shd w:val="clear" w:color="auto" w:fill="auto"/>
            <w:vAlign w:val="bottom"/>
            <w:hideMark/>
          </w:tcPr>
          <w:p w14:paraId="056441D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32</w:t>
            </w:r>
          </w:p>
        </w:tc>
        <w:tc>
          <w:tcPr>
            <w:tcW w:w="13924" w:type="dxa"/>
            <w:tcBorders>
              <w:top w:val="nil"/>
              <w:left w:val="nil"/>
              <w:bottom w:val="nil"/>
              <w:right w:val="nil"/>
            </w:tcBorders>
            <w:shd w:val="clear" w:color="auto" w:fill="auto"/>
            <w:vAlign w:val="bottom"/>
            <w:hideMark/>
          </w:tcPr>
          <w:p w14:paraId="723EDA5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Dubey, J.P. ed., 2019. Coccidiosis in Livestock, Poultry, Companion Animals, and Humans. CRC Press.</w:t>
            </w:r>
          </w:p>
        </w:tc>
      </w:tr>
      <w:tr w:rsidR="00C36F76" w:rsidRPr="002751A3" w14:paraId="1134E4C2" w14:textId="77777777" w:rsidTr="005C116B">
        <w:trPr>
          <w:trHeight w:val="900"/>
        </w:trPr>
        <w:tc>
          <w:tcPr>
            <w:tcW w:w="960" w:type="dxa"/>
            <w:tcBorders>
              <w:top w:val="nil"/>
              <w:left w:val="nil"/>
              <w:bottom w:val="nil"/>
              <w:right w:val="nil"/>
            </w:tcBorders>
            <w:shd w:val="clear" w:color="auto" w:fill="auto"/>
            <w:vAlign w:val="bottom"/>
            <w:hideMark/>
          </w:tcPr>
          <w:p w14:paraId="7A0411A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34</w:t>
            </w:r>
          </w:p>
        </w:tc>
        <w:tc>
          <w:tcPr>
            <w:tcW w:w="13924" w:type="dxa"/>
            <w:tcBorders>
              <w:top w:val="nil"/>
              <w:left w:val="nil"/>
              <w:bottom w:val="nil"/>
              <w:right w:val="nil"/>
            </w:tcBorders>
            <w:shd w:val="clear" w:color="auto" w:fill="auto"/>
            <w:vAlign w:val="bottom"/>
            <w:hideMark/>
          </w:tcPr>
          <w:p w14:paraId="0925FBA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Shamsi, S., Stoddart, A., Smales, L. and Wassens, S., 2019. Occurrence of Contracaecum bancrofti larvae in fish in the Murray–Darling Basin. Journal of helminthology, 93(5), pp.574-579.</w:t>
            </w:r>
          </w:p>
        </w:tc>
      </w:tr>
      <w:tr w:rsidR="00C36F76" w:rsidRPr="002751A3" w14:paraId="62D8BA36" w14:textId="77777777" w:rsidTr="005C116B">
        <w:trPr>
          <w:trHeight w:val="600"/>
        </w:trPr>
        <w:tc>
          <w:tcPr>
            <w:tcW w:w="960" w:type="dxa"/>
            <w:tcBorders>
              <w:top w:val="nil"/>
              <w:left w:val="nil"/>
              <w:bottom w:val="nil"/>
              <w:right w:val="nil"/>
            </w:tcBorders>
            <w:shd w:val="clear" w:color="auto" w:fill="auto"/>
            <w:vAlign w:val="bottom"/>
            <w:hideMark/>
          </w:tcPr>
          <w:p w14:paraId="35388FD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35</w:t>
            </w:r>
          </w:p>
        </w:tc>
        <w:tc>
          <w:tcPr>
            <w:tcW w:w="13924" w:type="dxa"/>
            <w:tcBorders>
              <w:top w:val="nil"/>
              <w:left w:val="nil"/>
              <w:bottom w:val="nil"/>
              <w:right w:val="nil"/>
            </w:tcBorders>
            <w:shd w:val="clear" w:color="auto" w:fill="auto"/>
            <w:vAlign w:val="bottom"/>
            <w:hideMark/>
          </w:tcPr>
          <w:p w14:paraId="55F2E8C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Glaser, C. and Christie, L., 2010. Rickettsial and ehrlichial infections. In Handbook of Clinical Neurology (Vol. 96, pp. 143-158). Elsevier.</w:t>
            </w:r>
          </w:p>
        </w:tc>
      </w:tr>
      <w:tr w:rsidR="00C36F76" w:rsidRPr="002751A3" w14:paraId="1DBC6387" w14:textId="77777777" w:rsidTr="005C116B">
        <w:trPr>
          <w:trHeight w:val="600"/>
        </w:trPr>
        <w:tc>
          <w:tcPr>
            <w:tcW w:w="960" w:type="dxa"/>
            <w:tcBorders>
              <w:top w:val="nil"/>
              <w:left w:val="nil"/>
              <w:bottom w:val="nil"/>
              <w:right w:val="nil"/>
            </w:tcBorders>
            <w:shd w:val="clear" w:color="auto" w:fill="auto"/>
            <w:vAlign w:val="bottom"/>
            <w:hideMark/>
          </w:tcPr>
          <w:p w14:paraId="2F6C91F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36</w:t>
            </w:r>
          </w:p>
        </w:tc>
        <w:tc>
          <w:tcPr>
            <w:tcW w:w="13924" w:type="dxa"/>
            <w:tcBorders>
              <w:top w:val="nil"/>
              <w:left w:val="nil"/>
              <w:bottom w:val="nil"/>
              <w:right w:val="nil"/>
            </w:tcBorders>
            <w:shd w:val="clear" w:color="auto" w:fill="auto"/>
            <w:vAlign w:val="bottom"/>
            <w:hideMark/>
          </w:tcPr>
          <w:p w14:paraId="7329981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Fayer, R. and Ungar, B.L., 1986. Cryptosporidium spp. and cryptosporidiosis. Microbiological reviews, 50(4), p.458.</w:t>
            </w:r>
          </w:p>
        </w:tc>
      </w:tr>
      <w:tr w:rsidR="00C36F76" w:rsidRPr="002751A3" w14:paraId="4FA6B210" w14:textId="77777777" w:rsidTr="005C116B">
        <w:trPr>
          <w:trHeight w:val="600"/>
        </w:trPr>
        <w:tc>
          <w:tcPr>
            <w:tcW w:w="960" w:type="dxa"/>
            <w:tcBorders>
              <w:top w:val="nil"/>
              <w:left w:val="nil"/>
              <w:bottom w:val="nil"/>
              <w:right w:val="nil"/>
            </w:tcBorders>
            <w:shd w:val="clear" w:color="auto" w:fill="auto"/>
            <w:vAlign w:val="bottom"/>
            <w:hideMark/>
          </w:tcPr>
          <w:p w14:paraId="5F42FC4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37</w:t>
            </w:r>
          </w:p>
        </w:tc>
        <w:tc>
          <w:tcPr>
            <w:tcW w:w="13924" w:type="dxa"/>
            <w:tcBorders>
              <w:top w:val="nil"/>
              <w:left w:val="nil"/>
              <w:bottom w:val="nil"/>
              <w:right w:val="nil"/>
            </w:tcBorders>
            <w:shd w:val="clear" w:color="auto" w:fill="auto"/>
            <w:vAlign w:val="bottom"/>
            <w:hideMark/>
          </w:tcPr>
          <w:p w14:paraId="27D5C9A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Valentine, M.J., Murdock, C.C. and Kelly, P.J., 2019. Sylvatic cycles of arboviruses in non-human primates. Parasites &amp; vectors, 12(1), p.463.</w:t>
            </w:r>
          </w:p>
        </w:tc>
      </w:tr>
      <w:tr w:rsidR="00C36F76" w:rsidRPr="002751A3" w14:paraId="6DAD90B0" w14:textId="77777777" w:rsidTr="005C116B">
        <w:trPr>
          <w:trHeight w:val="900"/>
        </w:trPr>
        <w:tc>
          <w:tcPr>
            <w:tcW w:w="960" w:type="dxa"/>
            <w:tcBorders>
              <w:top w:val="nil"/>
              <w:left w:val="nil"/>
              <w:bottom w:val="nil"/>
              <w:right w:val="nil"/>
            </w:tcBorders>
            <w:shd w:val="clear" w:color="auto" w:fill="auto"/>
            <w:vAlign w:val="bottom"/>
            <w:hideMark/>
          </w:tcPr>
          <w:p w14:paraId="4909DCD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38</w:t>
            </w:r>
          </w:p>
        </w:tc>
        <w:tc>
          <w:tcPr>
            <w:tcW w:w="13924" w:type="dxa"/>
            <w:tcBorders>
              <w:top w:val="nil"/>
              <w:left w:val="nil"/>
              <w:bottom w:val="nil"/>
              <w:right w:val="nil"/>
            </w:tcBorders>
            <w:shd w:val="clear" w:color="auto" w:fill="auto"/>
            <w:vAlign w:val="bottom"/>
            <w:hideMark/>
          </w:tcPr>
          <w:p w14:paraId="1A69F37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Ekstam, B., Johansson, B., Dinnétz, P. and Ellström, P., 2011. Predicting risk habitats for the transmission of the small liver fluke, Dicrocoelium dendriticum to grazing ruminants. Geospatial health, pp.125-131.</w:t>
            </w:r>
          </w:p>
        </w:tc>
      </w:tr>
      <w:tr w:rsidR="00C36F76" w:rsidRPr="002751A3" w14:paraId="1D56177B" w14:textId="77777777" w:rsidTr="005C116B">
        <w:trPr>
          <w:trHeight w:val="1200"/>
        </w:trPr>
        <w:tc>
          <w:tcPr>
            <w:tcW w:w="960" w:type="dxa"/>
            <w:tcBorders>
              <w:top w:val="nil"/>
              <w:left w:val="nil"/>
              <w:bottom w:val="nil"/>
              <w:right w:val="nil"/>
            </w:tcBorders>
            <w:shd w:val="clear" w:color="auto" w:fill="auto"/>
            <w:vAlign w:val="bottom"/>
            <w:hideMark/>
          </w:tcPr>
          <w:p w14:paraId="3694B131"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39</w:t>
            </w:r>
          </w:p>
        </w:tc>
        <w:tc>
          <w:tcPr>
            <w:tcW w:w="13924" w:type="dxa"/>
            <w:tcBorders>
              <w:top w:val="nil"/>
              <w:left w:val="nil"/>
              <w:bottom w:val="nil"/>
              <w:right w:val="nil"/>
            </w:tcBorders>
            <w:shd w:val="clear" w:color="auto" w:fill="auto"/>
            <w:vAlign w:val="bottom"/>
            <w:hideMark/>
          </w:tcPr>
          <w:p w14:paraId="015E6505"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Scholz, T. and Kuchta, R., 2016. </w:t>
            </w:r>
            <w:r w:rsidRPr="002751A3">
              <w:rPr>
                <w:rFonts w:ascii="Calibri" w:eastAsia="Times New Roman" w:hAnsi="Calibri" w:cs="Calibri"/>
                <w:color w:val="000000"/>
                <w:lang w:eastAsia="en-GB"/>
              </w:rPr>
              <w:t>Fish-borne, zoonotic cestodes (Diphyllobothrium and relatives) in cold climates: a never-ending story of neglected and (re)-emergent parasites. Food and waterborne parasitology, 4, pp.23-38.</w:t>
            </w:r>
          </w:p>
        </w:tc>
      </w:tr>
      <w:tr w:rsidR="00C36F76" w:rsidRPr="002751A3" w14:paraId="70C7328A" w14:textId="77777777" w:rsidTr="005C116B">
        <w:trPr>
          <w:trHeight w:val="1500"/>
        </w:trPr>
        <w:tc>
          <w:tcPr>
            <w:tcW w:w="960" w:type="dxa"/>
            <w:tcBorders>
              <w:top w:val="nil"/>
              <w:left w:val="nil"/>
              <w:bottom w:val="nil"/>
              <w:right w:val="nil"/>
            </w:tcBorders>
            <w:shd w:val="clear" w:color="auto" w:fill="auto"/>
            <w:vAlign w:val="bottom"/>
            <w:hideMark/>
          </w:tcPr>
          <w:p w14:paraId="0ACF990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41</w:t>
            </w:r>
          </w:p>
        </w:tc>
        <w:tc>
          <w:tcPr>
            <w:tcW w:w="13924" w:type="dxa"/>
            <w:tcBorders>
              <w:top w:val="nil"/>
              <w:left w:val="nil"/>
              <w:bottom w:val="nil"/>
              <w:right w:val="nil"/>
            </w:tcBorders>
            <w:shd w:val="clear" w:color="auto" w:fill="auto"/>
            <w:vAlign w:val="bottom"/>
            <w:hideMark/>
          </w:tcPr>
          <w:p w14:paraId="592EBAF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McCall, J.W., Varloud, M., Hodgkins, E., Mansour, A., DiCosty, U., McCall, S., Carmichael, J., Carson, B. and Carter, J., 2017. Shifting the paradigm in Dirofilaria immitis prevention: blocking transmission from mosquitoes to dogs using repellents/insecticides and macrocyclic lactone prevention as part of a multimodal approach. Parasites &amp; vectors, 10(2), p.525.</w:t>
            </w:r>
          </w:p>
        </w:tc>
      </w:tr>
      <w:tr w:rsidR="00C36F76" w:rsidRPr="002751A3" w14:paraId="1F6E40FD" w14:textId="77777777" w:rsidTr="005C116B">
        <w:trPr>
          <w:trHeight w:val="1500"/>
        </w:trPr>
        <w:tc>
          <w:tcPr>
            <w:tcW w:w="960" w:type="dxa"/>
            <w:tcBorders>
              <w:top w:val="nil"/>
              <w:left w:val="nil"/>
              <w:bottom w:val="nil"/>
              <w:right w:val="nil"/>
            </w:tcBorders>
            <w:shd w:val="clear" w:color="auto" w:fill="auto"/>
            <w:vAlign w:val="bottom"/>
            <w:hideMark/>
          </w:tcPr>
          <w:p w14:paraId="24EABF1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42</w:t>
            </w:r>
          </w:p>
        </w:tc>
        <w:tc>
          <w:tcPr>
            <w:tcW w:w="13924" w:type="dxa"/>
            <w:tcBorders>
              <w:top w:val="nil"/>
              <w:left w:val="nil"/>
              <w:bottom w:val="nil"/>
              <w:right w:val="nil"/>
            </w:tcBorders>
            <w:shd w:val="clear" w:color="auto" w:fill="auto"/>
            <w:vAlign w:val="bottom"/>
            <w:hideMark/>
          </w:tcPr>
          <w:p w14:paraId="5CB178A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McCall, J.W., Varloud, M., Hodgkins, E., Mansour, A., DiCosty, U., McCall, S., Carmichael, J., Carson, B. and Carter, J., 2017. Shifting the paradigm in Dirofilaria immitis prevention: blocking transmission from mosquitoes to dogs using repellents/insecticides and macrocyclic lactone prevention as part of a multimodal approach. Parasites &amp; vectors, 10(2), p.525.</w:t>
            </w:r>
          </w:p>
        </w:tc>
      </w:tr>
      <w:tr w:rsidR="00C36F76" w:rsidRPr="002751A3" w14:paraId="20BCFFE4" w14:textId="77777777" w:rsidTr="005C116B">
        <w:trPr>
          <w:trHeight w:val="900"/>
        </w:trPr>
        <w:tc>
          <w:tcPr>
            <w:tcW w:w="960" w:type="dxa"/>
            <w:tcBorders>
              <w:top w:val="nil"/>
              <w:left w:val="nil"/>
              <w:bottom w:val="nil"/>
              <w:right w:val="nil"/>
            </w:tcBorders>
            <w:shd w:val="clear" w:color="auto" w:fill="auto"/>
            <w:vAlign w:val="bottom"/>
            <w:hideMark/>
          </w:tcPr>
          <w:p w14:paraId="63BFE4B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43</w:t>
            </w:r>
          </w:p>
        </w:tc>
        <w:tc>
          <w:tcPr>
            <w:tcW w:w="13924" w:type="dxa"/>
            <w:tcBorders>
              <w:top w:val="nil"/>
              <w:left w:val="nil"/>
              <w:bottom w:val="nil"/>
              <w:right w:val="nil"/>
            </w:tcBorders>
            <w:shd w:val="clear" w:color="auto" w:fill="auto"/>
            <w:vAlign w:val="bottom"/>
            <w:hideMark/>
          </w:tcPr>
          <w:p w14:paraId="53B6A3F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Morens, D.M., Folkers, G.K. and Fauci, A.S., 2019. Eastern Equine Encephalitis Virus—Another Emergent Arbovirus in the United States. New England Journal of Medicine, 381(21), pp.1989-1992.</w:t>
            </w:r>
          </w:p>
        </w:tc>
      </w:tr>
      <w:tr w:rsidR="00C36F76" w:rsidRPr="002751A3" w14:paraId="70003A7C" w14:textId="77777777" w:rsidTr="005C116B">
        <w:trPr>
          <w:trHeight w:val="600"/>
        </w:trPr>
        <w:tc>
          <w:tcPr>
            <w:tcW w:w="960" w:type="dxa"/>
            <w:tcBorders>
              <w:top w:val="nil"/>
              <w:left w:val="nil"/>
              <w:bottom w:val="nil"/>
              <w:right w:val="nil"/>
            </w:tcBorders>
            <w:shd w:val="clear" w:color="auto" w:fill="auto"/>
            <w:vAlign w:val="bottom"/>
            <w:hideMark/>
          </w:tcPr>
          <w:p w14:paraId="0DB19A6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44</w:t>
            </w:r>
          </w:p>
        </w:tc>
        <w:tc>
          <w:tcPr>
            <w:tcW w:w="13924" w:type="dxa"/>
            <w:tcBorders>
              <w:top w:val="nil"/>
              <w:left w:val="nil"/>
              <w:bottom w:val="nil"/>
              <w:right w:val="nil"/>
            </w:tcBorders>
            <w:shd w:val="clear" w:color="auto" w:fill="auto"/>
            <w:vAlign w:val="bottom"/>
            <w:hideMark/>
          </w:tcPr>
          <w:p w14:paraId="717D53A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McManus, D.P., Zhang, W., Li, J. and Bartley, P.B., 2003. Echinococcosis. The Lancet, 362(9392), pp.1295-1304.</w:t>
            </w:r>
          </w:p>
        </w:tc>
      </w:tr>
      <w:tr w:rsidR="00C36F76" w:rsidRPr="002751A3" w14:paraId="547E5FBE" w14:textId="77777777" w:rsidTr="005C116B">
        <w:trPr>
          <w:trHeight w:val="300"/>
        </w:trPr>
        <w:tc>
          <w:tcPr>
            <w:tcW w:w="960" w:type="dxa"/>
            <w:tcBorders>
              <w:top w:val="nil"/>
              <w:left w:val="nil"/>
              <w:bottom w:val="nil"/>
              <w:right w:val="nil"/>
            </w:tcBorders>
            <w:shd w:val="clear" w:color="auto" w:fill="auto"/>
            <w:vAlign w:val="bottom"/>
            <w:hideMark/>
          </w:tcPr>
          <w:p w14:paraId="53D0A60D"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45</w:t>
            </w:r>
          </w:p>
        </w:tc>
        <w:tc>
          <w:tcPr>
            <w:tcW w:w="13924" w:type="dxa"/>
            <w:tcBorders>
              <w:top w:val="nil"/>
              <w:left w:val="nil"/>
              <w:bottom w:val="nil"/>
              <w:right w:val="nil"/>
            </w:tcBorders>
            <w:shd w:val="clear" w:color="auto" w:fill="auto"/>
            <w:vAlign w:val="bottom"/>
            <w:hideMark/>
          </w:tcPr>
          <w:p w14:paraId="067F161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Toledo, R. and Fried, B., 2014. Helminth-Trematode: Echinostoma.</w:t>
            </w:r>
          </w:p>
        </w:tc>
      </w:tr>
      <w:tr w:rsidR="00C36F76" w:rsidRPr="002751A3" w14:paraId="1E16741F" w14:textId="77777777" w:rsidTr="005C116B">
        <w:trPr>
          <w:trHeight w:val="1200"/>
        </w:trPr>
        <w:tc>
          <w:tcPr>
            <w:tcW w:w="960" w:type="dxa"/>
            <w:tcBorders>
              <w:top w:val="nil"/>
              <w:left w:val="nil"/>
              <w:bottom w:val="nil"/>
              <w:right w:val="nil"/>
            </w:tcBorders>
            <w:shd w:val="clear" w:color="auto" w:fill="auto"/>
            <w:vAlign w:val="bottom"/>
            <w:hideMark/>
          </w:tcPr>
          <w:p w14:paraId="0F2BE68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47</w:t>
            </w:r>
          </w:p>
        </w:tc>
        <w:tc>
          <w:tcPr>
            <w:tcW w:w="13924" w:type="dxa"/>
            <w:tcBorders>
              <w:top w:val="nil"/>
              <w:left w:val="nil"/>
              <w:bottom w:val="nil"/>
              <w:right w:val="nil"/>
            </w:tcBorders>
            <w:shd w:val="clear" w:color="auto" w:fill="auto"/>
            <w:vAlign w:val="bottom"/>
            <w:hideMark/>
          </w:tcPr>
          <w:p w14:paraId="2236744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Skappak, C., Akierman, S., Belga, S., Novak, K., Chadee, K., Urbanski, S.J., Church, D. and Beck, P.L., 2014. Invasive amoebiasis: a review of Entamoeba infections highlighted with case reports. Canadian Journal of Gastroenterology and Hepatology, 28.</w:t>
            </w:r>
          </w:p>
        </w:tc>
      </w:tr>
      <w:tr w:rsidR="00C36F76" w:rsidRPr="002751A3" w14:paraId="5BE343D5" w14:textId="77777777" w:rsidTr="005C116B">
        <w:trPr>
          <w:trHeight w:val="1200"/>
        </w:trPr>
        <w:tc>
          <w:tcPr>
            <w:tcW w:w="960" w:type="dxa"/>
            <w:tcBorders>
              <w:top w:val="nil"/>
              <w:left w:val="nil"/>
              <w:bottom w:val="nil"/>
              <w:right w:val="nil"/>
            </w:tcBorders>
            <w:shd w:val="clear" w:color="auto" w:fill="auto"/>
            <w:vAlign w:val="bottom"/>
            <w:hideMark/>
          </w:tcPr>
          <w:p w14:paraId="5E719DE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48</w:t>
            </w:r>
          </w:p>
        </w:tc>
        <w:tc>
          <w:tcPr>
            <w:tcW w:w="13924" w:type="dxa"/>
            <w:tcBorders>
              <w:top w:val="nil"/>
              <w:left w:val="nil"/>
              <w:bottom w:val="nil"/>
              <w:right w:val="nil"/>
            </w:tcBorders>
            <w:shd w:val="clear" w:color="auto" w:fill="auto"/>
            <w:vAlign w:val="bottom"/>
            <w:hideMark/>
          </w:tcPr>
          <w:p w14:paraId="47C4970A"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Torres, C., Alonso, C.A., Ruiz‐Ripa, L., León‐Sampedro, R., Del Campo, R. and Coque, T.M., 2018. </w:t>
            </w:r>
            <w:r w:rsidRPr="002751A3">
              <w:rPr>
                <w:rFonts w:ascii="Calibri" w:eastAsia="Times New Roman" w:hAnsi="Calibri" w:cs="Calibri"/>
                <w:color w:val="000000"/>
                <w:lang w:eastAsia="en-GB"/>
              </w:rPr>
              <w:t>Antimicrobial Resistance in Enterococcus spp. of animal origin. Antimicrobial Resistance in Bacteria from Livestock and Companion Animals, pp.185-227.</w:t>
            </w:r>
          </w:p>
        </w:tc>
      </w:tr>
      <w:tr w:rsidR="00C36F76" w:rsidRPr="002751A3" w14:paraId="32730388" w14:textId="77777777" w:rsidTr="005C116B">
        <w:trPr>
          <w:trHeight w:val="900"/>
        </w:trPr>
        <w:tc>
          <w:tcPr>
            <w:tcW w:w="960" w:type="dxa"/>
            <w:tcBorders>
              <w:top w:val="nil"/>
              <w:left w:val="nil"/>
              <w:bottom w:val="nil"/>
              <w:right w:val="nil"/>
            </w:tcBorders>
            <w:shd w:val="clear" w:color="auto" w:fill="auto"/>
            <w:vAlign w:val="bottom"/>
            <w:hideMark/>
          </w:tcPr>
          <w:p w14:paraId="38AE1D1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49</w:t>
            </w:r>
          </w:p>
        </w:tc>
        <w:tc>
          <w:tcPr>
            <w:tcW w:w="13924" w:type="dxa"/>
            <w:tcBorders>
              <w:top w:val="nil"/>
              <w:left w:val="nil"/>
              <w:bottom w:val="nil"/>
              <w:right w:val="nil"/>
            </w:tcBorders>
            <w:shd w:val="clear" w:color="auto" w:fill="auto"/>
            <w:vAlign w:val="bottom"/>
            <w:hideMark/>
          </w:tcPr>
          <w:p w14:paraId="0A9FE07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Guo, Y., Alderisio, K.A., Yang, W., Cama, V., Feng, Y. and Xiao, L., 2014. Host specificity and source of Enterocytozoon bieneusi genotypes in a drinking source watershed. Applied and Environmental Microbiology, 80(1), pp.218-225.</w:t>
            </w:r>
          </w:p>
        </w:tc>
      </w:tr>
      <w:tr w:rsidR="00C36F76" w:rsidRPr="002751A3" w14:paraId="7E2057B9" w14:textId="77777777" w:rsidTr="005C116B">
        <w:trPr>
          <w:trHeight w:val="600"/>
        </w:trPr>
        <w:tc>
          <w:tcPr>
            <w:tcW w:w="960" w:type="dxa"/>
            <w:tcBorders>
              <w:top w:val="nil"/>
              <w:left w:val="nil"/>
              <w:bottom w:val="nil"/>
              <w:right w:val="nil"/>
            </w:tcBorders>
            <w:shd w:val="clear" w:color="auto" w:fill="auto"/>
            <w:vAlign w:val="bottom"/>
            <w:hideMark/>
          </w:tcPr>
          <w:p w14:paraId="015B4B2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50</w:t>
            </w:r>
          </w:p>
        </w:tc>
        <w:tc>
          <w:tcPr>
            <w:tcW w:w="13924" w:type="dxa"/>
            <w:tcBorders>
              <w:top w:val="nil"/>
              <w:left w:val="nil"/>
              <w:bottom w:val="nil"/>
              <w:right w:val="nil"/>
            </w:tcBorders>
            <w:shd w:val="clear" w:color="auto" w:fill="auto"/>
            <w:vAlign w:val="bottom"/>
            <w:hideMark/>
          </w:tcPr>
          <w:p w14:paraId="265DF8D9"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Wasteson, Y., 2002. Zoonotic Escherichia coli. </w:t>
            </w:r>
            <w:r w:rsidRPr="002751A3">
              <w:rPr>
                <w:rFonts w:ascii="Calibri" w:eastAsia="Times New Roman" w:hAnsi="Calibri" w:cs="Calibri"/>
                <w:color w:val="000000"/>
                <w:lang w:eastAsia="en-GB"/>
              </w:rPr>
              <w:t>Acta Veterinaria Scandinavica, 43(1), pp.1-6.</w:t>
            </w:r>
          </w:p>
        </w:tc>
      </w:tr>
      <w:tr w:rsidR="00C36F76" w:rsidRPr="002751A3" w14:paraId="5669573D" w14:textId="77777777" w:rsidTr="005C116B">
        <w:trPr>
          <w:trHeight w:val="1200"/>
        </w:trPr>
        <w:tc>
          <w:tcPr>
            <w:tcW w:w="960" w:type="dxa"/>
            <w:tcBorders>
              <w:top w:val="nil"/>
              <w:left w:val="nil"/>
              <w:bottom w:val="nil"/>
              <w:right w:val="nil"/>
            </w:tcBorders>
            <w:shd w:val="clear" w:color="auto" w:fill="auto"/>
            <w:vAlign w:val="bottom"/>
            <w:hideMark/>
          </w:tcPr>
          <w:p w14:paraId="39D2571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51</w:t>
            </w:r>
          </w:p>
        </w:tc>
        <w:tc>
          <w:tcPr>
            <w:tcW w:w="13924" w:type="dxa"/>
            <w:tcBorders>
              <w:top w:val="nil"/>
              <w:left w:val="nil"/>
              <w:bottom w:val="nil"/>
              <w:right w:val="nil"/>
            </w:tcBorders>
            <w:shd w:val="clear" w:color="auto" w:fill="auto"/>
            <w:vAlign w:val="bottom"/>
            <w:hideMark/>
          </w:tcPr>
          <w:p w14:paraId="55631D5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Elhamiani Khatat, S., Rosenberg, D., Benchekroun, G. and Polack, B., 2016. Lungworm Eucoleus aerophilus (Capillaria aerophila) infection in a feline immunodeficiency virus-positive cat in France. Journal of Feline Medicine and Surgery Open Reports, 2(1), p.2055116916651649.</w:t>
            </w:r>
          </w:p>
        </w:tc>
      </w:tr>
      <w:tr w:rsidR="00C36F76" w:rsidRPr="002751A3" w14:paraId="778EC071" w14:textId="77777777" w:rsidTr="005C116B">
        <w:trPr>
          <w:trHeight w:val="900"/>
        </w:trPr>
        <w:tc>
          <w:tcPr>
            <w:tcW w:w="960" w:type="dxa"/>
            <w:tcBorders>
              <w:top w:val="nil"/>
              <w:left w:val="nil"/>
              <w:bottom w:val="nil"/>
              <w:right w:val="nil"/>
            </w:tcBorders>
            <w:shd w:val="clear" w:color="auto" w:fill="auto"/>
            <w:vAlign w:val="bottom"/>
            <w:hideMark/>
          </w:tcPr>
          <w:p w14:paraId="2244A7B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52</w:t>
            </w:r>
          </w:p>
        </w:tc>
        <w:tc>
          <w:tcPr>
            <w:tcW w:w="13924" w:type="dxa"/>
            <w:tcBorders>
              <w:top w:val="nil"/>
              <w:left w:val="nil"/>
              <w:bottom w:val="nil"/>
              <w:right w:val="nil"/>
            </w:tcBorders>
            <w:shd w:val="clear" w:color="auto" w:fill="auto"/>
            <w:vAlign w:val="bottom"/>
            <w:hideMark/>
          </w:tcPr>
          <w:p w14:paraId="3EE1CD5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Coffey, L.L., Crawford, C., Dee, J., Miller, R., Freier, J. and Weaver, S.C., 2006. Serologic evidence of widespread Everglades virus activity in dogs, Florida. Emerging infectious diseases, 12(12), p.1873.</w:t>
            </w:r>
          </w:p>
        </w:tc>
      </w:tr>
      <w:tr w:rsidR="00C36F76" w:rsidRPr="002751A3" w14:paraId="6384D3AA" w14:textId="77777777" w:rsidTr="005C116B">
        <w:trPr>
          <w:trHeight w:val="1500"/>
        </w:trPr>
        <w:tc>
          <w:tcPr>
            <w:tcW w:w="960" w:type="dxa"/>
            <w:tcBorders>
              <w:top w:val="nil"/>
              <w:left w:val="nil"/>
              <w:bottom w:val="nil"/>
              <w:right w:val="nil"/>
            </w:tcBorders>
            <w:shd w:val="clear" w:color="auto" w:fill="auto"/>
            <w:vAlign w:val="bottom"/>
            <w:hideMark/>
          </w:tcPr>
          <w:p w14:paraId="3A79A058"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53</w:t>
            </w:r>
          </w:p>
        </w:tc>
        <w:tc>
          <w:tcPr>
            <w:tcW w:w="13924" w:type="dxa"/>
            <w:tcBorders>
              <w:top w:val="nil"/>
              <w:left w:val="nil"/>
              <w:bottom w:val="nil"/>
              <w:right w:val="nil"/>
            </w:tcBorders>
            <w:shd w:val="clear" w:color="auto" w:fill="auto"/>
            <w:vAlign w:val="bottom"/>
            <w:hideMark/>
          </w:tcPr>
          <w:p w14:paraId="67091C0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Vázquez, A.A., de Vargas, M., Alba, A., Sanchez, J., Alda, P., Sabourin, E., Vittecoq, M., Alarcón-Elbal, P.M., Pointier, J.P. and Hurtrez-Boussès, S., 2019. Reviewing Fasciola hepatica transmission in the West Indies and novel perceptions from experimental infections of sympatric vs. allopatric snail/fluke combinations. Veterinary parasitology, 275, p.108955.</w:t>
            </w:r>
          </w:p>
        </w:tc>
      </w:tr>
      <w:tr w:rsidR="00C36F76" w:rsidRPr="002751A3" w14:paraId="3466EDCD" w14:textId="77777777" w:rsidTr="005C116B">
        <w:trPr>
          <w:trHeight w:val="600"/>
        </w:trPr>
        <w:tc>
          <w:tcPr>
            <w:tcW w:w="960" w:type="dxa"/>
            <w:tcBorders>
              <w:top w:val="nil"/>
              <w:left w:val="nil"/>
              <w:bottom w:val="nil"/>
              <w:right w:val="nil"/>
            </w:tcBorders>
            <w:shd w:val="clear" w:color="auto" w:fill="auto"/>
            <w:vAlign w:val="bottom"/>
            <w:hideMark/>
          </w:tcPr>
          <w:p w14:paraId="79B9178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54</w:t>
            </w:r>
          </w:p>
        </w:tc>
        <w:tc>
          <w:tcPr>
            <w:tcW w:w="13924" w:type="dxa"/>
            <w:tcBorders>
              <w:top w:val="nil"/>
              <w:left w:val="nil"/>
              <w:bottom w:val="nil"/>
              <w:right w:val="nil"/>
            </w:tcBorders>
            <w:shd w:val="clear" w:color="auto" w:fill="auto"/>
            <w:vAlign w:val="bottom"/>
            <w:hideMark/>
          </w:tcPr>
          <w:p w14:paraId="4CC81F5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 xml:space="preserve">Ellis, J., Oyston, P. C., Green, M., &amp; Titball, R. W. 2002. Tularemia. Clinical microbiology reviews, 15(4), 631–646. </w:t>
            </w:r>
          </w:p>
        </w:tc>
      </w:tr>
      <w:tr w:rsidR="00C36F76" w:rsidRPr="002751A3" w14:paraId="3CD3329C" w14:textId="77777777" w:rsidTr="005C116B">
        <w:trPr>
          <w:trHeight w:val="600"/>
        </w:trPr>
        <w:tc>
          <w:tcPr>
            <w:tcW w:w="960" w:type="dxa"/>
            <w:tcBorders>
              <w:top w:val="nil"/>
              <w:left w:val="nil"/>
              <w:bottom w:val="nil"/>
              <w:right w:val="nil"/>
            </w:tcBorders>
            <w:shd w:val="clear" w:color="auto" w:fill="auto"/>
            <w:vAlign w:val="bottom"/>
            <w:hideMark/>
          </w:tcPr>
          <w:p w14:paraId="6BBD96D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55</w:t>
            </w:r>
          </w:p>
        </w:tc>
        <w:tc>
          <w:tcPr>
            <w:tcW w:w="13924" w:type="dxa"/>
            <w:tcBorders>
              <w:top w:val="nil"/>
              <w:left w:val="nil"/>
              <w:bottom w:val="nil"/>
              <w:right w:val="nil"/>
            </w:tcBorders>
            <w:shd w:val="clear" w:color="auto" w:fill="auto"/>
            <w:vAlign w:val="bottom"/>
            <w:hideMark/>
          </w:tcPr>
          <w:p w14:paraId="6351310A"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Heyworth, M.F., 2016. Giardia duodenalis genetic assemblages and hosts. Parasite, 23.</w:t>
            </w:r>
          </w:p>
        </w:tc>
      </w:tr>
      <w:tr w:rsidR="00C36F76" w:rsidRPr="002751A3" w14:paraId="746144CF" w14:textId="77777777" w:rsidTr="005C116B">
        <w:trPr>
          <w:trHeight w:val="900"/>
        </w:trPr>
        <w:tc>
          <w:tcPr>
            <w:tcW w:w="960" w:type="dxa"/>
            <w:tcBorders>
              <w:top w:val="nil"/>
              <w:left w:val="nil"/>
              <w:bottom w:val="nil"/>
              <w:right w:val="nil"/>
            </w:tcBorders>
            <w:shd w:val="clear" w:color="auto" w:fill="auto"/>
            <w:vAlign w:val="bottom"/>
            <w:hideMark/>
          </w:tcPr>
          <w:p w14:paraId="0D496CA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56</w:t>
            </w:r>
          </w:p>
        </w:tc>
        <w:tc>
          <w:tcPr>
            <w:tcW w:w="13924" w:type="dxa"/>
            <w:tcBorders>
              <w:top w:val="nil"/>
              <w:left w:val="nil"/>
              <w:bottom w:val="nil"/>
              <w:right w:val="nil"/>
            </w:tcBorders>
            <w:shd w:val="clear" w:color="auto" w:fill="auto"/>
            <w:vAlign w:val="bottom"/>
            <w:hideMark/>
          </w:tcPr>
          <w:p w14:paraId="54DB192A" w14:textId="77777777" w:rsidR="00C36F76" w:rsidRPr="002751A3" w:rsidRDefault="00C36F76" w:rsidP="005C116B">
            <w:pPr>
              <w:spacing w:after="0" w:line="240" w:lineRule="auto"/>
              <w:rPr>
                <w:rFonts w:ascii="Calibri" w:eastAsia="Times New Roman" w:hAnsi="Calibri" w:cs="Calibri"/>
                <w:color w:val="000000"/>
                <w:lang w:eastAsia="en-GB"/>
              </w:rPr>
            </w:pPr>
            <w:r w:rsidRPr="003C4B88">
              <w:rPr>
                <w:rFonts w:ascii="Calibri" w:eastAsia="Times New Roman" w:hAnsi="Calibri" w:cs="Calibri"/>
                <w:color w:val="000000"/>
                <w:lang w:val="it-IT" w:eastAsia="en-GB"/>
              </w:rPr>
              <w:t xml:space="preserve">da Costa Cordeiro, H., de Vasconcelos Melo, F.T., Giese, E.G. and Santos, J.N.D., 2018. </w:t>
            </w:r>
            <w:r w:rsidRPr="002751A3">
              <w:rPr>
                <w:rFonts w:ascii="Calibri" w:eastAsia="Times New Roman" w:hAnsi="Calibri" w:cs="Calibri"/>
                <w:color w:val="000000"/>
                <w:lang w:eastAsia="en-GB"/>
              </w:rPr>
              <w:t>Gongylonema parasites of rodents: A key to species and new data on Gongylonema neoplasticum. The Journal of parasitology, 104(1), pp.51-59.</w:t>
            </w:r>
          </w:p>
        </w:tc>
      </w:tr>
      <w:tr w:rsidR="00C36F76" w:rsidRPr="002751A3" w14:paraId="77B592F4" w14:textId="77777777" w:rsidTr="005C116B">
        <w:trPr>
          <w:trHeight w:val="900"/>
        </w:trPr>
        <w:tc>
          <w:tcPr>
            <w:tcW w:w="960" w:type="dxa"/>
            <w:tcBorders>
              <w:top w:val="nil"/>
              <w:left w:val="nil"/>
              <w:bottom w:val="nil"/>
              <w:right w:val="nil"/>
            </w:tcBorders>
            <w:shd w:val="clear" w:color="auto" w:fill="auto"/>
            <w:vAlign w:val="bottom"/>
            <w:hideMark/>
          </w:tcPr>
          <w:p w14:paraId="5299B04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57</w:t>
            </w:r>
          </w:p>
        </w:tc>
        <w:tc>
          <w:tcPr>
            <w:tcW w:w="13924" w:type="dxa"/>
            <w:tcBorders>
              <w:top w:val="nil"/>
              <w:left w:val="nil"/>
              <w:bottom w:val="nil"/>
              <w:right w:val="nil"/>
            </w:tcBorders>
            <w:shd w:val="clear" w:color="auto" w:fill="auto"/>
            <w:vAlign w:val="bottom"/>
            <w:hideMark/>
          </w:tcPr>
          <w:p w14:paraId="6D0BC5F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Ramsden, C., Holmes, E.C. and Charleston, M.A., 2009. Hantavirus evolution in relation to its rodent and insectivore hosts: no evidence for codivergence. Molecular biology and evolution, 26(1), pp.143-153.</w:t>
            </w:r>
          </w:p>
        </w:tc>
      </w:tr>
      <w:tr w:rsidR="00C36F76" w:rsidRPr="002751A3" w14:paraId="6ABE1203" w14:textId="77777777" w:rsidTr="005C116B">
        <w:trPr>
          <w:trHeight w:val="1200"/>
        </w:trPr>
        <w:tc>
          <w:tcPr>
            <w:tcW w:w="960" w:type="dxa"/>
            <w:tcBorders>
              <w:top w:val="nil"/>
              <w:left w:val="nil"/>
              <w:bottom w:val="nil"/>
              <w:right w:val="nil"/>
            </w:tcBorders>
            <w:shd w:val="clear" w:color="auto" w:fill="auto"/>
            <w:vAlign w:val="bottom"/>
            <w:hideMark/>
          </w:tcPr>
          <w:p w14:paraId="0BD383C5"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58</w:t>
            </w:r>
          </w:p>
        </w:tc>
        <w:tc>
          <w:tcPr>
            <w:tcW w:w="13924" w:type="dxa"/>
            <w:tcBorders>
              <w:top w:val="nil"/>
              <w:left w:val="nil"/>
              <w:bottom w:val="nil"/>
              <w:right w:val="nil"/>
            </w:tcBorders>
            <w:shd w:val="clear" w:color="auto" w:fill="auto"/>
            <w:vAlign w:val="bottom"/>
            <w:hideMark/>
          </w:tcPr>
          <w:p w14:paraId="4C72CA0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Anh, N.T.L., Phuong, N.T., Johansen, M.V., Murrell, K.D., Van, P.T., Dalsgaard, A., Thu, L.T. and Thamsborg, S.M., 2009. Prevalence and risks for fishborne zoonotic trematode infections in domestic animals in a highly endemic area of North Vietnam. Acta Tropica, 112(2), pp.198-203.</w:t>
            </w:r>
          </w:p>
        </w:tc>
      </w:tr>
      <w:tr w:rsidR="00C36F76" w:rsidRPr="002751A3" w14:paraId="38614729" w14:textId="77777777" w:rsidTr="005C116B">
        <w:trPr>
          <w:trHeight w:val="600"/>
        </w:trPr>
        <w:tc>
          <w:tcPr>
            <w:tcW w:w="960" w:type="dxa"/>
            <w:tcBorders>
              <w:top w:val="nil"/>
              <w:left w:val="nil"/>
              <w:bottom w:val="nil"/>
              <w:right w:val="nil"/>
            </w:tcBorders>
            <w:shd w:val="clear" w:color="auto" w:fill="auto"/>
            <w:vAlign w:val="bottom"/>
            <w:hideMark/>
          </w:tcPr>
          <w:p w14:paraId="18C5ED4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59</w:t>
            </w:r>
          </w:p>
        </w:tc>
        <w:tc>
          <w:tcPr>
            <w:tcW w:w="13924" w:type="dxa"/>
            <w:tcBorders>
              <w:top w:val="nil"/>
              <w:left w:val="nil"/>
              <w:bottom w:val="nil"/>
              <w:right w:val="nil"/>
            </w:tcBorders>
            <w:shd w:val="clear" w:color="auto" w:fill="auto"/>
            <w:vAlign w:val="bottom"/>
            <w:hideMark/>
          </w:tcPr>
          <w:p w14:paraId="7C2BD39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Van der Poel, W.H., 2014. Food and environmental routes of Hepatitis E virus transmission. Current opinion in virology, 4, pp.91-96.</w:t>
            </w:r>
          </w:p>
        </w:tc>
      </w:tr>
      <w:tr w:rsidR="00C36F76" w:rsidRPr="002751A3" w14:paraId="4F6F035A" w14:textId="77777777" w:rsidTr="005C116B">
        <w:trPr>
          <w:trHeight w:val="1200"/>
        </w:trPr>
        <w:tc>
          <w:tcPr>
            <w:tcW w:w="960" w:type="dxa"/>
            <w:tcBorders>
              <w:top w:val="nil"/>
              <w:left w:val="nil"/>
              <w:bottom w:val="nil"/>
              <w:right w:val="nil"/>
            </w:tcBorders>
            <w:shd w:val="clear" w:color="auto" w:fill="auto"/>
            <w:vAlign w:val="bottom"/>
            <w:hideMark/>
          </w:tcPr>
          <w:p w14:paraId="06F3BAC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60</w:t>
            </w:r>
          </w:p>
        </w:tc>
        <w:tc>
          <w:tcPr>
            <w:tcW w:w="13924" w:type="dxa"/>
            <w:tcBorders>
              <w:top w:val="nil"/>
              <w:left w:val="nil"/>
              <w:bottom w:val="nil"/>
              <w:right w:val="nil"/>
            </w:tcBorders>
            <w:shd w:val="clear" w:color="auto" w:fill="auto"/>
            <w:vAlign w:val="bottom"/>
            <w:hideMark/>
          </w:tcPr>
          <w:p w14:paraId="4F501CD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Baneth, G.A.D., Samish, M., Alekseev, E., Aroch, I. and Shkap, V., 2001. Transmission of Hepatozoon canis to dogs by naturally-fed or percutaneously-injected Rhipicephalus sanguineus ticks. Journal of Parasitology, 87(3), pp.606-611.</w:t>
            </w:r>
          </w:p>
        </w:tc>
      </w:tr>
      <w:tr w:rsidR="00C36F76" w:rsidRPr="002751A3" w14:paraId="1F1782D7" w14:textId="77777777" w:rsidTr="005C116B">
        <w:trPr>
          <w:trHeight w:val="1200"/>
        </w:trPr>
        <w:tc>
          <w:tcPr>
            <w:tcW w:w="960" w:type="dxa"/>
            <w:tcBorders>
              <w:top w:val="nil"/>
              <w:left w:val="nil"/>
              <w:bottom w:val="nil"/>
              <w:right w:val="nil"/>
            </w:tcBorders>
            <w:shd w:val="clear" w:color="auto" w:fill="auto"/>
            <w:vAlign w:val="bottom"/>
            <w:hideMark/>
          </w:tcPr>
          <w:p w14:paraId="70E063B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61</w:t>
            </w:r>
          </w:p>
        </w:tc>
        <w:tc>
          <w:tcPr>
            <w:tcW w:w="13924" w:type="dxa"/>
            <w:tcBorders>
              <w:top w:val="nil"/>
              <w:left w:val="nil"/>
              <w:bottom w:val="nil"/>
              <w:right w:val="nil"/>
            </w:tcBorders>
            <w:shd w:val="clear" w:color="auto" w:fill="auto"/>
            <w:vAlign w:val="bottom"/>
            <w:hideMark/>
          </w:tcPr>
          <w:p w14:paraId="6B5E636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Šnábel, V., Utsuki, D., Kato, T., Sunaga, F., Ooi, H.K., Gambetta, B. and Taira, K., 2014. Molecular identification of Heterakis spumosa obtained from brown rats (Rattus norvegicus) in Japan and its infectivity in experimental mice. Parasitology research, 113(9), pp.3449-3455.</w:t>
            </w:r>
          </w:p>
        </w:tc>
      </w:tr>
      <w:tr w:rsidR="00C36F76" w:rsidRPr="002751A3" w14:paraId="4EEE7630" w14:textId="77777777" w:rsidTr="005C116B">
        <w:trPr>
          <w:trHeight w:val="900"/>
        </w:trPr>
        <w:tc>
          <w:tcPr>
            <w:tcW w:w="960" w:type="dxa"/>
            <w:tcBorders>
              <w:top w:val="nil"/>
              <w:left w:val="nil"/>
              <w:bottom w:val="nil"/>
              <w:right w:val="nil"/>
            </w:tcBorders>
            <w:shd w:val="clear" w:color="auto" w:fill="auto"/>
            <w:vAlign w:val="bottom"/>
            <w:hideMark/>
          </w:tcPr>
          <w:p w14:paraId="64033CA8"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62</w:t>
            </w:r>
          </w:p>
        </w:tc>
        <w:tc>
          <w:tcPr>
            <w:tcW w:w="13924" w:type="dxa"/>
            <w:tcBorders>
              <w:top w:val="nil"/>
              <w:left w:val="nil"/>
              <w:bottom w:val="nil"/>
              <w:right w:val="nil"/>
            </w:tcBorders>
            <w:shd w:val="clear" w:color="auto" w:fill="auto"/>
            <w:vAlign w:val="bottom"/>
            <w:hideMark/>
          </w:tcPr>
          <w:p w14:paraId="6B3AEEF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Taraschewski, H., 1985. Transmission experiments on the host specificity ofHeterophyes species in 16 potential definitive hosts. Zeitschrift für Parasitenkunde, 71(4), pp.505-518.</w:t>
            </w:r>
          </w:p>
        </w:tc>
      </w:tr>
      <w:tr w:rsidR="00C36F76" w:rsidRPr="002751A3" w14:paraId="2D741506" w14:textId="77777777" w:rsidTr="005C116B">
        <w:trPr>
          <w:trHeight w:val="600"/>
        </w:trPr>
        <w:tc>
          <w:tcPr>
            <w:tcW w:w="960" w:type="dxa"/>
            <w:tcBorders>
              <w:top w:val="nil"/>
              <w:left w:val="nil"/>
              <w:bottom w:val="nil"/>
              <w:right w:val="nil"/>
            </w:tcBorders>
            <w:shd w:val="clear" w:color="auto" w:fill="auto"/>
            <w:vAlign w:val="bottom"/>
            <w:hideMark/>
          </w:tcPr>
          <w:p w14:paraId="2D38DE0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63</w:t>
            </w:r>
          </w:p>
        </w:tc>
        <w:tc>
          <w:tcPr>
            <w:tcW w:w="13924" w:type="dxa"/>
            <w:tcBorders>
              <w:top w:val="nil"/>
              <w:left w:val="nil"/>
              <w:bottom w:val="nil"/>
              <w:right w:val="nil"/>
            </w:tcBorders>
            <w:shd w:val="clear" w:color="auto" w:fill="auto"/>
            <w:vAlign w:val="bottom"/>
            <w:hideMark/>
          </w:tcPr>
          <w:p w14:paraId="79AAEDDC"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Premaalatha, B., Chandrawathani, P., Tan, P.S., Tharshini, J., Jamnah, O., Ramlan, M. and NOR, I.S., 2016. Taenia taeniaeformis in wild rats.</w:t>
            </w:r>
          </w:p>
        </w:tc>
      </w:tr>
      <w:tr w:rsidR="00C36F76" w:rsidRPr="002751A3" w14:paraId="1DF945A9" w14:textId="77777777" w:rsidTr="005C116B">
        <w:trPr>
          <w:trHeight w:val="600"/>
        </w:trPr>
        <w:tc>
          <w:tcPr>
            <w:tcW w:w="960" w:type="dxa"/>
            <w:tcBorders>
              <w:top w:val="nil"/>
              <w:left w:val="nil"/>
              <w:bottom w:val="nil"/>
              <w:right w:val="nil"/>
            </w:tcBorders>
            <w:shd w:val="clear" w:color="auto" w:fill="auto"/>
            <w:vAlign w:val="bottom"/>
            <w:hideMark/>
          </w:tcPr>
          <w:p w14:paraId="595743A5"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64</w:t>
            </w:r>
          </w:p>
        </w:tc>
        <w:tc>
          <w:tcPr>
            <w:tcW w:w="13924" w:type="dxa"/>
            <w:tcBorders>
              <w:top w:val="nil"/>
              <w:left w:val="nil"/>
              <w:bottom w:val="nil"/>
              <w:right w:val="nil"/>
            </w:tcBorders>
            <w:shd w:val="clear" w:color="auto" w:fill="auto"/>
            <w:vAlign w:val="bottom"/>
            <w:hideMark/>
          </w:tcPr>
          <w:p w14:paraId="03CB013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Bogitsh, B.J., Carter, C.E. and Oeltmann, T.N., 2018. Human parasitology. Academic Press.</w:t>
            </w:r>
          </w:p>
        </w:tc>
      </w:tr>
      <w:tr w:rsidR="00C36F76" w:rsidRPr="002751A3" w14:paraId="184FFF63" w14:textId="77777777" w:rsidTr="005C116B">
        <w:trPr>
          <w:trHeight w:val="900"/>
        </w:trPr>
        <w:tc>
          <w:tcPr>
            <w:tcW w:w="960" w:type="dxa"/>
            <w:tcBorders>
              <w:top w:val="nil"/>
              <w:left w:val="nil"/>
              <w:bottom w:val="nil"/>
              <w:right w:val="nil"/>
            </w:tcBorders>
            <w:shd w:val="clear" w:color="auto" w:fill="auto"/>
            <w:vAlign w:val="bottom"/>
            <w:hideMark/>
          </w:tcPr>
          <w:p w14:paraId="7EF2393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65</w:t>
            </w:r>
          </w:p>
        </w:tc>
        <w:tc>
          <w:tcPr>
            <w:tcW w:w="13924" w:type="dxa"/>
            <w:tcBorders>
              <w:top w:val="nil"/>
              <w:left w:val="nil"/>
              <w:bottom w:val="nil"/>
              <w:right w:val="nil"/>
            </w:tcBorders>
            <w:shd w:val="clear" w:color="auto" w:fill="auto"/>
            <w:vAlign w:val="bottom"/>
            <w:hideMark/>
          </w:tcPr>
          <w:p w14:paraId="2D89BE2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Thompson, R.C.A., 2015. Neglected zoonotic helminths: Hymenolepis nana, Echinococcus canadensis and Ancylostoma ceylanicum. Clinical Microbiology and Infection, 21(5), pp.426-432.</w:t>
            </w:r>
          </w:p>
        </w:tc>
      </w:tr>
      <w:tr w:rsidR="00C36F76" w:rsidRPr="002751A3" w14:paraId="62A47005" w14:textId="77777777" w:rsidTr="005C116B">
        <w:trPr>
          <w:trHeight w:val="1200"/>
        </w:trPr>
        <w:tc>
          <w:tcPr>
            <w:tcW w:w="960" w:type="dxa"/>
            <w:tcBorders>
              <w:top w:val="nil"/>
              <w:left w:val="nil"/>
              <w:bottom w:val="nil"/>
              <w:right w:val="nil"/>
            </w:tcBorders>
            <w:shd w:val="clear" w:color="auto" w:fill="auto"/>
            <w:vAlign w:val="bottom"/>
            <w:hideMark/>
          </w:tcPr>
          <w:p w14:paraId="5005350F"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66</w:t>
            </w:r>
          </w:p>
        </w:tc>
        <w:tc>
          <w:tcPr>
            <w:tcW w:w="13924" w:type="dxa"/>
            <w:tcBorders>
              <w:top w:val="nil"/>
              <w:left w:val="nil"/>
              <w:bottom w:val="nil"/>
              <w:right w:val="nil"/>
            </w:tcBorders>
            <w:shd w:val="clear" w:color="auto" w:fill="auto"/>
            <w:vAlign w:val="bottom"/>
            <w:hideMark/>
          </w:tcPr>
          <w:p w14:paraId="72D14DD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Khemiri, H., Jrijer, J., Neifar, L. and Nouira, S., 2017. A survey study on the helminth parasites of two wild jirds, Meriones shawi and M. libycus (Rodentia: Gerbillinae), in Tunisian desert areas. The European Zoological Journal, 84(1), pp.303-310.</w:t>
            </w:r>
          </w:p>
        </w:tc>
      </w:tr>
      <w:tr w:rsidR="00C36F76" w:rsidRPr="002751A3" w14:paraId="2A8723DC" w14:textId="77777777" w:rsidTr="005C116B">
        <w:trPr>
          <w:trHeight w:val="900"/>
        </w:trPr>
        <w:tc>
          <w:tcPr>
            <w:tcW w:w="960" w:type="dxa"/>
            <w:tcBorders>
              <w:top w:val="nil"/>
              <w:left w:val="nil"/>
              <w:bottom w:val="nil"/>
              <w:right w:val="nil"/>
            </w:tcBorders>
            <w:shd w:val="clear" w:color="auto" w:fill="auto"/>
            <w:vAlign w:val="bottom"/>
            <w:hideMark/>
          </w:tcPr>
          <w:p w14:paraId="596A692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67</w:t>
            </w:r>
          </w:p>
        </w:tc>
        <w:tc>
          <w:tcPr>
            <w:tcW w:w="13924" w:type="dxa"/>
            <w:tcBorders>
              <w:top w:val="nil"/>
              <w:left w:val="nil"/>
              <w:bottom w:val="nil"/>
              <w:right w:val="nil"/>
            </w:tcBorders>
            <w:shd w:val="clear" w:color="auto" w:fill="auto"/>
            <w:vAlign w:val="bottom"/>
            <w:hideMark/>
          </w:tcPr>
          <w:p w14:paraId="624FCD6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Yoon, S.W., Webby, R.J. and Webster, R.G., 2014. Evolution and ecology of influenza A viruses. In Influenza Pathogenesis and Control-Volume I (pp. 359-375). Springer, Cham.</w:t>
            </w:r>
          </w:p>
        </w:tc>
      </w:tr>
      <w:tr w:rsidR="00C36F76" w:rsidRPr="002751A3" w14:paraId="32CF4A3E" w14:textId="77777777" w:rsidTr="005C116B">
        <w:trPr>
          <w:trHeight w:val="900"/>
        </w:trPr>
        <w:tc>
          <w:tcPr>
            <w:tcW w:w="960" w:type="dxa"/>
            <w:tcBorders>
              <w:top w:val="nil"/>
              <w:left w:val="nil"/>
              <w:bottom w:val="nil"/>
              <w:right w:val="nil"/>
            </w:tcBorders>
            <w:shd w:val="clear" w:color="auto" w:fill="auto"/>
            <w:vAlign w:val="bottom"/>
            <w:hideMark/>
          </w:tcPr>
          <w:p w14:paraId="1D77810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68</w:t>
            </w:r>
          </w:p>
        </w:tc>
        <w:tc>
          <w:tcPr>
            <w:tcW w:w="13924" w:type="dxa"/>
            <w:tcBorders>
              <w:top w:val="nil"/>
              <w:left w:val="nil"/>
              <w:bottom w:val="nil"/>
              <w:right w:val="nil"/>
            </w:tcBorders>
            <w:shd w:val="clear" w:color="auto" w:fill="auto"/>
            <w:vAlign w:val="bottom"/>
            <w:hideMark/>
          </w:tcPr>
          <w:p w14:paraId="0C9E5FD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Mansfield, K.L., Hernández-Triana, L.M., Banyard, A.C., Fooks, A.R. and Johnson, N., 2017. Japanese encephalitis virus infection, diagnosis and control in domestic animals. Veterinary microbiology, 201, pp.85-92.</w:t>
            </w:r>
          </w:p>
        </w:tc>
      </w:tr>
      <w:tr w:rsidR="00C36F76" w:rsidRPr="002751A3" w14:paraId="43D9DA2B" w14:textId="77777777" w:rsidTr="005C116B">
        <w:trPr>
          <w:trHeight w:val="1500"/>
        </w:trPr>
        <w:tc>
          <w:tcPr>
            <w:tcW w:w="960" w:type="dxa"/>
            <w:tcBorders>
              <w:top w:val="nil"/>
              <w:left w:val="nil"/>
              <w:bottom w:val="nil"/>
              <w:right w:val="nil"/>
            </w:tcBorders>
            <w:shd w:val="clear" w:color="auto" w:fill="auto"/>
            <w:vAlign w:val="bottom"/>
            <w:hideMark/>
          </w:tcPr>
          <w:p w14:paraId="555FFA8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69</w:t>
            </w:r>
          </w:p>
        </w:tc>
        <w:tc>
          <w:tcPr>
            <w:tcW w:w="13924" w:type="dxa"/>
            <w:tcBorders>
              <w:top w:val="nil"/>
              <w:left w:val="nil"/>
              <w:bottom w:val="nil"/>
              <w:right w:val="nil"/>
            </w:tcBorders>
            <w:shd w:val="clear" w:color="auto" w:fill="auto"/>
            <w:vAlign w:val="bottom"/>
            <w:hideMark/>
          </w:tcPr>
          <w:p w14:paraId="5E1AC3E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Davies, Y.M., Cunha, M.P.V., Oliveira, M.G.X., Oliveira, M.C.V., Philadelpho, N., Romero, D.C., Milanelo, L., Guimarães, M.B., Ferreira, A.J.P., Moreno, A.M. and Sá, L.R.M., 2016. Virulence and antimicrobial resistance of Klebsiella pneumoniae isolated from passerine and psittacine birds. Avian Pathology, 45(2), pp.194-201.</w:t>
            </w:r>
          </w:p>
        </w:tc>
      </w:tr>
      <w:tr w:rsidR="00C36F76" w:rsidRPr="002751A3" w14:paraId="2D06D9E3" w14:textId="77777777" w:rsidTr="005C116B">
        <w:trPr>
          <w:trHeight w:val="1200"/>
        </w:trPr>
        <w:tc>
          <w:tcPr>
            <w:tcW w:w="960" w:type="dxa"/>
            <w:tcBorders>
              <w:top w:val="nil"/>
              <w:left w:val="nil"/>
              <w:bottom w:val="nil"/>
              <w:right w:val="nil"/>
            </w:tcBorders>
            <w:shd w:val="clear" w:color="auto" w:fill="auto"/>
            <w:vAlign w:val="bottom"/>
            <w:hideMark/>
          </w:tcPr>
          <w:p w14:paraId="1793836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70</w:t>
            </w:r>
          </w:p>
        </w:tc>
        <w:tc>
          <w:tcPr>
            <w:tcW w:w="13924" w:type="dxa"/>
            <w:tcBorders>
              <w:top w:val="nil"/>
              <w:left w:val="nil"/>
              <w:bottom w:val="nil"/>
              <w:right w:val="nil"/>
            </w:tcBorders>
            <w:shd w:val="clear" w:color="auto" w:fill="auto"/>
            <w:vAlign w:val="bottom"/>
            <w:hideMark/>
          </w:tcPr>
          <w:p w14:paraId="1123FF5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Bennai, K., Tahir, D., Lafri, I., Bendjaballah-Laliam, A., Bitam, I. and Parola, P., 2018. Molecular detection of Leishmania infantum DNA and host blood meal identification in Phlebotomus in a hypoendemic focus of human leishmaniasis in northern Algeria. PLoS Neglected Tropical Diseases, 12(6), p.e0006513.</w:t>
            </w:r>
          </w:p>
        </w:tc>
      </w:tr>
      <w:tr w:rsidR="00C36F76" w:rsidRPr="002751A3" w14:paraId="14CC6902" w14:textId="77777777" w:rsidTr="005C116B">
        <w:trPr>
          <w:trHeight w:val="900"/>
        </w:trPr>
        <w:tc>
          <w:tcPr>
            <w:tcW w:w="960" w:type="dxa"/>
            <w:tcBorders>
              <w:top w:val="nil"/>
              <w:left w:val="nil"/>
              <w:bottom w:val="nil"/>
              <w:right w:val="nil"/>
            </w:tcBorders>
            <w:shd w:val="clear" w:color="auto" w:fill="auto"/>
            <w:vAlign w:val="bottom"/>
            <w:hideMark/>
          </w:tcPr>
          <w:p w14:paraId="7AE19EE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71</w:t>
            </w:r>
          </w:p>
        </w:tc>
        <w:tc>
          <w:tcPr>
            <w:tcW w:w="13924" w:type="dxa"/>
            <w:tcBorders>
              <w:top w:val="nil"/>
              <w:left w:val="nil"/>
              <w:bottom w:val="nil"/>
              <w:right w:val="nil"/>
            </w:tcBorders>
            <w:shd w:val="clear" w:color="auto" w:fill="auto"/>
            <w:vAlign w:val="bottom"/>
            <w:hideMark/>
          </w:tcPr>
          <w:p w14:paraId="3C9AAC2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Evangelista, K.V. and Coburn, J., 2010. Leptospira as an emerging pathogen: a review of its biology, pathogenesis and host immune responses. Future microbiology, 5(9), pp.1413-1425.</w:t>
            </w:r>
          </w:p>
        </w:tc>
      </w:tr>
      <w:tr w:rsidR="00C36F76" w:rsidRPr="002751A3" w14:paraId="26F1C612" w14:textId="77777777" w:rsidTr="005C116B">
        <w:trPr>
          <w:trHeight w:val="1500"/>
        </w:trPr>
        <w:tc>
          <w:tcPr>
            <w:tcW w:w="960" w:type="dxa"/>
            <w:tcBorders>
              <w:top w:val="nil"/>
              <w:left w:val="nil"/>
              <w:bottom w:val="nil"/>
              <w:right w:val="nil"/>
            </w:tcBorders>
            <w:shd w:val="clear" w:color="auto" w:fill="auto"/>
            <w:vAlign w:val="bottom"/>
            <w:hideMark/>
          </w:tcPr>
          <w:p w14:paraId="00E534B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72</w:t>
            </w:r>
          </w:p>
        </w:tc>
        <w:tc>
          <w:tcPr>
            <w:tcW w:w="13924" w:type="dxa"/>
            <w:tcBorders>
              <w:top w:val="nil"/>
              <w:left w:val="nil"/>
              <w:bottom w:val="nil"/>
              <w:right w:val="nil"/>
            </w:tcBorders>
            <w:shd w:val="clear" w:color="auto" w:fill="auto"/>
            <w:vAlign w:val="bottom"/>
            <w:hideMark/>
          </w:tcPr>
          <w:p w14:paraId="742412CA"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Nascimento, A.L.T.O.D., Verjovski-Almeida, S., Van Sluys, M.A., Monteiro-Vitorello, C.B., Camargo, L.E.A., Digiampietri, L.A., Harstkeerl, R.A., Ho, P.L., Marques, M.V., Oliveira, M.C. and Setubal, J.C., 2004. Genome features of Leptospira interrogans serovar Copenhageni. Brazilian journal of medical and biological research, 37(4), pp.459-477.</w:t>
            </w:r>
          </w:p>
        </w:tc>
      </w:tr>
      <w:tr w:rsidR="00C36F76" w:rsidRPr="002751A3" w14:paraId="573562F1" w14:textId="77777777" w:rsidTr="005C116B">
        <w:trPr>
          <w:trHeight w:val="1200"/>
        </w:trPr>
        <w:tc>
          <w:tcPr>
            <w:tcW w:w="960" w:type="dxa"/>
            <w:tcBorders>
              <w:top w:val="nil"/>
              <w:left w:val="nil"/>
              <w:bottom w:val="nil"/>
              <w:right w:val="nil"/>
            </w:tcBorders>
            <w:shd w:val="clear" w:color="auto" w:fill="auto"/>
            <w:vAlign w:val="bottom"/>
            <w:hideMark/>
          </w:tcPr>
          <w:p w14:paraId="24487B21"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73</w:t>
            </w:r>
          </w:p>
        </w:tc>
        <w:tc>
          <w:tcPr>
            <w:tcW w:w="13924" w:type="dxa"/>
            <w:tcBorders>
              <w:top w:val="nil"/>
              <w:left w:val="nil"/>
              <w:bottom w:val="nil"/>
              <w:right w:val="nil"/>
            </w:tcBorders>
            <w:shd w:val="clear" w:color="auto" w:fill="auto"/>
            <w:vAlign w:val="bottom"/>
            <w:hideMark/>
          </w:tcPr>
          <w:p w14:paraId="0BA86B9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Dhama, K., Karthik, K., Tiwari, R., Shabbir, M.Z., Barbuddhe, S., Malik, S.V.S. and Singh, R.K., 2015. Listeriosis in animals, its public health significance (food-borne zoonosis) and advances in diagnosis and control: a comprehensive review. Veterinary Quarterly, 35(4), pp.211-235.</w:t>
            </w:r>
          </w:p>
        </w:tc>
      </w:tr>
      <w:tr w:rsidR="00C36F76" w:rsidRPr="002751A3" w14:paraId="514119DE" w14:textId="77777777" w:rsidTr="005C116B">
        <w:trPr>
          <w:trHeight w:val="600"/>
        </w:trPr>
        <w:tc>
          <w:tcPr>
            <w:tcW w:w="960" w:type="dxa"/>
            <w:tcBorders>
              <w:top w:val="nil"/>
              <w:left w:val="nil"/>
              <w:bottom w:val="nil"/>
              <w:right w:val="nil"/>
            </w:tcBorders>
            <w:shd w:val="clear" w:color="auto" w:fill="auto"/>
            <w:vAlign w:val="bottom"/>
            <w:hideMark/>
          </w:tcPr>
          <w:p w14:paraId="3621898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74</w:t>
            </w:r>
          </w:p>
        </w:tc>
        <w:tc>
          <w:tcPr>
            <w:tcW w:w="13924" w:type="dxa"/>
            <w:tcBorders>
              <w:top w:val="nil"/>
              <w:left w:val="nil"/>
              <w:bottom w:val="nil"/>
              <w:right w:val="nil"/>
            </w:tcBorders>
            <w:shd w:val="clear" w:color="auto" w:fill="auto"/>
            <w:vAlign w:val="bottom"/>
            <w:hideMark/>
          </w:tcPr>
          <w:p w14:paraId="3FA5A89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Magden, E.R., Mansfield, K.G., Simmons, J.H. and Abee, C.R., 2015. Nonhuman primates. In Laboratory animal medicine (pp. 771-930). Academic Press.</w:t>
            </w:r>
          </w:p>
        </w:tc>
      </w:tr>
      <w:tr w:rsidR="00C36F76" w:rsidRPr="002751A3" w14:paraId="253B8D69" w14:textId="77777777" w:rsidTr="005C116B">
        <w:trPr>
          <w:trHeight w:val="600"/>
        </w:trPr>
        <w:tc>
          <w:tcPr>
            <w:tcW w:w="960" w:type="dxa"/>
            <w:tcBorders>
              <w:top w:val="nil"/>
              <w:left w:val="nil"/>
              <w:bottom w:val="nil"/>
              <w:right w:val="nil"/>
            </w:tcBorders>
            <w:shd w:val="clear" w:color="auto" w:fill="auto"/>
            <w:vAlign w:val="bottom"/>
            <w:hideMark/>
          </w:tcPr>
          <w:p w14:paraId="498A4D4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75</w:t>
            </w:r>
          </w:p>
        </w:tc>
        <w:tc>
          <w:tcPr>
            <w:tcW w:w="13924" w:type="dxa"/>
            <w:tcBorders>
              <w:top w:val="nil"/>
              <w:left w:val="nil"/>
              <w:bottom w:val="nil"/>
              <w:right w:val="nil"/>
            </w:tcBorders>
            <w:shd w:val="clear" w:color="auto" w:fill="auto"/>
            <w:vAlign w:val="bottom"/>
            <w:hideMark/>
          </w:tcPr>
          <w:p w14:paraId="59C2E79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Hallam, S.J., Koma, T., Maruyama, J. and Paessler, S., 2018. Review of mammarenavirus biology and replication. Frontiers in Microbiology, 9, p.1751.</w:t>
            </w:r>
          </w:p>
        </w:tc>
      </w:tr>
      <w:tr w:rsidR="00C36F76" w:rsidRPr="002751A3" w14:paraId="757D539D" w14:textId="77777777" w:rsidTr="005C116B">
        <w:trPr>
          <w:trHeight w:val="1200"/>
        </w:trPr>
        <w:tc>
          <w:tcPr>
            <w:tcW w:w="960" w:type="dxa"/>
            <w:tcBorders>
              <w:top w:val="nil"/>
              <w:left w:val="nil"/>
              <w:bottom w:val="nil"/>
              <w:right w:val="nil"/>
            </w:tcBorders>
            <w:shd w:val="clear" w:color="auto" w:fill="auto"/>
            <w:vAlign w:val="bottom"/>
            <w:hideMark/>
          </w:tcPr>
          <w:p w14:paraId="78ACAAC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76</w:t>
            </w:r>
          </w:p>
        </w:tc>
        <w:tc>
          <w:tcPr>
            <w:tcW w:w="13924" w:type="dxa"/>
            <w:tcBorders>
              <w:top w:val="nil"/>
              <w:left w:val="nil"/>
              <w:bottom w:val="nil"/>
              <w:right w:val="nil"/>
            </w:tcBorders>
            <w:shd w:val="clear" w:color="auto" w:fill="auto"/>
            <w:vAlign w:val="bottom"/>
            <w:hideMark/>
          </w:tcPr>
          <w:p w14:paraId="132109B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Lafferty, K.D., Hathaway, S.A., Wegmann, A.S., Shipley, F.S., Backlin, A.R., Helm, J. and Fisher, R.N., 2010. Stomach nematodes (Mastophorus muris) in rats (Rattus rattus) are associated with coconut (Cocos nucifera) habitat at Palmyra Atoll. Journal of Parasitology, 96(1), pp.16-20.</w:t>
            </w:r>
          </w:p>
        </w:tc>
      </w:tr>
      <w:tr w:rsidR="00C36F76" w:rsidRPr="002751A3" w14:paraId="13027870" w14:textId="77777777" w:rsidTr="005C116B">
        <w:trPr>
          <w:trHeight w:val="900"/>
        </w:trPr>
        <w:tc>
          <w:tcPr>
            <w:tcW w:w="960" w:type="dxa"/>
            <w:tcBorders>
              <w:top w:val="nil"/>
              <w:left w:val="nil"/>
              <w:bottom w:val="nil"/>
              <w:right w:val="nil"/>
            </w:tcBorders>
            <w:shd w:val="clear" w:color="auto" w:fill="auto"/>
            <w:vAlign w:val="bottom"/>
            <w:hideMark/>
          </w:tcPr>
          <w:p w14:paraId="63FDB47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77</w:t>
            </w:r>
          </w:p>
        </w:tc>
        <w:tc>
          <w:tcPr>
            <w:tcW w:w="13924" w:type="dxa"/>
            <w:tcBorders>
              <w:top w:val="nil"/>
              <w:left w:val="nil"/>
              <w:bottom w:val="nil"/>
              <w:right w:val="nil"/>
            </w:tcBorders>
            <w:shd w:val="clear" w:color="auto" w:fill="auto"/>
            <w:vAlign w:val="bottom"/>
            <w:hideMark/>
          </w:tcPr>
          <w:p w14:paraId="1700C14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Zaleśny, G. and Hildebrand, J., 2012. Molecular identification of Mesocestoides spp. from intermediate hosts (rodents) in central Europe (Poland). Parasitology research, 110(2), pp.1055-1061.</w:t>
            </w:r>
          </w:p>
        </w:tc>
      </w:tr>
      <w:tr w:rsidR="00C36F76" w:rsidRPr="002751A3" w14:paraId="2C0A6F74" w14:textId="77777777" w:rsidTr="005C116B">
        <w:trPr>
          <w:trHeight w:val="900"/>
        </w:trPr>
        <w:tc>
          <w:tcPr>
            <w:tcW w:w="960" w:type="dxa"/>
            <w:tcBorders>
              <w:top w:val="nil"/>
              <w:left w:val="nil"/>
              <w:bottom w:val="nil"/>
              <w:right w:val="nil"/>
            </w:tcBorders>
            <w:shd w:val="clear" w:color="auto" w:fill="auto"/>
            <w:vAlign w:val="bottom"/>
            <w:hideMark/>
          </w:tcPr>
          <w:p w14:paraId="60D31F6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78</w:t>
            </w:r>
          </w:p>
        </w:tc>
        <w:tc>
          <w:tcPr>
            <w:tcW w:w="13924" w:type="dxa"/>
            <w:tcBorders>
              <w:top w:val="nil"/>
              <w:left w:val="nil"/>
              <w:bottom w:val="nil"/>
              <w:right w:val="nil"/>
            </w:tcBorders>
            <w:shd w:val="clear" w:color="auto" w:fill="auto"/>
            <w:vAlign w:val="bottom"/>
            <w:hideMark/>
          </w:tcPr>
          <w:p w14:paraId="1E688D8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Balasingam, E., 1963. Experimental infection of dogs and cats with Molineus barbatus Chandler, 1942, with a discussion on the distribution of Molineus spp. Canadian Journal of Zoology, 41(4), pp.599-602.</w:t>
            </w:r>
          </w:p>
        </w:tc>
      </w:tr>
      <w:tr w:rsidR="00C36F76" w:rsidRPr="002751A3" w14:paraId="4E0BABDA" w14:textId="77777777" w:rsidTr="005C116B">
        <w:trPr>
          <w:trHeight w:val="900"/>
        </w:trPr>
        <w:tc>
          <w:tcPr>
            <w:tcW w:w="960" w:type="dxa"/>
            <w:tcBorders>
              <w:top w:val="nil"/>
              <w:left w:val="nil"/>
              <w:bottom w:val="nil"/>
              <w:right w:val="nil"/>
            </w:tcBorders>
            <w:shd w:val="clear" w:color="auto" w:fill="auto"/>
            <w:vAlign w:val="bottom"/>
            <w:hideMark/>
          </w:tcPr>
          <w:p w14:paraId="27626ED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79</w:t>
            </w:r>
          </w:p>
        </w:tc>
        <w:tc>
          <w:tcPr>
            <w:tcW w:w="13924" w:type="dxa"/>
            <w:tcBorders>
              <w:top w:val="nil"/>
              <w:left w:val="nil"/>
              <w:bottom w:val="nil"/>
              <w:right w:val="nil"/>
            </w:tcBorders>
            <w:shd w:val="clear" w:color="auto" w:fill="auto"/>
            <w:vAlign w:val="bottom"/>
            <w:hideMark/>
          </w:tcPr>
          <w:p w14:paraId="0642DC5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Berenji, F., Fata, A. and Hosseininejad, Z., 2007. A case of Moniliformis moniliformis (Acanthocephala) infection in Iran. The Korean journal of parasitology, 45(2), p.145.</w:t>
            </w:r>
          </w:p>
        </w:tc>
      </w:tr>
      <w:tr w:rsidR="00C36F76" w:rsidRPr="002751A3" w14:paraId="4AD68883" w14:textId="77777777" w:rsidTr="005C116B">
        <w:trPr>
          <w:trHeight w:val="1500"/>
        </w:trPr>
        <w:tc>
          <w:tcPr>
            <w:tcW w:w="960" w:type="dxa"/>
            <w:tcBorders>
              <w:top w:val="nil"/>
              <w:left w:val="nil"/>
              <w:bottom w:val="nil"/>
              <w:right w:val="nil"/>
            </w:tcBorders>
            <w:shd w:val="clear" w:color="auto" w:fill="auto"/>
            <w:vAlign w:val="bottom"/>
            <w:hideMark/>
          </w:tcPr>
          <w:p w14:paraId="30CCB78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80</w:t>
            </w:r>
          </w:p>
        </w:tc>
        <w:tc>
          <w:tcPr>
            <w:tcW w:w="13924" w:type="dxa"/>
            <w:tcBorders>
              <w:top w:val="nil"/>
              <w:left w:val="nil"/>
              <w:bottom w:val="nil"/>
              <w:right w:val="nil"/>
            </w:tcBorders>
            <w:shd w:val="clear" w:color="auto" w:fill="auto"/>
            <w:vAlign w:val="bottom"/>
            <w:hideMark/>
          </w:tcPr>
          <w:p w14:paraId="38A91D5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Stevenson, K., Alvarez, J., Bakker, D., Biet, F., De Juan, L., Denham, S., Dimareli, Z., Dohmann, K., Gerlach, G.F., Heron, I. and Kopecna, M., 2009. Occurrence of Mycobacterium avium subspecies paratuberculosis across host species and European countries with evidence for transmission between wildlife and domestic ruminants. BMC microbiology, 9(1), p.212.</w:t>
            </w:r>
          </w:p>
        </w:tc>
      </w:tr>
      <w:tr w:rsidR="00C36F76" w:rsidRPr="002751A3" w14:paraId="22406103" w14:textId="77777777" w:rsidTr="005C116B">
        <w:trPr>
          <w:trHeight w:val="600"/>
        </w:trPr>
        <w:tc>
          <w:tcPr>
            <w:tcW w:w="960" w:type="dxa"/>
            <w:tcBorders>
              <w:top w:val="nil"/>
              <w:left w:val="nil"/>
              <w:bottom w:val="nil"/>
              <w:right w:val="nil"/>
            </w:tcBorders>
            <w:shd w:val="clear" w:color="auto" w:fill="auto"/>
            <w:vAlign w:val="bottom"/>
            <w:hideMark/>
          </w:tcPr>
          <w:p w14:paraId="233FEC7F"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81</w:t>
            </w:r>
          </w:p>
        </w:tc>
        <w:tc>
          <w:tcPr>
            <w:tcW w:w="13924" w:type="dxa"/>
            <w:tcBorders>
              <w:top w:val="nil"/>
              <w:left w:val="nil"/>
              <w:bottom w:val="nil"/>
              <w:right w:val="nil"/>
            </w:tcBorders>
            <w:shd w:val="clear" w:color="auto" w:fill="auto"/>
            <w:vAlign w:val="bottom"/>
            <w:hideMark/>
          </w:tcPr>
          <w:p w14:paraId="666094FB"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Bryant, V., 1973. The life cycle of Nematospiroides dubius, Baylis, 1926 (Nematoda: Heligmosomidae). Journal of helminthology, 47(3), pp.263-268.</w:t>
            </w:r>
          </w:p>
        </w:tc>
      </w:tr>
      <w:tr w:rsidR="00C36F76" w:rsidRPr="002751A3" w14:paraId="259FE986" w14:textId="77777777" w:rsidTr="005C116B">
        <w:trPr>
          <w:trHeight w:val="900"/>
        </w:trPr>
        <w:tc>
          <w:tcPr>
            <w:tcW w:w="960" w:type="dxa"/>
            <w:tcBorders>
              <w:top w:val="nil"/>
              <w:left w:val="nil"/>
              <w:bottom w:val="nil"/>
              <w:right w:val="nil"/>
            </w:tcBorders>
            <w:shd w:val="clear" w:color="auto" w:fill="auto"/>
            <w:vAlign w:val="bottom"/>
            <w:hideMark/>
          </w:tcPr>
          <w:p w14:paraId="1AD6854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82</w:t>
            </w:r>
          </w:p>
        </w:tc>
        <w:tc>
          <w:tcPr>
            <w:tcW w:w="13924" w:type="dxa"/>
            <w:tcBorders>
              <w:top w:val="nil"/>
              <w:left w:val="nil"/>
              <w:bottom w:val="nil"/>
              <w:right w:val="nil"/>
            </w:tcBorders>
            <w:shd w:val="clear" w:color="auto" w:fill="auto"/>
            <w:vAlign w:val="bottom"/>
            <w:hideMark/>
          </w:tcPr>
          <w:p w14:paraId="32C4092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Ogilvie, B.M. and Jones, V.E., 1971. Nippostrongylus brasiliensis: a review of immunity and the host/parasite relationship in the rat. Experimental parasitology, 29(1), pp.138-177.</w:t>
            </w:r>
          </w:p>
        </w:tc>
      </w:tr>
      <w:tr w:rsidR="00C36F76" w:rsidRPr="002751A3" w14:paraId="68443A24" w14:textId="77777777" w:rsidTr="005C116B">
        <w:trPr>
          <w:trHeight w:val="1200"/>
        </w:trPr>
        <w:tc>
          <w:tcPr>
            <w:tcW w:w="960" w:type="dxa"/>
            <w:tcBorders>
              <w:top w:val="nil"/>
              <w:left w:val="nil"/>
              <w:bottom w:val="nil"/>
              <w:right w:val="nil"/>
            </w:tcBorders>
            <w:shd w:val="clear" w:color="auto" w:fill="auto"/>
            <w:vAlign w:val="bottom"/>
            <w:hideMark/>
          </w:tcPr>
          <w:p w14:paraId="02CE70A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83</w:t>
            </w:r>
          </w:p>
        </w:tc>
        <w:tc>
          <w:tcPr>
            <w:tcW w:w="13924" w:type="dxa"/>
            <w:tcBorders>
              <w:top w:val="nil"/>
              <w:left w:val="nil"/>
              <w:bottom w:val="nil"/>
              <w:right w:val="nil"/>
            </w:tcBorders>
            <w:shd w:val="clear" w:color="auto" w:fill="auto"/>
            <w:vAlign w:val="bottom"/>
            <w:hideMark/>
          </w:tcPr>
          <w:p w14:paraId="44C5832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Luce-Fedrow, A., Lehman, M.L., Kelly, D.J., Mullins, K., Maina, A.N., Stewart, R.L., Ge, H., John, H.S., Jiang, J. and Richards, A.L., 2018. A review of scrub typhus (Orientia tsutsugamushi and related organisms): then, now, and tomorrow. Tropical medicine and infectious disease, 3(1), p.8.</w:t>
            </w:r>
          </w:p>
        </w:tc>
      </w:tr>
      <w:tr w:rsidR="00C36F76" w:rsidRPr="002751A3" w14:paraId="7107A812" w14:textId="77777777" w:rsidTr="005C116B">
        <w:trPr>
          <w:trHeight w:val="900"/>
        </w:trPr>
        <w:tc>
          <w:tcPr>
            <w:tcW w:w="960" w:type="dxa"/>
            <w:tcBorders>
              <w:top w:val="nil"/>
              <w:left w:val="nil"/>
              <w:bottom w:val="nil"/>
              <w:right w:val="nil"/>
            </w:tcBorders>
            <w:shd w:val="clear" w:color="auto" w:fill="auto"/>
            <w:vAlign w:val="bottom"/>
            <w:hideMark/>
          </w:tcPr>
          <w:p w14:paraId="1C776DE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84</w:t>
            </w:r>
          </w:p>
        </w:tc>
        <w:tc>
          <w:tcPr>
            <w:tcW w:w="13924" w:type="dxa"/>
            <w:tcBorders>
              <w:top w:val="nil"/>
              <w:left w:val="nil"/>
              <w:bottom w:val="nil"/>
              <w:right w:val="nil"/>
            </w:tcBorders>
            <w:shd w:val="clear" w:color="auto" w:fill="auto"/>
            <w:vAlign w:val="bottom"/>
            <w:hideMark/>
          </w:tcPr>
          <w:p w14:paraId="2CC086F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Kim, D.C., 1984. Paragonimus westermani: life cycle, intermediate hosts, transmission to man and geographical distribution in Korea. Arzneimittel-Forschung, 34(9B), pp.1180-1183.</w:t>
            </w:r>
          </w:p>
        </w:tc>
      </w:tr>
      <w:tr w:rsidR="00C36F76" w:rsidRPr="002751A3" w14:paraId="74927739" w14:textId="77777777" w:rsidTr="005C116B">
        <w:trPr>
          <w:trHeight w:val="900"/>
        </w:trPr>
        <w:tc>
          <w:tcPr>
            <w:tcW w:w="960" w:type="dxa"/>
            <w:tcBorders>
              <w:top w:val="nil"/>
              <w:left w:val="nil"/>
              <w:bottom w:val="nil"/>
              <w:right w:val="nil"/>
            </w:tcBorders>
            <w:shd w:val="clear" w:color="auto" w:fill="auto"/>
            <w:vAlign w:val="bottom"/>
            <w:hideMark/>
          </w:tcPr>
          <w:p w14:paraId="4DC7A6A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85</w:t>
            </w:r>
          </w:p>
        </w:tc>
        <w:tc>
          <w:tcPr>
            <w:tcW w:w="13924" w:type="dxa"/>
            <w:tcBorders>
              <w:top w:val="nil"/>
              <w:left w:val="nil"/>
              <w:bottom w:val="nil"/>
              <w:right w:val="nil"/>
            </w:tcBorders>
            <w:shd w:val="clear" w:color="auto" w:fill="auto"/>
            <w:vAlign w:val="bottom"/>
            <w:hideMark/>
          </w:tcPr>
          <w:p w14:paraId="7F517F6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Church, M.L., Barrett, P.M., Swenson, J., Kinsella, J.M. and Tkach, V.V., 2013. Outbreak of Philophthalmus gralli in four greater rheas (Rhea americana). Veterinary ophthalmology, 16(1), pp.65-72.</w:t>
            </w:r>
          </w:p>
        </w:tc>
      </w:tr>
      <w:tr w:rsidR="00C36F76" w:rsidRPr="002751A3" w14:paraId="4FADDEFF" w14:textId="77777777" w:rsidTr="005C116B">
        <w:trPr>
          <w:trHeight w:val="900"/>
        </w:trPr>
        <w:tc>
          <w:tcPr>
            <w:tcW w:w="960" w:type="dxa"/>
            <w:tcBorders>
              <w:top w:val="nil"/>
              <w:left w:val="nil"/>
              <w:bottom w:val="nil"/>
              <w:right w:val="nil"/>
            </w:tcBorders>
            <w:shd w:val="clear" w:color="auto" w:fill="auto"/>
            <w:vAlign w:val="bottom"/>
            <w:hideMark/>
          </w:tcPr>
          <w:p w14:paraId="31F4C503"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86</w:t>
            </w:r>
          </w:p>
        </w:tc>
        <w:tc>
          <w:tcPr>
            <w:tcW w:w="13924" w:type="dxa"/>
            <w:tcBorders>
              <w:top w:val="nil"/>
              <w:left w:val="nil"/>
              <w:bottom w:val="nil"/>
              <w:right w:val="nil"/>
            </w:tcBorders>
            <w:shd w:val="clear" w:color="auto" w:fill="auto"/>
            <w:vAlign w:val="bottom"/>
            <w:hideMark/>
          </w:tcPr>
          <w:p w14:paraId="1636CEF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Smales, L.R., Harris, P.D. and Behnke, J.M., 2009. A redescription of Protospirura muricola Gedoelst, 1916 (Nematoda: Spiruridae), a parasite of murid rodents. Systematic Parasitology, 72(1), p.15.</w:t>
            </w:r>
          </w:p>
        </w:tc>
      </w:tr>
      <w:tr w:rsidR="00C36F76" w:rsidRPr="002751A3" w14:paraId="2D81FE34" w14:textId="77777777" w:rsidTr="005C116B">
        <w:trPr>
          <w:trHeight w:val="900"/>
        </w:trPr>
        <w:tc>
          <w:tcPr>
            <w:tcW w:w="960" w:type="dxa"/>
            <w:tcBorders>
              <w:top w:val="nil"/>
              <w:left w:val="nil"/>
              <w:bottom w:val="nil"/>
              <w:right w:val="nil"/>
            </w:tcBorders>
            <w:shd w:val="clear" w:color="auto" w:fill="auto"/>
            <w:vAlign w:val="bottom"/>
            <w:hideMark/>
          </w:tcPr>
          <w:p w14:paraId="5C50C89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87</w:t>
            </w:r>
          </w:p>
        </w:tc>
        <w:tc>
          <w:tcPr>
            <w:tcW w:w="13924" w:type="dxa"/>
            <w:tcBorders>
              <w:top w:val="nil"/>
              <w:left w:val="nil"/>
              <w:bottom w:val="nil"/>
              <w:right w:val="nil"/>
            </w:tcBorders>
            <w:shd w:val="clear" w:color="auto" w:fill="auto"/>
            <w:vAlign w:val="bottom"/>
            <w:hideMark/>
          </w:tcPr>
          <w:p w14:paraId="222CD8B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El-Shehabi, F.S., Abdel-Hafez, S.K. and Kamhawi, S.A., 1999. Prevalence of intestinal helminths of dogs and foxes from Jordan. Parasitology research, 85(11), pp.928-934.</w:t>
            </w:r>
          </w:p>
        </w:tc>
      </w:tr>
      <w:tr w:rsidR="00C36F76" w:rsidRPr="002751A3" w14:paraId="0BADBB63" w14:textId="77777777" w:rsidTr="005C116B">
        <w:trPr>
          <w:trHeight w:val="900"/>
        </w:trPr>
        <w:tc>
          <w:tcPr>
            <w:tcW w:w="960" w:type="dxa"/>
            <w:tcBorders>
              <w:top w:val="nil"/>
              <w:left w:val="nil"/>
              <w:bottom w:val="nil"/>
              <w:right w:val="nil"/>
            </w:tcBorders>
            <w:shd w:val="clear" w:color="auto" w:fill="auto"/>
            <w:vAlign w:val="bottom"/>
            <w:hideMark/>
          </w:tcPr>
          <w:p w14:paraId="6F01ED0D"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88</w:t>
            </w:r>
          </w:p>
        </w:tc>
        <w:tc>
          <w:tcPr>
            <w:tcW w:w="13924" w:type="dxa"/>
            <w:tcBorders>
              <w:top w:val="nil"/>
              <w:left w:val="nil"/>
              <w:bottom w:val="nil"/>
              <w:right w:val="nil"/>
            </w:tcBorders>
            <w:shd w:val="clear" w:color="auto" w:fill="auto"/>
            <w:vAlign w:val="bottom"/>
            <w:hideMark/>
          </w:tcPr>
          <w:p w14:paraId="37EFF599"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Müller, T., Hahn, E.C., Tottewitz, F., Kramer, M., Klupp, B.G., Mettenleiter, T.C. and Freuling, C., 2011. </w:t>
            </w:r>
            <w:r w:rsidRPr="002751A3">
              <w:rPr>
                <w:rFonts w:ascii="Calibri" w:eastAsia="Times New Roman" w:hAnsi="Calibri" w:cs="Calibri"/>
                <w:color w:val="000000"/>
                <w:lang w:eastAsia="en-GB"/>
              </w:rPr>
              <w:t>Pseudorabies virus in wild swine: a global perspective. Archives of virology, 156(10), p.1691.</w:t>
            </w:r>
          </w:p>
        </w:tc>
      </w:tr>
      <w:tr w:rsidR="00C36F76" w:rsidRPr="002751A3" w14:paraId="584C026D" w14:textId="77777777" w:rsidTr="005C116B">
        <w:trPr>
          <w:trHeight w:val="1200"/>
        </w:trPr>
        <w:tc>
          <w:tcPr>
            <w:tcW w:w="960" w:type="dxa"/>
            <w:tcBorders>
              <w:top w:val="nil"/>
              <w:left w:val="nil"/>
              <w:bottom w:val="nil"/>
              <w:right w:val="nil"/>
            </w:tcBorders>
            <w:shd w:val="clear" w:color="auto" w:fill="auto"/>
            <w:vAlign w:val="bottom"/>
            <w:hideMark/>
          </w:tcPr>
          <w:p w14:paraId="22FA7F6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89</w:t>
            </w:r>
          </w:p>
        </w:tc>
        <w:tc>
          <w:tcPr>
            <w:tcW w:w="13924" w:type="dxa"/>
            <w:tcBorders>
              <w:top w:val="nil"/>
              <w:left w:val="nil"/>
              <w:bottom w:val="nil"/>
              <w:right w:val="nil"/>
            </w:tcBorders>
            <w:shd w:val="clear" w:color="auto" w:fill="auto"/>
            <w:vAlign w:val="bottom"/>
            <w:hideMark/>
          </w:tcPr>
          <w:p w14:paraId="7EF6ACB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Dewi, K., 2010. THE TAXONOMIC STATUS OF PTERYGODERMATITES SPP. AND THE SCANNING ELECTRONMICROSCOPY STUDY OF PTERYGODERMATITES WHARTONI (TUBANGUI, 1931)(NEMATODA: RICTULARIIDAE) FROM INDONESIAN MURIDS. Zoo Indonesia, 19(1).</w:t>
            </w:r>
          </w:p>
        </w:tc>
      </w:tr>
      <w:tr w:rsidR="00C36F76" w:rsidRPr="002751A3" w14:paraId="673193D9" w14:textId="77777777" w:rsidTr="005C116B">
        <w:trPr>
          <w:trHeight w:val="900"/>
        </w:trPr>
        <w:tc>
          <w:tcPr>
            <w:tcW w:w="960" w:type="dxa"/>
            <w:tcBorders>
              <w:top w:val="nil"/>
              <w:left w:val="nil"/>
              <w:bottom w:val="nil"/>
              <w:right w:val="nil"/>
            </w:tcBorders>
            <w:shd w:val="clear" w:color="auto" w:fill="auto"/>
            <w:vAlign w:val="bottom"/>
            <w:hideMark/>
          </w:tcPr>
          <w:p w14:paraId="770600D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90</w:t>
            </w:r>
          </w:p>
        </w:tc>
        <w:tc>
          <w:tcPr>
            <w:tcW w:w="13924" w:type="dxa"/>
            <w:tcBorders>
              <w:top w:val="nil"/>
              <w:left w:val="nil"/>
              <w:bottom w:val="nil"/>
              <w:right w:val="nil"/>
            </w:tcBorders>
            <w:shd w:val="clear" w:color="auto" w:fill="auto"/>
            <w:vAlign w:val="bottom"/>
            <w:hideMark/>
          </w:tcPr>
          <w:p w14:paraId="3C5A170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Scioscia, N.P., Beldomenico, P.M. and Denegri, G.M., 2016. New host and distribution expansion for Pterygodermatites (Multipectines) affinis. Helminthologia, 53(1), pp.81-86.</w:t>
            </w:r>
          </w:p>
        </w:tc>
      </w:tr>
      <w:tr w:rsidR="00C36F76" w:rsidRPr="00BF1A53" w14:paraId="429D7CFB" w14:textId="77777777" w:rsidTr="005C116B">
        <w:trPr>
          <w:trHeight w:val="300"/>
        </w:trPr>
        <w:tc>
          <w:tcPr>
            <w:tcW w:w="960" w:type="dxa"/>
            <w:tcBorders>
              <w:top w:val="nil"/>
              <w:left w:val="nil"/>
              <w:bottom w:val="nil"/>
              <w:right w:val="nil"/>
            </w:tcBorders>
            <w:shd w:val="clear" w:color="auto" w:fill="auto"/>
            <w:vAlign w:val="bottom"/>
            <w:hideMark/>
          </w:tcPr>
          <w:p w14:paraId="7401C9C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91</w:t>
            </w:r>
          </w:p>
        </w:tc>
        <w:tc>
          <w:tcPr>
            <w:tcW w:w="13924" w:type="dxa"/>
            <w:tcBorders>
              <w:top w:val="nil"/>
              <w:left w:val="nil"/>
              <w:bottom w:val="nil"/>
              <w:right w:val="nil"/>
            </w:tcBorders>
            <w:shd w:val="clear" w:color="auto" w:fill="auto"/>
            <w:vAlign w:val="bottom"/>
            <w:hideMark/>
          </w:tcPr>
          <w:p w14:paraId="03A7420C" w14:textId="77777777" w:rsidR="00C36F76" w:rsidRPr="00BF1A53" w:rsidRDefault="00C36F76" w:rsidP="005C116B">
            <w:pPr>
              <w:spacing w:after="0" w:line="240" w:lineRule="auto"/>
              <w:rPr>
                <w:rFonts w:ascii="Calibri" w:eastAsia="Times New Roman" w:hAnsi="Calibri" w:cs="Calibri"/>
                <w:color w:val="000000"/>
                <w:lang w:val="fr-BE" w:eastAsia="en-GB"/>
              </w:rPr>
            </w:pPr>
            <w:r w:rsidRPr="00BF1A53">
              <w:rPr>
                <w:rFonts w:ascii="Calibri" w:eastAsia="Times New Roman" w:hAnsi="Calibri" w:cs="Calibri"/>
                <w:color w:val="000000"/>
                <w:lang w:val="fr-BE" w:eastAsia="en-GB"/>
              </w:rPr>
              <w:t xml:space="preserve">Fooks, A., Cliquet, F., Finke, S. et al. 2017. Rabies. Nat Rev Dis Primers 3, 17091 . </w:t>
            </w:r>
          </w:p>
        </w:tc>
      </w:tr>
      <w:tr w:rsidR="00C36F76" w:rsidRPr="002751A3" w14:paraId="2856F54C" w14:textId="77777777" w:rsidTr="005C116B">
        <w:trPr>
          <w:trHeight w:val="900"/>
        </w:trPr>
        <w:tc>
          <w:tcPr>
            <w:tcW w:w="960" w:type="dxa"/>
            <w:tcBorders>
              <w:top w:val="nil"/>
              <w:left w:val="nil"/>
              <w:bottom w:val="nil"/>
              <w:right w:val="nil"/>
            </w:tcBorders>
            <w:shd w:val="clear" w:color="auto" w:fill="auto"/>
            <w:vAlign w:val="bottom"/>
            <w:hideMark/>
          </w:tcPr>
          <w:p w14:paraId="2ED092F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92</w:t>
            </w:r>
          </w:p>
        </w:tc>
        <w:tc>
          <w:tcPr>
            <w:tcW w:w="13924" w:type="dxa"/>
            <w:tcBorders>
              <w:top w:val="nil"/>
              <w:left w:val="nil"/>
              <w:bottom w:val="nil"/>
              <w:right w:val="nil"/>
            </w:tcBorders>
            <w:shd w:val="clear" w:color="auto" w:fill="auto"/>
            <w:vAlign w:val="bottom"/>
            <w:hideMark/>
          </w:tcPr>
          <w:p w14:paraId="12A3934F"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Mokrani, N., Parola, P., Tebbal, S., Dalichaouche, M., Aouati, A. and Raoult, D., 2008. </w:t>
            </w:r>
            <w:r w:rsidRPr="002751A3">
              <w:rPr>
                <w:rFonts w:ascii="Calibri" w:eastAsia="Times New Roman" w:hAnsi="Calibri" w:cs="Calibri"/>
                <w:color w:val="000000"/>
                <w:lang w:eastAsia="en-GB"/>
              </w:rPr>
              <w:t>Rickettsia aeschlimannii infection, Algeria. Emerging infectious diseases, 14(11), p.1814.</w:t>
            </w:r>
          </w:p>
        </w:tc>
      </w:tr>
      <w:tr w:rsidR="00C36F76" w:rsidRPr="002751A3" w14:paraId="25C754A2" w14:textId="77777777" w:rsidTr="005C116B">
        <w:trPr>
          <w:trHeight w:val="900"/>
        </w:trPr>
        <w:tc>
          <w:tcPr>
            <w:tcW w:w="960" w:type="dxa"/>
            <w:tcBorders>
              <w:top w:val="nil"/>
              <w:left w:val="nil"/>
              <w:bottom w:val="nil"/>
              <w:right w:val="nil"/>
            </w:tcBorders>
            <w:shd w:val="clear" w:color="auto" w:fill="auto"/>
            <w:vAlign w:val="bottom"/>
            <w:hideMark/>
          </w:tcPr>
          <w:p w14:paraId="2B0D35E8"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93</w:t>
            </w:r>
          </w:p>
        </w:tc>
        <w:tc>
          <w:tcPr>
            <w:tcW w:w="13924" w:type="dxa"/>
            <w:tcBorders>
              <w:top w:val="nil"/>
              <w:left w:val="nil"/>
              <w:bottom w:val="nil"/>
              <w:right w:val="nil"/>
            </w:tcBorders>
            <w:shd w:val="clear" w:color="auto" w:fill="auto"/>
            <w:vAlign w:val="bottom"/>
            <w:hideMark/>
          </w:tcPr>
          <w:p w14:paraId="34D9E23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Socolovschi, C., Gaudart, J., Bitam, I., Huynh, T.P., Raoult, D. and Parola, P., 2012. Why are there so few Rickettsia conorii conorii-infected Rhipicephalus sanguineus ticks in the wild?. PLoS Negl Trop Dis, 6(6), p.e1697.</w:t>
            </w:r>
          </w:p>
        </w:tc>
      </w:tr>
      <w:tr w:rsidR="00C36F76" w:rsidRPr="002751A3" w14:paraId="5A1B6E35" w14:textId="77777777" w:rsidTr="005C116B">
        <w:trPr>
          <w:trHeight w:val="1200"/>
        </w:trPr>
        <w:tc>
          <w:tcPr>
            <w:tcW w:w="960" w:type="dxa"/>
            <w:tcBorders>
              <w:top w:val="nil"/>
              <w:left w:val="nil"/>
              <w:bottom w:val="nil"/>
              <w:right w:val="nil"/>
            </w:tcBorders>
            <w:shd w:val="clear" w:color="auto" w:fill="auto"/>
            <w:vAlign w:val="bottom"/>
            <w:hideMark/>
          </w:tcPr>
          <w:p w14:paraId="6B0694B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94</w:t>
            </w:r>
          </w:p>
        </w:tc>
        <w:tc>
          <w:tcPr>
            <w:tcW w:w="13924" w:type="dxa"/>
            <w:tcBorders>
              <w:top w:val="nil"/>
              <w:left w:val="nil"/>
              <w:bottom w:val="nil"/>
              <w:right w:val="nil"/>
            </w:tcBorders>
            <w:shd w:val="clear" w:color="auto" w:fill="auto"/>
            <w:vAlign w:val="bottom"/>
            <w:hideMark/>
          </w:tcPr>
          <w:p w14:paraId="7684A78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Inokuma, H., Matsuda, H., Sakamoto, L., Tagawa, M. and Matsumoto, K., 2011. Evaluation of Rickettsia japonica pathogenesis and reservoir potential in dogs by experimental inoculation and epidemiologic survey. Clinical and Vaccine Immunology, 18(1), pp.161-166.</w:t>
            </w:r>
          </w:p>
        </w:tc>
      </w:tr>
      <w:tr w:rsidR="00C36F76" w:rsidRPr="00DE20A9" w14:paraId="693F77E3" w14:textId="77777777" w:rsidTr="005C116B">
        <w:trPr>
          <w:trHeight w:val="1200"/>
        </w:trPr>
        <w:tc>
          <w:tcPr>
            <w:tcW w:w="960" w:type="dxa"/>
            <w:tcBorders>
              <w:top w:val="nil"/>
              <w:left w:val="nil"/>
              <w:bottom w:val="nil"/>
              <w:right w:val="nil"/>
            </w:tcBorders>
            <w:shd w:val="clear" w:color="auto" w:fill="auto"/>
            <w:vAlign w:val="bottom"/>
            <w:hideMark/>
          </w:tcPr>
          <w:p w14:paraId="695FDFD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95</w:t>
            </w:r>
          </w:p>
        </w:tc>
        <w:tc>
          <w:tcPr>
            <w:tcW w:w="13924" w:type="dxa"/>
            <w:tcBorders>
              <w:top w:val="nil"/>
              <w:left w:val="nil"/>
              <w:bottom w:val="nil"/>
              <w:right w:val="nil"/>
            </w:tcBorders>
            <w:shd w:val="clear" w:color="auto" w:fill="auto"/>
            <w:vAlign w:val="bottom"/>
            <w:hideMark/>
          </w:tcPr>
          <w:p w14:paraId="1E1A125F" w14:textId="77777777" w:rsidR="00C36F76" w:rsidRPr="001939F4" w:rsidRDefault="00C36F76" w:rsidP="005C116B">
            <w:pPr>
              <w:spacing w:after="0" w:line="240" w:lineRule="auto"/>
              <w:rPr>
                <w:rFonts w:ascii="Calibri" w:eastAsia="Times New Roman" w:hAnsi="Calibri" w:cs="Calibri"/>
                <w:color w:val="000000"/>
                <w:lang w:val="it-IT" w:eastAsia="en-GB"/>
              </w:rPr>
            </w:pPr>
            <w:r w:rsidRPr="001939F4">
              <w:rPr>
                <w:rFonts w:ascii="Calibri" w:eastAsia="Times New Roman" w:hAnsi="Calibri" w:cs="Calibri"/>
                <w:color w:val="000000"/>
                <w:lang w:val="it-IT" w:eastAsia="en-GB"/>
              </w:rPr>
              <w:t xml:space="preserve">Peniche-Lara, G., Dzul-Rosado, K., Perez-Osorio, C. and Zavala-Castro, J., 2015. </w:t>
            </w:r>
            <w:r w:rsidRPr="002751A3">
              <w:rPr>
                <w:rFonts w:ascii="Calibri" w:eastAsia="Times New Roman" w:hAnsi="Calibri" w:cs="Calibri"/>
                <w:color w:val="000000"/>
                <w:lang w:eastAsia="en-GB"/>
              </w:rPr>
              <w:t>Rickettsia typhi in rodents and R. felis in fleas in Yucatán as a possible causal agent of undefined febrile cases. </w:t>
            </w:r>
            <w:r w:rsidRPr="001939F4">
              <w:rPr>
                <w:rFonts w:ascii="Calibri" w:eastAsia="Times New Roman" w:hAnsi="Calibri" w:cs="Calibri"/>
                <w:color w:val="000000"/>
                <w:lang w:val="it-IT" w:eastAsia="en-GB"/>
              </w:rPr>
              <w:t>Revista do Instituto de Medicina Tropical de São Paulo, 57(2), pp.129-132.</w:t>
            </w:r>
          </w:p>
        </w:tc>
      </w:tr>
      <w:tr w:rsidR="00C36F76" w:rsidRPr="002751A3" w14:paraId="06E67FDE" w14:textId="77777777" w:rsidTr="005C116B">
        <w:trPr>
          <w:trHeight w:val="900"/>
        </w:trPr>
        <w:tc>
          <w:tcPr>
            <w:tcW w:w="960" w:type="dxa"/>
            <w:tcBorders>
              <w:top w:val="nil"/>
              <w:left w:val="nil"/>
              <w:bottom w:val="nil"/>
              <w:right w:val="nil"/>
            </w:tcBorders>
            <w:shd w:val="clear" w:color="auto" w:fill="auto"/>
            <w:vAlign w:val="bottom"/>
            <w:hideMark/>
          </w:tcPr>
          <w:p w14:paraId="42E7343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96</w:t>
            </w:r>
          </w:p>
        </w:tc>
        <w:tc>
          <w:tcPr>
            <w:tcW w:w="13924" w:type="dxa"/>
            <w:tcBorders>
              <w:top w:val="nil"/>
              <w:left w:val="nil"/>
              <w:bottom w:val="nil"/>
              <w:right w:val="nil"/>
            </w:tcBorders>
            <w:shd w:val="clear" w:color="auto" w:fill="auto"/>
            <w:vAlign w:val="bottom"/>
            <w:hideMark/>
          </w:tcPr>
          <w:p w14:paraId="3ACA889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Bäumler, A.J., Tsolis, R.M., Ficht, T.A. and Adams, L.G., 1998. Evolution of Host Adaptation inSalmonella enterica. Infection and immunity, 66(10), pp.4579-4587.</w:t>
            </w:r>
          </w:p>
        </w:tc>
      </w:tr>
      <w:tr w:rsidR="00C36F76" w:rsidRPr="002751A3" w14:paraId="0C4F7DA2" w14:textId="77777777" w:rsidTr="005C116B">
        <w:trPr>
          <w:trHeight w:val="1200"/>
        </w:trPr>
        <w:tc>
          <w:tcPr>
            <w:tcW w:w="960" w:type="dxa"/>
            <w:tcBorders>
              <w:top w:val="nil"/>
              <w:left w:val="nil"/>
              <w:bottom w:val="nil"/>
              <w:right w:val="nil"/>
            </w:tcBorders>
            <w:shd w:val="clear" w:color="auto" w:fill="auto"/>
            <w:vAlign w:val="bottom"/>
            <w:hideMark/>
          </w:tcPr>
          <w:p w14:paraId="53C422E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97</w:t>
            </w:r>
          </w:p>
        </w:tc>
        <w:tc>
          <w:tcPr>
            <w:tcW w:w="13924" w:type="dxa"/>
            <w:tcBorders>
              <w:top w:val="nil"/>
              <w:left w:val="nil"/>
              <w:bottom w:val="nil"/>
              <w:right w:val="nil"/>
            </w:tcBorders>
            <w:shd w:val="clear" w:color="auto" w:fill="auto"/>
            <w:vAlign w:val="bottom"/>
            <w:hideMark/>
          </w:tcPr>
          <w:p w14:paraId="267C5ED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Pulford, C.V., Perez-Sepulveda, B.M., Rodwell, E.V., Weill, F.X., Baker, K.S. and Hinton, J.C., 2019. Salmonella enterica serovar Panama, an understudied serovar responsible for extraintestinal salmonellosis worldwide. Infection and immunity, 87(9), pp.e00273-19.</w:t>
            </w:r>
          </w:p>
        </w:tc>
      </w:tr>
      <w:tr w:rsidR="00C36F76" w:rsidRPr="002751A3" w14:paraId="671FBFE6" w14:textId="77777777" w:rsidTr="005C116B">
        <w:trPr>
          <w:trHeight w:val="300"/>
        </w:trPr>
        <w:tc>
          <w:tcPr>
            <w:tcW w:w="960" w:type="dxa"/>
            <w:tcBorders>
              <w:top w:val="nil"/>
              <w:left w:val="nil"/>
              <w:bottom w:val="nil"/>
              <w:right w:val="nil"/>
            </w:tcBorders>
            <w:shd w:val="clear" w:color="auto" w:fill="auto"/>
            <w:vAlign w:val="bottom"/>
            <w:hideMark/>
          </w:tcPr>
          <w:p w14:paraId="6093585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98</w:t>
            </w:r>
          </w:p>
        </w:tc>
        <w:tc>
          <w:tcPr>
            <w:tcW w:w="13924" w:type="dxa"/>
            <w:tcBorders>
              <w:top w:val="nil"/>
              <w:left w:val="nil"/>
              <w:bottom w:val="nil"/>
              <w:right w:val="nil"/>
            </w:tcBorders>
            <w:shd w:val="clear" w:color="auto" w:fill="auto"/>
            <w:vAlign w:val="bottom"/>
            <w:hideMark/>
          </w:tcPr>
          <w:p w14:paraId="0FAFD234"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fr-BE" w:eastAsia="en-GB"/>
              </w:rPr>
              <w:t>Giannella, R.A., 1996. Chapter 21: Salmonella. </w:t>
            </w:r>
            <w:r w:rsidRPr="002751A3">
              <w:rPr>
                <w:rFonts w:ascii="Calibri" w:eastAsia="Times New Roman" w:hAnsi="Calibri" w:cs="Calibri"/>
                <w:color w:val="000000"/>
                <w:lang w:eastAsia="en-GB"/>
              </w:rPr>
              <w:t>Medical microbiology, 4.</w:t>
            </w:r>
          </w:p>
        </w:tc>
      </w:tr>
      <w:tr w:rsidR="00C36F76" w:rsidRPr="002751A3" w14:paraId="47202E86" w14:textId="77777777" w:rsidTr="005C116B">
        <w:trPr>
          <w:trHeight w:val="1200"/>
        </w:trPr>
        <w:tc>
          <w:tcPr>
            <w:tcW w:w="960" w:type="dxa"/>
            <w:tcBorders>
              <w:top w:val="nil"/>
              <w:left w:val="nil"/>
              <w:bottom w:val="nil"/>
              <w:right w:val="nil"/>
            </w:tcBorders>
            <w:shd w:val="clear" w:color="auto" w:fill="auto"/>
            <w:vAlign w:val="bottom"/>
            <w:hideMark/>
          </w:tcPr>
          <w:p w14:paraId="4811BE6F"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99</w:t>
            </w:r>
          </w:p>
        </w:tc>
        <w:tc>
          <w:tcPr>
            <w:tcW w:w="13924" w:type="dxa"/>
            <w:tcBorders>
              <w:top w:val="nil"/>
              <w:left w:val="nil"/>
              <w:bottom w:val="nil"/>
              <w:right w:val="nil"/>
            </w:tcBorders>
            <w:shd w:val="clear" w:color="auto" w:fill="auto"/>
            <w:vAlign w:val="bottom"/>
            <w:hideMark/>
          </w:tcPr>
          <w:p w14:paraId="6BC3870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Johnson, P.T., Lund, P.J., Hartson, R.B. and Yoshino, T.P., 2009. Community diversity reduces Schistosoma mansoni transmission, host pathology and human infection risk. Proceedings of the Royal Society B: Biological Sciences, 276(1662), pp.1657-1663.</w:t>
            </w:r>
          </w:p>
        </w:tc>
      </w:tr>
      <w:tr w:rsidR="00C36F76" w:rsidRPr="002751A3" w14:paraId="2BAD91DD" w14:textId="77777777" w:rsidTr="005C116B">
        <w:trPr>
          <w:trHeight w:val="900"/>
        </w:trPr>
        <w:tc>
          <w:tcPr>
            <w:tcW w:w="960" w:type="dxa"/>
            <w:tcBorders>
              <w:top w:val="nil"/>
              <w:left w:val="nil"/>
              <w:bottom w:val="nil"/>
              <w:right w:val="nil"/>
            </w:tcBorders>
            <w:shd w:val="clear" w:color="auto" w:fill="auto"/>
            <w:vAlign w:val="bottom"/>
            <w:hideMark/>
          </w:tcPr>
          <w:p w14:paraId="38A5A4D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102</w:t>
            </w:r>
          </w:p>
        </w:tc>
        <w:tc>
          <w:tcPr>
            <w:tcW w:w="13924" w:type="dxa"/>
            <w:tcBorders>
              <w:top w:val="nil"/>
              <w:left w:val="nil"/>
              <w:bottom w:val="nil"/>
              <w:right w:val="nil"/>
            </w:tcBorders>
            <w:shd w:val="clear" w:color="auto" w:fill="auto"/>
            <w:vAlign w:val="bottom"/>
            <w:hideMark/>
          </w:tcPr>
          <w:p w14:paraId="45B0D379"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Diaz, A., Coffey, L.L., Burkett-Cadena, N. and Day, J.F., 2018. Reemergence of St. Louis encephalitis virus in the Americas. Emerging infectious diseases, 24(12), p.2150.</w:t>
            </w:r>
          </w:p>
        </w:tc>
      </w:tr>
      <w:tr w:rsidR="00C36F76" w:rsidRPr="002751A3" w14:paraId="2C85FBC3" w14:textId="77777777" w:rsidTr="005C116B">
        <w:trPr>
          <w:trHeight w:val="900"/>
        </w:trPr>
        <w:tc>
          <w:tcPr>
            <w:tcW w:w="960" w:type="dxa"/>
            <w:tcBorders>
              <w:top w:val="nil"/>
              <w:left w:val="nil"/>
              <w:bottom w:val="nil"/>
              <w:right w:val="nil"/>
            </w:tcBorders>
            <w:shd w:val="clear" w:color="auto" w:fill="auto"/>
            <w:vAlign w:val="bottom"/>
            <w:hideMark/>
          </w:tcPr>
          <w:p w14:paraId="3CC19B0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103</w:t>
            </w:r>
          </w:p>
        </w:tc>
        <w:tc>
          <w:tcPr>
            <w:tcW w:w="13924" w:type="dxa"/>
            <w:tcBorders>
              <w:top w:val="nil"/>
              <w:left w:val="nil"/>
              <w:bottom w:val="nil"/>
              <w:right w:val="nil"/>
            </w:tcBorders>
            <w:shd w:val="clear" w:color="auto" w:fill="auto"/>
            <w:vAlign w:val="bottom"/>
            <w:hideMark/>
          </w:tcPr>
          <w:p w14:paraId="6A647FC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Hughes, J.M., Wilson, M.E., Wertheim, H.F., Nghia, H.D.T., Taylor, W. and Schultsz, C., 2009. Streptococcus suis: an emerging human pathogen. Clinical Infectious Diseases, 48(5), pp.617-625.</w:t>
            </w:r>
          </w:p>
        </w:tc>
      </w:tr>
      <w:tr w:rsidR="00C36F76" w:rsidRPr="002751A3" w14:paraId="7FB80B42" w14:textId="77777777" w:rsidTr="005C116B">
        <w:trPr>
          <w:trHeight w:val="900"/>
        </w:trPr>
        <w:tc>
          <w:tcPr>
            <w:tcW w:w="960" w:type="dxa"/>
            <w:tcBorders>
              <w:top w:val="nil"/>
              <w:left w:val="nil"/>
              <w:bottom w:val="nil"/>
              <w:right w:val="nil"/>
            </w:tcBorders>
            <w:shd w:val="clear" w:color="auto" w:fill="auto"/>
            <w:vAlign w:val="bottom"/>
            <w:hideMark/>
          </w:tcPr>
          <w:p w14:paraId="2B1829D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104</w:t>
            </w:r>
          </w:p>
        </w:tc>
        <w:tc>
          <w:tcPr>
            <w:tcW w:w="13924" w:type="dxa"/>
            <w:tcBorders>
              <w:top w:val="nil"/>
              <w:left w:val="nil"/>
              <w:bottom w:val="nil"/>
              <w:right w:val="nil"/>
            </w:tcBorders>
            <w:shd w:val="clear" w:color="auto" w:fill="auto"/>
            <w:vAlign w:val="bottom"/>
            <w:hideMark/>
          </w:tcPr>
          <w:p w14:paraId="590A6B0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Staats, J.J., Feder, I., Okwumabua, O. and Chengappa, M.M., 1997. Streptococcus suis: past and present. Veterinary research communications, 21(6), pp.381-407.</w:t>
            </w:r>
          </w:p>
        </w:tc>
      </w:tr>
      <w:tr w:rsidR="00C36F76" w:rsidRPr="002751A3" w14:paraId="764F2E95" w14:textId="77777777" w:rsidTr="005C116B">
        <w:trPr>
          <w:trHeight w:val="1200"/>
        </w:trPr>
        <w:tc>
          <w:tcPr>
            <w:tcW w:w="960" w:type="dxa"/>
            <w:tcBorders>
              <w:top w:val="nil"/>
              <w:left w:val="nil"/>
              <w:bottom w:val="nil"/>
              <w:right w:val="nil"/>
            </w:tcBorders>
            <w:shd w:val="clear" w:color="auto" w:fill="auto"/>
            <w:vAlign w:val="bottom"/>
            <w:hideMark/>
          </w:tcPr>
          <w:p w14:paraId="5294D385"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105</w:t>
            </w:r>
          </w:p>
        </w:tc>
        <w:tc>
          <w:tcPr>
            <w:tcW w:w="13924" w:type="dxa"/>
            <w:tcBorders>
              <w:top w:val="nil"/>
              <w:left w:val="nil"/>
              <w:bottom w:val="nil"/>
              <w:right w:val="nil"/>
            </w:tcBorders>
            <w:shd w:val="clear" w:color="auto" w:fill="auto"/>
            <w:vAlign w:val="bottom"/>
            <w:hideMark/>
          </w:tcPr>
          <w:p w14:paraId="32836890"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SATO, H., SUZUKI, K., UNI, S. and KAMIYA, H., 2005. </w:t>
            </w:r>
            <w:r w:rsidRPr="002751A3">
              <w:rPr>
                <w:rFonts w:ascii="Calibri" w:eastAsia="Times New Roman" w:hAnsi="Calibri" w:cs="Calibri"/>
                <w:color w:val="000000"/>
                <w:lang w:eastAsia="en-GB"/>
              </w:rPr>
              <w:t>Recovery of the everted cystacanth of seven acanthocephalan species of birds from feral raccoons (Procyon lotor) in Japan. Journal of veterinary medical science, 67(12), pp.1203-1206.</w:t>
            </w:r>
          </w:p>
        </w:tc>
      </w:tr>
      <w:tr w:rsidR="00C36F76" w:rsidRPr="002751A3" w14:paraId="3113FDC1" w14:textId="77777777" w:rsidTr="005C116B">
        <w:trPr>
          <w:trHeight w:val="900"/>
        </w:trPr>
        <w:tc>
          <w:tcPr>
            <w:tcW w:w="960" w:type="dxa"/>
            <w:tcBorders>
              <w:top w:val="nil"/>
              <w:left w:val="nil"/>
              <w:bottom w:val="nil"/>
              <w:right w:val="nil"/>
            </w:tcBorders>
            <w:shd w:val="clear" w:color="auto" w:fill="auto"/>
            <w:vAlign w:val="bottom"/>
            <w:hideMark/>
          </w:tcPr>
          <w:p w14:paraId="56BAF4E7"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106</w:t>
            </w:r>
          </w:p>
        </w:tc>
        <w:tc>
          <w:tcPr>
            <w:tcW w:w="13924" w:type="dxa"/>
            <w:tcBorders>
              <w:top w:val="nil"/>
              <w:left w:val="nil"/>
              <w:bottom w:val="nil"/>
              <w:right w:val="nil"/>
            </w:tcBorders>
            <w:shd w:val="clear" w:color="auto" w:fill="auto"/>
            <w:vAlign w:val="bottom"/>
            <w:hideMark/>
          </w:tcPr>
          <w:p w14:paraId="5D52159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Sato, H., Suzuki, K., Osanai, A., Kamiya, H. and Furuoka, H., 2006. Identification and characterization of the threadworm, Strongyloides procyonis, from feral raccoons (Procyon lotor) in Japan. Journal of Parasitology, 92(1), pp.63-68.</w:t>
            </w:r>
          </w:p>
        </w:tc>
      </w:tr>
      <w:tr w:rsidR="00C36F76" w:rsidRPr="002751A3" w14:paraId="434309D3" w14:textId="77777777" w:rsidTr="005C116B">
        <w:trPr>
          <w:trHeight w:val="1200"/>
        </w:trPr>
        <w:tc>
          <w:tcPr>
            <w:tcW w:w="960" w:type="dxa"/>
            <w:tcBorders>
              <w:top w:val="nil"/>
              <w:left w:val="nil"/>
              <w:bottom w:val="nil"/>
              <w:right w:val="nil"/>
            </w:tcBorders>
            <w:shd w:val="clear" w:color="auto" w:fill="auto"/>
            <w:vAlign w:val="bottom"/>
            <w:hideMark/>
          </w:tcPr>
          <w:p w14:paraId="66FAA728"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107</w:t>
            </w:r>
          </w:p>
        </w:tc>
        <w:tc>
          <w:tcPr>
            <w:tcW w:w="13924" w:type="dxa"/>
            <w:tcBorders>
              <w:top w:val="nil"/>
              <w:left w:val="nil"/>
              <w:bottom w:val="nil"/>
              <w:right w:val="nil"/>
            </w:tcBorders>
            <w:shd w:val="clear" w:color="auto" w:fill="auto"/>
            <w:vAlign w:val="bottom"/>
            <w:hideMark/>
          </w:tcPr>
          <w:p w14:paraId="38EBA5C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Fisher, M.C. and Viney, M.E., 1998. The population genetic structure of the facultatively sexual parasitic nematode Strongyloides ratti in wild rats. Proceedings of the Royal Society of London. Series B: Biological Sciences, 265(1397), pp.703-709.</w:t>
            </w:r>
          </w:p>
        </w:tc>
      </w:tr>
      <w:tr w:rsidR="00C36F76" w:rsidRPr="002751A3" w14:paraId="4037EEB3" w14:textId="77777777" w:rsidTr="005C116B">
        <w:trPr>
          <w:trHeight w:val="600"/>
        </w:trPr>
        <w:tc>
          <w:tcPr>
            <w:tcW w:w="960" w:type="dxa"/>
            <w:tcBorders>
              <w:top w:val="nil"/>
              <w:left w:val="nil"/>
              <w:bottom w:val="nil"/>
              <w:right w:val="nil"/>
            </w:tcBorders>
            <w:shd w:val="clear" w:color="auto" w:fill="auto"/>
            <w:vAlign w:val="bottom"/>
            <w:hideMark/>
          </w:tcPr>
          <w:p w14:paraId="7DDCB14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108</w:t>
            </w:r>
          </w:p>
        </w:tc>
        <w:tc>
          <w:tcPr>
            <w:tcW w:w="13924" w:type="dxa"/>
            <w:tcBorders>
              <w:top w:val="nil"/>
              <w:left w:val="nil"/>
              <w:bottom w:val="nil"/>
              <w:right w:val="nil"/>
            </w:tcBorders>
            <w:shd w:val="clear" w:color="auto" w:fill="auto"/>
            <w:vAlign w:val="bottom"/>
            <w:hideMark/>
          </w:tcPr>
          <w:p w14:paraId="1689D18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Stahl, W., 1961. Syphacia muris, the rat pinworm. Science, 133(3452), pp.576-577.</w:t>
            </w:r>
          </w:p>
        </w:tc>
      </w:tr>
      <w:tr w:rsidR="00C36F76" w:rsidRPr="002751A3" w14:paraId="31B3A11B" w14:textId="77777777" w:rsidTr="005C116B">
        <w:trPr>
          <w:trHeight w:val="900"/>
        </w:trPr>
        <w:tc>
          <w:tcPr>
            <w:tcW w:w="960" w:type="dxa"/>
            <w:tcBorders>
              <w:top w:val="nil"/>
              <w:left w:val="nil"/>
              <w:bottom w:val="nil"/>
              <w:right w:val="nil"/>
            </w:tcBorders>
            <w:shd w:val="clear" w:color="auto" w:fill="auto"/>
            <w:vAlign w:val="bottom"/>
            <w:hideMark/>
          </w:tcPr>
          <w:p w14:paraId="3CCD2DE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109</w:t>
            </w:r>
          </w:p>
        </w:tc>
        <w:tc>
          <w:tcPr>
            <w:tcW w:w="13924" w:type="dxa"/>
            <w:tcBorders>
              <w:top w:val="nil"/>
              <w:left w:val="nil"/>
              <w:bottom w:val="nil"/>
              <w:right w:val="nil"/>
            </w:tcBorders>
            <w:shd w:val="clear" w:color="auto" w:fill="auto"/>
            <w:vAlign w:val="bottom"/>
            <w:hideMark/>
          </w:tcPr>
          <w:p w14:paraId="2665FD5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Sato, Y., Ooi, H.K., Nonaka, N., Oku, Y. and Kamiya, M., 1995. Antibody production in Syphacia obvelata infected mice. The Journal of parasitology, pp.559-562.</w:t>
            </w:r>
          </w:p>
        </w:tc>
      </w:tr>
      <w:tr w:rsidR="00C36F76" w:rsidRPr="002751A3" w14:paraId="707CAFC6" w14:textId="77777777" w:rsidTr="005C116B">
        <w:trPr>
          <w:trHeight w:val="1200"/>
        </w:trPr>
        <w:tc>
          <w:tcPr>
            <w:tcW w:w="960" w:type="dxa"/>
            <w:tcBorders>
              <w:top w:val="nil"/>
              <w:left w:val="nil"/>
              <w:bottom w:val="nil"/>
              <w:right w:val="nil"/>
            </w:tcBorders>
            <w:shd w:val="clear" w:color="auto" w:fill="auto"/>
            <w:vAlign w:val="bottom"/>
            <w:hideMark/>
          </w:tcPr>
          <w:p w14:paraId="533867B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111</w:t>
            </w:r>
          </w:p>
        </w:tc>
        <w:tc>
          <w:tcPr>
            <w:tcW w:w="13924" w:type="dxa"/>
            <w:tcBorders>
              <w:top w:val="nil"/>
              <w:left w:val="nil"/>
              <w:bottom w:val="nil"/>
              <w:right w:val="nil"/>
            </w:tcBorders>
            <w:shd w:val="clear" w:color="auto" w:fill="auto"/>
            <w:vAlign w:val="bottom"/>
            <w:hideMark/>
          </w:tcPr>
          <w:p w14:paraId="35F0C32F"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Ntoukas, V., Tappe, D., Pfütze, D., Simon, M. and Holzmann, T., 2013. </w:t>
            </w:r>
            <w:r w:rsidRPr="002751A3">
              <w:rPr>
                <w:rFonts w:ascii="Calibri" w:eastAsia="Times New Roman" w:hAnsi="Calibri" w:cs="Calibri"/>
                <w:color w:val="000000"/>
                <w:lang w:eastAsia="en-GB"/>
              </w:rPr>
              <w:t>Cerebellar cysticercosis caused by larval Taenia crassiceps tapeworm in immunocompetent woman, Germany. Emerging infectious diseases, 19(12), p.2008.</w:t>
            </w:r>
          </w:p>
        </w:tc>
      </w:tr>
      <w:tr w:rsidR="00C36F76" w:rsidRPr="002751A3" w14:paraId="3EFEF666" w14:textId="77777777" w:rsidTr="005C116B">
        <w:trPr>
          <w:trHeight w:val="1200"/>
        </w:trPr>
        <w:tc>
          <w:tcPr>
            <w:tcW w:w="960" w:type="dxa"/>
            <w:tcBorders>
              <w:top w:val="nil"/>
              <w:left w:val="nil"/>
              <w:bottom w:val="nil"/>
              <w:right w:val="nil"/>
            </w:tcBorders>
            <w:shd w:val="clear" w:color="auto" w:fill="auto"/>
            <w:vAlign w:val="bottom"/>
            <w:hideMark/>
          </w:tcPr>
          <w:p w14:paraId="7A7026A1"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112</w:t>
            </w:r>
          </w:p>
        </w:tc>
        <w:tc>
          <w:tcPr>
            <w:tcW w:w="13924" w:type="dxa"/>
            <w:tcBorders>
              <w:top w:val="nil"/>
              <w:left w:val="nil"/>
              <w:bottom w:val="nil"/>
              <w:right w:val="nil"/>
            </w:tcBorders>
            <w:shd w:val="clear" w:color="auto" w:fill="auto"/>
            <w:vAlign w:val="bottom"/>
            <w:hideMark/>
          </w:tcPr>
          <w:p w14:paraId="3B86D75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Haby, M.M., Sosa Leon, L.A., Luciañez, A., Nicholls, R.S., Reveiz, L. and Donadeu, M., 2020. Systematic review of the effectiveness of selected drugs for preventive chemotherapy for Taenia solium taeniasis. PLoS neglected tropical diseases, 14(1), p.e0007873.</w:t>
            </w:r>
          </w:p>
        </w:tc>
      </w:tr>
      <w:tr w:rsidR="00C36F76" w:rsidRPr="002751A3" w14:paraId="396C3947" w14:textId="77777777" w:rsidTr="005C116B">
        <w:trPr>
          <w:trHeight w:val="600"/>
        </w:trPr>
        <w:tc>
          <w:tcPr>
            <w:tcW w:w="960" w:type="dxa"/>
            <w:tcBorders>
              <w:top w:val="nil"/>
              <w:left w:val="nil"/>
              <w:bottom w:val="nil"/>
              <w:right w:val="nil"/>
            </w:tcBorders>
            <w:shd w:val="clear" w:color="auto" w:fill="auto"/>
            <w:vAlign w:val="bottom"/>
            <w:hideMark/>
          </w:tcPr>
          <w:p w14:paraId="563F74D4"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113</w:t>
            </w:r>
          </w:p>
        </w:tc>
        <w:tc>
          <w:tcPr>
            <w:tcW w:w="13924" w:type="dxa"/>
            <w:tcBorders>
              <w:top w:val="nil"/>
              <w:left w:val="nil"/>
              <w:bottom w:val="nil"/>
              <w:right w:val="nil"/>
            </w:tcBorders>
            <w:shd w:val="clear" w:color="auto" w:fill="auto"/>
            <w:vAlign w:val="bottom"/>
            <w:hideMark/>
          </w:tcPr>
          <w:p w14:paraId="5B71D7A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Pritchett-Corning, K.R. and Clifford, C.B., 2012. Parasitic Infections of Laboratory Mice. The Laboratory Mouse, ed. HJ Hedrich, pp.503-518.</w:t>
            </w:r>
          </w:p>
        </w:tc>
      </w:tr>
      <w:tr w:rsidR="00C36F76" w:rsidRPr="002751A3" w14:paraId="11246113" w14:textId="77777777" w:rsidTr="005C116B">
        <w:trPr>
          <w:trHeight w:val="1200"/>
        </w:trPr>
        <w:tc>
          <w:tcPr>
            <w:tcW w:w="960" w:type="dxa"/>
            <w:tcBorders>
              <w:top w:val="nil"/>
              <w:left w:val="nil"/>
              <w:bottom w:val="nil"/>
              <w:right w:val="nil"/>
            </w:tcBorders>
            <w:shd w:val="clear" w:color="auto" w:fill="auto"/>
            <w:vAlign w:val="bottom"/>
            <w:hideMark/>
          </w:tcPr>
          <w:p w14:paraId="07DE376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114</w:t>
            </w:r>
          </w:p>
        </w:tc>
        <w:tc>
          <w:tcPr>
            <w:tcW w:w="13924" w:type="dxa"/>
            <w:tcBorders>
              <w:top w:val="nil"/>
              <w:left w:val="nil"/>
              <w:bottom w:val="nil"/>
              <w:right w:val="nil"/>
            </w:tcBorders>
            <w:shd w:val="clear" w:color="auto" w:fill="auto"/>
            <w:vAlign w:val="bottom"/>
            <w:hideMark/>
          </w:tcPr>
          <w:p w14:paraId="73013A3E"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Olds, C.L., Mason, K.L. and Scoles, G.A., 2018. Rhipicephalus appendiculatus ticks transmit Theileria parva from persistently infected cattle in the absence of detectable parasitemia: implications for East Coast fever epidemiology. Parasites &amp; vectors, 11(1), p.126.</w:t>
            </w:r>
          </w:p>
        </w:tc>
      </w:tr>
      <w:tr w:rsidR="00C36F76" w:rsidRPr="002751A3" w14:paraId="6732F0E2" w14:textId="77777777" w:rsidTr="005C116B">
        <w:trPr>
          <w:trHeight w:val="600"/>
        </w:trPr>
        <w:tc>
          <w:tcPr>
            <w:tcW w:w="960" w:type="dxa"/>
            <w:tcBorders>
              <w:top w:val="nil"/>
              <w:left w:val="nil"/>
              <w:bottom w:val="nil"/>
              <w:right w:val="nil"/>
            </w:tcBorders>
            <w:shd w:val="clear" w:color="auto" w:fill="auto"/>
            <w:vAlign w:val="bottom"/>
            <w:hideMark/>
          </w:tcPr>
          <w:p w14:paraId="3BACD5D1"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115</w:t>
            </w:r>
          </w:p>
        </w:tc>
        <w:tc>
          <w:tcPr>
            <w:tcW w:w="13924" w:type="dxa"/>
            <w:tcBorders>
              <w:top w:val="nil"/>
              <w:left w:val="nil"/>
              <w:bottom w:val="nil"/>
              <w:right w:val="nil"/>
            </w:tcBorders>
            <w:shd w:val="clear" w:color="auto" w:fill="auto"/>
            <w:vAlign w:val="bottom"/>
            <w:hideMark/>
          </w:tcPr>
          <w:p w14:paraId="70938A70"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Rodan, I. and Sparkes, A.H., 2012. Preventive health care for cats. The Cat, p.151.</w:t>
            </w:r>
          </w:p>
        </w:tc>
      </w:tr>
      <w:tr w:rsidR="00C36F76" w:rsidRPr="002751A3" w14:paraId="61B96C2A" w14:textId="77777777" w:rsidTr="005C116B">
        <w:trPr>
          <w:trHeight w:val="900"/>
        </w:trPr>
        <w:tc>
          <w:tcPr>
            <w:tcW w:w="960" w:type="dxa"/>
            <w:tcBorders>
              <w:top w:val="nil"/>
              <w:left w:val="nil"/>
              <w:bottom w:val="nil"/>
              <w:right w:val="nil"/>
            </w:tcBorders>
            <w:shd w:val="clear" w:color="auto" w:fill="auto"/>
            <w:vAlign w:val="bottom"/>
            <w:hideMark/>
          </w:tcPr>
          <w:p w14:paraId="284FF43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116</w:t>
            </w:r>
          </w:p>
        </w:tc>
        <w:tc>
          <w:tcPr>
            <w:tcW w:w="13924" w:type="dxa"/>
            <w:tcBorders>
              <w:top w:val="nil"/>
              <w:left w:val="nil"/>
              <w:bottom w:val="nil"/>
              <w:right w:val="nil"/>
            </w:tcBorders>
            <w:shd w:val="clear" w:color="auto" w:fill="auto"/>
            <w:vAlign w:val="bottom"/>
            <w:hideMark/>
          </w:tcPr>
          <w:p w14:paraId="1E59450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Despommier, D., 2003. Toxocariasis: clinical aspects, epidemiology, medical ecology, and molecular aspects. Clinical microbiology reviews, 16(2), pp.265-272.</w:t>
            </w:r>
          </w:p>
        </w:tc>
      </w:tr>
      <w:tr w:rsidR="00C36F76" w:rsidRPr="002751A3" w14:paraId="15FB87C7" w14:textId="77777777" w:rsidTr="005C116B">
        <w:trPr>
          <w:trHeight w:val="1200"/>
        </w:trPr>
        <w:tc>
          <w:tcPr>
            <w:tcW w:w="960" w:type="dxa"/>
            <w:tcBorders>
              <w:top w:val="nil"/>
              <w:left w:val="nil"/>
              <w:bottom w:val="nil"/>
              <w:right w:val="nil"/>
            </w:tcBorders>
            <w:shd w:val="clear" w:color="auto" w:fill="auto"/>
            <w:vAlign w:val="bottom"/>
            <w:hideMark/>
          </w:tcPr>
          <w:p w14:paraId="21776C9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117</w:t>
            </w:r>
          </w:p>
        </w:tc>
        <w:tc>
          <w:tcPr>
            <w:tcW w:w="13924" w:type="dxa"/>
            <w:tcBorders>
              <w:top w:val="nil"/>
              <w:left w:val="nil"/>
              <w:bottom w:val="nil"/>
              <w:right w:val="nil"/>
            </w:tcBorders>
            <w:shd w:val="clear" w:color="auto" w:fill="auto"/>
            <w:vAlign w:val="bottom"/>
            <w:hideMark/>
          </w:tcPr>
          <w:p w14:paraId="7D8C99F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Aguirre, A.A., Longcore, T., Barbieri, M., Dabritz, H., Hill, D., Klein, P.N., Lepczyk, C., Lilly, E.L., McLeod, R., Milcarsky, J. and Murphy, C.E., 2019. The one health approach to toxoplasmosis: epidemiology, control, and prevention strategies. EcoHealth, 16(2), pp.378-390.</w:t>
            </w:r>
          </w:p>
        </w:tc>
      </w:tr>
      <w:tr w:rsidR="00C36F76" w:rsidRPr="002751A3" w14:paraId="7DD805C3" w14:textId="77777777" w:rsidTr="005C116B">
        <w:trPr>
          <w:trHeight w:val="900"/>
        </w:trPr>
        <w:tc>
          <w:tcPr>
            <w:tcW w:w="960" w:type="dxa"/>
            <w:tcBorders>
              <w:top w:val="nil"/>
              <w:left w:val="nil"/>
              <w:bottom w:val="nil"/>
              <w:right w:val="nil"/>
            </w:tcBorders>
            <w:shd w:val="clear" w:color="auto" w:fill="auto"/>
            <w:vAlign w:val="bottom"/>
            <w:hideMark/>
          </w:tcPr>
          <w:p w14:paraId="6D94984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118</w:t>
            </w:r>
          </w:p>
        </w:tc>
        <w:tc>
          <w:tcPr>
            <w:tcW w:w="13924" w:type="dxa"/>
            <w:tcBorders>
              <w:top w:val="nil"/>
              <w:left w:val="nil"/>
              <w:bottom w:val="nil"/>
              <w:right w:val="nil"/>
            </w:tcBorders>
            <w:shd w:val="clear" w:color="auto" w:fill="auto"/>
            <w:vAlign w:val="bottom"/>
            <w:hideMark/>
          </w:tcPr>
          <w:p w14:paraId="78A21A4D"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Gottstein, B., Pozio, E. and Nöckler, K., 2009. </w:t>
            </w:r>
            <w:r w:rsidRPr="002751A3">
              <w:rPr>
                <w:rFonts w:ascii="Calibri" w:eastAsia="Times New Roman" w:hAnsi="Calibri" w:cs="Calibri"/>
                <w:color w:val="000000"/>
                <w:lang w:eastAsia="en-GB"/>
              </w:rPr>
              <w:t>Epidemiology, diagnosis, treatment, and control of trichinellosis. Clinical microbiology reviews, 22(1), pp.127-145.</w:t>
            </w:r>
          </w:p>
        </w:tc>
      </w:tr>
      <w:tr w:rsidR="00C36F76" w:rsidRPr="002751A3" w14:paraId="11F0B433" w14:textId="77777777" w:rsidTr="005C116B">
        <w:trPr>
          <w:trHeight w:val="600"/>
        </w:trPr>
        <w:tc>
          <w:tcPr>
            <w:tcW w:w="960" w:type="dxa"/>
            <w:tcBorders>
              <w:top w:val="nil"/>
              <w:left w:val="nil"/>
              <w:bottom w:val="nil"/>
              <w:right w:val="nil"/>
            </w:tcBorders>
            <w:shd w:val="clear" w:color="auto" w:fill="auto"/>
            <w:vAlign w:val="bottom"/>
            <w:hideMark/>
          </w:tcPr>
          <w:p w14:paraId="63620B8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119</w:t>
            </w:r>
          </w:p>
        </w:tc>
        <w:tc>
          <w:tcPr>
            <w:tcW w:w="13924" w:type="dxa"/>
            <w:tcBorders>
              <w:top w:val="nil"/>
              <w:left w:val="nil"/>
              <w:bottom w:val="nil"/>
              <w:right w:val="nil"/>
            </w:tcBorders>
            <w:shd w:val="clear" w:color="auto" w:fill="auto"/>
            <w:vAlign w:val="bottom"/>
            <w:hideMark/>
          </w:tcPr>
          <w:p w14:paraId="43619728"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Otto, G.M., Franklin, C.L. and Clifford, C.B., 2015. Biology and diseases of rats. In Laboratory animal medicine (pp. 151-207). Academic Press.</w:t>
            </w:r>
          </w:p>
        </w:tc>
      </w:tr>
      <w:tr w:rsidR="00C36F76" w:rsidRPr="002751A3" w14:paraId="2B9766B0" w14:textId="77777777" w:rsidTr="005C116B">
        <w:trPr>
          <w:trHeight w:val="1200"/>
        </w:trPr>
        <w:tc>
          <w:tcPr>
            <w:tcW w:w="960" w:type="dxa"/>
            <w:tcBorders>
              <w:top w:val="nil"/>
              <w:left w:val="nil"/>
              <w:bottom w:val="nil"/>
              <w:right w:val="nil"/>
            </w:tcBorders>
            <w:shd w:val="clear" w:color="auto" w:fill="auto"/>
            <w:vAlign w:val="bottom"/>
            <w:hideMark/>
          </w:tcPr>
          <w:p w14:paraId="5A3DB3C2"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120</w:t>
            </w:r>
          </w:p>
        </w:tc>
        <w:tc>
          <w:tcPr>
            <w:tcW w:w="13924" w:type="dxa"/>
            <w:tcBorders>
              <w:top w:val="nil"/>
              <w:left w:val="nil"/>
              <w:bottom w:val="nil"/>
              <w:right w:val="nil"/>
            </w:tcBorders>
            <w:shd w:val="clear" w:color="auto" w:fill="auto"/>
            <w:vAlign w:val="bottom"/>
            <w:hideMark/>
          </w:tcPr>
          <w:p w14:paraId="0C261244"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Bundy, D.A., Appleby, L.J. and Brooker, S.J., 2020. Nematodes Limited to the Intestinal Tract (Enterobius vermicularis, Trichuris trichiura, Capillaria philippinensis, and Trichostrongylus spp.). In Hunter's Tropical Medicine and Emerging Infectious Diseases (pp. 834-839). Content Repository Only!.</w:t>
            </w:r>
          </w:p>
        </w:tc>
      </w:tr>
      <w:tr w:rsidR="00C36F76" w:rsidRPr="002751A3" w14:paraId="2C50FE39" w14:textId="77777777" w:rsidTr="005C116B">
        <w:trPr>
          <w:trHeight w:val="900"/>
        </w:trPr>
        <w:tc>
          <w:tcPr>
            <w:tcW w:w="960" w:type="dxa"/>
            <w:tcBorders>
              <w:top w:val="nil"/>
              <w:left w:val="nil"/>
              <w:bottom w:val="nil"/>
              <w:right w:val="nil"/>
            </w:tcBorders>
            <w:shd w:val="clear" w:color="auto" w:fill="auto"/>
            <w:vAlign w:val="bottom"/>
            <w:hideMark/>
          </w:tcPr>
          <w:p w14:paraId="6A4B395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122</w:t>
            </w:r>
          </w:p>
        </w:tc>
        <w:tc>
          <w:tcPr>
            <w:tcW w:w="13924" w:type="dxa"/>
            <w:tcBorders>
              <w:top w:val="nil"/>
              <w:left w:val="nil"/>
              <w:bottom w:val="nil"/>
              <w:right w:val="nil"/>
            </w:tcBorders>
            <w:shd w:val="clear" w:color="auto" w:fill="auto"/>
            <w:vAlign w:val="bottom"/>
            <w:hideMark/>
          </w:tcPr>
          <w:p w14:paraId="62E2A7EC" w14:textId="77777777" w:rsidR="00C36F76" w:rsidRPr="002751A3" w:rsidRDefault="00C36F76" w:rsidP="005C116B">
            <w:pPr>
              <w:spacing w:after="0" w:line="240" w:lineRule="auto"/>
              <w:rPr>
                <w:rFonts w:ascii="Calibri" w:eastAsia="Times New Roman" w:hAnsi="Calibri" w:cs="Calibri"/>
                <w:color w:val="000000"/>
                <w:lang w:eastAsia="en-GB"/>
              </w:rPr>
            </w:pPr>
            <w:r w:rsidRPr="001939F4">
              <w:rPr>
                <w:rFonts w:ascii="Calibri" w:eastAsia="Times New Roman" w:hAnsi="Calibri" w:cs="Calibri"/>
                <w:color w:val="000000"/>
                <w:lang w:val="it-IT" w:eastAsia="en-GB"/>
              </w:rPr>
              <w:t xml:space="preserve">Crisi, P.E., Di Cesare, A. and Boari, A., 2018. </w:t>
            </w:r>
            <w:r w:rsidRPr="002751A3">
              <w:rPr>
                <w:rFonts w:ascii="Calibri" w:eastAsia="Times New Roman" w:hAnsi="Calibri" w:cs="Calibri"/>
                <w:color w:val="000000"/>
                <w:lang w:eastAsia="en-GB"/>
              </w:rPr>
              <w:t>Feline troglostrongylosis: current epizootiology, clinical features, and therapeutic options. Frontiers in Veterinary Science, 5, p.126.</w:t>
            </w:r>
          </w:p>
        </w:tc>
      </w:tr>
      <w:tr w:rsidR="00C36F76" w:rsidRPr="002751A3" w14:paraId="48ED1B4B" w14:textId="77777777" w:rsidTr="005C116B">
        <w:trPr>
          <w:trHeight w:val="600"/>
        </w:trPr>
        <w:tc>
          <w:tcPr>
            <w:tcW w:w="960" w:type="dxa"/>
            <w:tcBorders>
              <w:top w:val="nil"/>
              <w:left w:val="nil"/>
              <w:bottom w:val="nil"/>
              <w:right w:val="nil"/>
            </w:tcBorders>
            <w:shd w:val="clear" w:color="auto" w:fill="auto"/>
            <w:vAlign w:val="bottom"/>
            <w:hideMark/>
          </w:tcPr>
          <w:p w14:paraId="3A35A35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123</w:t>
            </w:r>
          </w:p>
        </w:tc>
        <w:tc>
          <w:tcPr>
            <w:tcW w:w="13924" w:type="dxa"/>
            <w:tcBorders>
              <w:top w:val="nil"/>
              <w:left w:val="nil"/>
              <w:bottom w:val="nil"/>
              <w:right w:val="nil"/>
            </w:tcBorders>
            <w:shd w:val="clear" w:color="auto" w:fill="auto"/>
            <w:vAlign w:val="bottom"/>
            <w:hideMark/>
          </w:tcPr>
          <w:p w14:paraId="36C89AF3"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Noireau, F., Diosque, P. and Jansen, A.M., 2009. Trypanosoma cruzi: adaptation to its vectors and its hosts. Veterinary research, 40(2), pp.1-23.</w:t>
            </w:r>
          </w:p>
        </w:tc>
      </w:tr>
      <w:tr w:rsidR="00C36F76" w:rsidRPr="002751A3" w14:paraId="7B189198" w14:textId="77777777" w:rsidTr="005C116B">
        <w:trPr>
          <w:trHeight w:val="900"/>
        </w:trPr>
        <w:tc>
          <w:tcPr>
            <w:tcW w:w="960" w:type="dxa"/>
            <w:tcBorders>
              <w:top w:val="nil"/>
              <w:left w:val="nil"/>
              <w:bottom w:val="nil"/>
              <w:right w:val="nil"/>
            </w:tcBorders>
            <w:shd w:val="clear" w:color="auto" w:fill="auto"/>
            <w:vAlign w:val="bottom"/>
            <w:hideMark/>
          </w:tcPr>
          <w:p w14:paraId="4B3CDCD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124</w:t>
            </w:r>
          </w:p>
        </w:tc>
        <w:tc>
          <w:tcPr>
            <w:tcW w:w="13924" w:type="dxa"/>
            <w:tcBorders>
              <w:top w:val="nil"/>
              <w:left w:val="nil"/>
              <w:bottom w:val="nil"/>
              <w:right w:val="nil"/>
            </w:tcBorders>
            <w:shd w:val="clear" w:color="auto" w:fill="auto"/>
            <w:vAlign w:val="bottom"/>
            <w:hideMark/>
          </w:tcPr>
          <w:p w14:paraId="78F21B91"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Lee C.M., Armstrong E. 2004. Rodent Trypanosomiasis: A Comparison Between Trypanosoma Lewisi and Trypanosoma Musculi. In: Encyclopedia of Entomology. Springer, Dordrecht.</w:t>
            </w:r>
          </w:p>
        </w:tc>
      </w:tr>
      <w:tr w:rsidR="00C36F76" w:rsidRPr="002751A3" w14:paraId="4A16AD9B" w14:textId="77777777" w:rsidTr="005C116B">
        <w:trPr>
          <w:trHeight w:val="900"/>
        </w:trPr>
        <w:tc>
          <w:tcPr>
            <w:tcW w:w="960" w:type="dxa"/>
            <w:tcBorders>
              <w:top w:val="nil"/>
              <w:left w:val="nil"/>
              <w:bottom w:val="nil"/>
              <w:right w:val="nil"/>
            </w:tcBorders>
            <w:shd w:val="clear" w:color="auto" w:fill="auto"/>
            <w:vAlign w:val="bottom"/>
            <w:hideMark/>
          </w:tcPr>
          <w:p w14:paraId="7896613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125</w:t>
            </w:r>
          </w:p>
        </w:tc>
        <w:tc>
          <w:tcPr>
            <w:tcW w:w="13924" w:type="dxa"/>
            <w:tcBorders>
              <w:top w:val="nil"/>
              <w:left w:val="nil"/>
              <w:bottom w:val="nil"/>
              <w:right w:val="nil"/>
            </w:tcBorders>
            <w:shd w:val="clear" w:color="auto" w:fill="auto"/>
            <w:vAlign w:val="bottom"/>
            <w:hideMark/>
          </w:tcPr>
          <w:p w14:paraId="3C1D4617"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Reinemeyer, C.R., 2016. Formulations and Clinical Uses of Pyrimidine Compounds in Domestic Animals. In Pyrantel Parasiticide Therapy in Humans and Domestic Animals (pp. 67-107). Academic Press.</w:t>
            </w:r>
          </w:p>
        </w:tc>
      </w:tr>
      <w:tr w:rsidR="00C36F76" w:rsidRPr="002751A3" w14:paraId="2F374C83" w14:textId="77777777" w:rsidTr="005C116B">
        <w:trPr>
          <w:trHeight w:val="900"/>
        </w:trPr>
        <w:tc>
          <w:tcPr>
            <w:tcW w:w="960" w:type="dxa"/>
            <w:tcBorders>
              <w:top w:val="nil"/>
              <w:left w:val="nil"/>
              <w:bottom w:val="nil"/>
              <w:right w:val="nil"/>
            </w:tcBorders>
            <w:shd w:val="clear" w:color="auto" w:fill="auto"/>
            <w:vAlign w:val="bottom"/>
            <w:hideMark/>
          </w:tcPr>
          <w:p w14:paraId="630EF790"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126</w:t>
            </w:r>
          </w:p>
        </w:tc>
        <w:tc>
          <w:tcPr>
            <w:tcW w:w="13924" w:type="dxa"/>
            <w:tcBorders>
              <w:top w:val="nil"/>
              <w:left w:val="nil"/>
              <w:bottom w:val="nil"/>
              <w:right w:val="nil"/>
            </w:tcBorders>
            <w:shd w:val="clear" w:color="auto" w:fill="auto"/>
            <w:vAlign w:val="bottom"/>
            <w:hideMark/>
          </w:tcPr>
          <w:p w14:paraId="503C2A80"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fr-BE" w:eastAsia="en-GB"/>
              </w:rPr>
              <w:t xml:space="preserve">Clé, M., Beck, C., Salinas, S., Lecollinet, S., Gutierrez, S., Van de Perre, P., Baldet, T., Foulongne, V. and Simonin, Y., 2019. </w:t>
            </w:r>
            <w:r w:rsidRPr="002751A3">
              <w:rPr>
                <w:rFonts w:ascii="Calibri" w:eastAsia="Times New Roman" w:hAnsi="Calibri" w:cs="Calibri"/>
                <w:color w:val="000000"/>
                <w:lang w:eastAsia="en-GB"/>
              </w:rPr>
              <w:t>Usutu virus: A new threat?. Epidemiology &amp; Infection, 147.</w:t>
            </w:r>
          </w:p>
        </w:tc>
      </w:tr>
      <w:tr w:rsidR="00C36F76" w:rsidRPr="002751A3" w14:paraId="2DAFBD55" w14:textId="77777777" w:rsidTr="005C116B">
        <w:trPr>
          <w:trHeight w:val="1200"/>
        </w:trPr>
        <w:tc>
          <w:tcPr>
            <w:tcW w:w="960" w:type="dxa"/>
            <w:tcBorders>
              <w:top w:val="nil"/>
              <w:left w:val="nil"/>
              <w:bottom w:val="nil"/>
              <w:right w:val="nil"/>
            </w:tcBorders>
            <w:shd w:val="clear" w:color="auto" w:fill="auto"/>
            <w:vAlign w:val="bottom"/>
            <w:hideMark/>
          </w:tcPr>
          <w:p w14:paraId="777F1986"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lastRenderedPageBreak/>
              <w:t>127</w:t>
            </w:r>
          </w:p>
        </w:tc>
        <w:tc>
          <w:tcPr>
            <w:tcW w:w="13924" w:type="dxa"/>
            <w:tcBorders>
              <w:top w:val="nil"/>
              <w:left w:val="nil"/>
              <w:bottom w:val="nil"/>
              <w:right w:val="nil"/>
            </w:tcBorders>
            <w:shd w:val="clear" w:color="auto" w:fill="auto"/>
            <w:vAlign w:val="bottom"/>
            <w:hideMark/>
          </w:tcPr>
          <w:p w14:paraId="62032503" w14:textId="77777777" w:rsidR="00C36F76" w:rsidRPr="002751A3" w:rsidRDefault="00C36F76" w:rsidP="005C116B">
            <w:pPr>
              <w:spacing w:after="0" w:line="240" w:lineRule="auto"/>
              <w:rPr>
                <w:rFonts w:ascii="Calibri" w:eastAsia="Times New Roman" w:hAnsi="Calibri" w:cs="Calibri"/>
                <w:color w:val="000000"/>
                <w:lang w:eastAsia="en-GB"/>
              </w:rPr>
            </w:pPr>
            <w:r w:rsidRPr="00BF1A53">
              <w:rPr>
                <w:rFonts w:ascii="Calibri" w:eastAsia="Times New Roman" w:hAnsi="Calibri" w:cs="Calibri"/>
                <w:color w:val="000000"/>
                <w:lang w:val="de-DE" w:eastAsia="en-GB"/>
              </w:rPr>
              <w:t xml:space="preserve">Petzold, J., van den Brand, J.M., Nobach, D., Hoffmann, B., Hoffmann, D., Fast, C., Reusken, C.B., van Run, P.R., Schlottau, K., Beer, M. and Herden, C., 2019. </w:t>
            </w:r>
            <w:r w:rsidRPr="002751A3">
              <w:rPr>
                <w:rFonts w:ascii="Calibri" w:eastAsia="Times New Roman" w:hAnsi="Calibri" w:cs="Calibri"/>
                <w:color w:val="000000"/>
                <w:lang w:eastAsia="en-GB"/>
              </w:rPr>
              <w:t>Distribution of zoonotic variegated squirrel bornavirus 1 in naturally infected variegated and Prevost’s squirrels. Scientific reports, 9(1), pp.1-10.</w:t>
            </w:r>
          </w:p>
        </w:tc>
      </w:tr>
      <w:tr w:rsidR="00C36F76" w:rsidRPr="002751A3" w14:paraId="1FC55FA1" w14:textId="77777777" w:rsidTr="005C116B">
        <w:trPr>
          <w:trHeight w:val="600"/>
        </w:trPr>
        <w:tc>
          <w:tcPr>
            <w:tcW w:w="960" w:type="dxa"/>
            <w:tcBorders>
              <w:top w:val="nil"/>
              <w:left w:val="nil"/>
              <w:bottom w:val="nil"/>
              <w:right w:val="nil"/>
            </w:tcBorders>
            <w:shd w:val="clear" w:color="auto" w:fill="auto"/>
            <w:vAlign w:val="bottom"/>
            <w:hideMark/>
          </w:tcPr>
          <w:p w14:paraId="49FF262B"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128</w:t>
            </w:r>
          </w:p>
        </w:tc>
        <w:tc>
          <w:tcPr>
            <w:tcW w:w="13924" w:type="dxa"/>
            <w:tcBorders>
              <w:top w:val="nil"/>
              <w:left w:val="nil"/>
              <w:bottom w:val="nil"/>
              <w:right w:val="nil"/>
            </w:tcBorders>
            <w:shd w:val="clear" w:color="auto" w:fill="auto"/>
            <w:vAlign w:val="bottom"/>
            <w:hideMark/>
          </w:tcPr>
          <w:p w14:paraId="5C68139D"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Londono-Renteria, B. and Colpitts, T.M., 2016. A brief review of West Nile virus biology. In West Nile Virus (pp. 1-13). Humana Press, New York, NY.</w:t>
            </w:r>
          </w:p>
        </w:tc>
      </w:tr>
      <w:tr w:rsidR="00C36F76" w:rsidRPr="002751A3" w14:paraId="684DF366" w14:textId="77777777" w:rsidTr="005C116B">
        <w:trPr>
          <w:trHeight w:val="1200"/>
        </w:trPr>
        <w:tc>
          <w:tcPr>
            <w:tcW w:w="960" w:type="dxa"/>
            <w:tcBorders>
              <w:top w:val="nil"/>
              <w:left w:val="nil"/>
              <w:bottom w:val="nil"/>
              <w:right w:val="nil"/>
            </w:tcBorders>
            <w:shd w:val="clear" w:color="auto" w:fill="auto"/>
            <w:vAlign w:val="bottom"/>
            <w:hideMark/>
          </w:tcPr>
          <w:p w14:paraId="71F2650C"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129</w:t>
            </w:r>
          </w:p>
        </w:tc>
        <w:tc>
          <w:tcPr>
            <w:tcW w:w="13924" w:type="dxa"/>
            <w:tcBorders>
              <w:top w:val="nil"/>
              <w:left w:val="nil"/>
              <w:bottom w:val="nil"/>
              <w:right w:val="nil"/>
            </w:tcBorders>
            <w:shd w:val="clear" w:color="auto" w:fill="auto"/>
            <w:vAlign w:val="bottom"/>
            <w:hideMark/>
          </w:tcPr>
          <w:p w14:paraId="7B1B7B16"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Bergren, N.A., Haller, S., Rossi, S.L., Seymour, R.L., Huang, J., Miller, A.L., Bowen, R.A., Hartman, D.A., Brault, A.C. and Weaver, S.C., 2020. “Submergence” of Western equine encephalitis virus: Evidence of positive selection argues against genetic drift and fitness reductions. PLoS pathogens, 16(2), p.e1008102.</w:t>
            </w:r>
          </w:p>
        </w:tc>
      </w:tr>
      <w:tr w:rsidR="00C36F76" w:rsidRPr="002751A3" w14:paraId="456E0861" w14:textId="77777777" w:rsidTr="005C116B">
        <w:trPr>
          <w:trHeight w:val="900"/>
        </w:trPr>
        <w:tc>
          <w:tcPr>
            <w:tcW w:w="960" w:type="dxa"/>
            <w:tcBorders>
              <w:top w:val="nil"/>
              <w:left w:val="nil"/>
              <w:bottom w:val="nil"/>
              <w:right w:val="nil"/>
            </w:tcBorders>
            <w:shd w:val="clear" w:color="auto" w:fill="auto"/>
            <w:vAlign w:val="bottom"/>
            <w:hideMark/>
          </w:tcPr>
          <w:p w14:paraId="117F8C5D"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130</w:t>
            </w:r>
          </w:p>
        </w:tc>
        <w:tc>
          <w:tcPr>
            <w:tcW w:w="13924" w:type="dxa"/>
            <w:tcBorders>
              <w:top w:val="nil"/>
              <w:left w:val="nil"/>
              <w:bottom w:val="nil"/>
              <w:right w:val="nil"/>
            </w:tcBorders>
            <w:shd w:val="clear" w:color="auto" w:fill="auto"/>
            <w:vAlign w:val="bottom"/>
            <w:hideMark/>
          </w:tcPr>
          <w:p w14:paraId="65388C5F"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Tompkins, D.M., Paterson, R., Massey, B. and Gleeson, D.M., 2010. Whataroa virus four decades on: emerging, persisting, or fading out?. Journal of the Royal Society of New Zealand, 40(1), pp.1-9.</w:t>
            </w:r>
          </w:p>
        </w:tc>
      </w:tr>
      <w:tr w:rsidR="00C36F76" w:rsidRPr="002751A3" w14:paraId="587B62F8" w14:textId="77777777" w:rsidTr="005C116B">
        <w:trPr>
          <w:trHeight w:val="600"/>
        </w:trPr>
        <w:tc>
          <w:tcPr>
            <w:tcW w:w="960" w:type="dxa"/>
            <w:tcBorders>
              <w:top w:val="nil"/>
              <w:left w:val="nil"/>
              <w:bottom w:val="nil"/>
              <w:right w:val="nil"/>
            </w:tcBorders>
            <w:shd w:val="clear" w:color="auto" w:fill="auto"/>
            <w:vAlign w:val="bottom"/>
            <w:hideMark/>
          </w:tcPr>
          <w:p w14:paraId="29445259"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131</w:t>
            </w:r>
          </w:p>
        </w:tc>
        <w:tc>
          <w:tcPr>
            <w:tcW w:w="13924" w:type="dxa"/>
            <w:tcBorders>
              <w:top w:val="nil"/>
              <w:left w:val="nil"/>
              <w:bottom w:val="nil"/>
              <w:right w:val="nil"/>
            </w:tcBorders>
            <w:shd w:val="clear" w:color="auto" w:fill="auto"/>
            <w:vAlign w:val="bottom"/>
            <w:hideMark/>
          </w:tcPr>
          <w:p w14:paraId="3D17E36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Gage, K.L. and Kosoy, M.Y., 2005. Natural history of plague: perspectives from more than a century of research. Annu. Rev. Entomol., 50, pp.505-528.</w:t>
            </w:r>
          </w:p>
        </w:tc>
      </w:tr>
      <w:tr w:rsidR="00C36F76" w:rsidRPr="002751A3" w14:paraId="430F8072" w14:textId="77777777" w:rsidTr="005C116B">
        <w:trPr>
          <w:trHeight w:val="600"/>
        </w:trPr>
        <w:tc>
          <w:tcPr>
            <w:tcW w:w="960" w:type="dxa"/>
            <w:tcBorders>
              <w:top w:val="nil"/>
              <w:left w:val="nil"/>
              <w:bottom w:val="nil"/>
              <w:right w:val="nil"/>
            </w:tcBorders>
            <w:shd w:val="clear" w:color="auto" w:fill="auto"/>
            <w:vAlign w:val="bottom"/>
            <w:hideMark/>
          </w:tcPr>
          <w:p w14:paraId="1090B6AA"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132</w:t>
            </w:r>
          </w:p>
        </w:tc>
        <w:tc>
          <w:tcPr>
            <w:tcW w:w="13924" w:type="dxa"/>
            <w:tcBorders>
              <w:top w:val="nil"/>
              <w:left w:val="nil"/>
              <w:bottom w:val="nil"/>
              <w:right w:val="nil"/>
            </w:tcBorders>
            <w:shd w:val="clear" w:color="auto" w:fill="auto"/>
            <w:vAlign w:val="bottom"/>
            <w:hideMark/>
          </w:tcPr>
          <w:p w14:paraId="1ABC40D2"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Percival, S.L. and Williams, D.W., 2014. Yersinia. In Microbiology of Waterborne Diseases (pp. 249-259). Academic Press.</w:t>
            </w:r>
          </w:p>
        </w:tc>
      </w:tr>
      <w:tr w:rsidR="00C36F76" w:rsidRPr="002751A3" w14:paraId="427DEE64" w14:textId="77777777" w:rsidTr="005C116B">
        <w:trPr>
          <w:trHeight w:val="900"/>
        </w:trPr>
        <w:tc>
          <w:tcPr>
            <w:tcW w:w="960" w:type="dxa"/>
            <w:tcBorders>
              <w:top w:val="nil"/>
              <w:left w:val="nil"/>
              <w:bottom w:val="nil"/>
              <w:right w:val="nil"/>
            </w:tcBorders>
            <w:shd w:val="clear" w:color="auto" w:fill="auto"/>
            <w:vAlign w:val="bottom"/>
            <w:hideMark/>
          </w:tcPr>
          <w:p w14:paraId="44BF6C2E" w14:textId="77777777" w:rsidR="00C36F76" w:rsidRPr="002751A3" w:rsidRDefault="00C36F76" w:rsidP="005C116B">
            <w:pPr>
              <w:spacing w:after="0" w:line="240" w:lineRule="auto"/>
              <w:jc w:val="right"/>
              <w:rPr>
                <w:rFonts w:ascii="Calibri" w:eastAsia="Times New Roman" w:hAnsi="Calibri" w:cs="Calibri"/>
                <w:color w:val="000000"/>
                <w:lang w:eastAsia="en-GB"/>
              </w:rPr>
            </w:pPr>
            <w:r w:rsidRPr="002751A3">
              <w:rPr>
                <w:rFonts w:ascii="Calibri" w:eastAsia="Times New Roman" w:hAnsi="Calibri" w:cs="Calibri"/>
                <w:color w:val="000000"/>
                <w:lang w:eastAsia="en-GB"/>
              </w:rPr>
              <w:t>133</w:t>
            </w:r>
          </w:p>
        </w:tc>
        <w:tc>
          <w:tcPr>
            <w:tcW w:w="13924" w:type="dxa"/>
            <w:tcBorders>
              <w:top w:val="nil"/>
              <w:left w:val="nil"/>
              <w:bottom w:val="nil"/>
              <w:right w:val="nil"/>
            </w:tcBorders>
            <w:shd w:val="clear" w:color="auto" w:fill="auto"/>
            <w:vAlign w:val="bottom"/>
            <w:hideMark/>
          </w:tcPr>
          <w:p w14:paraId="7EA60795" w14:textId="77777777" w:rsidR="00C36F76" w:rsidRPr="002751A3" w:rsidRDefault="00C36F76" w:rsidP="005C116B">
            <w:pPr>
              <w:spacing w:after="0" w:line="240" w:lineRule="auto"/>
              <w:rPr>
                <w:rFonts w:ascii="Calibri" w:eastAsia="Times New Roman" w:hAnsi="Calibri" w:cs="Calibri"/>
                <w:color w:val="000000"/>
                <w:lang w:eastAsia="en-GB"/>
              </w:rPr>
            </w:pPr>
            <w:r w:rsidRPr="002751A3">
              <w:rPr>
                <w:rFonts w:ascii="Calibri" w:eastAsia="Times New Roman" w:hAnsi="Calibri" w:cs="Calibri"/>
                <w:color w:val="000000"/>
                <w:lang w:eastAsia="en-GB"/>
              </w:rPr>
              <w:t>Vorou, R., 2016. Zika virus, vectors, reservoirs, amplifying hosts, and their potential to spread worldwide: what we know and what we should investigate urgently. International Journal of Infectious Diseases, 48, pp.85-90.</w:t>
            </w:r>
          </w:p>
        </w:tc>
      </w:tr>
    </w:tbl>
    <w:p w14:paraId="742F578E" w14:textId="77777777" w:rsidR="00C36F76" w:rsidRDefault="00C36F76" w:rsidP="00C36F76"/>
    <w:p w14:paraId="573ECBA2" w14:textId="77777777" w:rsidR="00C36F76" w:rsidRPr="00986BA4" w:rsidRDefault="00C36F76" w:rsidP="00C36F76"/>
    <w:p w14:paraId="1F16F92B" w14:textId="77777777" w:rsidR="00C36F76" w:rsidRDefault="00C36F76" w:rsidP="00C36F76"/>
    <w:p w14:paraId="4F61AF00" w14:textId="77777777" w:rsidR="004B35A8" w:rsidRDefault="004B35A8"/>
    <w:sectPr w:rsidR="004B35A8" w:rsidSect="0036697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fr-BE" w:vendorID="64" w:dllVersion="0" w:nlCheck="1" w:checkStyle="0"/>
  <w:activeWritingStyle w:appName="MSWord" w:lang="en-GB" w:vendorID="64" w:dllVersion="4096" w:nlCheck="1" w:checkStyle="0"/>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F76"/>
    <w:rsid w:val="000270D7"/>
    <w:rsid w:val="001939F4"/>
    <w:rsid w:val="00283CAE"/>
    <w:rsid w:val="003C4B88"/>
    <w:rsid w:val="004B35A8"/>
    <w:rsid w:val="00514C33"/>
    <w:rsid w:val="00525829"/>
    <w:rsid w:val="00707D99"/>
    <w:rsid w:val="008708AC"/>
    <w:rsid w:val="0095049F"/>
    <w:rsid w:val="009A2FB8"/>
    <w:rsid w:val="009C1066"/>
    <w:rsid w:val="009C5A73"/>
    <w:rsid w:val="00C36F76"/>
    <w:rsid w:val="00DE20A9"/>
    <w:rsid w:val="00E63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66FF"/>
  <w15:chartTrackingRefBased/>
  <w15:docId w15:val="{4F205FC6-681E-4146-8094-0AD29428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F76"/>
  </w:style>
  <w:style w:type="paragraph" w:styleId="Heading1">
    <w:name w:val="heading 1"/>
    <w:basedOn w:val="Normal"/>
    <w:next w:val="Normal"/>
    <w:link w:val="Heading1Char"/>
    <w:uiPriority w:val="9"/>
    <w:qFormat/>
    <w:rsid w:val="00C36F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F76"/>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C36F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93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5143</Words>
  <Characters>29319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CEH</Company>
  <LinksUpToDate>false</LinksUpToDate>
  <CharactersWithSpaces>34394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Helen E.</dc:creator>
  <cp:keywords/>
  <dc:description/>
  <cp:lastModifiedBy>Roy, Helen</cp:lastModifiedBy>
  <cp:revision>10</cp:revision>
  <dcterms:created xsi:type="dcterms:W3CDTF">2021-05-30T14:23:00Z</dcterms:created>
  <dcterms:modified xsi:type="dcterms:W3CDTF">2021-05-31T08:34:00Z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1325451</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