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199" w:rsidRPr="004614DD" w:rsidRDefault="004614DD">
      <w:pPr>
        <w:rPr>
          <w:rFonts w:ascii="Times New Roman" w:eastAsia="Times New Roman" w:hAnsi="Times New Roman" w:cs="Times New Roman"/>
          <w:b/>
          <w:sz w:val="24"/>
          <w:szCs w:val="24"/>
        </w:rPr>
      </w:pPr>
      <w:r w:rsidRPr="004614DD">
        <w:rPr>
          <w:rFonts w:ascii="Times New Roman" w:eastAsia="Times New Roman" w:hAnsi="Times New Roman" w:cs="Times New Roman"/>
          <w:b/>
          <w:sz w:val="24"/>
          <w:szCs w:val="24"/>
        </w:rPr>
        <w:t>Supplementary Material</w:t>
      </w:r>
    </w:p>
    <w:p w:rsidR="00C75199" w:rsidRPr="004614DD" w:rsidRDefault="004614DD">
      <w:pPr>
        <w:rPr>
          <w:rFonts w:ascii="Times New Roman" w:eastAsia="Times New Roman" w:hAnsi="Times New Roman" w:cs="Times New Roman"/>
          <w:b/>
          <w:sz w:val="24"/>
          <w:szCs w:val="24"/>
        </w:rPr>
      </w:pPr>
      <w:r w:rsidRPr="004614DD">
        <w:rPr>
          <w:rFonts w:ascii="Times New Roman" w:eastAsia="Times New Roman" w:hAnsi="Times New Roman" w:cs="Times New Roman"/>
          <w:b/>
          <w:sz w:val="20"/>
          <w:szCs w:val="20"/>
        </w:rPr>
        <w:t>Table S1:</w:t>
      </w:r>
      <w:r w:rsidRPr="004614DD">
        <w:rPr>
          <w:rFonts w:ascii="Times New Roman" w:eastAsia="Times New Roman" w:hAnsi="Times New Roman" w:cs="Times New Roman"/>
          <w:sz w:val="20"/>
          <w:szCs w:val="20"/>
        </w:rPr>
        <w:t xml:space="preserve"> Hot spot map classes summarized by subregion, ranked by percent area covered by hot spots. Area approximated in hectares using tabulated pixel totals.</w:t>
      </w:r>
    </w:p>
    <w:tbl>
      <w:tblPr>
        <w:tblStyle w:val="a"/>
        <w:tblW w:w="9600" w:type="dxa"/>
        <w:tblBorders>
          <w:top w:val="nil"/>
          <w:left w:val="nil"/>
          <w:bottom w:val="nil"/>
          <w:right w:val="nil"/>
          <w:insideH w:val="nil"/>
          <w:insideV w:val="nil"/>
        </w:tblBorders>
        <w:tblLayout w:type="fixed"/>
        <w:tblLook w:val="0600" w:firstRow="0" w:lastRow="0" w:firstColumn="0" w:lastColumn="0" w:noHBand="1" w:noVBand="1"/>
      </w:tblPr>
      <w:tblGrid>
        <w:gridCol w:w="3495"/>
        <w:gridCol w:w="1245"/>
        <w:gridCol w:w="705"/>
        <w:gridCol w:w="1365"/>
        <w:gridCol w:w="795"/>
        <w:gridCol w:w="1185"/>
        <w:gridCol w:w="810"/>
      </w:tblGrid>
      <w:tr w:rsidR="00C75199" w:rsidRPr="004614DD">
        <w:trPr>
          <w:trHeight w:val="455"/>
        </w:trPr>
        <w:tc>
          <w:tcPr>
            <w:tcW w:w="3495" w:type="dxa"/>
            <w:tcBorders>
              <w:top w:val="nil"/>
              <w:left w:val="nil"/>
              <w:bottom w:val="nil"/>
              <w:right w:val="nil"/>
            </w:tcBorders>
            <w:tcMar>
              <w:top w:w="100" w:type="dxa"/>
              <w:left w:w="100" w:type="dxa"/>
              <w:bottom w:w="100" w:type="dxa"/>
              <w:right w:w="100" w:type="dxa"/>
            </w:tcMar>
          </w:tcPr>
          <w:p w:rsidR="00C75199" w:rsidRPr="004614DD" w:rsidRDefault="00C75199">
            <w:pPr>
              <w:widowControl w:val="0"/>
              <w:pBdr>
                <w:top w:val="nil"/>
                <w:left w:val="nil"/>
                <w:bottom w:val="nil"/>
                <w:right w:val="nil"/>
                <w:between w:val="nil"/>
              </w:pBdr>
              <w:rPr>
                <w:b/>
              </w:rPr>
            </w:pPr>
          </w:p>
        </w:tc>
        <w:tc>
          <w:tcPr>
            <w:tcW w:w="1950" w:type="dxa"/>
            <w:gridSpan w:val="2"/>
            <w:tcBorders>
              <w:top w:val="nil"/>
              <w:left w:val="nil"/>
              <w:bottom w:val="nil"/>
              <w:right w:val="nil"/>
            </w:tcBorders>
            <w:tcMar>
              <w:top w:w="100" w:type="dxa"/>
              <w:left w:w="100" w:type="dxa"/>
              <w:bottom w:w="100" w:type="dxa"/>
              <w:right w:w="100" w:type="dxa"/>
            </w:tcMar>
          </w:tcPr>
          <w:p w:rsidR="00C75199" w:rsidRPr="004614DD" w:rsidRDefault="004614DD">
            <w:pPr>
              <w:jc w:val="cente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Hot Spot</w:t>
            </w:r>
          </w:p>
        </w:tc>
        <w:tc>
          <w:tcPr>
            <w:tcW w:w="2160" w:type="dxa"/>
            <w:gridSpan w:val="2"/>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cente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Ephemeral</w:t>
            </w:r>
          </w:p>
        </w:tc>
        <w:tc>
          <w:tcPr>
            <w:tcW w:w="1995" w:type="dxa"/>
            <w:gridSpan w:val="2"/>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cente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None</w:t>
            </w:r>
          </w:p>
        </w:tc>
      </w:tr>
      <w:tr w:rsidR="00C75199" w:rsidRPr="004614DD">
        <w:trPr>
          <w:trHeight w:val="455"/>
        </w:trPr>
        <w:tc>
          <w:tcPr>
            <w:tcW w:w="3495" w:type="dxa"/>
            <w:tcBorders>
              <w:top w:val="nil"/>
              <w:left w:val="nil"/>
              <w:bottom w:val="single" w:sz="6" w:space="0" w:color="000000"/>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Mojave Desert Subregion</w:t>
            </w:r>
          </w:p>
        </w:tc>
        <w:tc>
          <w:tcPr>
            <w:tcW w:w="1245" w:type="dxa"/>
            <w:tcBorders>
              <w:top w:val="nil"/>
              <w:left w:val="nil"/>
              <w:bottom w:val="single" w:sz="6" w:space="0" w:color="000000"/>
              <w:right w:val="nil"/>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Total Area (ha)</w:t>
            </w:r>
          </w:p>
        </w:tc>
        <w:tc>
          <w:tcPr>
            <w:tcW w:w="705" w:type="dxa"/>
            <w:tcBorders>
              <w:top w:val="nil"/>
              <w:left w:val="nil"/>
              <w:bottom w:val="single" w:sz="6" w:space="0" w:color="000000"/>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t>
            </w:r>
          </w:p>
        </w:tc>
        <w:tc>
          <w:tcPr>
            <w:tcW w:w="1365" w:type="dxa"/>
            <w:tcBorders>
              <w:top w:val="nil"/>
              <w:left w:val="nil"/>
              <w:bottom w:val="single" w:sz="6" w:space="0" w:color="000000"/>
              <w:right w:val="nil"/>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Total Area (ha)</w:t>
            </w:r>
          </w:p>
        </w:tc>
        <w:tc>
          <w:tcPr>
            <w:tcW w:w="795" w:type="dxa"/>
            <w:tcBorders>
              <w:top w:val="nil"/>
              <w:left w:val="nil"/>
              <w:bottom w:val="single" w:sz="6" w:space="0" w:color="000000"/>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t>
            </w:r>
          </w:p>
        </w:tc>
        <w:tc>
          <w:tcPr>
            <w:tcW w:w="1185" w:type="dxa"/>
            <w:tcBorders>
              <w:top w:val="nil"/>
              <w:left w:val="nil"/>
              <w:bottom w:val="single" w:sz="6" w:space="0" w:color="000000"/>
              <w:right w:val="nil"/>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Total Area (ha)</w:t>
            </w:r>
          </w:p>
        </w:tc>
        <w:tc>
          <w:tcPr>
            <w:tcW w:w="810" w:type="dxa"/>
            <w:tcBorders>
              <w:top w:val="nil"/>
              <w:left w:val="nil"/>
              <w:bottom w:val="single" w:sz="6" w:space="0" w:color="000000"/>
              <w:right w:val="nil"/>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Western Mojave Basins</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181,027,305</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13.03</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1,133,064,936</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81.57</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74,987,370</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5.40</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Eastern Mojave Mountain Woodland and Shrubland</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16,397,235</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7.64</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193,485,834</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90.12</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4,814,478</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2.24</w:t>
            </w:r>
          </w:p>
        </w:tc>
      </w:tr>
      <w:tr w:rsidR="00C75199" w:rsidRPr="004614DD">
        <w:trPr>
          <w:trHeight w:val="680"/>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Western Mojave Low Ranges</w:t>
            </w:r>
          </w:p>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and Arid Footslopes</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85,194,828</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7.05</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1,090,975,878</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90.26</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32,542,236</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2.69</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Eastern Mojave Basins</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147,146,625</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4.96</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2,674,961,658</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90.19</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143,723,403</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4.85</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Eastern Mojave Low Ranges and Arid Footslopes</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119,136,906</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4.37</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2,536,673,598</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93.08</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69,368,724</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2.55</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Arid Valleys and Canyonlands</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21,146,994</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4.15</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472,895,496</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92.71</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16,023,177</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3.14</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Lower Grand Canyon</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5,706,531</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2.92</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180,326,412</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92.15</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9,664,596</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4.94</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Mojave Lava Fields</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721,143</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1.97</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34,816,635</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95.05</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1,090,341</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2.98</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Western Mojave Mountain Woodland and Shrubland</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1,052,919</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1.31</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67,803,723</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84.37</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11,506,131</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14.32</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Eastern Mojave High Elevation Mountains</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101,493</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0.40</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22,206,798</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86.46</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3,376,890</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13.15</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Western Mojave High Elevation Mountains</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19,845</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0.33</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4,313,979</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72.56</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1,611,657</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27.11</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Mojave Playas</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95,418</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0.07</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87,520,176</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60.25</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57,653,289</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39.69</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Amargosa Desert</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200,313</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0.04</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483,519,375</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85.09</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84,520,908</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14.87</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Death Valley/Mojave Central Trough</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19,764</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0.00</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487,240,596</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81.69</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109,161,675</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18.30</w:t>
            </w:r>
          </w:p>
        </w:tc>
      </w:tr>
      <w:tr w:rsidR="00C75199" w:rsidRPr="004614DD">
        <w:trPr>
          <w:trHeight w:val="455"/>
        </w:trPr>
        <w:tc>
          <w:tcPr>
            <w:tcW w:w="34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Mesquite Flat/Badwater Basin</w:t>
            </w:r>
          </w:p>
        </w:tc>
        <w:tc>
          <w:tcPr>
            <w:tcW w:w="124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405</w:t>
            </w:r>
          </w:p>
        </w:tc>
        <w:tc>
          <w:tcPr>
            <w:tcW w:w="70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0.00</w:t>
            </w:r>
          </w:p>
        </w:tc>
        <w:tc>
          <w:tcPr>
            <w:tcW w:w="136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32,839,020</w:t>
            </w:r>
          </w:p>
        </w:tc>
        <w:tc>
          <w:tcPr>
            <w:tcW w:w="795" w:type="dxa"/>
            <w:tcBorders>
              <w:top w:val="nil"/>
              <w:left w:val="nil"/>
              <w:bottom w:val="nil"/>
              <w:right w:val="single" w:sz="6" w:space="0" w:color="000000"/>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48.22</w:t>
            </w:r>
          </w:p>
        </w:tc>
        <w:tc>
          <w:tcPr>
            <w:tcW w:w="1185"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35,259,057</w:t>
            </w:r>
          </w:p>
        </w:tc>
        <w:tc>
          <w:tcPr>
            <w:tcW w:w="810" w:type="dxa"/>
            <w:tcBorders>
              <w:top w:val="nil"/>
              <w:left w:val="nil"/>
              <w:bottom w:val="nil"/>
              <w:right w:val="nil"/>
            </w:tcBorders>
            <w:shd w:val="clear" w:color="auto" w:fill="auto"/>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51.78</w:t>
            </w:r>
          </w:p>
        </w:tc>
      </w:tr>
      <w:tr w:rsidR="00C75199" w:rsidRPr="004614DD">
        <w:trPr>
          <w:trHeight w:val="455"/>
        </w:trPr>
        <w:tc>
          <w:tcPr>
            <w:tcW w:w="34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lastRenderedPageBreak/>
              <w:t>Mojave Sand Dunes</w:t>
            </w:r>
          </w:p>
        </w:tc>
        <w:tc>
          <w:tcPr>
            <w:tcW w:w="124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w:t>
            </w:r>
          </w:p>
        </w:tc>
        <w:tc>
          <w:tcPr>
            <w:tcW w:w="70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0.00</w:t>
            </w:r>
          </w:p>
        </w:tc>
        <w:tc>
          <w:tcPr>
            <w:tcW w:w="136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14,970,015</w:t>
            </w:r>
          </w:p>
        </w:tc>
        <w:tc>
          <w:tcPr>
            <w:tcW w:w="795" w:type="dxa"/>
            <w:tcBorders>
              <w:top w:val="nil"/>
              <w:left w:val="nil"/>
              <w:bottom w:val="nil"/>
              <w:right w:val="single" w:sz="6" w:space="0" w:color="000000"/>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50.60</w:t>
            </w:r>
          </w:p>
        </w:tc>
        <w:tc>
          <w:tcPr>
            <w:tcW w:w="1185"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14,616,045</w:t>
            </w:r>
          </w:p>
        </w:tc>
        <w:tc>
          <w:tcPr>
            <w:tcW w:w="810" w:type="dxa"/>
            <w:tcBorders>
              <w:top w:val="nil"/>
              <w:left w:val="nil"/>
              <w:bottom w:val="nil"/>
              <w:right w:val="nil"/>
            </w:tcBorders>
            <w:shd w:val="clear" w:color="auto" w:fill="F2F2F2"/>
            <w:tcMar>
              <w:top w:w="100" w:type="dxa"/>
              <w:left w:w="100" w:type="dxa"/>
              <w:bottom w:w="100" w:type="dxa"/>
              <w:right w:w="100" w:type="dxa"/>
            </w:tcMar>
          </w:tcPr>
          <w:p w:rsidR="00C75199" w:rsidRPr="004614DD" w:rsidRDefault="004614DD">
            <w:pPr>
              <w:jc w:val="right"/>
              <w:rPr>
                <w:rFonts w:ascii="Times New Roman" w:eastAsia="Times New Roman" w:hAnsi="Times New Roman" w:cs="Times New Roman"/>
                <w:b/>
                <w:sz w:val="20"/>
                <w:szCs w:val="20"/>
              </w:rPr>
            </w:pPr>
            <w:r w:rsidRPr="004614DD">
              <w:rPr>
                <w:rFonts w:ascii="Times New Roman" w:eastAsia="Times New Roman" w:hAnsi="Times New Roman" w:cs="Times New Roman"/>
                <w:b/>
                <w:sz w:val="20"/>
                <w:szCs w:val="20"/>
              </w:rPr>
              <w:t>49.40</w:t>
            </w:r>
          </w:p>
        </w:tc>
      </w:tr>
    </w:tbl>
    <w:p w:rsidR="00C75199" w:rsidRPr="004614DD" w:rsidRDefault="00C75199"/>
    <w:p w:rsidR="00C75199" w:rsidRPr="004614DD" w:rsidRDefault="00C75199">
      <w:pPr>
        <w:rPr>
          <w:b/>
        </w:rPr>
      </w:pPr>
    </w:p>
    <w:p w:rsidR="00C75199" w:rsidRPr="004614DD" w:rsidRDefault="00C75199">
      <w:pPr>
        <w:rPr>
          <w:b/>
        </w:rPr>
      </w:pPr>
    </w:p>
    <w:p w:rsidR="00C75199" w:rsidRPr="004614DD" w:rsidRDefault="00C75199">
      <w:pPr>
        <w:rPr>
          <w:b/>
        </w:rPr>
      </w:pPr>
    </w:p>
    <w:p w:rsidR="00C75199" w:rsidRPr="004614DD" w:rsidRDefault="004614DD">
      <w:pPr>
        <w:rPr>
          <w:b/>
        </w:rPr>
      </w:pPr>
      <w:r w:rsidRPr="004614DD">
        <w:rPr>
          <w:b/>
          <w:noProof/>
          <w:lang w:val="en-IN"/>
        </w:rPr>
        <w:drawing>
          <wp:inline distT="114300" distB="114300" distL="114300" distR="114300">
            <wp:extent cx="5943600" cy="4330700"/>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5943600" cy="4330700"/>
                    </a:xfrm>
                    <a:prstGeom prst="rect">
                      <a:avLst/>
                    </a:prstGeom>
                    <a:ln/>
                  </pic:spPr>
                </pic:pic>
              </a:graphicData>
            </a:graphic>
          </wp:inline>
        </w:drawing>
      </w:r>
    </w:p>
    <w:p w:rsidR="00C75199" w:rsidRPr="004614DD" w:rsidRDefault="004614DD">
      <w:pPr>
        <w:rPr>
          <w:b/>
        </w:rPr>
      </w:pPr>
      <w:r w:rsidRPr="004614DD">
        <w:rPr>
          <w:rFonts w:ascii="Times New Roman" w:eastAsia="Times New Roman" w:hAnsi="Times New Roman" w:cs="Times New Roman"/>
          <w:b/>
          <w:sz w:val="20"/>
          <w:szCs w:val="20"/>
        </w:rPr>
        <w:t>Figure S1:</w:t>
      </w:r>
      <w:r w:rsidRPr="004614DD">
        <w:rPr>
          <w:rFonts w:ascii="Times New Roman" w:eastAsia="Times New Roman" w:hAnsi="Times New Roman" w:cs="Times New Roman"/>
          <w:sz w:val="20"/>
          <w:szCs w:val="20"/>
        </w:rPr>
        <w:t xml:space="preserve"> Graphical representation of DESI thresholding methods. Combinations of target species and spectral and spatial thresholds were experimented to maximize classification accuracy. Solid line represents a high threshold with high confidence in invasive annual</w:t>
      </w:r>
      <w:r w:rsidRPr="004614DD">
        <w:rPr>
          <w:rFonts w:ascii="Times New Roman" w:eastAsia="Times New Roman" w:hAnsi="Times New Roman" w:cs="Times New Roman"/>
          <w:sz w:val="20"/>
          <w:szCs w:val="20"/>
        </w:rPr>
        <w:t xml:space="preserve"> presence, low risk of false positives. Dashed line represents a low threshold for higher sensitivity of pixels with low invasive annual cover, higher risk of false positives.</w:t>
      </w:r>
    </w:p>
    <w:p w:rsidR="00C75199" w:rsidRPr="004614DD" w:rsidRDefault="00C75199">
      <w:pPr>
        <w:rPr>
          <w:b/>
        </w:rPr>
      </w:pPr>
    </w:p>
    <w:p w:rsidR="00C75199" w:rsidRPr="004614DD" w:rsidRDefault="00C75199">
      <w:pPr>
        <w:rPr>
          <w:b/>
        </w:rPr>
      </w:pPr>
    </w:p>
    <w:p w:rsidR="00C75199" w:rsidRPr="004614DD" w:rsidRDefault="004614DD">
      <w:r w:rsidRPr="004614DD">
        <w:rPr>
          <w:noProof/>
          <w:lang w:val="en-IN"/>
        </w:rPr>
        <w:lastRenderedPageBreak/>
        <w:drawing>
          <wp:inline distT="114300" distB="114300" distL="114300" distR="114300">
            <wp:extent cx="5943600" cy="59309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43600" cy="5930900"/>
                    </a:xfrm>
                    <a:prstGeom prst="rect">
                      <a:avLst/>
                    </a:prstGeom>
                    <a:ln/>
                  </pic:spPr>
                </pic:pic>
              </a:graphicData>
            </a:graphic>
          </wp:inline>
        </w:drawing>
      </w:r>
    </w:p>
    <w:p w:rsidR="00C75199" w:rsidRPr="004614DD" w:rsidRDefault="004614DD">
      <w:pPr>
        <w:rPr>
          <w:rFonts w:ascii="Times New Roman" w:eastAsia="Times New Roman" w:hAnsi="Times New Roman" w:cs="Times New Roman"/>
          <w:sz w:val="20"/>
          <w:szCs w:val="20"/>
        </w:rPr>
      </w:pPr>
      <w:r w:rsidRPr="004614DD">
        <w:rPr>
          <w:rFonts w:ascii="Times New Roman" w:eastAsia="Times New Roman" w:hAnsi="Times New Roman" w:cs="Times New Roman"/>
          <w:b/>
          <w:sz w:val="20"/>
          <w:szCs w:val="20"/>
        </w:rPr>
        <w:t>Figure S2:</w:t>
      </w:r>
      <w:r w:rsidRPr="004614DD">
        <w:rPr>
          <w:rFonts w:ascii="Times New Roman" w:eastAsia="Times New Roman" w:hAnsi="Times New Roman" w:cs="Times New Roman"/>
          <w:sz w:val="20"/>
          <w:szCs w:val="20"/>
        </w:rPr>
        <w:t xml:space="preserve"> Subregional random forest variable importance of most persistentl</w:t>
      </w:r>
      <w:r w:rsidRPr="004614DD">
        <w:rPr>
          <w:rFonts w:ascii="Times New Roman" w:eastAsia="Times New Roman" w:hAnsi="Times New Roman" w:cs="Times New Roman"/>
          <w:sz w:val="20"/>
          <w:szCs w:val="20"/>
        </w:rPr>
        <w:t>y invaded level IV ecoregions, ranked by contribution of accuracy to the model and grouped by variable type. PWP and EC refer to percent weight at wilting point and electrical conductivity, respectively.</w:t>
      </w:r>
    </w:p>
    <w:p w:rsidR="00C75199" w:rsidRPr="004614DD" w:rsidRDefault="00C75199">
      <w:pPr>
        <w:rPr>
          <w:rFonts w:ascii="Times New Roman" w:eastAsia="Times New Roman" w:hAnsi="Times New Roman" w:cs="Times New Roman"/>
          <w:sz w:val="20"/>
          <w:szCs w:val="20"/>
        </w:rPr>
      </w:pPr>
    </w:p>
    <w:p w:rsidR="00C75199" w:rsidRPr="004614DD" w:rsidRDefault="004614DD">
      <w:pPr>
        <w:rPr>
          <w:rFonts w:ascii="Times New Roman" w:eastAsia="Times New Roman" w:hAnsi="Times New Roman" w:cs="Times New Roman"/>
          <w:sz w:val="20"/>
          <w:szCs w:val="20"/>
        </w:rPr>
      </w:pPr>
      <w:r w:rsidRPr="004614DD">
        <w:rPr>
          <w:rFonts w:ascii="Times New Roman" w:eastAsia="Times New Roman" w:hAnsi="Times New Roman" w:cs="Times New Roman"/>
          <w:noProof/>
          <w:sz w:val="20"/>
          <w:szCs w:val="20"/>
          <w:lang w:val="en-IN"/>
        </w:rPr>
        <w:lastRenderedPageBreak/>
        <w:drawing>
          <wp:inline distT="114300" distB="114300" distL="114300" distR="114300">
            <wp:extent cx="5943600" cy="2933700"/>
            <wp:effectExtent l="0" t="0" r="0" b="0"/>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5943600" cy="2933700"/>
                    </a:xfrm>
                    <a:prstGeom prst="rect">
                      <a:avLst/>
                    </a:prstGeom>
                    <a:ln/>
                  </pic:spPr>
                </pic:pic>
              </a:graphicData>
            </a:graphic>
          </wp:inline>
        </w:drawing>
      </w:r>
    </w:p>
    <w:p w:rsidR="00C75199" w:rsidRPr="004614DD" w:rsidRDefault="004614DD">
      <w:pPr>
        <w:rPr>
          <w:rFonts w:ascii="Times New Roman" w:eastAsia="Times New Roman" w:hAnsi="Times New Roman" w:cs="Times New Roman"/>
          <w:sz w:val="20"/>
          <w:szCs w:val="20"/>
        </w:rPr>
      </w:pPr>
      <w:r w:rsidRPr="004614DD">
        <w:rPr>
          <w:rFonts w:ascii="Times New Roman" w:eastAsia="Times New Roman" w:hAnsi="Times New Roman" w:cs="Times New Roman"/>
          <w:b/>
          <w:sz w:val="20"/>
          <w:szCs w:val="20"/>
        </w:rPr>
        <w:t>Figure S3:</w:t>
      </w:r>
      <w:r w:rsidRPr="004614DD">
        <w:rPr>
          <w:rFonts w:ascii="Times New Roman" w:eastAsia="Times New Roman" w:hAnsi="Times New Roman" w:cs="Times New Roman"/>
          <w:sz w:val="20"/>
          <w:szCs w:val="20"/>
        </w:rPr>
        <w:t xml:space="preserve"> Heat map of subregional random forest </w:t>
      </w:r>
      <w:r w:rsidRPr="004614DD">
        <w:rPr>
          <w:rFonts w:ascii="Times New Roman" w:eastAsia="Times New Roman" w:hAnsi="Times New Roman" w:cs="Times New Roman"/>
          <w:sz w:val="20"/>
          <w:szCs w:val="20"/>
        </w:rPr>
        <w:t>variable importance of most persistently invaded level IV ecoregions, ranked by contribution of accuracy to the model and grouped by variable type. PWP and EC refer to percent weight at wilting point and electrical conductivity, respectively.</w:t>
      </w:r>
    </w:p>
    <w:p w:rsidR="00C75199" w:rsidRPr="004614DD" w:rsidRDefault="004614DD">
      <w:pPr>
        <w:rPr>
          <w:b/>
        </w:rPr>
      </w:pPr>
      <w:r w:rsidRPr="004614DD">
        <w:br w:type="page"/>
      </w:r>
    </w:p>
    <w:p w:rsidR="00C75199" w:rsidRPr="004614DD" w:rsidRDefault="004614DD">
      <w:pPr>
        <w:rPr>
          <w:b/>
          <w:u w:val="single"/>
        </w:rPr>
      </w:pPr>
      <w:r w:rsidRPr="004614DD">
        <w:rPr>
          <w:b/>
          <w:u w:val="single"/>
        </w:rPr>
        <w:lastRenderedPageBreak/>
        <w:t>Subregional Kernel Density Plots</w:t>
      </w:r>
    </w:p>
    <w:p w:rsidR="00C75199" w:rsidRPr="004614DD" w:rsidRDefault="004614DD">
      <w:r w:rsidRPr="004614DD">
        <w:rPr>
          <w:b/>
        </w:rPr>
        <w:t>Western Mojave Basins</w:t>
      </w:r>
    </w:p>
    <w:p w:rsidR="00C75199" w:rsidRPr="004614DD" w:rsidRDefault="004614DD">
      <w:r w:rsidRPr="004614DD">
        <w:rPr>
          <w:noProof/>
          <w:lang w:val="en-IN"/>
        </w:rPr>
        <w:drawing>
          <wp:inline distT="114300" distB="114300" distL="114300" distR="114300">
            <wp:extent cx="5943600" cy="43561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4356100"/>
                    </a:xfrm>
                    <a:prstGeom prst="rect">
                      <a:avLst/>
                    </a:prstGeom>
                    <a:ln/>
                  </pic:spPr>
                </pic:pic>
              </a:graphicData>
            </a:graphic>
          </wp:inline>
        </w:drawing>
      </w:r>
    </w:p>
    <w:p w:rsidR="00C75199" w:rsidRPr="004614DD" w:rsidRDefault="004614DD">
      <w:r w:rsidRPr="004614DD">
        <w:rPr>
          <w:rFonts w:ascii="Times New Roman" w:eastAsia="Times New Roman" w:hAnsi="Times New Roman" w:cs="Times New Roman"/>
          <w:b/>
          <w:sz w:val="20"/>
          <w:szCs w:val="20"/>
        </w:rPr>
        <w:t>Figure S4</w:t>
      </w:r>
      <w:r w:rsidRPr="004614DD">
        <w:rPr>
          <w:rFonts w:ascii="Times New Roman" w:eastAsia="Times New Roman" w:hAnsi="Times New Roman" w:cs="Times New Roman"/>
          <w:sz w:val="20"/>
          <w:szCs w:val="20"/>
        </w:rPr>
        <w:t>: Kernel density plots of top-ranked variables in Western Mojave Basins. Grouped kernel density plots separated by hot spot response group (a–d), and overall distribution of top-ranked varia</w:t>
      </w:r>
      <w:r w:rsidRPr="004614DD">
        <w:rPr>
          <w:rFonts w:ascii="Times New Roman" w:eastAsia="Times New Roman" w:hAnsi="Times New Roman" w:cs="Times New Roman"/>
          <w:sz w:val="20"/>
          <w:szCs w:val="20"/>
        </w:rPr>
        <w:t>bles (e–h). Red - hot spots; yellow - ephemeral; grey - none. Variables included: coarse fragments (cm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/dm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 elevation (m); slope (degrees), northness.</w:t>
      </w:r>
    </w:p>
    <w:p w:rsidR="00C75199" w:rsidRPr="004614DD" w:rsidRDefault="004614DD">
      <w:pPr>
        <w:rPr>
          <w:b/>
        </w:rPr>
      </w:pPr>
      <w:r w:rsidRPr="004614DD">
        <w:br w:type="page"/>
      </w:r>
    </w:p>
    <w:p w:rsidR="00C75199" w:rsidRPr="004614DD" w:rsidRDefault="004614DD">
      <w:r w:rsidRPr="004614DD">
        <w:rPr>
          <w:b/>
        </w:rPr>
        <w:lastRenderedPageBreak/>
        <w:t>Eastern Mojave Mountain Woodland and Shrubland</w:t>
      </w:r>
    </w:p>
    <w:p w:rsidR="00C75199" w:rsidRPr="004614DD" w:rsidRDefault="004614DD">
      <w:r w:rsidRPr="004614DD">
        <w:rPr>
          <w:noProof/>
          <w:lang w:val="en-IN"/>
        </w:rPr>
        <w:drawing>
          <wp:inline distT="114300" distB="114300" distL="114300" distR="114300">
            <wp:extent cx="5434078" cy="3986213"/>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5434078" cy="3986213"/>
                    </a:xfrm>
                    <a:prstGeom prst="rect">
                      <a:avLst/>
                    </a:prstGeom>
                    <a:ln/>
                  </pic:spPr>
                </pic:pic>
              </a:graphicData>
            </a:graphic>
          </wp:inline>
        </w:drawing>
      </w:r>
    </w:p>
    <w:p w:rsidR="00C75199" w:rsidRPr="004614DD" w:rsidRDefault="004614DD">
      <w:r w:rsidRPr="004614DD">
        <w:rPr>
          <w:rFonts w:ascii="Times New Roman" w:eastAsia="Times New Roman" w:hAnsi="Times New Roman" w:cs="Times New Roman"/>
          <w:b/>
          <w:sz w:val="20"/>
          <w:szCs w:val="20"/>
        </w:rPr>
        <w:t>Figure S5</w:t>
      </w:r>
      <w:r w:rsidRPr="004614DD">
        <w:rPr>
          <w:rFonts w:ascii="Times New Roman" w:eastAsia="Times New Roman" w:hAnsi="Times New Roman" w:cs="Times New Roman"/>
          <w:sz w:val="20"/>
          <w:szCs w:val="20"/>
        </w:rPr>
        <w:t>: Kernel density plots of top-ranked variab</w:t>
      </w:r>
      <w:r w:rsidRPr="004614DD">
        <w:rPr>
          <w:rFonts w:ascii="Times New Roman" w:eastAsia="Times New Roman" w:hAnsi="Times New Roman" w:cs="Times New Roman"/>
          <w:sz w:val="20"/>
          <w:szCs w:val="20"/>
        </w:rPr>
        <w:t>les in Eastern Mojave Mountain Woodland and Shrubland. Grouped kernel density plots separated by hot spot response group (a–d), and overall distribution of top-ranked variables (e–h). Red - hot spots; yellow - ephemeral; grey - none. Variables included: no</w:t>
      </w:r>
      <w:r w:rsidRPr="004614DD">
        <w:rPr>
          <w:rFonts w:ascii="Times New Roman" w:eastAsia="Times New Roman" w:hAnsi="Times New Roman" w:cs="Times New Roman"/>
          <w:sz w:val="20"/>
          <w:szCs w:val="20"/>
        </w:rPr>
        <w:t>rthness; slope (degrees); eastness; distance to nearest road (m).</w:t>
      </w:r>
    </w:p>
    <w:p w:rsidR="00C75199" w:rsidRPr="004614DD" w:rsidRDefault="004614DD">
      <w:r w:rsidRPr="004614DD">
        <w:br w:type="page"/>
      </w:r>
    </w:p>
    <w:p w:rsidR="00C75199" w:rsidRPr="004614DD" w:rsidRDefault="004614DD">
      <w:r w:rsidRPr="004614DD">
        <w:rPr>
          <w:b/>
        </w:rPr>
        <w:lastRenderedPageBreak/>
        <w:t>Western Mojave Low Ranges and Arid Footslopes</w:t>
      </w:r>
    </w:p>
    <w:p w:rsidR="00C75199" w:rsidRPr="004614DD" w:rsidRDefault="004614DD">
      <w:r w:rsidRPr="004614DD">
        <w:rPr>
          <w:noProof/>
          <w:lang w:val="en-IN"/>
        </w:rPr>
        <w:drawing>
          <wp:inline distT="114300" distB="114300" distL="114300" distR="114300">
            <wp:extent cx="5691188" cy="417650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691188" cy="4176507"/>
                    </a:xfrm>
                    <a:prstGeom prst="rect">
                      <a:avLst/>
                    </a:prstGeom>
                    <a:ln/>
                  </pic:spPr>
                </pic:pic>
              </a:graphicData>
            </a:graphic>
          </wp:inline>
        </w:drawing>
      </w:r>
    </w:p>
    <w:p w:rsidR="00C75199" w:rsidRPr="004614DD" w:rsidRDefault="004614DD">
      <w:pPr>
        <w:rPr>
          <w:b/>
        </w:rPr>
      </w:pPr>
      <w:r w:rsidRPr="004614DD">
        <w:rPr>
          <w:rFonts w:ascii="Times New Roman" w:eastAsia="Times New Roman" w:hAnsi="Times New Roman" w:cs="Times New Roman"/>
          <w:b/>
          <w:sz w:val="20"/>
          <w:szCs w:val="20"/>
        </w:rPr>
        <w:t>Figure S6</w:t>
      </w:r>
      <w:r w:rsidRPr="004614DD">
        <w:rPr>
          <w:rFonts w:ascii="Times New Roman" w:eastAsia="Times New Roman" w:hAnsi="Times New Roman" w:cs="Times New Roman"/>
          <w:sz w:val="20"/>
          <w:szCs w:val="20"/>
        </w:rPr>
        <w:t>: Kernel density plots of top-ranked variables in Western Mojave Low Ranges and Arid Footslopes. Grouped kernel density plots separ</w:t>
      </w:r>
      <w:r w:rsidRPr="004614DD">
        <w:rPr>
          <w:rFonts w:ascii="Times New Roman" w:eastAsia="Times New Roman" w:hAnsi="Times New Roman" w:cs="Times New Roman"/>
          <w:sz w:val="20"/>
          <w:szCs w:val="20"/>
        </w:rPr>
        <w:t>ated by hot spot response group (a–d), and overall distribution of top-ranked variables (e–h). Red - hot spots; yellow - ephemeral; grey - none. Variables included: elevation (m); electrical conductivity (mS/m); fall precipitation (cm); slope (degrees).</w:t>
      </w:r>
    </w:p>
    <w:p w:rsidR="00C75199" w:rsidRPr="004614DD" w:rsidRDefault="00C75199">
      <w:pPr>
        <w:rPr>
          <w:b/>
        </w:rPr>
      </w:pPr>
    </w:p>
    <w:p w:rsidR="00C75199" w:rsidRPr="004614DD" w:rsidRDefault="00C75199">
      <w:pPr>
        <w:rPr>
          <w:b/>
        </w:rPr>
      </w:pPr>
    </w:p>
    <w:p w:rsidR="00C75199" w:rsidRPr="004614DD" w:rsidRDefault="00C75199">
      <w:pPr>
        <w:rPr>
          <w:b/>
        </w:rPr>
      </w:pPr>
    </w:p>
    <w:p w:rsidR="00C75199" w:rsidRPr="004614DD" w:rsidRDefault="004614DD">
      <w:pPr>
        <w:rPr>
          <w:b/>
        </w:rPr>
      </w:pPr>
      <w:r w:rsidRPr="004614DD">
        <w:br w:type="page"/>
      </w:r>
    </w:p>
    <w:p w:rsidR="00C75199" w:rsidRPr="004614DD" w:rsidRDefault="004614DD">
      <w:r w:rsidRPr="004614DD">
        <w:rPr>
          <w:b/>
        </w:rPr>
        <w:lastRenderedPageBreak/>
        <w:t>Eastern Mojave Basins</w:t>
      </w:r>
    </w:p>
    <w:p w:rsidR="00C75199" w:rsidRPr="004614DD" w:rsidRDefault="004614DD">
      <w:r w:rsidRPr="004614DD">
        <w:rPr>
          <w:noProof/>
          <w:lang w:val="en-IN"/>
        </w:rPr>
        <w:drawing>
          <wp:inline distT="114300" distB="114300" distL="114300" distR="114300">
            <wp:extent cx="5634038" cy="4135073"/>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634038" cy="4135073"/>
                    </a:xfrm>
                    <a:prstGeom prst="rect">
                      <a:avLst/>
                    </a:prstGeom>
                    <a:ln/>
                  </pic:spPr>
                </pic:pic>
              </a:graphicData>
            </a:graphic>
          </wp:inline>
        </w:drawing>
      </w:r>
    </w:p>
    <w:p w:rsidR="00C75199" w:rsidRPr="004614DD" w:rsidRDefault="004614DD">
      <w:pPr>
        <w:rPr>
          <w:b/>
        </w:rPr>
      </w:pPr>
      <w:r w:rsidRPr="004614DD">
        <w:rPr>
          <w:rFonts w:ascii="Times New Roman" w:eastAsia="Times New Roman" w:hAnsi="Times New Roman" w:cs="Times New Roman"/>
          <w:b/>
          <w:sz w:val="20"/>
          <w:szCs w:val="20"/>
        </w:rPr>
        <w:t>Figure S7</w:t>
      </w:r>
      <w:r w:rsidRPr="004614DD">
        <w:rPr>
          <w:rFonts w:ascii="Times New Roman" w:eastAsia="Times New Roman" w:hAnsi="Times New Roman" w:cs="Times New Roman"/>
          <w:sz w:val="20"/>
          <w:szCs w:val="20"/>
        </w:rPr>
        <w:t>: Kernel density plots of top-ranked variables in Eastern Mojave Basins. Grouped kernel density plots separated by hot spot response group (a–d), and overall distribution of top-ranked variables (e–h). Red - hot spots; yellow - ephemeral; grey - none. Vari</w:t>
      </w:r>
      <w:r w:rsidRPr="004614DD">
        <w:rPr>
          <w:rFonts w:ascii="Times New Roman" w:eastAsia="Times New Roman" w:hAnsi="Times New Roman" w:cs="Times New Roman"/>
          <w:sz w:val="20"/>
          <w:szCs w:val="20"/>
        </w:rPr>
        <w:t>ables included: fall precipitation (cm); PWP (%); elevation (m); bulk density (kg 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w:t>
      </w:r>
    </w:p>
    <w:p w:rsidR="00C75199" w:rsidRPr="004614DD" w:rsidRDefault="00C75199">
      <w:pPr>
        <w:rPr>
          <w:b/>
        </w:rPr>
      </w:pPr>
    </w:p>
    <w:p w:rsidR="00C75199" w:rsidRPr="004614DD" w:rsidRDefault="00C75199">
      <w:pPr>
        <w:rPr>
          <w:b/>
        </w:rPr>
      </w:pPr>
    </w:p>
    <w:p w:rsidR="00C75199" w:rsidRPr="004614DD" w:rsidRDefault="00C75199">
      <w:pPr>
        <w:rPr>
          <w:b/>
        </w:rPr>
      </w:pPr>
    </w:p>
    <w:p w:rsidR="00C75199" w:rsidRPr="004614DD" w:rsidRDefault="004614DD">
      <w:pPr>
        <w:rPr>
          <w:b/>
        </w:rPr>
      </w:pPr>
      <w:r w:rsidRPr="004614DD">
        <w:br w:type="page"/>
      </w:r>
    </w:p>
    <w:p w:rsidR="00C75199" w:rsidRPr="004614DD" w:rsidRDefault="004614DD">
      <w:pPr>
        <w:rPr>
          <w:b/>
        </w:rPr>
      </w:pPr>
      <w:r w:rsidRPr="004614DD">
        <w:rPr>
          <w:b/>
        </w:rPr>
        <w:lastRenderedPageBreak/>
        <w:t>Eastern Mojave Low Ranges and Arid Footslopes</w:t>
      </w:r>
    </w:p>
    <w:p w:rsidR="00C75199" w:rsidRPr="004614DD" w:rsidRDefault="00C75199"/>
    <w:p w:rsidR="00C75199" w:rsidRPr="004614DD" w:rsidRDefault="004614DD">
      <w:r w:rsidRPr="004614DD">
        <w:rPr>
          <w:noProof/>
          <w:lang w:val="en-IN"/>
        </w:rPr>
        <w:drawing>
          <wp:inline distT="114300" distB="114300" distL="114300" distR="114300">
            <wp:extent cx="5948363" cy="4358107"/>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948363" cy="4358107"/>
                    </a:xfrm>
                    <a:prstGeom prst="rect">
                      <a:avLst/>
                    </a:prstGeom>
                    <a:ln/>
                  </pic:spPr>
                </pic:pic>
              </a:graphicData>
            </a:graphic>
          </wp:inline>
        </w:drawing>
      </w:r>
    </w:p>
    <w:p w:rsidR="00C75199" w:rsidRPr="004614DD" w:rsidRDefault="004614DD">
      <w:r w:rsidRPr="004614DD">
        <w:rPr>
          <w:rFonts w:ascii="Times New Roman" w:eastAsia="Times New Roman" w:hAnsi="Times New Roman" w:cs="Times New Roman"/>
          <w:b/>
          <w:sz w:val="20"/>
          <w:szCs w:val="20"/>
        </w:rPr>
        <w:t>Figure S8</w:t>
      </w:r>
      <w:r w:rsidRPr="004614DD">
        <w:rPr>
          <w:rFonts w:ascii="Times New Roman" w:eastAsia="Times New Roman" w:hAnsi="Times New Roman" w:cs="Times New Roman"/>
          <w:sz w:val="20"/>
          <w:szCs w:val="20"/>
        </w:rPr>
        <w:t xml:space="preserve">: Kernel density plots of top-ranked variables in Eastern Mojave Low Ranges and Arid Footslopes. Grouped </w:t>
      </w:r>
      <w:r w:rsidRPr="004614DD">
        <w:rPr>
          <w:rFonts w:ascii="Times New Roman" w:eastAsia="Times New Roman" w:hAnsi="Times New Roman" w:cs="Times New Roman"/>
          <w:sz w:val="20"/>
          <w:szCs w:val="20"/>
        </w:rPr>
        <w:t>kernel density plots separated by hot spot response group (a–d), and overall distribution of top-ranked variables (e–h). Red - hot spots; yellow - ephemeral; grey - none. Variables included: elevation (m); fall precipitation (cm); PWP (%); coarse fragments</w:t>
      </w:r>
      <w:r w:rsidRPr="004614DD">
        <w:rPr>
          <w:rFonts w:ascii="Times New Roman" w:eastAsia="Times New Roman" w:hAnsi="Times New Roman" w:cs="Times New Roman"/>
          <w:sz w:val="20"/>
          <w:szCs w:val="20"/>
        </w:rPr>
        <w:t xml:space="preserve"> (cm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/dm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w:t>
      </w:r>
    </w:p>
    <w:p w:rsidR="00C75199" w:rsidRPr="004614DD" w:rsidRDefault="004614DD">
      <w:pPr>
        <w:rPr>
          <w:b/>
        </w:rPr>
      </w:pPr>
      <w:r w:rsidRPr="004614DD">
        <w:br w:type="page"/>
      </w:r>
    </w:p>
    <w:p w:rsidR="00C75199" w:rsidRPr="004614DD" w:rsidRDefault="004614DD">
      <w:r w:rsidRPr="004614DD">
        <w:rPr>
          <w:b/>
        </w:rPr>
        <w:lastRenderedPageBreak/>
        <w:t>Arid Valleys and Canyonlands</w:t>
      </w:r>
      <w:bookmarkStart w:id="0" w:name="_GoBack"/>
      <w:bookmarkEnd w:id="0"/>
    </w:p>
    <w:p w:rsidR="00C75199" w:rsidRPr="004614DD" w:rsidRDefault="004614DD">
      <w:r w:rsidRPr="004614DD">
        <w:rPr>
          <w:noProof/>
          <w:lang w:val="en-IN"/>
        </w:rPr>
        <w:drawing>
          <wp:inline distT="114300" distB="114300" distL="114300" distR="114300">
            <wp:extent cx="5943600" cy="43561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943600" cy="4356100"/>
                    </a:xfrm>
                    <a:prstGeom prst="rect">
                      <a:avLst/>
                    </a:prstGeom>
                    <a:ln/>
                  </pic:spPr>
                </pic:pic>
              </a:graphicData>
            </a:graphic>
          </wp:inline>
        </w:drawing>
      </w:r>
    </w:p>
    <w:p w:rsidR="00C75199" w:rsidRDefault="004614DD">
      <w:r w:rsidRPr="004614DD">
        <w:rPr>
          <w:rFonts w:ascii="Times New Roman" w:eastAsia="Times New Roman" w:hAnsi="Times New Roman" w:cs="Times New Roman"/>
          <w:b/>
          <w:sz w:val="20"/>
          <w:szCs w:val="20"/>
        </w:rPr>
        <w:t>Figure S9</w:t>
      </w:r>
      <w:r w:rsidRPr="004614DD">
        <w:rPr>
          <w:rFonts w:ascii="Times New Roman" w:eastAsia="Times New Roman" w:hAnsi="Times New Roman" w:cs="Times New Roman"/>
          <w:sz w:val="20"/>
          <w:szCs w:val="20"/>
        </w:rPr>
        <w:t xml:space="preserve">: Kernel density plots of top-ranked variables in Arid Valleys and Canyonlands. Grouped kernel density plots separated by hot spot response group (a–d), and overall distribution of top-ranked variables </w:t>
      </w:r>
      <w:r w:rsidRPr="004614DD">
        <w:rPr>
          <w:rFonts w:ascii="Times New Roman" w:eastAsia="Times New Roman" w:hAnsi="Times New Roman" w:cs="Times New Roman"/>
          <w:sz w:val="20"/>
          <w:szCs w:val="20"/>
        </w:rPr>
        <w:t>(e–h). Red - hot spots; yellow - ephemeral; grey - none. Variables included: coarse fragments (cm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/dm</w:t>
      </w:r>
      <w:r w:rsidRPr="004614DD">
        <w:rPr>
          <w:rFonts w:ascii="Times New Roman" w:eastAsia="Times New Roman" w:hAnsi="Times New Roman" w:cs="Times New Roman"/>
          <w:sz w:val="20"/>
          <w:szCs w:val="20"/>
          <w:vertAlign w:val="superscript"/>
        </w:rPr>
        <w:t>3</w:t>
      </w:r>
      <w:r w:rsidRPr="004614DD">
        <w:rPr>
          <w:rFonts w:ascii="Times New Roman" w:eastAsia="Times New Roman" w:hAnsi="Times New Roman" w:cs="Times New Roman"/>
          <w:sz w:val="20"/>
          <w:szCs w:val="20"/>
        </w:rPr>
        <w:t>); fall precipitation (cm); distance to nearest road (m); winter precipitation (cm).</w:t>
      </w:r>
    </w:p>
    <w:p w:rsidR="00C75199" w:rsidRDefault="00C75199"/>
    <w:sectPr w:rsidR="00C75199">
      <w:head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614DD">
      <w:pPr>
        <w:spacing w:line="240" w:lineRule="auto"/>
      </w:pPr>
      <w:r>
        <w:separator/>
      </w:r>
    </w:p>
  </w:endnote>
  <w:endnote w:type="continuationSeparator" w:id="0">
    <w:p w:rsidR="00000000" w:rsidRDefault="00461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614DD">
      <w:pPr>
        <w:spacing w:line="240" w:lineRule="auto"/>
      </w:pPr>
      <w:r>
        <w:separator/>
      </w:r>
    </w:p>
  </w:footnote>
  <w:footnote w:type="continuationSeparator" w:id="0">
    <w:p w:rsidR="00000000" w:rsidRDefault="004614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199" w:rsidRDefault="004614DD">
    <w:pPr>
      <w:jc w:val="right"/>
    </w:pPr>
    <w:r>
      <w:fldChar w:fldCharType="begin"/>
    </w:r>
    <w:r>
      <w:instrText>PAGE</w:instrText>
    </w:r>
    <w:r>
      <w:fldChar w:fldCharType="separate"/>
    </w:r>
    <w:r>
      <w:rPr>
        <w:noProof/>
      </w:rPr>
      <w:t>9</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99"/>
    <w:rsid w:val="004614DD"/>
    <w:rsid w:val="00C751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E4DFFE-9912-4BB4-8415-0F4A9553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764</Words>
  <Characters>4357</Characters>
  <Application>Microsoft Office Word</Application>
  <DocSecurity>0</DocSecurity>
  <Lines>36</Lines>
  <Paragraphs>10</Paragraphs>
  <ScaleCrop>false</ScaleCrop>
  <Company>HP Inc.</Company>
  <LinksUpToDate>false</LinksUpToDate>
  <CharactersWithSpaces>5111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SivaMuthu Essakiyappan</cp:lastModifiedBy>
  <cp:revision>2</cp:revision>
  <dcterms:created xsi:type="dcterms:W3CDTF">2023-07-23T06:59:00Z</dcterms:created>
  <dcterms:modified xsi:type="dcterms:W3CDTF">2023-07-23T07:00:00Z</dcterms:modified>
</cp:coreProperties>
</file>